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4"/>
          <w:szCs w:val="14"/>
        </w:rPr>
      </w:pPr>
    </w:p>
    <w:p>
      <w:pPr>
        <w:spacing w:line="2390" w:lineRule="exact"/>
        <w:ind w:left="122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7"/>
          <w:sz w:val="20"/>
          <w:szCs w:val="20"/>
        </w:rPr>
        <w:drawing>
          <wp:inline distT="0" distB="0" distL="0" distR="0">
            <wp:extent cx="4761304" cy="1517903"/>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4761304" cy="1517903"/>
                    </a:xfrm>
                    <a:prstGeom prst="rect">
                      <a:avLst/>
                    </a:prstGeom>
                  </pic:spPr>
                </pic:pic>
              </a:graphicData>
            </a:graphic>
          </wp:inline>
        </w:drawing>
      </w:r>
      <w:r>
        <w:rPr>
          <w:rFonts w:ascii="Times New Roman" w:hAnsi="Times New Roman" w:cs="Times New Roman" w:eastAsia="Times New Roman" w:hint="default"/>
          <w:position w:val="-47"/>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9"/>
          <w:szCs w:val="29"/>
        </w:rPr>
      </w:pPr>
    </w:p>
    <w:p>
      <w:pPr>
        <w:spacing w:line="573" w:lineRule="exact" w:before="0"/>
        <w:ind w:left="0" w:right="985" w:firstLine="0"/>
        <w:jc w:val="center"/>
        <w:rPr>
          <w:rFonts w:ascii="宋体" w:hAnsi="宋体" w:cs="宋体" w:eastAsia="宋体" w:hint="default"/>
          <w:sz w:val="44"/>
          <w:szCs w:val="44"/>
        </w:rPr>
      </w:pPr>
      <w:r>
        <w:rPr>
          <w:rFonts w:ascii="Times New Roman" w:hAnsi="Times New Roman" w:cs="Times New Roman" w:eastAsia="Times New Roman" w:hint="default"/>
          <w:b/>
          <w:bCs/>
          <w:sz w:val="44"/>
          <w:szCs w:val="44"/>
        </w:rPr>
        <w:t>2019</w:t>
      </w:r>
      <w:r>
        <w:rPr>
          <w:rFonts w:ascii="Times New Roman" w:hAnsi="Times New Roman" w:cs="Times New Roman" w:eastAsia="Times New Roman" w:hint="default"/>
          <w:b/>
          <w:bCs/>
          <w:spacing w:val="-8"/>
          <w:sz w:val="44"/>
          <w:szCs w:val="44"/>
        </w:rPr>
        <w:t> </w:t>
      </w:r>
      <w:r>
        <w:rPr>
          <w:rFonts w:ascii="宋体" w:hAnsi="宋体" w:cs="宋体" w:eastAsia="宋体" w:hint="default"/>
          <w:b/>
          <w:bCs/>
          <w:sz w:val="44"/>
          <w:szCs w:val="44"/>
        </w:rPr>
        <w:t>年年度报告</w:t>
      </w:r>
      <w:r>
        <w:rPr>
          <w:rFonts w:ascii="宋体" w:hAnsi="宋体" w:cs="宋体" w:eastAsia="宋体" w:hint="default"/>
          <w:sz w:val="44"/>
          <w:szCs w:val="44"/>
        </w:rPr>
      </w: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11"/>
        <w:rPr>
          <w:rFonts w:ascii="宋体" w:hAnsi="宋体" w:cs="宋体" w:eastAsia="宋体" w:hint="default"/>
          <w:b/>
          <w:bCs/>
          <w:sz w:val="42"/>
          <w:szCs w:val="42"/>
        </w:rPr>
      </w:pPr>
    </w:p>
    <w:p>
      <w:pPr>
        <w:spacing w:before="0"/>
        <w:ind w:left="0" w:right="97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right="982"/>
        <w:jc w:val="center"/>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6"/>
        </w:rPr>
        <w:t> </w:t>
      </w:r>
      <w:r>
        <w:rPr/>
        <w:t>重要提示、目录和释义</w:t>
      </w:r>
      <w:r>
        <w:rPr>
          <w:b w:val="0"/>
          <w:bCs w:val="0"/>
        </w:rPr>
      </w:r>
    </w:p>
    <w:p>
      <w:pPr>
        <w:spacing w:line="240" w:lineRule="auto" w:before="11"/>
        <w:rPr>
          <w:rFonts w:ascii="宋体" w:hAnsi="宋体" w:cs="宋体" w:eastAsia="宋体" w:hint="default"/>
          <w:b/>
          <w:bCs/>
          <w:sz w:val="44"/>
          <w:szCs w:val="44"/>
        </w:rPr>
      </w:pPr>
    </w:p>
    <w:p>
      <w:pPr>
        <w:pStyle w:val="Heading2"/>
        <w:spacing w:line="357" w:lineRule="auto"/>
        <w:ind w:right="1136" w:firstLine="482"/>
        <w:jc w:val="both"/>
        <w:rPr>
          <w:b w:val="0"/>
          <w:bCs w:val="0"/>
        </w:rPr>
      </w:pPr>
      <w:r>
        <w:rPr/>
        <w:t>公司董事会、监事会及董事、监事、高级管理人员保证年度报告内容的真实、准确、完</w:t>
      </w:r>
      <w:r>
        <w:rPr>
          <w:w w:val="99"/>
        </w:rPr>
        <w:t> </w:t>
      </w:r>
      <w:r>
        <w:rPr/>
        <w:t>整，不存在虚假记载、误导性陈述或重大遗漏，并承担个别和连带的法律责任。</w:t>
      </w:r>
      <w:r>
        <w:rPr>
          <w:b w:val="0"/>
          <w:bCs w:val="0"/>
        </w:rPr>
      </w:r>
    </w:p>
    <w:p>
      <w:pPr>
        <w:pStyle w:val="Heading2"/>
        <w:spacing w:line="338" w:lineRule="auto" w:before="137"/>
        <w:ind w:right="1124" w:firstLine="482"/>
        <w:jc w:val="both"/>
        <w:rPr>
          <w:b w:val="0"/>
          <w:bCs w:val="0"/>
        </w:rPr>
      </w:pPr>
      <w:r>
        <w:rPr>
          <w:spacing w:val="2"/>
        </w:rPr>
        <w:t>公司负责人赵福君、主管会计工作负责人邱安超及会计机构负责人</w:t>
      </w:r>
      <w:r>
        <w:rPr>
          <w:rFonts w:ascii="Times New Roman" w:hAnsi="Times New Roman" w:cs="Times New Roman" w:eastAsia="Times New Roman" w:hint="default"/>
          <w:spacing w:val="2"/>
        </w:rPr>
        <w:t>(</w:t>
      </w:r>
      <w:r>
        <w:rPr>
          <w:spacing w:val="2"/>
        </w:rPr>
        <w:t>会计主管人员</w:t>
      </w:r>
      <w:r>
        <w:rPr>
          <w:rFonts w:ascii="Times New Roman" w:hAnsi="Times New Roman" w:cs="Times New Roman" w:eastAsia="Times New Roman" w:hint="default"/>
          <w:spacing w:val="2"/>
        </w:rPr>
        <w:t>)</w:t>
      </w:r>
      <w:r>
        <w:rPr>
          <w:spacing w:val="2"/>
        </w:rPr>
        <w:t>丁丹</w:t>
      </w:r>
      <w:r>
        <w:rPr>
          <w:spacing w:val="4"/>
          <w:w w:val="99"/>
        </w:rPr>
        <w:t> </w:t>
      </w:r>
      <w:r>
        <w:rPr/>
        <w:t>声明：保证年度报告中财务报告的真实、准确、完整。</w:t>
      </w:r>
      <w:r>
        <w:rPr>
          <w:b w:val="0"/>
          <w:bCs w:val="0"/>
        </w:rPr>
      </w:r>
    </w:p>
    <w:p>
      <w:pPr>
        <w:pStyle w:val="Heading2"/>
        <w:spacing w:line="240" w:lineRule="auto" w:before="156"/>
        <w:ind w:left="635" w:right="1115"/>
        <w:jc w:val="left"/>
        <w:rPr>
          <w:b w:val="0"/>
          <w:bCs w:val="0"/>
        </w:rPr>
      </w:pPr>
      <w:r>
        <w:rPr/>
        <w:t>所有董事均已出席了审议本报告的董事会会议。</w:t>
      </w:r>
      <w:r>
        <w:rPr>
          <w:b w:val="0"/>
          <w:bCs w:val="0"/>
        </w:rPr>
      </w:r>
    </w:p>
    <w:p>
      <w:pPr>
        <w:spacing w:line="240" w:lineRule="auto" w:before="4"/>
        <w:rPr>
          <w:rFonts w:ascii="宋体" w:hAnsi="宋体" w:cs="宋体" w:eastAsia="宋体" w:hint="default"/>
          <w:b/>
          <w:bCs/>
          <w:sz w:val="19"/>
          <w:szCs w:val="19"/>
        </w:rPr>
      </w:pPr>
    </w:p>
    <w:p>
      <w:pPr>
        <w:pStyle w:val="Heading2"/>
        <w:spacing w:line="338" w:lineRule="auto"/>
        <w:ind w:right="1131" w:firstLine="482"/>
        <w:jc w:val="both"/>
        <w:rPr>
          <w:b w:val="0"/>
          <w:bCs w:val="0"/>
        </w:rPr>
      </w:pPr>
      <w:r>
        <w:rPr>
          <w:spacing w:val="-6"/>
        </w:rPr>
        <w:t>致同会计师事务所（特殊普通合伙）对公司</w:t>
      </w:r>
      <w:r>
        <w:rPr>
          <w:spacing w:val="-6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年度财务报告出具了带有强调事项段的</w:t>
      </w:r>
      <w:r>
        <w:rPr>
          <w:w w:val="99"/>
        </w:rPr>
        <w:t> </w:t>
      </w:r>
      <w:r>
        <w:rPr/>
        <w:t>无保留意见的审计报告，公司董事会、监事会对相关事项的详细说明详见本报告</w:t>
      </w:r>
      <w:r>
        <w:rPr>
          <w:rFonts w:ascii="Times New Roman" w:hAnsi="Times New Roman" w:cs="Times New Roman" w:eastAsia="Times New Roman" w:hint="default"/>
        </w:rPr>
        <w:t>“</w:t>
      </w:r>
      <w:r>
        <w:rPr/>
        <w:t>第五节</w:t>
      </w:r>
      <w:r>
        <w:rPr>
          <w:spacing w:val="-2"/>
        </w:rPr>
        <w:t> </w:t>
      </w:r>
      <w:r>
        <w:rPr/>
        <w:t>重</w:t>
      </w:r>
      <w:r>
        <w:rPr>
          <w:w w:val="99"/>
        </w:rPr>
        <w:t> </w:t>
      </w:r>
      <w:r>
        <w:rPr/>
        <w:t>要事项</w:t>
      </w:r>
      <w:r>
        <w:rPr>
          <w:spacing w:val="-1"/>
        </w:rPr>
        <w:t> </w:t>
      </w:r>
      <w:r>
        <w:rPr/>
        <w:t>五、董事会、监事会、独立董事对会计师事务所本报告期非标准审计报告的说明</w:t>
      </w:r>
      <w:r>
        <w:rPr>
          <w:rFonts w:ascii="Times New Roman" w:hAnsi="Times New Roman" w:cs="Times New Roman" w:eastAsia="Times New Roman" w:hint="default"/>
        </w:rPr>
        <w:t>”</w:t>
      </w:r>
      <w:r>
        <w:rPr/>
        <w:t>，</w:t>
      </w:r>
      <w:r>
        <w:rPr>
          <w:w w:val="99"/>
        </w:rPr>
        <w:t> </w:t>
      </w:r>
      <w:r>
        <w:rPr/>
        <w:t>请投资者注意阅读。</w:t>
      </w:r>
      <w:r>
        <w:rPr>
          <w:b w:val="0"/>
          <w:bCs w:val="0"/>
        </w:rPr>
      </w:r>
    </w:p>
    <w:p>
      <w:pPr>
        <w:pStyle w:val="Heading2"/>
        <w:spacing w:line="357" w:lineRule="auto" w:before="156"/>
        <w:ind w:right="1132" w:firstLine="482"/>
        <w:jc w:val="both"/>
        <w:rPr>
          <w:b w:val="0"/>
          <w:bCs w:val="0"/>
        </w:rPr>
      </w:pPr>
      <w:r>
        <w:rPr/>
        <w:t>本报告中涉及的对公司未来年度计划及发展规划等前瞻性陈述，不构成公司对投资者的</w:t>
      </w:r>
      <w:r>
        <w:rPr>
          <w:w w:val="99"/>
        </w:rPr>
        <w:t> </w:t>
      </w:r>
      <w:r>
        <w:rPr/>
        <w:t>实质承诺，请投资者理解计划、预测与承诺之间的差异，注意投资风险。公司当前暂不存在</w:t>
      </w:r>
      <w:r>
        <w:rPr>
          <w:w w:val="99"/>
        </w:rPr>
        <w:t> </w:t>
      </w:r>
      <w:r>
        <w:rPr/>
        <w:t>重大经营风险，但不排除因下述风险事项影响公司的日常经营成果，敬请广大投资者注意投</w:t>
      </w:r>
      <w:r>
        <w:rPr>
          <w:w w:val="99"/>
        </w:rPr>
        <w:t> </w:t>
      </w:r>
      <w:r>
        <w:rPr/>
        <w:t>资风险。</w:t>
      </w:r>
      <w:r>
        <w:rPr>
          <w:b w:val="0"/>
          <w:bCs w:val="0"/>
        </w:rPr>
      </w:r>
    </w:p>
    <w:p>
      <w:pPr>
        <w:pStyle w:val="Heading2"/>
        <w:spacing w:line="408" w:lineRule="auto" w:before="137"/>
        <w:ind w:left="635" w:right="1115"/>
        <w:jc w:val="left"/>
        <w:rPr>
          <w:b w:val="0"/>
          <w:bCs w:val="0"/>
        </w:rPr>
      </w:pPr>
      <w:r>
        <w:rPr>
          <w:rFonts w:ascii="Times New Roman" w:hAnsi="Times New Roman" w:cs="Times New Roman" w:eastAsia="Times New Roman" w:hint="default"/>
        </w:rPr>
        <w:t>1</w:t>
      </w:r>
      <w:r>
        <w:rPr/>
        <w:t>、宏观经济与政策风险</w:t>
      </w:r>
      <w:r>
        <w:rPr>
          <w:w w:val="99"/>
        </w:rPr>
        <w:t> </w:t>
      </w:r>
      <w:r>
        <w:rPr/>
        <w:t>公司的客户主要为政府部门以及建筑、交通、通信等行业知名大型企事业单位，客户行</w:t>
      </w:r>
      <w:r>
        <w:rPr>
          <w:b w:val="0"/>
          <w:bCs w:val="0"/>
        </w:rPr>
      </w:r>
    </w:p>
    <w:p>
      <w:pPr>
        <w:pStyle w:val="Heading2"/>
        <w:spacing w:line="357" w:lineRule="auto"/>
        <w:ind w:right="1136"/>
        <w:jc w:val="both"/>
        <w:rPr>
          <w:b w:val="0"/>
          <w:bCs w:val="0"/>
        </w:rPr>
      </w:pPr>
      <w:r>
        <w:rPr/>
        <w:t>业分布较广，公司业务与宏观经济波动及行业周期有一定的相关性。目前新冠肺炎疫情已经</w:t>
      </w:r>
      <w:r>
        <w:rPr>
          <w:w w:val="99"/>
        </w:rPr>
        <w:t> </w:t>
      </w:r>
      <w:r>
        <w:rPr/>
        <w:t>对全球经济造成严重影响，未来疫情如何发展仍存在不确定性，如果经济增速放缓或出现衰</w:t>
      </w:r>
      <w:r>
        <w:rPr>
          <w:w w:val="99"/>
        </w:rPr>
        <w:t> </w:t>
      </w:r>
      <w:r>
        <w:rPr/>
        <w:t>退，可能存在因客户需求变化导致公司经营业绩下滑的风险。此外，近年来国家大力推动软</w:t>
      </w:r>
      <w:r>
        <w:rPr>
          <w:w w:val="99"/>
        </w:rPr>
        <w:t> </w:t>
      </w:r>
      <w:r>
        <w:rPr/>
        <w:t>件行业自主创新发展，国家及地方政府密集出台了多项税收优惠、财政资金扶持政策，若相</w:t>
      </w:r>
      <w:r>
        <w:rPr>
          <w:w w:val="99"/>
        </w:rPr>
        <w:t> </w:t>
      </w:r>
      <w:r>
        <w:rPr>
          <w:spacing w:val="-6"/>
          <w:w w:val="99"/>
        </w:rPr>
        <w:t>关产业政策发生调整，可能会对公司的经营和盈利产生不利影响。公司将持续深耕行业市场、</w:t>
      </w:r>
      <w:r>
        <w:rPr>
          <w:spacing w:val="-83"/>
          <w:w w:val="99"/>
        </w:rPr>
        <w:t> </w:t>
      </w:r>
      <w:r>
        <w:rPr>
          <w:spacing w:val="-83"/>
          <w:w w:val="99"/>
        </w:rPr>
      </w:r>
      <w:r>
        <w:rPr/>
        <w:t>加强技术创新驱动，积极应对宏观经济波动与政策变化。</w:t>
      </w:r>
      <w:r>
        <w:rPr>
          <w:b w:val="0"/>
          <w:bCs w:val="0"/>
        </w:rPr>
      </w:r>
    </w:p>
    <w:p>
      <w:pPr>
        <w:pStyle w:val="Heading2"/>
        <w:spacing w:line="410" w:lineRule="auto" w:before="137"/>
        <w:ind w:left="635" w:right="1115"/>
        <w:jc w:val="left"/>
        <w:rPr>
          <w:b w:val="0"/>
          <w:bCs w:val="0"/>
        </w:rPr>
      </w:pPr>
      <w:r>
        <w:rPr>
          <w:rFonts w:ascii="Times New Roman" w:hAnsi="Times New Roman" w:cs="Times New Roman" w:eastAsia="Times New Roman" w:hint="default"/>
        </w:rPr>
        <w:t>2</w:t>
      </w:r>
      <w:r>
        <w:rPr/>
        <w:t>、行业竞争风险</w:t>
      </w:r>
      <w:r>
        <w:rPr>
          <w:w w:val="99"/>
        </w:rPr>
        <w:t> </w:t>
      </w:r>
      <w:r>
        <w:rPr/>
        <w:t>软件和信息技术服务行业存在技术创新迭代速度快、市场参与主体多、市场竞争激烈等</w:t>
      </w:r>
      <w:r>
        <w:rPr>
          <w:b w:val="0"/>
          <w:bCs w:val="0"/>
        </w:rPr>
      </w:r>
    </w:p>
    <w:p>
      <w:pPr>
        <w:pStyle w:val="Heading2"/>
        <w:spacing w:line="298" w:lineRule="exact"/>
        <w:ind w:right="0"/>
        <w:jc w:val="both"/>
        <w:rPr>
          <w:b w:val="0"/>
          <w:bCs w:val="0"/>
        </w:rPr>
      </w:pPr>
      <w:r>
        <w:rPr/>
        <w:t>特点。在大数据、云计算、人工智能、区块链等新一代信息技术应用蓬勃发展的当下，企业</w:t>
      </w:r>
      <w:r>
        <w:rPr>
          <w:b w:val="0"/>
          <w:bCs w:val="0"/>
        </w:rPr>
      </w:r>
    </w:p>
    <w:p>
      <w:pPr>
        <w:pStyle w:val="Heading2"/>
        <w:spacing w:line="240" w:lineRule="auto" w:before="154"/>
        <w:ind w:right="0"/>
        <w:jc w:val="both"/>
        <w:rPr>
          <w:b w:val="0"/>
          <w:bCs w:val="0"/>
        </w:rPr>
      </w:pPr>
      <w:r>
        <w:rPr>
          <w:spacing w:val="2"/>
          <w:w w:val="99"/>
        </w:rPr>
        <w:t>的</w:t>
      </w:r>
      <w:r>
        <w:rPr>
          <w:w w:val="99"/>
        </w:rPr>
        <w:t>技</w:t>
      </w:r>
      <w:r>
        <w:rPr>
          <w:spacing w:val="2"/>
          <w:w w:val="99"/>
        </w:rPr>
        <w:t>术</w:t>
      </w:r>
      <w:r>
        <w:rPr>
          <w:w w:val="99"/>
        </w:rPr>
        <w:t>研发</w:t>
      </w:r>
      <w:r>
        <w:rPr>
          <w:spacing w:val="2"/>
          <w:w w:val="99"/>
        </w:rPr>
        <w:t>创</w:t>
      </w:r>
      <w:r>
        <w:rPr>
          <w:w w:val="99"/>
        </w:rPr>
        <w:t>新</w:t>
      </w:r>
      <w:r>
        <w:rPr>
          <w:spacing w:val="2"/>
          <w:w w:val="99"/>
        </w:rPr>
        <w:t>能</w:t>
      </w:r>
      <w:r>
        <w:rPr>
          <w:w w:val="99"/>
        </w:rPr>
        <w:t>力</w:t>
      </w:r>
      <w:r>
        <w:rPr>
          <w:spacing w:val="-120"/>
          <w:w w:val="99"/>
        </w:rPr>
        <w:t>、</w:t>
      </w:r>
      <w:r>
        <w:rPr>
          <w:spacing w:val="2"/>
          <w:w w:val="99"/>
        </w:rPr>
        <w:t>产</w:t>
      </w:r>
      <w:r>
        <w:rPr>
          <w:w w:val="99"/>
        </w:rPr>
        <w:t>业</w:t>
      </w:r>
      <w:r>
        <w:rPr>
          <w:spacing w:val="2"/>
          <w:w w:val="99"/>
        </w:rPr>
        <w:t>生</w:t>
      </w:r>
      <w:r>
        <w:rPr>
          <w:w w:val="99"/>
        </w:rPr>
        <w:t>态构</w:t>
      </w:r>
      <w:r>
        <w:rPr>
          <w:spacing w:val="2"/>
          <w:w w:val="99"/>
        </w:rPr>
        <w:t>建</w:t>
      </w:r>
      <w:r>
        <w:rPr>
          <w:w w:val="99"/>
        </w:rPr>
        <w:t>与</w:t>
      </w:r>
      <w:r>
        <w:rPr>
          <w:spacing w:val="2"/>
          <w:w w:val="99"/>
        </w:rPr>
        <w:t>运</w:t>
      </w:r>
      <w:r>
        <w:rPr>
          <w:w w:val="99"/>
        </w:rPr>
        <w:t>营能</w:t>
      </w:r>
      <w:r>
        <w:rPr>
          <w:spacing w:val="2"/>
          <w:w w:val="99"/>
        </w:rPr>
        <w:t>力</w:t>
      </w:r>
      <w:r>
        <w:rPr>
          <w:w w:val="99"/>
        </w:rPr>
        <w:t>至</w:t>
      </w:r>
      <w:r>
        <w:rPr>
          <w:spacing w:val="2"/>
          <w:w w:val="99"/>
        </w:rPr>
        <w:t>关</w:t>
      </w:r>
      <w:r>
        <w:rPr>
          <w:w w:val="99"/>
        </w:rPr>
        <w:t>重要</w:t>
      </w:r>
      <w:r>
        <w:rPr>
          <w:spacing w:val="-118"/>
          <w:w w:val="99"/>
        </w:rPr>
        <w:t>。</w:t>
      </w:r>
      <w:r>
        <w:rPr>
          <w:w w:val="99"/>
        </w:rPr>
        <w:t>如果</w:t>
      </w:r>
      <w:r>
        <w:rPr>
          <w:spacing w:val="2"/>
          <w:w w:val="99"/>
        </w:rPr>
        <w:t>公</w:t>
      </w:r>
      <w:r>
        <w:rPr>
          <w:w w:val="99"/>
        </w:rPr>
        <w:t>司</w:t>
      </w:r>
      <w:r>
        <w:rPr>
          <w:spacing w:val="2"/>
          <w:w w:val="99"/>
        </w:rPr>
        <w:t>不</w:t>
      </w:r>
      <w:r>
        <w:rPr>
          <w:w w:val="99"/>
        </w:rPr>
        <w:t>能</w:t>
      </w:r>
      <w:r>
        <w:rPr>
          <w:spacing w:val="2"/>
          <w:w w:val="99"/>
        </w:rPr>
        <w:t>自</w:t>
      </w:r>
      <w:r>
        <w:rPr>
          <w:w w:val="99"/>
        </w:rPr>
        <w:t>主适</w:t>
      </w:r>
      <w:r>
        <w:rPr>
          <w:spacing w:val="2"/>
          <w:w w:val="99"/>
        </w:rPr>
        <w:t>应</w:t>
      </w:r>
      <w:r>
        <w:rPr>
          <w:w w:val="99"/>
        </w:rPr>
        <w:t>技</w:t>
      </w:r>
      <w:r>
        <w:rPr>
          <w:spacing w:val="2"/>
          <w:w w:val="99"/>
        </w:rPr>
        <w:t>术</w:t>
      </w:r>
      <w:r>
        <w:rPr>
          <w:w w:val="99"/>
        </w:rPr>
        <w:t>更新、</w:t>
      </w:r>
      <w:r>
        <w:rPr>
          <w:b w:val="0"/>
          <w:bCs w:val="0"/>
        </w:rPr>
      </w:r>
    </w:p>
    <w:p>
      <w:pPr>
        <w:spacing w:after="0" w:line="240" w:lineRule="auto"/>
        <w:jc w:val="both"/>
        <w:sectPr>
          <w:footerReference w:type="default" r:id="rId8"/>
          <w:pgSz w:w="11910" w:h="16840"/>
          <w:pgMar w:footer="980"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b/>
          <w:bCs/>
          <w:sz w:val="25"/>
          <w:szCs w:val="25"/>
        </w:rPr>
      </w:pPr>
    </w:p>
    <w:p>
      <w:pPr>
        <w:pStyle w:val="Heading2"/>
        <w:spacing w:line="357" w:lineRule="auto" w:before="26"/>
        <w:ind w:right="1131"/>
        <w:jc w:val="both"/>
        <w:rPr>
          <w:b w:val="0"/>
          <w:bCs w:val="0"/>
        </w:rPr>
      </w:pPr>
      <w:r>
        <w:rPr/>
        <w:t>市场环境及客户需求的变化，可能存在因竞争优势减弱而导致核心竞争力下降和经营业绩不</w:t>
      </w:r>
      <w:r>
        <w:rPr>
          <w:w w:val="99"/>
        </w:rPr>
        <w:t> </w:t>
      </w:r>
      <w:r>
        <w:rPr/>
        <w:t>能达到预期目标的风险。对此，公司将始终加强对新技术的研究与实践，不断完善产品及解</w:t>
      </w:r>
      <w:r>
        <w:rPr>
          <w:w w:val="99"/>
        </w:rPr>
        <w:t> </w:t>
      </w:r>
      <w:r>
        <w:rPr/>
        <w:t>决方案，满足客户不断变化的需求，同时持续加大研发投入，建立健全人才激励机制，提高</w:t>
      </w:r>
      <w:r>
        <w:rPr>
          <w:w w:val="99"/>
        </w:rPr>
        <w:t> </w:t>
      </w:r>
      <w:r>
        <w:rPr/>
        <w:t>核心竞争力。</w:t>
      </w:r>
      <w:r>
        <w:rPr>
          <w:b w:val="0"/>
          <w:bCs w:val="0"/>
        </w:rPr>
      </w:r>
    </w:p>
    <w:p>
      <w:pPr>
        <w:pStyle w:val="Heading2"/>
        <w:spacing w:line="240" w:lineRule="auto" w:before="137"/>
        <w:ind w:left="635" w:right="1115"/>
        <w:jc w:val="left"/>
        <w:rPr>
          <w:b w:val="0"/>
          <w:bCs w:val="0"/>
        </w:rPr>
      </w:pPr>
      <w:r>
        <w:rPr>
          <w:rFonts w:ascii="Times New Roman" w:hAnsi="Times New Roman" w:cs="Times New Roman" w:eastAsia="Times New Roman" w:hint="default"/>
        </w:rPr>
        <w:t>3</w:t>
      </w:r>
      <w:r>
        <w:rPr/>
        <w:t>、业务发展风险</w:t>
      </w:r>
      <w:r>
        <w:rPr>
          <w:b w:val="0"/>
          <w:bCs w:val="0"/>
        </w:rPr>
      </w:r>
    </w:p>
    <w:p>
      <w:pPr>
        <w:spacing w:line="240" w:lineRule="auto" w:before="12"/>
        <w:rPr>
          <w:rFonts w:ascii="宋体" w:hAnsi="宋体" w:cs="宋体" w:eastAsia="宋体" w:hint="default"/>
          <w:b/>
          <w:bCs/>
          <w:sz w:val="17"/>
          <w:szCs w:val="17"/>
        </w:rPr>
      </w:pPr>
    </w:p>
    <w:p>
      <w:pPr>
        <w:pStyle w:val="Heading2"/>
        <w:spacing w:line="352" w:lineRule="auto"/>
        <w:ind w:right="1135" w:firstLine="482"/>
        <w:jc w:val="both"/>
        <w:rPr>
          <w:b w:val="0"/>
          <w:bCs w:val="0"/>
        </w:rPr>
      </w:pPr>
      <w:r>
        <w:rPr>
          <w:rFonts w:ascii="Times New Roman" w:hAnsi="Times New Roman" w:cs="Times New Roman" w:eastAsia="Times New Roman" w:hint="default"/>
        </w:rPr>
        <w:t>2014 </w:t>
      </w:r>
      <w:r>
        <w:rPr/>
        <w:t>年至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年期间，公司通过内部孵化和投资并购的方式扩大业务范围，意在探求</w:t>
      </w:r>
      <w:r>
        <w:rPr>
          <w:w w:val="99"/>
        </w:rPr>
        <w:t> </w:t>
      </w:r>
      <w:r>
        <w:rPr/>
        <w:t>传统软件产业与新一代信息技术之间的融合与创新，完善产品与解决方案，打造业务生态体</w:t>
      </w:r>
      <w:r>
        <w:rPr>
          <w:w w:val="99"/>
        </w:rPr>
        <w:t> </w:t>
      </w:r>
      <w:r>
        <w:rPr/>
        <w:t>系。然而经过几年的发展，部分孵化或并购主体呈现出经营效益不佳的情况，其能否形成公</w:t>
      </w:r>
      <w:r>
        <w:rPr>
          <w:w w:val="99"/>
        </w:rPr>
        <w:t> </w:t>
      </w:r>
      <w:r>
        <w:rPr/>
        <w:t>司新的利润增长点仍存在不确定性；同时一些创新商业模式（如互联网金融信息服务）面临</w:t>
      </w:r>
      <w:r>
        <w:rPr>
          <w:w w:val="99"/>
        </w:rPr>
        <w:t> </w:t>
      </w:r>
      <w:r>
        <w:rPr/>
        <w:t>较大的监管政策变化风险。对此，公司将围绕深度聚焦主业发展的战略规划，适时关停并转</w:t>
      </w:r>
      <w:r>
        <w:rPr>
          <w:w w:val="99"/>
        </w:rPr>
        <w:t> </w:t>
      </w:r>
      <w:r>
        <w:rPr/>
        <w:t>部分业务，逐渐化解业务发展风险，集中优势资源强化主业的核心竞争力。</w:t>
      </w:r>
      <w:r>
        <w:rPr>
          <w:b w:val="0"/>
          <w:bCs w:val="0"/>
        </w:rPr>
      </w:r>
    </w:p>
    <w:p>
      <w:pPr>
        <w:pStyle w:val="Heading2"/>
        <w:spacing w:line="410" w:lineRule="auto" w:before="142"/>
        <w:ind w:left="635" w:right="1115"/>
        <w:jc w:val="left"/>
        <w:rPr>
          <w:b w:val="0"/>
          <w:bCs w:val="0"/>
        </w:rPr>
      </w:pPr>
      <w:r>
        <w:rPr>
          <w:rFonts w:ascii="Times New Roman" w:hAnsi="Times New Roman" w:cs="Times New Roman" w:eastAsia="Times New Roman" w:hint="default"/>
        </w:rPr>
        <w:t>4</w:t>
      </w:r>
      <w:r>
        <w:rPr/>
        <w:t>、应收账款回收风险</w:t>
      </w:r>
      <w:r>
        <w:rPr>
          <w:spacing w:val="2"/>
          <w:w w:val="99"/>
        </w:rPr>
        <w:t> </w:t>
      </w:r>
      <w:r>
        <w:rPr/>
        <w:t>由于媒介代理业务规模增加，公司数字传播业务的应收款规模和预付的媒体资源成本扩</w:t>
      </w:r>
      <w:r>
        <w:rPr>
          <w:b w:val="0"/>
          <w:bCs w:val="0"/>
        </w:rPr>
      </w:r>
    </w:p>
    <w:p>
      <w:pPr>
        <w:pStyle w:val="Heading2"/>
        <w:spacing w:line="298" w:lineRule="exact"/>
        <w:ind w:right="0"/>
        <w:jc w:val="both"/>
        <w:rPr>
          <w:b w:val="0"/>
          <w:bCs w:val="0"/>
        </w:rPr>
      </w:pPr>
      <w:r>
        <w:rPr/>
        <w:t>大</w:t>
      </w:r>
      <w:r>
        <w:rPr>
          <w:spacing w:val="-12"/>
        </w:rPr>
        <w:t> </w:t>
      </w:r>
      <w:r>
        <w:rPr>
          <w:spacing w:val="-3"/>
        </w:rPr>
        <w:t>。但受宏观经济波动、社会信用机制缺失等因素的影响，业务资金周转或面临挑战。若大</w:t>
      </w:r>
      <w:r>
        <w:rPr>
          <w:b w:val="0"/>
          <w:bCs w:val="0"/>
          <w:spacing w:val="-3"/>
        </w:rPr>
      </w:r>
    </w:p>
    <w:p>
      <w:pPr>
        <w:pStyle w:val="Heading2"/>
        <w:spacing w:line="357" w:lineRule="auto" w:before="154"/>
        <w:ind w:right="1132"/>
        <w:jc w:val="both"/>
        <w:rPr>
          <w:b w:val="0"/>
          <w:bCs w:val="0"/>
        </w:rPr>
      </w:pPr>
      <w:r>
        <w:rPr/>
        <w:t>额应收款出现逾期或无法回收，可能导致公司应收账款回收风险。对此，公司已进一步完善</w:t>
      </w:r>
      <w:r>
        <w:rPr>
          <w:w w:val="99"/>
        </w:rPr>
        <w:t> </w:t>
      </w:r>
      <w:r>
        <w:rPr/>
        <w:t>应收款回收机制，增强风险管控措施，防范资金周转带来的经营风险。</w:t>
      </w:r>
      <w:r>
        <w:rPr>
          <w:b w:val="0"/>
          <w:bCs w:val="0"/>
        </w:rPr>
      </w:r>
    </w:p>
    <w:p>
      <w:pPr>
        <w:pStyle w:val="Heading2"/>
        <w:spacing w:line="240" w:lineRule="auto" w:before="134"/>
        <w:ind w:left="635" w:right="1115"/>
        <w:jc w:val="left"/>
        <w:rPr>
          <w:b w:val="0"/>
          <w:bCs w:val="0"/>
        </w:rPr>
      </w:pPr>
      <w:r>
        <w:rPr>
          <w:rFonts w:ascii="Times New Roman" w:hAnsi="Times New Roman" w:cs="Times New Roman" w:eastAsia="Times New Roman" w:hint="default"/>
        </w:rPr>
        <w:t>5</w:t>
      </w:r>
      <w:r>
        <w:rPr/>
        <w:t>、应收保理款坏账风险</w:t>
      </w:r>
      <w:r>
        <w:rPr>
          <w:b w:val="0"/>
          <w:bCs w:val="0"/>
        </w:rPr>
      </w:r>
    </w:p>
    <w:p>
      <w:pPr>
        <w:spacing w:line="240" w:lineRule="auto" w:before="1"/>
        <w:rPr>
          <w:rFonts w:ascii="宋体" w:hAnsi="宋体" w:cs="宋体" w:eastAsia="宋体" w:hint="default"/>
          <w:b/>
          <w:bCs/>
          <w:sz w:val="18"/>
          <w:szCs w:val="18"/>
        </w:rPr>
      </w:pPr>
    </w:p>
    <w:p>
      <w:pPr>
        <w:pStyle w:val="Heading2"/>
        <w:spacing w:line="240" w:lineRule="auto"/>
        <w:ind w:left="635" w:right="0"/>
        <w:jc w:val="left"/>
        <w:rPr>
          <w:b w:val="0"/>
          <w:bCs w:val="0"/>
        </w:rPr>
      </w:pPr>
      <w:r>
        <w:rPr/>
        <w:t>截至</w:t>
      </w:r>
      <w:r>
        <w:rPr>
          <w:spacing w:val="-5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日，公司保理业务应收保理款原值为</w:t>
      </w:r>
      <w:r>
        <w:rPr>
          <w:spacing w:val="-57"/>
        </w:rPr>
        <w:t> </w:t>
      </w:r>
      <w:r>
        <w:rPr>
          <w:rFonts w:ascii="Times New Roman" w:hAnsi="Times New Roman" w:cs="Times New Roman" w:eastAsia="Times New Roman" w:hint="default"/>
        </w:rPr>
        <w:t>13,274.13</w:t>
      </w:r>
      <w:r>
        <w:rPr>
          <w:rFonts w:ascii="Times New Roman" w:hAnsi="Times New Roman" w:cs="Times New Roman" w:eastAsia="Times New Roman" w:hint="default"/>
          <w:spacing w:val="1"/>
        </w:rPr>
        <w:t> </w:t>
      </w:r>
      <w:r>
        <w:rPr/>
        <w:t>万元，其中逾期金</w:t>
      </w:r>
      <w:r>
        <w:rPr>
          <w:b w:val="0"/>
          <w:bCs w:val="0"/>
        </w:rPr>
      </w:r>
    </w:p>
    <w:p>
      <w:pPr>
        <w:pStyle w:val="Heading2"/>
        <w:spacing w:line="352" w:lineRule="auto" w:before="135"/>
        <w:ind w:right="1131"/>
        <w:jc w:val="both"/>
        <w:rPr>
          <w:b w:val="0"/>
          <w:bCs w:val="0"/>
        </w:rPr>
      </w:pPr>
      <w:r>
        <w:rPr/>
        <w:t>额</w:t>
      </w:r>
      <w:r>
        <w:rPr>
          <w:spacing w:val="-67"/>
        </w:rPr>
        <w:t> </w:t>
      </w:r>
      <w:r>
        <w:rPr>
          <w:rFonts w:ascii="Times New Roman" w:hAnsi="Times New Roman" w:cs="Times New Roman" w:eastAsia="Times New Roman" w:hint="default"/>
          <w:spacing w:val="-5"/>
        </w:rPr>
        <w:t>11,110</w:t>
      </w:r>
      <w:r>
        <w:rPr>
          <w:rFonts w:ascii="Times New Roman" w:hAnsi="Times New Roman" w:cs="Times New Roman" w:eastAsia="Times New Roman" w:hint="default"/>
          <w:spacing w:val="-9"/>
        </w:rPr>
        <w:t> </w:t>
      </w:r>
      <w:r>
        <w:rPr/>
        <w:t>万元，已计提坏账金额</w:t>
      </w:r>
      <w:r>
        <w:rPr>
          <w:spacing w:val="-65"/>
        </w:rPr>
        <w:t> </w:t>
      </w:r>
      <w:r>
        <w:rPr>
          <w:rFonts w:ascii="Times New Roman" w:hAnsi="Times New Roman" w:cs="Times New Roman" w:eastAsia="Times New Roman" w:hint="default"/>
        </w:rPr>
        <w:t>7,140.15</w:t>
      </w:r>
      <w:r>
        <w:rPr>
          <w:rFonts w:ascii="Times New Roman" w:hAnsi="Times New Roman" w:cs="Times New Roman" w:eastAsia="Times New Roman" w:hint="default"/>
          <w:spacing w:val="-10"/>
        </w:rPr>
        <w:t> </w:t>
      </w:r>
      <w:r>
        <w:rPr/>
        <w:t>万元。针对应收保理款逾期的情况，公司已诉诸司</w:t>
      </w:r>
      <w:r>
        <w:rPr>
          <w:w w:val="99"/>
        </w:rPr>
        <w:t> </w:t>
      </w:r>
      <w:r>
        <w:rPr/>
        <w:t>法途径。公司在维权过程中，发现逾期债务人北京中新能业世纪科技有限公司与北京华科光</w:t>
      </w:r>
      <w:r>
        <w:rPr>
          <w:w w:val="99"/>
        </w:rPr>
        <w:t> </w:t>
      </w:r>
      <w:r>
        <w:rPr/>
        <w:t>辉科技有限公司存在造假嫌疑，并且据悉其实际控制人已因涉嫌多起债务纠纷被公安机关立</w:t>
      </w:r>
      <w:r>
        <w:rPr>
          <w:w w:val="99"/>
        </w:rPr>
        <w:t> </w:t>
      </w:r>
      <w:r>
        <w:rPr/>
        <w:t>案，久金保亦按要求向公安机关提交了相关证据材料。公司已收缩保理业务规模并进一步强</w:t>
      </w:r>
      <w:r>
        <w:rPr>
          <w:w w:val="99"/>
        </w:rPr>
        <w:t> </w:t>
      </w:r>
      <w:r>
        <w:rPr/>
        <w:t>化对在途应收保理款的跟踪管理。此外，亦不排除公司将通过适时剥离该业务及资产的方式</w:t>
      </w:r>
      <w:r>
        <w:rPr>
          <w:w w:val="99"/>
        </w:rPr>
        <w:t> </w:t>
      </w:r>
      <w:r>
        <w:rPr/>
        <w:t>以降低应收保理款坏账及相关法律纠纷对上市公司的不利影响。</w:t>
      </w:r>
      <w:r>
        <w:rPr>
          <w:b w:val="0"/>
          <w:bCs w:val="0"/>
        </w:rPr>
      </w:r>
    </w:p>
    <w:p>
      <w:pPr>
        <w:pStyle w:val="Heading2"/>
        <w:spacing w:line="240" w:lineRule="auto" w:before="142"/>
        <w:ind w:left="635" w:right="1115"/>
        <w:jc w:val="left"/>
        <w:rPr>
          <w:b w:val="0"/>
          <w:bCs w:val="0"/>
        </w:rPr>
      </w:pPr>
      <w:r>
        <w:rPr>
          <w:rFonts w:ascii="Times New Roman" w:hAnsi="Times New Roman" w:cs="Times New Roman" w:eastAsia="Times New Roman" w:hint="default"/>
        </w:rPr>
        <w:t>6</w:t>
      </w:r>
      <w:r>
        <w:rPr/>
        <w:t>、商誉减值风险</w:t>
      </w:r>
      <w:r>
        <w:rPr>
          <w:b w:val="0"/>
          <w:bCs w:val="0"/>
        </w:rPr>
      </w:r>
    </w:p>
    <w:p>
      <w:pPr>
        <w:spacing w:line="240" w:lineRule="auto" w:before="12"/>
        <w:rPr>
          <w:rFonts w:ascii="宋体" w:hAnsi="宋体" w:cs="宋体" w:eastAsia="宋体" w:hint="default"/>
          <w:b/>
          <w:bCs/>
          <w:sz w:val="17"/>
          <w:szCs w:val="17"/>
        </w:rPr>
      </w:pPr>
    </w:p>
    <w:p>
      <w:pPr>
        <w:pStyle w:val="Heading2"/>
        <w:spacing w:line="240" w:lineRule="auto"/>
        <w:ind w:left="635" w:right="0"/>
        <w:jc w:val="left"/>
        <w:rPr>
          <w:b w:val="0"/>
          <w:bCs w:val="0"/>
        </w:rPr>
      </w:pPr>
      <w:r>
        <w:rPr/>
        <w:t>截至</w:t>
      </w:r>
      <w:r>
        <w:rPr>
          <w:spacing w:val="-6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60"/>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5"/>
        </w:rPr>
        <w:t>日，公司商誉账面价值为</w:t>
      </w:r>
      <w:r>
        <w:rPr>
          <w:spacing w:val="-59"/>
        </w:rPr>
        <w:t> </w:t>
      </w:r>
      <w:r>
        <w:rPr>
          <w:rFonts w:ascii="Times New Roman" w:hAnsi="Times New Roman" w:cs="Times New Roman" w:eastAsia="Times New Roman" w:hint="default"/>
        </w:rPr>
        <w:t>57,489.84</w:t>
      </w:r>
      <w:r>
        <w:rPr>
          <w:rFonts w:ascii="Times New Roman" w:hAnsi="Times New Roman" w:cs="Times New Roman" w:eastAsia="Times New Roman" w:hint="default"/>
          <w:spacing w:val="-1"/>
        </w:rPr>
        <w:t> </w:t>
      </w:r>
      <w:r>
        <w:rPr>
          <w:spacing w:val="-7"/>
        </w:rPr>
        <w:t>万元，主要系公司</w:t>
      </w:r>
      <w:r>
        <w:rPr>
          <w:spacing w:val="-5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年收购</w:t>
      </w:r>
      <w:r>
        <w:rPr>
          <w:b w:val="0"/>
          <w:bCs w:val="0"/>
        </w:rPr>
      </w:r>
    </w:p>
    <w:p>
      <w:pPr>
        <w:pStyle w:val="Heading2"/>
        <w:spacing w:line="338" w:lineRule="auto" w:before="135"/>
        <w:ind w:right="1135"/>
        <w:jc w:val="both"/>
        <w:rPr>
          <w:b w:val="0"/>
          <w:bCs w:val="0"/>
        </w:rPr>
      </w:pPr>
      <w:r>
        <w:rPr/>
        <w:t>华夏电通和</w:t>
      </w:r>
      <w:r>
        <w:rPr>
          <w:spacing w:val="-7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spacing w:val="-3"/>
        </w:rPr>
        <w:t>年收购瑞意恒动所致。若前述被并购企业经营效益不佳，出现减值迹象，则</w:t>
      </w:r>
      <w:r>
        <w:rPr>
          <w:w w:val="99"/>
        </w:rPr>
        <w:t> </w:t>
      </w:r>
      <w:r>
        <w:rPr/>
        <w:t>不排除继续计提商誉减值准备的风险，从而影响公司整体经营业绩。对此，公司会持续加强</w:t>
      </w:r>
      <w:r>
        <w:rPr>
          <w:b w:val="0"/>
          <w:bCs w:val="0"/>
        </w:rPr>
      </w:r>
    </w:p>
    <w:p>
      <w:pPr>
        <w:spacing w:after="0" w:line="338" w:lineRule="auto"/>
        <w:jc w:val="both"/>
        <w:sectPr>
          <w:pgSz w:w="11910" w:h="16840"/>
          <w:pgMar w:header="745" w:footer="980" w:top="1060" w:bottom="1160" w:left="980" w:right="0"/>
        </w:sectPr>
      </w:pPr>
    </w:p>
    <w:p>
      <w:pPr>
        <w:spacing w:line="240" w:lineRule="auto" w:before="6"/>
        <w:rPr>
          <w:rFonts w:ascii="宋体" w:hAnsi="宋体" w:cs="宋体" w:eastAsia="宋体" w:hint="default"/>
          <w:b/>
          <w:bCs/>
          <w:sz w:val="29"/>
          <w:szCs w:val="29"/>
        </w:rPr>
      </w:pPr>
    </w:p>
    <w:p>
      <w:pPr>
        <w:pStyle w:val="Heading2"/>
        <w:spacing w:line="357" w:lineRule="auto" w:before="26"/>
        <w:ind w:right="1116"/>
        <w:jc w:val="left"/>
        <w:rPr>
          <w:b w:val="0"/>
          <w:bCs w:val="0"/>
        </w:rPr>
      </w:pPr>
      <w:r>
        <w:rPr/>
        <w:t>投后管理工作，深化各方在财务管理、运营管理、资源统筹、业务拓展等方面的融合，强化</w:t>
      </w:r>
      <w:r>
        <w:rPr>
          <w:w w:val="99"/>
        </w:rPr>
        <w:t> </w:t>
      </w:r>
      <w:r>
        <w:rPr/>
        <w:t>被并购企业管理团队的风险意识和抵御风险的能力，最大限度地降低商誉减值风险。</w:t>
      </w:r>
      <w:r>
        <w:rPr>
          <w:b w:val="0"/>
          <w:bCs w:val="0"/>
        </w:rPr>
      </w:r>
    </w:p>
    <w:p>
      <w:pPr>
        <w:pStyle w:val="Heading2"/>
        <w:spacing w:line="240" w:lineRule="auto" w:before="137"/>
        <w:ind w:left="635" w:right="1115"/>
        <w:jc w:val="left"/>
        <w:rPr>
          <w:b w:val="0"/>
          <w:bCs w:val="0"/>
        </w:rPr>
      </w:pPr>
      <w:r>
        <w:rPr>
          <w:rFonts w:ascii="Times New Roman" w:hAnsi="Times New Roman" w:cs="Times New Roman" w:eastAsia="Times New Roman" w:hint="default"/>
        </w:rPr>
        <w:t>7</w:t>
      </w:r>
      <w:r>
        <w:rPr/>
        <w:t>、上海移通案件与相关补偿风险</w:t>
      </w:r>
      <w:r>
        <w:rPr>
          <w:b w:val="0"/>
          <w:bCs w:val="0"/>
        </w:rPr>
      </w:r>
    </w:p>
    <w:p>
      <w:pPr>
        <w:spacing w:line="240" w:lineRule="auto" w:before="12"/>
        <w:rPr>
          <w:rFonts w:ascii="宋体" w:hAnsi="宋体" w:cs="宋体" w:eastAsia="宋体" w:hint="default"/>
          <w:b/>
          <w:bCs/>
          <w:sz w:val="17"/>
          <w:szCs w:val="17"/>
        </w:rPr>
      </w:pPr>
    </w:p>
    <w:p>
      <w:pPr>
        <w:pStyle w:val="Heading2"/>
        <w:spacing w:line="348" w:lineRule="auto"/>
        <w:ind w:right="1134" w:firstLine="482"/>
        <w:jc w:val="both"/>
        <w:rPr>
          <w:b w:val="0"/>
          <w:bCs w:val="0"/>
        </w:rPr>
      </w:pPr>
      <w:r>
        <w:rPr>
          <w:rFonts w:ascii="Times New Roman" w:hAnsi="Times New Roman" w:cs="Times New Roman" w:eastAsia="Times New Roman" w:hint="default"/>
        </w:rPr>
        <w:t>2019</w:t>
      </w:r>
      <w:r>
        <w:rPr>
          <w:rFonts w:ascii="Times New Roman" w:hAnsi="Times New Roman" w:cs="Times New Roman" w:eastAsia="Times New Roman" w:hint="default"/>
          <w:spacing w:val="-13"/>
        </w:rPr>
        <w:t> </w:t>
      </w:r>
      <w:r>
        <w:rPr>
          <w:w w:val="99"/>
        </w:rPr>
        <w:t>年</w:t>
      </w:r>
      <w:r>
        <w:rPr>
          <w:spacing w:val="-71"/>
          <w:w w:val="99"/>
        </w:rPr>
        <w:t> </w:t>
      </w:r>
      <w:r>
        <w:rPr>
          <w:rFonts w:ascii="Times New Roman" w:hAnsi="Times New Roman" w:cs="Times New Roman" w:eastAsia="Times New Roman" w:hint="default"/>
        </w:rPr>
        <w:t>4</w:t>
      </w:r>
      <w:r>
        <w:rPr>
          <w:rFonts w:ascii="Times New Roman" w:hAnsi="Times New Roman" w:cs="Times New Roman" w:eastAsia="Times New Roman" w:hint="default"/>
          <w:spacing w:val="-12"/>
        </w:rPr>
        <w:t> </w:t>
      </w:r>
      <w:r>
        <w:rPr>
          <w:w w:val="99"/>
        </w:rPr>
        <w:t>月</w:t>
      </w:r>
      <w:r>
        <w:rPr>
          <w:spacing w:val="-71"/>
          <w:w w:val="99"/>
        </w:rPr>
        <w:t> </w:t>
      </w:r>
      <w:r>
        <w:rPr>
          <w:rFonts w:ascii="Times New Roman" w:hAnsi="Times New Roman" w:cs="Times New Roman" w:eastAsia="Times New Roman" w:hint="default"/>
        </w:rPr>
        <w:t>19</w:t>
      </w:r>
      <w:r>
        <w:rPr>
          <w:rFonts w:ascii="Times New Roman" w:hAnsi="Times New Roman" w:cs="Times New Roman" w:eastAsia="Times New Roman" w:hint="default"/>
          <w:spacing w:val="-12"/>
        </w:rPr>
        <w:t> </w:t>
      </w:r>
      <w:r>
        <w:rPr>
          <w:spacing w:val="-3"/>
          <w:w w:val="99"/>
        </w:rPr>
        <w:t>日，北京市公安局海淀分局对上海移通原股东涉嫌合同诈骗案刑事立案。</w:t>
      </w:r>
      <w:r>
        <w:rPr>
          <w:w w:val="99"/>
        </w:rPr>
        <w:t> </w:t>
      </w:r>
      <w:r>
        <w:rPr/>
        <w:t>截至目前，该刑事案件处于审查起诉阶段，部分犯罪嫌疑人已被批准逮捕。因上海移通涉嫌</w:t>
      </w:r>
      <w:r>
        <w:rPr>
          <w:w w:val="99"/>
        </w:rPr>
        <w:t> </w:t>
      </w:r>
      <w:r>
        <w:rPr>
          <w:spacing w:val="-4"/>
          <w:w w:val="95"/>
        </w:rPr>
        <w:t>虚构业务，导致公司 </w:t>
      </w:r>
      <w:r>
        <w:rPr>
          <w:rFonts w:ascii="Times New Roman" w:hAnsi="Times New Roman" w:cs="Times New Roman" w:eastAsia="Times New Roman" w:hint="default"/>
          <w:w w:val="95"/>
        </w:rPr>
        <w:t>2018 </w:t>
      </w:r>
      <w:r>
        <w:rPr>
          <w:w w:val="95"/>
        </w:rPr>
        <w:t>年度审计报告被出具保留意见，同时因案件复杂度较高、司法程序</w:t>
      </w:r>
      <w:r>
        <w:rPr>
          <w:spacing w:val="-51"/>
          <w:w w:val="95"/>
        </w:rPr>
        <w:t> </w:t>
      </w:r>
      <w:r>
        <w:rPr>
          <w:spacing w:val="-51"/>
          <w:w w:val="95"/>
        </w:rPr>
      </w:r>
      <w:r>
        <w:rPr/>
        <w:t>耗时较长，维权结果存在一定不确定性。为此，</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月，公司已将上海移通全部股权</w:t>
      </w:r>
      <w:r>
        <w:rPr>
          <w:w w:val="99"/>
        </w:rPr>
        <w:t> </w:t>
      </w:r>
      <w:r>
        <w:rPr/>
        <w:t>出售给特殊目的主体关联方启顺通达，在消除保留意见事项影响的同时，关联方启顺通达及</w:t>
      </w:r>
      <w:r>
        <w:rPr>
          <w:w w:val="99"/>
        </w:rPr>
        <w:t> </w:t>
      </w:r>
      <w:r>
        <w:rPr>
          <w:w w:val="95"/>
        </w:rPr>
        <w:t>控股股东久其科技承诺就上海移通 </w:t>
      </w:r>
      <w:r>
        <w:rPr>
          <w:rFonts w:ascii="Times New Roman" w:hAnsi="Times New Roman" w:cs="Times New Roman" w:eastAsia="Times New Roman" w:hint="default"/>
          <w:w w:val="95"/>
        </w:rPr>
        <w:t>49%</w:t>
      </w:r>
      <w:r>
        <w:rPr>
          <w:w w:val="95"/>
        </w:rPr>
        <w:t>股权存在重大问题时对公司造成损失进行补偿。该补</w:t>
      </w:r>
      <w:r>
        <w:rPr>
          <w:spacing w:val="19"/>
          <w:w w:val="95"/>
        </w:rPr>
        <w:t> </w:t>
      </w:r>
      <w:r>
        <w:rPr>
          <w:spacing w:val="19"/>
          <w:w w:val="95"/>
        </w:rPr>
      </w:r>
      <w:r>
        <w:rPr/>
        <w:t>偿安排虽能在一定程度上增强上市公司获偿的确定性，但若触发补偿条款，可能因届时启顺</w:t>
      </w:r>
      <w:r>
        <w:rPr>
          <w:w w:val="99"/>
        </w:rPr>
        <w:t> </w:t>
      </w:r>
      <w:r>
        <w:rPr/>
        <w:t>通达和久其科技自身履约能力的不确定性，存在公司无法及时获得补偿的风险。此外，公司</w:t>
      </w:r>
      <w:r>
        <w:rPr>
          <w:w w:val="99"/>
        </w:rPr>
        <w:t> </w:t>
      </w:r>
      <w:r>
        <w:rPr/>
        <w:t>与久其科技已于</w:t>
      </w:r>
      <w:r>
        <w:rPr>
          <w:spacing w:val="-61"/>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w:t>
      </w:r>
      <w:r>
        <w:rPr>
          <w:spacing w:val="-61"/>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61"/>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t>日向上海市仲裁委员会提交撤销与上海移通原股东收购协议</w:t>
      </w:r>
      <w:r>
        <w:rPr>
          <w:b w:val="0"/>
          <w:bCs w:val="0"/>
        </w:rPr>
      </w:r>
    </w:p>
    <w:p>
      <w:pPr>
        <w:pStyle w:val="Heading2"/>
        <w:spacing w:line="338" w:lineRule="auto" w:before="16"/>
        <w:ind w:right="1124"/>
        <w:jc w:val="left"/>
        <w:rPr>
          <w:b w:val="0"/>
          <w:bCs w:val="0"/>
        </w:rPr>
      </w:pPr>
      <w:r>
        <w:rPr>
          <w:spacing w:val="-4"/>
        </w:rPr>
        <w:t>的有关仲裁申请，该申请已于</w:t>
      </w:r>
      <w:r>
        <w:rPr>
          <w:spacing w:val="-61"/>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w:t>
      </w:r>
      <w:r>
        <w:rPr>
          <w:spacing w:val="-61"/>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61"/>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spacing w:val="-3"/>
        </w:rPr>
        <w:t>日获受理。公司将以维护上市公司及股东利益为</w:t>
      </w:r>
      <w:r>
        <w:rPr>
          <w:w w:val="99"/>
        </w:rPr>
        <w:t> </w:t>
      </w:r>
      <w:r>
        <w:rPr/>
        <w:t>目标，持续跟踪并推进有关工作进展，积极应对，尽力减少此事对上市公司的影响。</w:t>
      </w:r>
      <w:r>
        <w:rPr>
          <w:b w:val="0"/>
          <w:bCs w:val="0"/>
        </w:rPr>
      </w:r>
    </w:p>
    <w:p>
      <w:pPr>
        <w:pStyle w:val="Heading2"/>
        <w:spacing w:line="240" w:lineRule="auto" w:before="156"/>
        <w:ind w:left="635" w:right="1115"/>
        <w:jc w:val="left"/>
        <w:rPr>
          <w:b w:val="0"/>
          <w:bCs w:val="0"/>
        </w:rPr>
      </w:pPr>
      <w:r>
        <w:rPr/>
        <w:t>公司计划不派发现金红利，不送红股，不以公积金转增股本。</w:t>
      </w:r>
      <w:r>
        <w:rPr>
          <w:b w:val="0"/>
          <w:bCs w:val="0"/>
        </w:rPr>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tabs>
          <w:tab w:pos="724" w:val="left" w:leader="none"/>
        </w:tabs>
        <w:spacing w:before="125"/>
        <w:ind w:left="0" w:right="978"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7"/>
          <w:szCs w:val="47"/>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before="177"/>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69"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15"/>
              </w:rPr>
              <w:t>11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36</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可转换公司债券相关情况</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董事、监事、高级管理人员和员工情况</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公司治理</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2"/>
              </w:rPr>
              <w:t> </w:t>
            </w:r>
            <w:r>
              <w:rPr/>
              <w:t>公司债券相关情况</w:t>
            </w:r>
            <w:r>
              <w:rPr>
                <w:rFonts w:ascii="Times New Roman" w:hAnsi="Times New Roman" w:cs="Times New Roman" w:eastAsia="Times New Roman" w:hint="default"/>
              </w:rPr>
              <w:tab/>
              <w:t>80</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财务报告</w:t>
            </w:r>
            <w:r>
              <w:rPr>
                <w:rFonts w:ascii="Times New Roman" w:hAnsi="Times New Roman" w:cs="Times New Roman" w:eastAsia="Times New Roman" w:hint="default"/>
              </w:rPr>
              <w:tab/>
              <w:t>81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2">
            <w:r>
              <w:rPr/>
              <w:t>第十三节</w:t>
            </w:r>
            <w:r>
              <w:rPr>
                <w:spacing w:val="-2"/>
              </w:rPr>
              <w:t> </w:t>
            </w:r>
            <w:r>
              <w:rPr/>
              <w:t>备查文件目录</w:t>
            </w:r>
            <w:r>
              <w:rPr>
                <w:rFonts w:ascii="Times New Roman" w:hAnsi="Times New Roman" w:cs="Times New Roman" w:eastAsia="Times New Roman" w:hint="default"/>
              </w:rPr>
              <w:tab/>
              <w:t>202</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80" w:top="1060" w:bottom="1160" w:left="980" w:right="0"/>
        </w:sectPr>
      </w:pPr>
    </w:p>
    <w:p>
      <w:pPr>
        <w:spacing w:before="945"/>
        <w:ind w:left="0" w:right="97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公司、久其、久其软件</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久其科技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公司控股股东，北京久其科技投资有限公司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华夏电通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公司全资子公司，北京华夏电通科技有限公司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瑞意恒动</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公司全资子公司，北京瑞意恒动科技有限公司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亿起联科技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公司全资子公司，北京亿起联科技有限公司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久金保</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公司全资子公司，深圳市久金保商业保理有限公司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久金所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公司控股子公司，北京久其互联网金融信息服务有限公司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久其金建</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公司控股子公司，北京久其金建科技有限公司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久其数字</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公司全资子公司，久其数字传播有限公司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久其政务</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公司控股子公司，北京久其政务软件股份有限公司</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642" w:right="1115"/>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5"/>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15"/>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19"/>
        <w:gridCol w:w="2719"/>
        <w:gridCol w:w="2154"/>
        <w:gridCol w:w="2177"/>
      </w:tblGrid>
      <w:tr>
        <w:trPr>
          <w:trHeight w:val="403" w:hRule="exact"/>
        </w:trPr>
        <w:tc>
          <w:tcPr>
            <w:tcW w:w="2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久其软件</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002279</w:t>
            </w:r>
          </w:p>
        </w:tc>
      </w:tr>
      <w:tr>
        <w:trPr>
          <w:trHeight w:val="401" w:hRule="exact"/>
        </w:trPr>
        <w:tc>
          <w:tcPr>
            <w:tcW w:w="2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w:t>
            </w:r>
          </w:p>
        </w:tc>
      </w:tr>
      <w:tr>
        <w:trPr>
          <w:trHeight w:val="401" w:hRule="exact"/>
        </w:trPr>
        <w:tc>
          <w:tcPr>
            <w:tcW w:w="2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久其软件</w:t>
            </w:r>
          </w:p>
        </w:tc>
      </w:tr>
      <w:tr>
        <w:trPr>
          <w:trHeight w:val="404" w:hRule="exact"/>
        </w:trPr>
        <w:tc>
          <w:tcPr>
            <w:tcW w:w="2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Beijing Join-Cheer Software Co.,</w:t>
            </w:r>
            <w:r>
              <w:rPr>
                <w:rFonts w:ascii="Times New Roman"/>
                <w:spacing w:val="-12"/>
                <w:sz w:val="18"/>
              </w:rPr>
              <w:t> </w:t>
            </w:r>
            <w:r>
              <w:rPr>
                <w:rFonts w:ascii="Times New Roman"/>
                <w:sz w:val="18"/>
              </w:rPr>
              <w:t>Ltd.</w:t>
            </w:r>
          </w:p>
        </w:tc>
      </w:tr>
      <w:tr>
        <w:trPr>
          <w:trHeight w:val="401" w:hRule="exact"/>
        </w:trPr>
        <w:tc>
          <w:tcPr>
            <w:tcW w:w="2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Join-Cheer</w:t>
            </w:r>
          </w:p>
        </w:tc>
      </w:tr>
      <w:tr>
        <w:trPr>
          <w:trHeight w:val="403" w:hRule="exact"/>
        </w:trPr>
        <w:tc>
          <w:tcPr>
            <w:tcW w:w="2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赵福君</w:t>
            </w:r>
          </w:p>
        </w:tc>
      </w:tr>
      <w:tr>
        <w:trPr>
          <w:trHeight w:val="401" w:hRule="exact"/>
        </w:trPr>
        <w:tc>
          <w:tcPr>
            <w:tcW w:w="2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北京市海淀区文慧园甲</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层</w:t>
            </w:r>
          </w:p>
        </w:tc>
      </w:tr>
      <w:tr>
        <w:trPr>
          <w:trHeight w:val="403" w:hRule="exact"/>
        </w:trPr>
        <w:tc>
          <w:tcPr>
            <w:tcW w:w="2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100082</w:t>
            </w:r>
          </w:p>
        </w:tc>
      </w:tr>
      <w:tr>
        <w:trPr>
          <w:trHeight w:val="401" w:hRule="exact"/>
        </w:trPr>
        <w:tc>
          <w:tcPr>
            <w:tcW w:w="2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北京经济技术开发区西环中路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2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100176</w:t>
            </w:r>
          </w:p>
        </w:tc>
      </w:tr>
      <w:tr>
        <w:trPr>
          <w:trHeight w:val="401" w:hRule="exact"/>
        </w:trPr>
        <w:tc>
          <w:tcPr>
            <w:tcW w:w="2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www.jiuqi.com.cn</w:t>
              </w:r>
            </w:hyperlink>
          </w:p>
        </w:tc>
      </w:tr>
      <w:tr>
        <w:trPr>
          <w:trHeight w:val="403" w:hRule="exact"/>
        </w:trPr>
        <w:tc>
          <w:tcPr>
            <w:tcW w:w="2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002279@jiuqi.com.cn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15"/>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王海霞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刘文佳</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北京经济技术开发区西环中路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北京经济技术开发区西环中路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010-58022988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010-88551199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010-58022897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010-58022897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whx@jiuqi.com.cn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liuwenjia@jiuqi.com.cn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15"/>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《证券时报》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6"/>
                <w:sz w:val="18"/>
                <w:szCs w:val="18"/>
              </w:rPr>
              <w:t> </w:t>
            </w:r>
            <w:hyperlink r:id="rId13">
              <w:r>
                <w:rPr>
                  <w:rFonts w:ascii="Times New Roman" w:hAnsi="Times New Roman" w:cs="Times New Roman" w:eastAsia="Times New Roman" w:hint="default"/>
                  <w:sz w:val="18"/>
                  <w:szCs w:val="18"/>
                </w:rPr>
                <w:t>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董事会办公室</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b/>
          <w:bCs/>
          <w:sz w:val="23"/>
          <w:szCs w:val="23"/>
        </w:rPr>
      </w:pPr>
    </w:p>
    <w:p>
      <w:pPr>
        <w:pStyle w:val="Heading2"/>
        <w:spacing w:line="240" w:lineRule="auto" w:before="26"/>
        <w:ind w:right="1115"/>
        <w:jc w:val="left"/>
        <w:rPr>
          <w:b w:val="0"/>
          <w:bCs w:val="0"/>
        </w:rPr>
      </w:pPr>
      <w:bookmarkStart w:name="四、注册变更情况" w:id="8"/>
      <w:bookmarkEnd w:id="8"/>
      <w:r>
        <w:rPr>
          <w:b w:val="0"/>
          <w:bCs w:val="0"/>
        </w:rPr>
      </w: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63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911100007177242684</w:t>
            </w:r>
            <w:r>
              <w:rPr>
                <w:rFonts w:ascii="宋体" w:hAnsi="宋体" w:cs="宋体" w:eastAsia="宋体" w:hint="default"/>
                <w:sz w:val="18"/>
                <w:szCs w:val="18"/>
              </w:rPr>
              <w:t>（统一社会信用代码）</w:t>
            </w:r>
          </w:p>
        </w:tc>
      </w:tr>
      <w:tr>
        <w:trPr>
          <w:trHeight w:val="102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both"/>
              <w:rPr>
                <w:rFonts w:ascii="宋体" w:hAnsi="宋体" w:cs="宋体" w:eastAsia="宋体" w:hint="default"/>
                <w:sz w:val="18"/>
                <w:szCs w:val="18"/>
              </w:rPr>
            </w:pPr>
            <w:r>
              <w:rPr>
                <w:rFonts w:ascii="宋体" w:hAnsi="宋体" w:cs="宋体" w:eastAsia="宋体" w:hint="default"/>
                <w:sz w:val="18"/>
                <w:szCs w:val="18"/>
              </w:rPr>
              <w:t>公司自</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年通过并购重组涉足数字传播领域，公司的主营业务在管理软件基础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上扩充为管理软件和数字传播两大业务板块。具体业务情况详见本报告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第三节公</w:t>
            </w:r>
            <w:r>
              <w:rPr>
                <w:rFonts w:ascii="宋体" w:hAnsi="宋体" w:cs="宋体" w:eastAsia="宋体" w:hint="default"/>
                <w:spacing w:val="-71"/>
                <w:sz w:val="18"/>
                <w:szCs w:val="18"/>
              </w:rPr>
              <w:t> </w:t>
            </w:r>
            <w:r>
              <w:rPr>
                <w:rFonts w:ascii="宋体" w:hAnsi="宋体" w:cs="宋体" w:eastAsia="宋体" w:hint="default"/>
                <w:sz w:val="18"/>
                <w:szCs w:val="18"/>
              </w:rPr>
              <w:t>司业务概要</w:t>
            </w:r>
            <w:r>
              <w:rPr>
                <w:rFonts w:ascii="宋体" w:hAnsi="宋体" w:cs="宋体" w:eastAsia="宋体" w:hint="default"/>
                <w:spacing w:val="-2"/>
                <w:sz w:val="18"/>
                <w:szCs w:val="18"/>
              </w:rPr>
              <w:t> </w:t>
            </w:r>
            <w:r>
              <w:rPr>
                <w:rFonts w:ascii="宋体" w:hAnsi="宋体" w:cs="宋体" w:eastAsia="宋体" w:hint="default"/>
                <w:sz w:val="18"/>
                <w:szCs w:val="18"/>
              </w:rPr>
              <w:t>一、报告期内公司从事的主要业务</w:t>
            </w:r>
            <w:r>
              <w:rPr>
                <w:rFonts w:ascii="Times New Roman" w:hAnsi="Times New Roman" w:cs="Times New Roman" w:eastAsia="Times New Roman" w:hint="default"/>
                <w:sz w:val="18"/>
                <w:szCs w:val="18"/>
              </w:rPr>
              <w:t>"</w:t>
            </w:r>
            <w:r>
              <w:rPr>
                <w:rFonts w:ascii="宋体" w:hAnsi="宋体" w:cs="宋体" w:eastAsia="宋体" w:hint="default"/>
                <w:sz w:val="18"/>
                <w:szCs w:val="18"/>
              </w:rPr>
              <w:t>部分。</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2"/>
        <w:spacing w:line="240" w:lineRule="auto" w:before="26"/>
        <w:ind w:right="1115"/>
        <w:jc w:val="left"/>
        <w:rPr>
          <w:b w:val="0"/>
          <w:bCs w:val="0"/>
        </w:rPr>
      </w:pPr>
      <w:bookmarkStart w:name="五、其他有关资料" w:id="9"/>
      <w:bookmarkEnd w:id="9"/>
      <w:r>
        <w:rPr>
          <w:b w:val="0"/>
          <w:bCs w:val="0"/>
        </w:rPr>
      </w: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15"/>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致同会计师事务所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北京市朝阳区建国门外大街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号赛特广场五层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董旭、黄玉清</w:t>
            </w:r>
          </w:p>
        </w:tc>
      </w:tr>
    </w:tbl>
    <w:p>
      <w:pPr>
        <w:pStyle w:val="BodyText"/>
        <w:spacing w:line="240" w:lineRule="auto" w:before="49"/>
        <w:ind w:right="1115"/>
        <w:jc w:val="left"/>
      </w:pPr>
      <w:r>
        <w:rPr/>
        <w:t>公司聘请的报告期内履行持续督导职责的保荐机构</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41"/>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15"/>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5"/>
        <w:jc w:val="left"/>
      </w:pPr>
      <w:r>
        <w:rPr/>
        <w:t>公司是否需追溯调整或重述以前年度会计数据</w:t>
      </w:r>
    </w:p>
    <w:p>
      <w:pPr>
        <w:pStyle w:val="BodyText"/>
        <w:spacing w:line="240" w:lineRule="auto" w:before="117"/>
        <w:ind w:right="111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4698"/>
        <w:gridCol w:w="1318"/>
        <w:gridCol w:w="1378"/>
        <w:gridCol w:w="975"/>
        <w:gridCol w:w="1318"/>
      </w:tblGrid>
      <w:tr>
        <w:trPr>
          <w:trHeight w:val="161" w:hRule="exact"/>
        </w:trPr>
        <w:tc>
          <w:tcPr>
            <w:tcW w:w="46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02" w:right="29" w:hanging="270"/>
              <w:jc w:val="left"/>
              <w:rPr>
                <w:rFonts w:ascii="宋体" w:hAnsi="宋体" w:cs="宋体" w:eastAsia="宋体" w:hint="default"/>
                <w:sz w:val="18"/>
                <w:szCs w:val="18"/>
              </w:rPr>
            </w:pPr>
            <w:r>
              <w:rPr>
                <w:rFonts w:ascii="宋体" w:hAnsi="宋体" w:cs="宋体" w:eastAsia="宋体" w:hint="default"/>
                <w:sz w:val="18"/>
                <w:szCs w:val="18"/>
              </w:rPr>
              <w:t>本年比上年 增减</w:t>
            </w:r>
          </w:p>
        </w:tc>
        <w:tc>
          <w:tcPr>
            <w:tcW w:w="13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4698" w:type="dxa"/>
            <w:tcBorders>
              <w:top w:val="nil" w:sz="6" w:space="0" w:color="auto"/>
              <w:left w:val="single" w:sz="4" w:space="0" w:color="000000"/>
              <w:bottom w:val="nil" w:sz="6" w:space="0" w:color="auto"/>
              <w:right w:val="single" w:sz="4" w:space="0" w:color="000000"/>
            </w:tcBorders>
            <w:shd w:val="clear" w:color="auto" w:fill="D2D2D2"/>
          </w:tcPr>
          <w:p>
            <w:pPr/>
          </w:p>
        </w:tc>
        <w:tc>
          <w:tcPr>
            <w:tcW w:w="13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75" w:type="dxa"/>
            <w:vMerge/>
            <w:tcBorders>
              <w:left w:val="single" w:sz="4" w:space="0" w:color="000000"/>
              <w:right w:val="single" w:sz="4" w:space="0" w:color="000000"/>
            </w:tcBorders>
            <w:shd w:val="clear" w:color="auto" w:fill="D2D2D2"/>
          </w:tcPr>
          <w:p>
            <w:pPr/>
          </w:p>
        </w:tc>
        <w:tc>
          <w:tcPr>
            <w:tcW w:w="13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161" w:hRule="exact"/>
        </w:trPr>
        <w:tc>
          <w:tcPr>
            <w:tcW w:w="46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131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4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3,101,650,196.18</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2,720,235,569.39</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14.02%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1,992,176,981.00</w:t>
            </w:r>
          </w:p>
        </w:tc>
      </w:tr>
      <w:tr>
        <w:trPr>
          <w:trHeight w:val="401" w:hRule="exact"/>
        </w:trPr>
        <w:tc>
          <w:tcPr>
            <w:tcW w:w="4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52,264,905.34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-841,464,317.58</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306,943,384.51</w:t>
            </w:r>
          </w:p>
        </w:tc>
      </w:tr>
      <w:tr>
        <w:trPr>
          <w:trHeight w:val="403" w:hRule="exact"/>
        </w:trPr>
        <w:tc>
          <w:tcPr>
            <w:tcW w:w="4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归属于上市公司股东的扣除非经常性损益的净利润（元）</w:t>
            </w:r>
          </w:p>
        </w:tc>
        <w:tc>
          <w:tcPr>
            <w:tcW w:w="1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34,850,114.31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-869,049,337.13</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266,852,593.97</w:t>
            </w:r>
          </w:p>
        </w:tc>
      </w:tr>
      <w:tr>
        <w:trPr>
          <w:trHeight w:val="401" w:hRule="exact"/>
        </w:trPr>
        <w:tc>
          <w:tcPr>
            <w:tcW w:w="4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168,011,622.15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442,286,465.26</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-62.01%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127,919,925.53</w:t>
            </w:r>
          </w:p>
        </w:tc>
      </w:tr>
      <w:tr>
        <w:trPr>
          <w:trHeight w:val="403" w:hRule="exact"/>
        </w:trPr>
        <w:tc>
          <w:tcPr>
            <w:tcW w:w="4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0.0735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-1.1838</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0.4351</w:t>
            </w:r>
          </w:p>
        </w:tc>
      </w:tr>
      <w:tr>
        <w:trPr>
          <w:trHeight w:val="401" w:hRule="exact"/>
        </w:trPr>
        <w:tc>
          <w:tcPr>
            <w:tcW w:w="4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0.0735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-1.1838</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0.4351</w:t>
            </w:r>
          </w:p>
        </w:tc>
      </w:tr>
      <w:tr>
        <w:trPr>
          <w:trHeight w:val="403" w:hRule="exact"/>
        </w:trPr>
        <w:tc>
          <w:tcPr>
            <w:tcW w:w="4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4.58%</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-49.49%</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54.07%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12.86%</w:t>
            </w:r>
          </w:p>
        </w:tc>
      </w:tr>
      <w:tr>
        <w:trPr>
          <w:trHeight w:val="161" w:hRule="exact"/>
        </w:trPr>
        <w:tc>
          <w:tcPr>
            <w:tcW w:w="46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22" w:right="29" w:hanging="89"/>
              <w:jc w:val="left"/>
              <w:rPr>
                <w:rFonts w:ascii="宋体" w:hAnsi="宋体" w:cs="宋体" w:eastAsia="宋体" w:hint="default"/>
                <w:sz w:val="18"/>
                <w:szCs w:val="18"/>
              </w:rPr>
            </w:pPr>
            <w:r>
              <w:rPr>
                <w:rFonts w:ascii="宋体" w:hAnsi="宋体" w:cs="宋体" w:eastAsia="宋体" w:hint="default"/>
                <w:sz w:val="18"/>
                <w:szCs w:val="18"/>
              </w:rPr>
              <w:t>本年末比上 年末增减</w:t>
            </w:r>
          </w:p>
        </w:tc>
        <w:tc>
          <w:tcPr>
            <w:tcW w:w="13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4698" w:type="dxa"/>
            <w:tcBorders>
              <w:top w:val="nil" w:sz="6" w:space="0" w:color="auto"/>
              <w:left w:val="single" w:sz="4" w:space="0" w:color="000000"/>
              <w:bottom w:val="nil" w:sz="6" w:space="0" w:color="auto"/>
              <w:right w:val="single" w:sz="4" w:space="0" w:color="000000"/>
            </w:tcBorders>
            <w:shd w:val="clear" w:color="auto" w:fill="D2D2D2"/>
          </w:tcPr>
          <w:p>
            <w:pPr/>
          </w:p>
        </w:tc>
        <w:tc>
          <w:tcPr>
            <w:tcW w:w="13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975" w:type="dxa"/>
            <w:vMerge/>
            <w:tcBorders>
              <w:left w:val="single" w:sz="4" w:space="0" w:color="000000"/>
              <w:right w:val="single" w:sz="4" w:space="0" w:color="000000"/>
            </w:tcBorders>
            <w:shd w:val="clear" w:color="auto" w:fill="D2D2D2"/>
          </w:tcPr>
          <w:p>
            <w:pPr/>
          </w:p>
        </w:tc>
        <w:tc>
          <w:tcPr>
            <w:tcW w:w="13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46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131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4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3,036,280,249.02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3,277,058,167.32</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4,707,752,786.27</w:t>
            </w:r>
          </w:p>
        </w:tc>
      </w:tr>
      <w:tr>
        <w:trPr>
          <w:trHeight w:val="401" w:hRule="exact"/>
        </w:trPr>
        <w:tc>
          <w:tcPr>
            <w:tcW w:w="4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1,162,415,452.99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1,133,828,543.29</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2,614,056,562.07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15"/>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5"/>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18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3"/>
        <w:spacing w:line="240" w:lineRule="auto"/>
        <w:ind w:right="1115"/>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7"/>
        <w:rPr>
          <w:rFonts w:ascii="宋体" w:hAnsi="宋体" w:cs="宋体" w:eastAsia="宋体" w:hint="default"/>
          <w:sz w:val="19"/>
          <w:szCs w:val="19"/>
        </w:rPr>
      </w:pPr>
    </w:p>
    <w:p>
      <w:pPr>
        <w:pStyle w:val="Heading2"/>
        <w:spacing w:line="240" w:lineRule="auto"/>
        <w:ind w:right="1115"/>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4337"/>
        <w:gridCol w:w="1358"/>
        <w:gridCol w:w="1282"/>
        <w:gridCol w:w="1282"/>
        <w:gridCol w:w="1428"/>
      </w:tblGrid>
      <w:tr>
        <w:trPr>
          <w:trHeight w:val="403" w:hRule="exact"/>
        </w:trPr>
        <w:tc>
          <w:tcPr>
            <w:tcW w:w="43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0"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第二季度</w:t>
            </w:r>
          </w:p>
        </w:tc>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4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522,758,320.57</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576,838,800.17</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755,838,155.21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1,246,214,920.23</w:t>
            </w:r>
          </w:p>
        </w:tc>
      </w:tr>
      <w:tr>
        <w:trPr>
          <w:trHeight w:val="403" w:hRule="exact"/>
        </w:trPr>
        <w:tc>
          <w:tcPr>
            <w:tcW w:w="4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3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-59,221,556.61</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center"/>
              <w:rPr>
                <w:rFonts w:ascii="Times New Roman" w:hAnsi="Times New Roman" w:cs="Times New Roman" w:eastAsia="Times New Roman" w:hint="default"/>
                <w:sz w:val="18"/>
                <w:szCs w:val="18"/>
              </w:rPr>
            </w:pPr>
            <w:r>
              <w:rPr>
                <w:rFonts w:ascii="Times New Roman"/>
                <w:sz w:val="18"/>
              </w:rPr>
              <w:t>-23,857,096.59</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89,705,374.90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45,638,183.64</w:t>
            </w:r>
          </w:p>
        </w:tc>
      </w:tr>
      <w:tr>
        <w:trPr>
          <w:trHeight w:val="401" w:hRule="exact"/>
        </w:trPr>
        <w:tc>
          <w:tcPr>
            <w:tcW w:w="4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归属于上市公司股东的扣除非经常性损益的净利润</w:t>
            </w:r>
          </w:p>
        </w:tc>
        <w:tc>
          <w:tcPr>
            <w:tcW w:w="13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-57,137,311.79</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center"/>
              <w:rPr>
                <w:rFonts w:ascii="Times New Roman" w:hAnsi="Times New Roman" w:cs="Times New Roman" w:eastAsia="Times New Roman" w:hint="default"/>
                <w:sz w:val="18"/>
                <w:szCs w:val="18"/>
              </w:rPr>
            </w:pPr>
            <w:r>
              <w:rPr>
                <w:rFonts w:ascii="Times New Roman"/>
                <w:sz w:val="18"/>
              </w:rPr>
              <w:t>-35,612,856.37</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87,590,631.03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40,009,651.44</w:t>
            </w:r>
          </w:p>
        </w:tc>
      </w:tr>
      <w:tr>
        <w:trPr>
          <w:trHeight w:val="403" w:hRule="exact"/>
        </w:trPr>
        <w:tc>
          <w:tcPr>
            <w:tcW w:w="4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3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-213,063,496.02</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center"/>
              <w:rPr>
                <w:rFonts w:ascii="Times New Roman" w:hAnsi="Times New Roman" w:cs="Times New Roman" w:eastAsia="Times New Roman" w:hint="default"/>
                <w:sz w:val="18"/>
                <w:szCs w:val="18"/>
              </w:rPr>
            </w:pPr>
            <w:r>
              <w:rPr>
                <w:rFonts w:ascii="Times New Roman"/>
                <w:sz w:val="18"/>
              </w:rPr>
              <w:t>-65,989,327.58</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12,781,254.17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434,283,191.58</w:t>
            </w:r>
          </w:p>
        </w:tc>
      </w:tr>
    </w:tbl>
    <w:p>
      <w:pPr>
        <w:pStyle w:val="BodyText"/>
        <w:spacing w:line="240" w:lineRule="auto" w:before="49"/>
        <w:ind w:right="1115"/>
        <w:jc w:val="left"/>
      </w:pPr>
      <w:r>
        <w:rPr/>
        <w:t>上述财务指标或其加总数是否与公司已披露季度报告、半年度报告相关财务指标存在重大差异</w:t>
      </w:r>
    </w:p>
    <w:p>
      <w:pPr>
        <w:pStyle w:val="BodyText"/>
        <w:spacing w:line="240" w:lineRule="auto" w:before="115"/>
        <w:ind w:right="111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1115"/>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3951"/>
        <w:gridCol w:w="1090"/>
        <w:gridCol w:w="1092"/>
        <w:gridCol w:w="1092"/>
        <w:gridCol w:w="2461"/>
      </w:tblGrid>
      <w:tr>
        <w:trPr>
          <w:trHeight w:val="403" w:hRule="exact"/>
        </w:trPr>
        <w:tc>
          <w:tcPr>
            <w:tcW w:w="3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2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23"/>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非流动资产处置损益（包括已计提资产减值准备的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冲销部分）</w:t>
            </w:r>
          </w:p>
        </w:tc>
        <w:tc>
          <w:tcPr>
            <w:tcW w:w="109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-1,600,629.02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-974,670.21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28,135,291.28</w:t>
            </w: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31"/>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 按照国家统一标准定额或定量享受的政府补助除 外）</w:t>
            </w:r>
          </w:p>
        </w:tc>
        <w:tc>
          <w:tcPr>
            <w:tcW w:w="109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5,871,818.75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16,258,217.01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14,612,748.28</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86"/>
              <w:jc w:val="left"/>
              <w:rPr>
                <w:rFonts w:ascii="宋体" w:hAnsi="宋体" w:cs="宋体" w:eastAsia="宋体" w:hint="default"/>
                <w:sz w:val="18"/>
                <w:szCs w:val="18"/>
              </w:rPr>
            </w:pPr>
            <w:r>
              <w:rPr>
                <w:rFonts w:ascii="宋体" w:hAnsi="宋体" w:cs="宋体" w:eastAsia="宋体" w:hint="default"/>
                <w:sz w:val="18"/>
                <w:szCs w:val="18"/>
              </w:rPr>
              <w:t>主要系报告期收到政府补助减 少所致</w:t>
            </w:r>
          </w:p>
        </w:tc>
      </w:tr>
      <w:tr>
        <w:trPr>
          <w:trHeight w:val="161" w:hRule="exact"/>
        </w:trPr>
        <w:tc>
          <w:tcPr>
            <w:tcW w:w="39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12,597,703.69</w:t>
            </w:r>
          </w:p>
        </w:tc>
        <w:tc>
          <w:tcPr>
            <w:tcW w:w="10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23,212,289.03</w:t>
            </w:r>
          </w:p>
        </w:tc>
        <w:tc>
          <w:tcPr>
            <w:tcW w:w="10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770,852.79</w:t>
            </w:r>
          </w:p>
        </w:tc>
        <w:tc>
          <w:tcPr>
            <w:tcW w:w="2461"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86"/>
              <w:jc w:val="left"/>
              <w:rPr>
                <w:rFonts w:ascii="宋体" w:hAnsi="宋体" w:cs="宋体" w:eastAsia="宋体" w:hint="default"/>
                <w:sz w:val="18"/>
                <w:szCs w:val="18"/>
              </w:rPr>
            </w:pPr>
            <w:r>
              <w:rPr>
                <w:rFonts w:ascii="宋体" w:hAnsi="宋体" w:cs="宋体" w:eastAsia="宋体" w:hint="default"/>
                <w:sz w:val="18"/>
                <w:szCs w:val="18"/>
              </w:rPr>
              <w:t>主要系报告期募集资金理财规 模减少所致</w:t>
            </w:r>
          </w:p>
        </w:tc>
      </w:tr>
      <w:tr>
        <w:trPr>
          <w:trHeight w:val="391" w:hRule="exact"/>
        </w:trPr>
        <w:tc>
          <w:tcPr>
            <w:tcW w:w="39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090" w:type="dxa"/>
            <w:vMerge/>
            <w:tcBorders>
              <w:left w:val="single" w:sz="9" w:space="0" w:color="D2D2D2"/>
              <w:right w:val="single" w:sz="4" w:space="0" w:color="000000"/>
            </w:tcBorders>
          </w:tcPr>
          <w:p>
            <w:pPr/>
          </w:p>
        </w:tc>
        <w:tc>
          <w:tcPr>
            <w:tcW w:w="1092" w:type="dxa"/>
            <w:vMerge/>
            <w:tcBorders>
              <w:left w:val="single" w:sz="4" w:space="0" w:color="000000"/>
              <w:right w:val="single" w:sz="4" w:space="0" w:color="000000"/>
            </w:tcBorders>
          </w:tcPr>
          <w:p>
            <w:pPr/>
          </w:p>
        </w:tc>
        <w:tc>
          <w:tcPr>
            <w:tcW w:w="1092" w:type="dxa"/>
            <w:vMerge/>
            <w:tcBorders>
              <w:left w:val="single" w:sz="4" w:space="0" w:color="000000"/>
              <w:right w:val="single" w:sz="4" w:space="0" w:color="000000"/>
            </w:tcBorders>
          </w:tcPr>
          <w:p>
            <w:pPr/>
          </w:p>
        </w:tc>
        <w:tc>
          <w:tcPr>
            <w:tcW w:w="2461" w:type="dxa"/>
            <w:vMerge/>
            <w:tcBorders>
              <w:left w:val="single" w:sz="4" w:space="0" w:color="000000"/>
              <w:right w:val="single" w:sz="4" w:space="0" w:color="000000"/>
            </w:tcBorders>
          </w:tcPr>
          <w:p>
            <w:pPr/>
          </w:p>
        </w:tc>
      </w:tr>
      <w:tr>
        <w:trPr>
          <w:trHeight w:val="161" w:hRule="exact"/>
        </w:trPr>
        <w:tc>
          <w:tcPr>
            <w:tcW w:w="39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0" w:type="dxa"/>
            <w:vMerge/>
            <w:tcBorders>
              <w:left w:val="single" w:sz="9" w:space="0" w:color="D2D2D2"/>
              <w:bottom w:val="single" w:sz="4" w:space="0" w:color="000000"/>
              <w:right w:val="single" w:sz="4" w:space="0" w:color="000000"/>
            </w:tcBorders>
          </w:tcPr>
          <w:p>
            <w:pPr/>
          </w:p>
        </w:tc>
        <w:tc>
          <w:tcPr>
            <w:tcW w:w="1092" w:type="dxa"/>
            <w:vMerge/>
            <w:tcBorders>
              <w:left w:val="single" w:sz="4" w:space="0" w:color="000000"/>
              <w:bottom w:val="single" w:sz="4" w:space="0" w:color="000000"/>
              <w:right w:val="single" w:sz="4" w:space="0" w:color="000000"/>
            </w:tcBorders>
          </w:tcPr>
          <w:p>
            <w:pPr/>
          </w:p>
        </w:tc>
        <w:tc>
          <w:tcPr>
            <w:tcW w:w="1092" w:type="dxa"/>
            <w:vMerge/>
            <w:tcBorders>
              <w:left w:val="single" w:sz="4" w:space="0" w:color="000000"/>
              <w:bottom w:val="single" w:sz="4" w:space="0" w:color="000000"/>
              <w:right w:val="single" w:sz="4" w:space="0" w:color="000000"/>
            </w:tcBorders>
          </w:tcPr>
          <w:p>
            <w:pPr/>
          </w:p>
        </w:tc>
        <w:tc>
          <w:tcPr>
            <w:tcW w:w="2461" w:type="dxa"/>
            <w:vMerge/>
            <w:tcBorders>
              <w:left w:val="single" w:sz="4" w:space="0" w:color="000000"/>
              <w:bottom w:val="single" w:sz="4" w:space="0" w:color="000000"/>
              <w:right w:val="single" w:sz="4" w:space="0" w:color="000000"/>
            </w:tcBorders>
          </w:tcPr>
          <w:p>
            <w:pPr/>
          </w:p>
        </w:tc>
      </w:tr>
      <w:tr>
        <w:trPr>
          <w:trHeight w:val="1963" w:hRule="exact"/>
        </w:trPr>
        <w:tc>
          <w:tcPr>
            <w:tcW w:w="3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3"/>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 </w:t>
            </w:r>
            <w:r>
              <w:rPr>
                <w:rFonts w:ascii="宋体" w:hAnsi="宋体" w:cs="宋体" w:eastAsia="宋体" w:hint="default"/>
                <w:spacing w:val="-3"/>
                <w:sz w:val="18"/>
                <w:szCs w:val="18"/>
              </w:rPr>
              <w:t>外，持有交易性金融资产、衍生金融资产、交易性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金融负债、衍生金融负债产生的公允价值变动损 </w:t>
            </w:r>
            <w:r>
              <w:rPr>
                <w:rFonts w:ascii="宋体" w:hAnsi="宋体" w:cs="宋体" w:eastAsia="宋体" w:hint="default"/>
                <w:spacing w:val="-3"/>
                <w:sz w:val="18"/>
                <w:szCs w:val="18"/>
              </w:rPr>
              <w:t>益，以及处置交易性金融资产、衍生金融资产、交</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易性金融负债、衍生金融负债和其他债权投资取得</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的投资收益</w:t>
            </w:r>
          </w:p>
        </w:tc>
        <w:tc>
          <w:tcPr>
            <w:tcW w:w="109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-132,317.99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6"/>
              <w:jc w:val="both"/>
              <w:rPr>
                <w:rFonts w:ascii="宋体" w:hAnsi="宋体" w:cs="宋体" w:eastAsia="宋体" w:hint="default"/>
                <w:sz w:val="18"/>
                <w:szCs w:val="18"/>
              </w:rPr>
            </w:pPr>
            <w:r>
              <w:rPr>
                <w:rFonts w:ascii="宋体" w:hAnsi="宋体" w:cs="宋体" w:eastAsia="宋体" w:hint="default"/>
                <w:sz w:val="18"/>
                <w:szCs w:val="18"/>
              </w:rPr>
              <w:t>主要系报告期执行新金融工具 准则，将原可供出售金融资产 中的权益工具投资调整至其他 非流动金融资产核算，以公允 价值计量且其变动计入当期损 益</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3963"/>
        <w:gridCol w:w="1090"/>
        <w:gridCol w:w="1092"/>
        <w:gridCol w:w="1092"/>
        <w:gridCol w:w="2461"/>
      </w:tblGrid>
      <w:tr>
        <w:trPr>
          <w:trHeight w:val="402" w:hRule="exact"/>
        </w:trPr>
        <w:tc>
          <w:tcPr>
            <w:tcW w:w="3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2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62" w:hRule="exact"/>
        </w:trPr>
        <w:tc>
          <w:tcPr>
            <w:tcW w:w="39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0"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6,590,674.15</w:t>
            </w:r>
          </w:p>
        </w:tc>
        <w:tc>
          <w:tcPr>
            <w:tcW w:w="109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1,040,583.95</w:t>
            </w:r>
          </w:p>
        </w:tc>
        <w:tc>
          <w:tcPr>
            <w:tcW w:w="109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6,984,902.66</w:t>
            </w:r>
          </w:p>
        </w:tc>
        <w:tc>
          <w:tcPr>
            <w:tcW w:w="2461" w:type="dxa"/>
            <w:vMerge w:val="restart"/>
            <w:tcBorders>
              <w:top w:val="single" w:sz="4" w:space="0" w:color="000000"/>
              <w:left w:val="single" w:sz="4" w:space="0" w:color="000000"/>
              <w:right w:val="single" w:sz="4" w:space="0" w:color="000000"/>
            </w:tcBorders>
          </w:tcPr>
          <w:p>
            <w:pPr>
              <w:pStyle w:val="TableParagraph"/>
              <w:spacing w:line="314" w:lineRule="auto" w:before="50"/>
              <w:ind w:left="23" w:right="86"/>
              <w:jc w:val="left"/>
              <w:rPr>
                <w:rFonts w:ascii="宋体" w:hAnsi="宋体" w:cs="宋体" w:eastAsia="宋体" w:hint="default"/>
                <w:sz w:val="18"/>
                <w:szCs w:val="18"/>
              </w:rPr>
            </w:pPr>
            <w:r>
              <w:rPr>
                <w:rFonts w:ascii="宋体" w:hAnsi="宋体" w:cs="宋体" w:eastAsia="宋体" w:hint="default"/>
                <w:sz w:val="18"/>
                <w:szCs w:val="18"/>
              </w:rPr>
              <w:t>主要系报告期收到子公司原股 东补偿款所致</w:t>
            </w:r>
          </w:p>
        </w:tc>
      </w:tr>
      <w:tr>
        <w:trPr>
          <w:trHeight w:val="391" w:hRule="exact"/>
        </w:trPr>
        <w:tc>
          <w:tcPr>
            <w:tcW w:w="39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090" w:type="dxa"/>
            <w:vMerge/>
            <w:tcBorders>
              <w:left w:val="single" w:sz="9" w:space="0" w:color="D2D2D2"/>
              <w:right w:val="single" w:sz="4" w:space="0" w:color="000000"/>
            </w:tcBorders>
          </w:tcPr>
          <w:p>
            <w:pPr/>
          </w:p>
        </w:tc>
        <w:tc>
          <w:tcPr>
            <w:tcW w:w="1092" w:type="dxa"/>
            <w:vMerge/>
            <w:tcBorders>
              <w:left w:val="single" w:sz="4" w:space="0" w:color="000000"/>
              <w:right w:val="single" w:sz="4" w:space="0" w:color="000000"/>
            </w:tcBorders>
          </w:tcPr>
          <w:p>
            <w:pPr/>
          </w:p>
        </w:tc>
        <w:tc>
          <w:tcPr>
            <w:tcW w:w="1092" w:type="dxa"/>
            <w:vMerge/>
            <w:tcBorders>
              <w:left w:val="single" w:sz="4" w:space="0" w:color="000000"/>
              <w:right w:val="single" w:sz="4" w:space="0" w:color="000000"/>
            </w:tcBorders>
          </w:tcPr>
          <w:p>
            <w:pPr/>
          </w:p>
        </w:tc>
        <w:tc>
          <w:tcPr>
            <w:tcW w:w="2461" w:type="dxa"/>
            <w:vMerge/>
            <w:tcBorders>
              <w:left w:val="single" w:sz="4" w:space="0" w:color="000000"/>
              <w:right w:val="single" w:sz="4" w:space="0" w:color="000000"/>
            </w:tcBorders>
          </w:tcPr>
          <w:p>
            <w:pPr/>
          </w:p>
        </w:tc>
      </w:tr>
      <w:tr>
        <w:trPr>
          <w:trHeight w:val="161" w:hRule="exact"/>
        </w:trPr>
        <w:tc>
          <w:tcPr>
            <w:tcW w:w="39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0" w:type="dxa"/>
            <w:vMerge/>
            <w:tcBorders>
              <w:left w:val="single" w:sz="9" w:space="0" w:color="D2D2D2"/>
              <w:bottom w:val="single" w:sz="4" w:space="0" w:color="000000"/>
              <w:right w:val="single" w:sz="4" w:space="0" w:color="000000"/>
            </w:tcBorders>
          </w:tcPr>
          <w:p>
            <w:pPr/>
          </w:p>
        </w:tc>
        <w:tc>
          <w:tcPr>
            <w:tcW w:w="1092" w:type="dxa"/>
            <w:vMerge/>
            <w:tcBorders>
              <w:left w:val="single" w:sz="4" w:space="0" w:color="000000"/>
              <w:bottom w:val="single" w:sz="4" w:space="0" w:color="000000"/>
              <w:right w:val="single" w:sz="4" w:space="0" w:color="000000"/>
            </w:tcBorders>
          </w:tcPr>
          <w:p>
            <w:pPr/>
          </w:p>
        </w:tc>
        <w:tc>
          <w:tcPr>
            <w:tcW w:w="1092" w:type="dxa"/>
            <w:vMerge/>
            <w:tcBorders>
              <w:left w:val="single" w:sz="4" w:space="0" w:color="000000"/>
              <w:bottom w:val="single" w:sz="4" w:space="0" w:color="000000"/>
              <w:right w:val="single" w:sz="4" w:space="0" w:color="000000"/>
            </w:tcBorders>
          </w:tcPr>
          <w:p>
            <w:pPr/>
          </w:p>
        </w:tc>
        <w:tc>
          <w:tcPr>
            <w:tcW w:w="2461" w:type="dxa"/>
            <w:vMerge/>
            <w:tcBorders>
              <w:left w:val="single" w:sz="4" w:space="0" w:color="000000"/>
              <w:bottom w:val="single" w:sz="4" w:space="0" w:color="000000"/>
              <w:right w:val="single" w:sz="4" w:space="0" w:color="000000"/>
            </w:tcBorders>
          </w:tcPr>
          <w:p>
            <w:pPr/>
          </w:p>
        </w:tc>
      </w:tr>
      <w:tr>
        <w:trPr>
          <w:trHeight w:val="402" w:hRule="exact"/>
        </w:trPr>
        <w:tc>
          <w:tcPr>
            <w:tcW w:w="3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09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-2,945,250.00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-7,623,000.00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-2,252,250.00</w:t>
            </w: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09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3,038,299.06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4,162,842.15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1,896,524.89</w:t>
            </w: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09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-71,090.51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165,558.08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6,264,229.58</w:t>
            </w: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17,414,791.03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27,585,019.55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40,090,790.54</w:t>
            </w:r>
          </w:p>
        </w:tc>
        <w:tc>
          <w:tcPr>
            <w:tcW w:w="2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46" w:right="1115"/>
        <w:jc w:val="left"/>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316" w:lineRule="auto"/>
        <w:ind w:left="513" w:right="1115"/>
        <w:jc w:val="left"/>
      </w:pPr>
      <w:r>
        <w:rPr>
          <w:rFonts w:ascii="宋体" w:hAnsi="宋体" w:cs="宋体" w:eastAsia="宋体" w:hint="default"/>
          <w:b/>
          <w:bCs/>
        </w:rPr>
        <w:t>（一）公司的主要业务</w:t>
      </w:r>
      <w:r>
        <w:rPr>
          <w:rFonts w:ascii="宋体" w:hAnsi="宋体" w:cs="宋体" w:eastAsia="宋体" w:hint="default"/>
          <w:b/>
          <w:bCs/>
          <w:w w:val="99"/>
        </w:rPr>
        <w:t> </w:t>
      </w:r>
      <w:r>
        <w:rPr>
          <w:spacing w:val="-2"/>
        </w:rPr>
        <w:t>公司是专业的管理软件供应商和聚焦</w:t>
      </w:r>
      <w:r>
        <w:rPr>
          <w:rFonts w:ascii="Times New Roman" w:hAnsi="Times New Roman" w:cs="Times New Roman" w:eastAsia="Times New Roman" w:hint="default"/>
          <w:spacing w:val="-2"/>
        </w:rPr>
        <w:t>B2B2C</w:t>
      </w:r>
      <w:r>
        <w:rPr>
          <w:spacing w:val="-2"/>
        </w:rPr>
        <w:t>的大数据综合服务提供商。目前公司主营业务系管理软件（包括电子政务和</w:t>
      </w:r>
    </w:p>
    <w:p>
      <w:pPr>
        <w:pStyle w:val="BodyText"/>
        <w:spacing w:line="316" w:lineRule="auto"/>
        <w:ind w:right="1134"/>
        <w:jc w:val="both"/>
      </w:pPr>
      <w:r>
        <w:rPr>
          <w:spacing w:val="-5"/>
        </w:rPr>
        <w:t>集团管控）和数字传播两大业务板块，在电子政务、集团管控、数字传播业务方面为客户提供有竞争力、安全可信赖的产品，</w:t>
      </w:r>
      <w:r>
        <w:rPr>
          <w:spacing w:val="-79"/>
        </w:rPr>
        <w:t> </w:t>
      </w:r>
      <w:r>
        <w:rPr>
          <w:spacing w:val="-79"/>
        </w:rPr>
      </w:r>
      <w:r>
        <w:rPr/>
        <w:t>并借助长期积累的技术研发及业务资源能力，致力于以行业解决方案和全产业链的服务为客户赋能。</w:t>
      </w:r>
    </w:p>
    <w:p>
      <w:pPr>
        <w:spacing w:line="240" w:lineRule="auto" w:before="4"/>
        <w:rPr>
          <w:rFonts w:ascii="宋体" w:hAnsi="宋体" w:cs="宋体" w:eastAsia="宋体" w:hint="default"/>
          <w:sz w:val="25"/>
          <w:szCs w:val="25"/>
        </w:rPr>
      </w:pPr>
    </w:p>
    <w:p>
      <w:pPr>
        <w:pStyle w:val="BodyText"/>
        <w:spacing w:line="300" w:lineRule="auto"/>
        <w:ind w:left="513" w:right="1115"/>
        <w:jc w:val="left"/>
      </w:pPr>
      <w:r>
        <w:rPr>
          <w:rFonts w:ascii="Times New Roman" w:hAnsi="Times New Roman" w:cs="Times New Roman" w:eastAsia="Times New Roman" w:hint="default"/>
          <w:b/>
          <w:bCs/>
        </w:rPr>
        <w:t>1</w:t>
      </w:r>
      <w:r>
        <w:rPr>
          <w:rFonts w:ascii="宋体" w:hAnsi="宋体" w:cs="宋体" w:eastAsia="宋体" w:hint="default"/>
          <w:b/>
          <w:bCs/>
        </w:rPr>
        <w:t>、管理软件业务</w:t>
      </w:r>
      <w:r>
        <w:rPr>
          <w:rFonts w:ascii="宋体" w:hAnsi="宋体" w:cs="宋体" w:eastAsia="宋体" w:hint="default"/>
          <w:b/>
          <w:bCs/>
          <w:w w:val="99"/>
        </w:rPr>
        <w:t> </w:t>
      </w:r>
      <w:r>
        <w:rPr>
          <w:spacing w:val="-2"/>
        </w:rPr>
        <w:t>公司深耕管理软件业务二十余年，服务财政、交通、司法、教育、民生、建筑、通信、金融、能源等行业，为中央及地</w:t>
      </w:r>
    </w:p>
    <w:p>
      <w:pPr>
        <w:pStyle w:val="BodyText"/>
        <w:spacing w:line="316" w:lineRule="auto" w:before="31"/>
        <w:ind w:right="1131"/>
        <w:jc w:val="both"/>
      </w:pPr>
      <w:r>
        <w:rPr>
          <w:spacing w:val="-2"/>
        </w:rPr>
        <w:t>方政府部门和集团企业，提供政府管理与服务、企业集团管控、智慧司法等大数据产品与解决方案。公司拥有较为完善的行</w:t>
      </w:r>
      <w:r>
        <w:rPr>
          <w:spacing w:val="-65"/>
        </w:rPr>
        <w:t> </w:t>
      </w:r>
      <w:r>
        <w:rPr>
          <w:spacing w:val="-65"/>
        </w:rPr>
      </w:r>
      <w:r>
        <w:rPr>
          <w:spacing w:val="-2"/>
        </w:rPr>
        <w:t>业化产品与解决方案体系，并已建立集咨询、规划、建设、运维、服务等综合能力于一体的服务网络，树立了业内品牌优势</w:t>
      </w:r>
      <w:r>
        <w:rPr>
          <w:spacing w:val="-70"/>
        </w:rPr>
        <w:t> </w:t>
      </w:r>
      <w:r>
        <w:rPr>
          <w:spacing w:val="-70"/>
        </w:rPr>
      </w:r>
      <w:r>
        <w:rPr/>
        <w:t>地位。</w:t>
      </w:r>
    </w:p>
    <w:p>
      <w:pPr>
        <w:spacing w:line="240" w:lineRule="auto" w:before="4"/>
        <w:rPr>
          <w:rFonts w:ascii="宋体" w:hAnsi="宋体" w:cs="宋体" w:eastAsia="宋体" w:hint="default"/>
          <w:sz w:val="25"/>
          <w:szCs w:val="25"/>
        </w:rPr>
      </w:pPr>
    </w:p>
    <w:p>
      <w:pPr>
        <w:pStyle w:val="BodyText"/>
        <w:spacing w:line="300" w:lineRule="auto"/>
        <w:ind w:left="513" w:right="1115"/>
        <w:jc w:val="left"/>
      </w:pPr>
      <w:r>
        <w:rPr>
          <w:rFonts w:ascii="Times New Roman" w:hAnsi="Times New Roman" w:cs="Times New Roman" w:eastAsia="Times New Roman" w:hint="default"/>
          <w:b/>
          <w:bCs/>
        </w:rPr>
        <w:t>2</w:t>
      </w:r>
      <w:r>
        <w:rPr>
          <w:rFonts w:ascii="宋体" w:hAnsi="宋体" w:cs="宋体" w:eastAsia="宋体" w:hint="default"/>
          <w:b/>
          <w:bCs/>
        </w:rPr>
        <w:t>、数字传播业务</w:t>
      </w:r>
      <w:r>
        <w:rPr>
          <w:rFonts w:ascii="宋体" w:hAnsi="宋体" w:cs="宋体" w:eastAsia="宋体" w:hint="default"/>
          <w:b/>
          <w:bCs/>
          <w:w w:val="99"/>
        </w:rPr>
        <w:t> </w:t>
      </w:r>
      <w:r>
        <w:rPr>
          <w:spacing w:val="-2"/>
        </w:rPr>
        <w:t>公司数字传播业务致力于打造技术创新型营销品牌，为客户提供智能化、数据化、全球化和全渠道的一站式数字传播服</w:t>
      </w:r>
    </w:p>
    <w:p>
      <w:pPr>
        <w:pStyle w:val="BodyText"/>
        <w:spacing w:line="319" w:lineRule="auto" w:before="31"/>
        <w:ind w:right="1133"/>
        <w:jc w:val="both"/>
      </w:pPr>
      <w:r>
        <w:rPr>
          <w:spacing w:val="-5"/>
        </w:rPr>
        <w:t>务，包括国内营销、出海营销以及营销数字化三大业务模块。其中，国内营销以整合营销为主，覆盖汽车、消费电子、医药、</w:t>
      </w:r>
      <w:r>
        <w:rPr>
          <w:spacing w:val="-82"/>
        </w:rPr>
        <w:t> </w:t>
      </w:r>
      <w:r>
        <w:rPr>
          <w:spacing w:val="-82"/>
        </w:rPr>
      </w:r>
      <w:r>
        <w:rPr>
          <w:spacing w:val="-2"/>
        </w:rPr>
        <w:t>餐饮、银行等诸多行业客户；出海营销借助于数据平台技术，助力中国品牌走向全球；营销数字化则旨在构建基于大数据的</w:t>
      </w:r>
      <w:r>
        <w:rPr>
          <w:spacing w:val="-66"/>
        </w:rPr>
        <w:t> </w:t>
      </w:r>
      <w:r>
        <w:rPr>
          <w:spacing w:val="-66"/>
        </w:rPr>
      </w:r>
      <w:r>
        <w:rPr/>
        <w:t>智能营销服务平台。</w:t>
      </w:r>
    </w:p>
    <w:p>
      <w:pPr>
        <w:spacing w:line="240" w:lineRule="auto" w:before="2"/>
        <w:rPr>
          <w:rFonts w:ascii="宋体" w:hAnsi="宋体" w:cs="宋体" w:eastAsia="宋体" w:hint="default"/>
          <w:sz w:val="25"/>
          <w:szCs w:val="25"/>
        </w:rPr>
      </w:pPr>
    </w:p>
    <w:p>
      <w:pPr>
        <w:pStyle w:val="BodyText"/>
        <w:spacing w:line="316" w:lineRule="auto"/>
        <w:ind w:left="513" w:right="1115"/>
        <w:jc w:val="left"/>
      </w:pPr>
      <w:r>
        <w:rPr>
          <w:rFonts w:ascii="宋体" w:hAnsi="宋体" w:cs="宋体" w:eastAsia="宋体" w:hint="default"/>
          <w:b/>
          <w:bCs/>
        </w:rPr>
        <w:t>（二）行业发展及应对措施</w:t>
      </w:r>
      <w:r>
        <w:rPr>
          <w:rFonts w:ascii="宋体" w:hAnsi="宋体" w:cs="宋体" w:eastAsia="宋体" w:hint="default"/>
          <w:b/>
          <w:bCs/>
          <w:w w:val="99"/>
        </w:rPr>
        <w:t> </w:t>
      </w:r>
      <w:r>
        <w:rPr>
          <w:spacing w:val="-3"/>
        </w:rPr>
        <w:t>近年来，全球大数据产业发展正处于活跃阶段，根据国际权威机构</w:t>
      </w:r>
      <w:r>
        <w:rPr>
          <w:rFonts w:ascii="Times New Roman" w:hAnsi="Times New Roman" w:cs="Times New Roman" w:eastAsia="Times New Roman" w:hint="default"/>
          <w:spacing w:val="-3"/>
        </w:rPr>
        <w:t>Statista</w:t>
      </w:r>
      <w:r>
        <w:rPr>
          <w:spacing w:val="-3"/>
        </w:rPr>
        <w:t>在</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w:t>
      </w:r>
      <w:r>
        <w:rPr>
          <w:spacing w:val="-3"/>
        </w:rPr>
        <w:t>月发布的报告显示，预计到</w:t>
      </w:r>
      <w:r>
        <w:rPr>
          <w:rFonts w:ascii="Times New Roman" w:hAnsi="Times New Roman" w:cs="Times New Roman" w:eastAsia="Times New Roman" w:hint="default"/>
          <w:spacing w:val="-3"/>
        </w:rPr>
        <w:t>2020</w:t>
      </w:r>
      <w:r>
        <w:rPr>
          <w:spacing w:val="-3"/>
        </w:rPr>
        <w:t>年，</w:t>
      </w:r>
    </w:p>
    <w:p>
      <w:pPr>
        <w:pStyle w:val="BodyText"/>
        <w:spacing w:line="300" w:lineRule="auto"/>
        <w:ind w:right="1131"/>
        <w:jc w:val="both"/>
      </w:pPr>
      <w:r>
        <w:rPr/>
        <w:t>全球大数据市场的收入规模将达到</w:t>
      </w:r>
      <w:r>
        <w:rPr>
          <w:rFonts w:ascii="Times New Roman" w:hAnsi="Times New Roman" w:cs="Times New Roman" w:eastAsia="Times New Roman" w:hint="default"/>
        </w:rPr>
        <w:t>560</w:t>
      </w:r>
      <w:r>
        <w:rPr/>
        <w:t>亿美元，未来大数据市场还将持续稳步发展的态势。产业发展离不开政策支持，我国</w:t>
      </w:r>
      <w:r>
        <w:rPr>
          <w:spacing w:val="-84"/>
        </w:rPr>
        <w:t> </w:t>
      </w:r>
      <w:r>
        <w:rPr>
          <w:spacing w:val="-84"/>
        </w:rPr>
      </w:r>
      <w:r>
        <w:rPr>
          <w:spacing w:val="-3"/>
        </w:rPr>
        <w:t>政府高度重视大数据产业发展，</w:t>
      </w:r>
      <w:r>
        <w:rPr>
          <w:rFonts w:ascii="Times New Roman" w:hAnsi="Times New Roman" w:cs="Times New Roman" w:eastAsia="Times New Roman" w:hint="default"/>
          <w:spacing w:val="-3"/>
        </w:rPr>
        <w:t>2014</w:t>
      </w:r>
      <w:r>
        <w:rPr>
          <w:spacing w:val="-3"/>
        </w:rPr>
        <w:t>年至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w:t>
      </w:r>
      <w:r>
        <w:rPr>
          <w:spacing w:val="-3"/>
        </w:rPr>
        <w:t>大数据</w:t>
      </w:r>
      <w:r>
        <w:rPr>
          <w:rFonts w:ascii="Times New Roman" w:hAnsi="Times New Roman" w:cs="Times New Roman" w:eastAsia="Times New Roman" w:hint="default"/>
          <w:spacing w:val="-3"/>
        </w:rPr>
        <w:t>”</w:t>
      </w:r>
      <w:r>
        <w:rPr>
          <w:spacing w:val="-3"/>
        </w:rPr>
        <w:t>连续六年被写入国务院政府工作报告，我国从</w:t>
      </w:r>
      <w:r>
        <w:rPr>
          <w:rFonts w:ascii="Times New Roman" w:hAnsi="Times New Roman" w:cs="Times New Roman" w:eastAsia="Times New Roman" w:hint="default"/>
          <w:spacing w:val="-3"/>
        </w:rPr>
        <w:t>“</w:t>
      </w:r>
      <w:r>
        <w:rPr>
          <w:spacing w:val="-3"/>
        </w:rPr>
        <w:t>数据大国</w:t>
      </w:r>
      <w:r>
        <w:rPr>
          <w:rFonts w:ascii="Times New Roman" w:hAnsi="Times New Roman" w:cs="Times New Roman" w:eastAsia="Times New Roman" w:hint="default"/>
          <w:spacing w:val="-3"/>
        </w:rPr>
        <w:t>”</w:t>
      </w:r>
      <w:r>
        <w:rPr>
          <w:spacing w:val="-3"/>
        </w:rPr>
        <w:t>迈向</w:t>
      </w:r>
      <w:r>
        <w:rPr>
          <w:rFonts w:ascii="Times New Roman" w:hAnsi="Times New Roman" w:cs="Times New Roman" w:eastAsia="Times New Roman" w:hint="default"/>
          <w:spacing w:val="-3"/>
        </w:rPr>
        <w:t>“</w:t>
      </w:r>
      <w:r>
        <w:rPr>
          <w:spacing w:val="-3"/>
        </w:rPr>
        <w:t>数</w:t>
      </w:r>
      <w:r>
        <w:rPr>
          <w:spacing w:val="-33"/>
        </w:rPr>
        <w:t> </w:t>
      </w:r>
      <w:r>
        <w:rPr/>
        <w:t>据强国</w:t>
      </w:r>
      <w:r>
        <w:rPr>
          <w:rFonts w:ascii="Times New Roman" w:hAnsi="Times New Roman" w:cs="Times New Roman" w:eastAsia="Times New Roman" w:hint="default"/>
        </w:rPr>
        <w:t>”</w:t>
      </w:r>
      <w:r>
        <w:rPr/>
        <w:t>的步伐不断前行，数字经济驶入</w:t>
      </w:r>
      <w:r>
        <w:rPr>
          <w:rFonts w:ascii="Times New Roman" w:hAnsi="Times New Roman" w:cs="Times New Roman" w:eastAsia="Times New Roman" w:hint="default"/>
        </w:rPr>
        <w:t>“</w:t>
      </w:r>
      <w:r>
        <w:rPr/>
        <w:t>量质齐升</w:t>
      </w:r>
      <w:r>
        <w:rPr>
          <w:rFonts w:ascii="Times New Roman" w:hAnsi="Times New Roman" w:cs="Times New Roman" w:eastAsia="Times New Roman" w:hint="default"/>
        </w:rPr>
        <w:t>”</w:t>
      </w:r>
      <w:r>
        <w:rPr/>
        <w:t>新阶段。</w:t>
      </w:r>
    </w:p>
    <w:p>
      <w:pPr>
        <w:pStyle w:val="BodyText"/>
        <w:spacing w:line="312" w:lineRule="auto" w:before="13"/>
        <w:ind w:right="1127" w:firstLine="360"/>
        <w:jc w:val="both"/>
      </w:pPr>
      <w:r>
        <w:rPr>
          <w:spacing w:val="-2"/>
        </w:rPr>
        <w:t>管理软件方面，政府和企业数据治理的意识不断提升，与大数据紧密结合的行业逐步向政务、交通、教育、金融、电信</w:t>
      </w:r>
      <w:r>
        <w:rPr/>
        <w:t> </w:t>
      </w:r>
      <w:r>
        <w:rPr>
          <w:spacing w:val="-2"/>
        </w:rPr>
        <w:t>等领域广泛渗透，技术应用也逐渐向生产、服务等核心业务环节延伸，大数据与实体经济深度融合。当前，大数据与人工智</w:t>
      </w:r>
      <w:r>
        <w:rPr>
          <w:spacing w:val="-67"/>
        </w:rPr>
        <w:t> </w:t>
      </w:r>
      <w:r>
        <w:rPr>
          <w:spacing w:val="-67"/>
        </w:rPr>
      </w:r>
      <w:r>
        <w:rPr>
          <w:spacing w:val="-5"/>
        </w:rPr>
        <w:t>能的融合成为大数据领域最受关注的趋势之一，主要体现在大数据平台与数据治理的智能化。</w:t>
      </w:r>
      <w:r>
        <w:rPr>
          <w:rFonts w:ascii="Times New Roman" w:hAnsi="Times New Roman" w:cs="Times New Roman" w:eastAsia="Times New Roman" w:hint="default"/>
          <w:spacing w:val="-5"/>
        </w:rPr>
        <w:t>2019</w:t>
      </w:r>
      <w:r>
        <w:rPr>
          <w:spacing w:val="-5"/>
        </w:rPr>
        <w:t>年初，公司加强了大数据、</w:t>
      </w:r>
      <w:r>
        <w:rPr>
          <w:spacing w:val="-63"/>
        </w:rPr>
        <w:t> </w:t>
      </w:r>
      <w:r>
        <w:rPr>
          <w:spacing w:val="-63"/>
        </w:rPr>
      </w:r>
      <w:r>
        <w:rPr>
          <w:rFonts w:ascii="Times New Roman" w:hAnsi="Times New Roman" w:cs="Times New Roman" w:eastAsia="Times New Roman" w:hint="default"/>
          <w:spacing w:val="-2"/>
        </w:rPr>
        <w:t>AI</w:t>
      </w:r>
      <w:r>
        <w:rPr>
          <w:spacing w:val="-2"/>
        </w:rPr>
        <w:t>与信息安全的技术研究，启动了新一代技术平台</w:t>
      </w:r>
      <w:r>
        <w:rPr>
          <w:rFonts w:ascii="Times New Roman" w:hAnsi="Times New Roman" w:cs="Times New Roman" w:eastAsia="Times New Roman" w:hint="default"/>
          <w:spacing w:val="-2"/>
        </w:rPr>
        <w:t>“</w:t>
      </w:r>
      <w:r>
        <w:rPr>
          <w:spacing w:val="-2"/>
        </w:rPr>
        <w:t>女娲平台</w:t>
      </w:r>
      <w:r>
        <w:rPr>
          <w:rFonts w:ascii="Times New Roman" w:hAnsi="Times New Roman" w:cs="Times New Roman" w:eastAsia="Times New Roman" w:hint="default"/>
          <w:spacing w:val="-2"/>
        </w:rPr>
        <w:t>”</w:t>
      </w:r>
      <w:r>
        <w:rPr>
          <w:spacing w:val="-2"/>
        </w:rPr>
        <w:t>的研发工作，女娲平台包含一系列公共服务或组件、一套标准</w:t>
      </w:r>
      <w:r>
        <w:rPr>
          <w:spacing w:val="-53"/>
        </w:rPr>
        <w:t> </w:t>
      </w:r>
      <w:r>
        <w:rPr>
          <w:spacing w:val="-53"/>
        </w:rPr>
      </w:r>
      <w:r>
        <w:rPr>
          <w:spacing w:val="-2"/>
        </w:rPr>
        <w:t>化的参考构建流程和相应的配套设施，以及一套开发模块化的开发规范，是集成了研发流程、工程规范、应用架构的最佳实</w:t>
      </w:r>
      <w:r>
        <w:rPr>
          <w:spacing w:val="-64"/>
        </w:rPr>
        <w:t> </w:t>
      </w:r>
      <w:r>
        <w:rPr>
          <w:spacing w:val="-64"/>
        </w:rPr>
      </w:r>
      <w:r>
        <w:rPr/>
        <w:t>践的软件能力平台和工作空间，女娲平台将为公司核心产品和方案赋能，满足公司未来的业务发展所需。</w:t>
      </w:r>
    </w:p>
    <w:p>
      <w:pPr>
        <w:pStyle w:val="BodyText"/>
        <w:spacing w:line="314" w:lineRule="auto" w:before="22"/>
        <w:ind w:right="1130" w:firstLine="360"/>
        <w:jc w:val="both"/>
      </w:pPr>
      <w:r>
        <w:rPr>
          <w:spacing w:val="-2"/>
        </w:rPr>
        <w:t>数字传播方面，伴随着行业竞争白热化、互联网流量集中化、广告主营销预算精细化的行业发展趋势，如何利用大数据</w:t>
      </w:r>
      <w:r>
        <w:rPr/>
        <w:t> </w:t>
      </w:r>
      <w:r>
        <w:rPr>
          <w:spacing w:val="-2"/>
        </w:rPr>
        <w:t>技术帮助广告主更智能、高效地触达目标用户成为数字营销中间厂商竞争之关键。基于对行业发展、客户需求以及自身现状</w:t>
      </w:r>
      <w:r>
        <w:rPr>
          <w:spacing w:val="-63"/>
        </w:rPr>
        <w:t> </w:t>
      </w:r>
      <w:r>
        <w:rPr>
          <w:spacing w:val="-63"/>
        </w:rPr>
      </w:r>
      <w:r>
        <w:rPr/>
        <w:t>的综合考虑，公司数字传播业务不断探索适合自身</w:t>
      </w:r>
      <w:r>
        <w:rPr>
          <w:rFonts w:ascii="Times New Roman" w:hAnsi="Times New Roman" w:cs="Times New Roman" w:eastAsia="Times New Roman" w:hint="default"/>
        </w:rPr>
        <w:t>“</w:t>
      </w:r>
      <w:r>
        <w:rPr/>
        <w:t>大数据</w:t>
      </w:r>
      <w:r>
        <w:rPr>
          <w:rFonts w:ascii="Times New Roman" w:hAnsi="Times New Roman" w:cs="Times New Roman" w:eastAsia="Times New Roman" w:hint="default"/>
        </w:rPr>
        <w:t>+</w:t>
      </w:r>
      <w:r>
        <w:rPr/>
        <w:t>营销</w:t>
      </w:r>
      <w:r>
        <w:rPr>
          <w:rFonts w:ascii="Times New Roman" w:hAnsi="Times New Roman" w:cs="Times New Roman" w:eastAsia="Times New Roman" w:hint="default"/>
        </w:rPr>
        <w:t>”</w:t>
      </w:r>
      <w:r>
        <w:rPr/>
        <w:t>的业务模式，力图以技术和资源为基础，创意和内容为竞</w:t>
      </w:r>
      <w:r>
        <w:rPr>
          <w:spacing w:val="-76"/>
        </w:rPr>
        <w:t> </w:t>
      </w:r>
      <w:r>
        <w:rPr>
          <w:spacing w:val="-76"/>
        </w:rPr>
      </w:r>
      <w:r>
        <w:rPr>
          <w:spacing w:val="-2"/>
        </w:rPr>
        <w:t>争力，完善智能营销产品与服务，提高业务毛利水平。与此同时，公司也将密切关注数字营销行业竞争态势和发展状况，优</w:t>
      </w:r>
      <w:r>
        <w:rPr>
          <w:spacing w:val="-67"/>
        </w:rPr>
        <w:t> </w:t>
      </w:r>
      <w:r>
        <w:rPr>
          <w:spacing w:val="-67"/>
        </w:rPr>
      </w:r>
      <w:r>
        <w:rPr/>
        <w:t>化业务战略，降低业务经营风险。</w:t>
      </w:r>
    </w:p>
    <w:p>
      <w:pPr>
        <w:spacing w:after="0" w:line="314" w:lineRule="auto"/>
        <w:jc w:val="both"/>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15"/>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5"/>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803"/>
        <w:gridCol w:w="6767"/>
      </w:tblGrid>
      <w:tr>
        <w:trPr>
          <w:trHeight w:val="187" w:hRule="exact"/>
        </w:trPr>
        <w:tc>
          <w:tcPr>
            <w:tcW w:w="2803"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8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7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28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7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报告期内无重大变化</w:t>
            </w:r>
          </w:p>
        </w:tc>
      </w:tr>
      <w:tr>
        <w:trPr>
          <w:trHeight w:val="401" w:hRule="exact"/>
        </w:trPr>
        <w:tc>
          <w:tcPr>
            <w:tcW w:w="2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7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报告期内无重大变化</w:t>
            </w:r>
          </w:p>
        </w:tc>
      </w:tr>
      <w:tr>
        <w:trPr>
          <w:trHeight w:val="403" w:hRule="exact"/>
        </w:trPr>
        <w:tc>
          <w:tcPr>
            <w:tcW w:w="2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7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报告期内无重大变化</w:t>
            </w:r>
          </w:p>
        </w:tc>
      </w:tr>
      <w:tr>
        <w:trPr>
          <w:trHeight w:val="401" w:hRule="exact"/>
        </w:trPr>
        <w:tc>
          <w:tcPr>
            <w:tcW w:w="2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7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报告期内无重大变化</w:t>
            </w:r>
          </w:p>
        </w:tc>
      </w:tr>
      <w:tr>
        <w:trPr>
          <w:trHeight w:val="716" w:hRule="exact"/>
        </w:trPr>
        <w:tc>
          <w:tcPr>
            <w:tcW w:w="28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676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交易性金融资产期末账面价值为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20,700</w:t>
            </w:r>
            <w:r>
              <w:rPr>
                <w:rFonts w:ascii="Times New Roman" w:hAnsi="Times New Roman" w:cs="Times New Roman" w:eastAsia="Times New Roman" w:hint="default"/>
                <w:spacing w:val="39"/>
                <w:sz w:val="18"/>
                <w:szCs w:val="18"/>
              </w:rPr>
              <w:t> </w:t>
            </w:r>
            <w:r>
              <w:rPr>
                <w:rFonts w:ascii="宋体" w:hAnsi="宋体" w:cs="宋体" w:eastAsia="宋体" w:hint="default"/>
                <w:spacing w:val="-4"/>
                <w:sz w:val="18"/>
                <w:szCs w:val="18"/>
              </w:rPr>
              <w:t>万元，上年末为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元，主要系报告期执行新金 融工具准则，将结构性存款从其他流动资产转至该项所致</w:t>
            </w:r>
          </w:p>
        </w:tc>
      </w:tr>
      <w:tr>
        <w:trPr>
          <w:trHeight w:val="713" w:hRule="exact"/>
        </w:trPr>
        <w:tc>
          <w:tcPr>
            <w:tcW w:w="28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7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应收票据期末账面价值为 </w:t>
            </w:r>
            <w:r>
              <w:rPr>
                <w:rFonts w:ascii="Times New Roman" w:hAnsi="Times New Roman" w:cs="Times New Roman" w:eastAsia="Times New Roman" w:hint="default"/>
                <w:sz w:val="18"/>
                <w:szCs w:val="18"/>
              </w:rPr>
              <w:t>466.55 </w:t>
            </w:r>
            <w:r>
              <w:rPr>
                <w:rFonts w:ascii="宋体" w:hAnsi="宋体" w:cs="宋体" w:eastAsia="宋体" w:hint="default"/>
                <w:sz w:val="18"/>
                <w:szCs w:val="18"/>
              </w:rPr>
              <w:t>万元，较上年末减少</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60.89%</w:t>
            </w:r>
            <w:r>
              <w:rPr>
                <w:rFonts w:ascii="宋体" w:hAnsi="宋体" w:cs="宋体" w:eastAsia="宋体" w:hint="default"/>
                <w:sz w:val="18"/>
                <w:szCs w:val="18"/>
              </w:rPr>
              <w:t>，主要系报告期内应收 票据结算所致</w:t>
            </w:r>
          </w:p>
        </w:tc>
      </w:tr>
      <w:tr>
        <w:trPr>
          <w:trHeight w:val="715" w:hRule="exact"/>
        </w:trPr>
        <w:tc>
          <w:tcPr>
            <w:tcW w:w="28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应收保理款</w:t>
            </w:r>
          </w:p>
        </w:tc>
        <w:tc>
          <w:tcPr>
            <w:tcW w:w="676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应收保理款期末账面价值为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6,133.98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万元，较上年末减少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52.86%</w:t>
            </w:r>
            <w:r>
              <w:rPr>
                <w:rFonts w:ascii="宋体" w:hAnsi="宋体" w:cs="宋体" w:eastAsia="宋体" w:hint="default"/>
                <w:sz w:val="18"/>
                <w:szCs w:val="18"/>
              </w:rPr>
              <w:t>，主要系报告期内久 金保降低业务规模以及计提坏账损失所致</w:t>
            </w:r>
          </w:p>
        </w:tc>
      </w:tr>
      <w:tr>
        <w:trPr>
          <w:trHeight w:val="713" w:hRule="exact"/>
        </w:trPr>
        <w:tc>
          <w:tcPr>
            <w:tcW w:w="28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7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其他流动资产期末账面价值为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888.02</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万元，较上年末减少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98.01%</w:t>
            </w:r>
            <w:r>
              <w:rPr>
                <w:rFonts w:ascii="宋体" w:hAnsi="宋体" w:cs="宋体" w:eastAsia="宋体" w:hint="default"/>
                <w:sz w:val="18"/>
                <w:szCs w:val="18"/>
              </w:rPr>
              <w:t>，主要系报告期内结 构性存款解出，并因执行新金融工具准则，将余额转到交易性金融资产核算所致</w:t>
            </w:r>
          </w:p>
        </w:tc>
      </w:tr>
      <w:tr>
        <w:trPr>
          <w:trHeight w:val="715" w:hRule="exact"/>
        </w:trPr>
        <w:tc>
          <w:tcPr>
            <w:tcW w:w="28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676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其他非流动资产期末账面价值为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642.06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万元，上年末为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元，主要系报告期内执行新 金融工具准则，将原可供出售金融资产项目调整至该项所致</w:t>
            </w:r>
          </w:p>
        </w:tc>
      </w:tr>
      <w:tr>
        <w:trPr>
          <w:trHeight w:val="716" w:hRule="exact"/>
        </w:trPr>
        <w:tc>
          <w:tcPr>
            <w:tcW w:w="28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7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递延所得税资产期末账面价值为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1,379.60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万元，较上年末增加</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39.60%</w:t>
            </w:r>
            <w:r>
              <w:rPr>
                <w:rFonts w:ascii="宋体" w:hAnsi="宋体" w:cs="宋体" w:eastAsia="宋体" w:hint="default"/>
                <w:sz w:val="18"/>
                <w:szCs w:val="18"/>
              </w:rPr>
              <w:t>，主要系报告期 研发费用加计扣除增加形成的未弥补亏损确认递延所得税资产所致</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both"/>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bookmarkStart w:name="三、核心竞争力分析" w:id="22"/>
      <w:bookmarkEnd w:id="22"/>
      <w:r>
        <w:rPr>
          <w:b w:val="0"/>
          <w:bCs w:val="0"/>
        </w:rPr>
      </w: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13" w:right="1115"/>
        <w:jc w:val="left"/>
      </w:pPr>
      <w:r>
        <w:rPr>
          <w:rFonts w:ascii="宋体" w:hAnsi="宋体" w:cs="宋体" w:eastAsia="宋体" w:hint="default"/>
          <w:b/>
          <w:bCs/>
        </w:rPr>
        <w:t>（一）产品与解决方案体系</w:t>
      </w:r>
      <w:r>
        <w:rPr>
          <w:rFonts w:ascii="宋体" w:hAnsi="宋体" w:cs="宋体" w:eastAsia="宋体" w:hint="default"/>
          <w:b/>
          <w:bCs/>
          <w:w w:val="99"/>
        </w:rPr>
        <w:t> </w:t>
      </w:r>
      <w:r>
        <w:rPr>
          <w:spacing w:val="-2"/>
        </w:rPr>
        <w:t>公司持续聚焦政企信息化领域，以核心大数据应用平台为驱动，建立了面向财政、交通、司法、教育、民生、建筑、通</w:t>
      </w:r>
    </w:p>
    <w:p>
      <w:pPr>
        <w:pStyle w:val="BodyText"/>
        <w:spacing w:line="314" w:lineRule="auto" w:before="19"/>
        <w:ind w:right="1129"/>
        <w:jc w:val="both"/>
      </w:pPr>
      <w:r>
        <w:rPr>
          <w:spacing w:val="-1"/>
        </w:rPr>
        <w:t>信、金融、能源等重点行业领域的应用产品与解决方案体系。久其大数据解决方案集</w:t>
      </w:r>
      <w:r>
        <w:rPr>
          <w:rFonts w:ascii="Times New Roman" w:hAnsi="Times New Roman" w:cs="Times New Roman" w:eastAsia="Times New Roman" w:hint="default"/>
          <w:spacing w:val="-1"/>
        </w:rPr>
        <w:t>“</w:t>
      </w:r>
      <w:r>
        <w:rPr>
          <w:spacing w:val="-1"/>
        </w:rPr>
        <w:t>咨询</w:t>
      </w:r>
      <w:r>
        <w:rPr>
          <w:rFonts w:ascii="Times New Roman" w:hAnsi="Times New Roman" w:cs="Times New Roman" w:eastAsia="Times New Roman" w:hint="default"/>
          <w:spacing w:val="-1"/>
        </w:rPr>
        <w:t>+</w:t>
      </w:r>
      <w:r>
        <w:rPr>
          <w:spacing w:val="-1"/>
        </w:rPr>
        <w:t>实施</w:t>
      </w:r>
      <w:r>
        <w:rPr>
          <w:rFonts w:ascii="Times New Roman" w:hAnsi="Times New Roman" w:cs="Times New Roman" w:eastAsia="Times New Roman" w:hint="default"/>
          <w:spacing w:val="-1"/>
        </w:rPr>
        <w:t>+</w:t>
      </w:r>
      <w:r>
        <w:rPr>
          <w:spacing w:val="-1"/>
        </w:rPr>
        <w:t>技术</w:t>
      </w:r>
      <w:r>
        <w:rPr>
          <w:rFonts w:ascii="Times New Roman" w:hAnsi="Times New Roman" w:cs="Times New Roman" w:eastAsia="Times New Roman" w:hint="default"/>
          <w:spacing w:val="-1"/>
        </w:rPr>
        <w:t>+</w:t>
      </w:r>
      <w:r>
        <w:rPr>
          <w:spacing w:val="-1"/>
        </w:rPr>
        <w:t>平台</w:t>
      </w:r>
      <w:r>
        <w:rPr>
          <w:rFonts w:ascii="Times New Roman" w:hAnsi="Times New Roman" w:cs="Times New Roman" w:eastAsia="Times New Roman" w:hint="default"/>
          <w:spacing w:val="-1"/>
        </w:rPr>
        <w:t>+</w:t>
      </w:r>
      <w:r>
        <w:rPr>
          <w:spacing w:val="-1"/>
        </w:rPr>
        <w:t>运维</w:t>
      </w:r>
      <w:r>
        <w:rPr>
          <w:rFonts w:ascii="Times New Roman" w:hAnsi="Times New Roman" w:cs="Times New Roman" w:eastAsia="Times New Roman" w:hint="default"/>
          <w:spacing w:val="-1"/>
        </w:rPr>
        <w:t>+</w:t>
      </w:r>
      <w:r>
        <w:rPr>
          <w:spacing w:val="-1"/>
        </w:rPr>
        <w:t>云服务</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9"/>
        </w:rPr>
        <w:t> </w:t>
      </w:r>
      <w:r>
        <w:rPr>
          <w:spacing w:val="-5"/>
        </w:rPr>
        <w:t>于一体，具备数据采集、存储、平台计算、数据挖掘、可视化展现、融合服务、信息安全、数据资源规划八大方面核心能力，</w:t>
      </w:r>
      <w:r>
        <w:rPr>
          <w:spacing w:val="-81"/>
        </w:rPr>
        <w:t> </w:t>
      </w:r>
      <w:r>
        <w:rPr>
          <w:spacing w:val="-81"/>
        </w:rPr>
      </w:r>
      <w:r>
        <w:rPr>
          <w:spacing w:val="-2"/>
        </w:rPr>
        <w:t>公司现已推出财税大数据、决算大数据、国资监管大数据、产业大数据、司法大数据、企业大数据、交通大数据、民生大数</w:t>
      </w:r>
      <w:r>
        <w:rPr>
          <w:spacing w:val="-73"/>
        </w:rPr>
        <w:t> </w:t>
      </w:r>
      <w:r>
        <w:rPr>
          <w:spacing w:val="-73"/>
        </w:rPr>
      </w:r>
      <w:r>
        <w:rPr>
          <w:spacing w:val="-2"/>
        </w:rPr>
        <w:t>据、旅游大数据、营销大数据等十余项大数据产品与解决方案，凭借成熟稳定的产品及解决方案，对政企客户业务深刻的理</w:t>
      </w:r>
      <w:r>
        <w:rPr>
          <w:spacing w:val="-63"/>
        </w:rPr>
        <w:t> </w:t>
      </w:r>
      <w:r>
        <w:rPr>
          <w:spacing w:val="-63"/>
        </w:rPr>
      </w:r>
      <w:r>
        <w:rPr/>
        <w:t>解及前瞻性的判断，协助政企客户通过数据治理提高决策效率，赢得了客户的信任和认可，与其建立了长期合作关系。</w:t>
      </w:r>
    </w:p>
    <w:p>
      <w:pPr>
        <w:spacing w:line="240" w:lineRule="auto" w:before="6"/>
        <w:rPr>
          <w:rFonts w:ascii="宋体" w:hAnsi="宋体" w:cs="宋体" w:eastAsia="宋体" w:hint="default"/>
          <w:sz w:val="25"/>
          <w:szCs w:val="25"/>
        </w:rPr>
      </w:pPr>
    </w:p>
    <w:p>
      <w:pPr>
        <w:spacing w:line="316" w:lineRule="auto" w:before="0"/>
        <w:ind w:left="513" w:right="1115" w:firstLine="0"/>
        <w:jc w:val="left"/>
        <w:rPr>
          <w:rFonts w:ascii="宋体" w:hAnsi="宋体" w:cs="宋体" w:eastAsia="宋体" w:hint="default"/>
          <w:sz w:val="18"/>
          <w:szCs w:val="18"/>
        </w:rPr>
      </w:pPr>
      <w:r>
        <w:rPr>
          <w:rFonts w:ascii="宋体" w:hAnsi="宋体" w:cs="宋体" w:eastAsia="宋体" w:hint="default"/>
          <w:b/>
          <w:bCs/>
          <w:sz w:val="18"/>
          <w:szCs w:val="18"/>
        </w:rPr>
        <w:t>（二）自主研发的技术创新能力</w:t>
      </w:r>
      <w:r>
        <w:rPr>
          <w:rFonts w:ascii="宋体" w:hAnsi="宋体" w:cs="宋体" w:eastAsia="宋体" w:hint="default"/>
          <w:b/>
          <w:bCs/>
          <w:w w:val="99"/>
          <w:sz w:val="18"/>
          <w:szCs w:val="18"/>
        </w:rPr>
        <w:t> </w:t>
      </w:r>
      <w:r>
        <w:rPr>
          <w:rFonts w:ascii="宋体" w:hAnsi="宋体" w:cs="宋体" w:eastAsia="宋体" w:hint="default"/>
          <w:sz w:val="18"/>
          <w:szCs w:val="18"/>
        </w:rPr>
        <w:t>公司凭借自主创新的技术研发实力，不断升级改造产品并完善解决方案。</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年，公司除了启动新一代技术平台</w:t>
      </w:r>
      <w:r>
        <w:rPr>
          <w:rFonts w:ascii="Times New Roman" w:hAnsi="Times New Roman" w:cs="Times New Roman" w:eastAsia="Times New Roman" w:hint="default"/>
          <w:sz w:val="18"/>
          <w:szCs w:val="18"/>
        </w:rPr>
        <w:t>“</w:t>
      </w:r>
      <w:r>
        <w:rPr>
          <w:rFonts w:ascii="宋体" w:hAnsi="宋体" w:cs="宋体" w:eastAsia="宋体" w:hint="default"/>
          <w:sz w:val="18"/>
          <w:szCs w:val="18"/>
        </w:rPr>
        <w:t>女娲</w:t>
      </w:r>
    </w:p>
    <w:p>
      <w:pPr>
        <w:pStyle w:val="BodyText"/>
        <w:spacing w:line="300" w:lineRule="auto"/>
        <w:ind w:right="1134"/>
        <w:jc w:val="both"/>
      </w:pPr>
      <w:r>
        <w:rPr/>
        <w:t>平台</w:t>
      </w:r>
      <w:r>
        <w:rPr>
          <w:rFonts w:ascii="Times New Roman" w:hAnsi="Times New Roman" w:cs="Times New Roman" w:eastAsia="Times New Roman" w:hint="default"/>
        </w:rPr>
        <w:t>”</w:t>
      </w:r>
      <w:r>
        <w:rPr/>
        <w:t>的研发工作，还对大数据产品进行了系统化的升级改造，进一步适配多数据库架构，满足国产化自主可控需求，同时</w:t>
      </w:r>
      <w:r>
        <w:rPr>
          <w:spacing w:val="-76"/>
        </w:rPr>
        <w:t> </w:t>
      </w:r>
      <w:r>
        <w:rPr>
          <w:spacing w:val="-76"/>
        </w:rPr>
      </w:r>
      <w:r>
        <w:rPr/>
        <w:t>开发数据中台产品、升级</w:t>
      </w:r>
      <w:r>
        <w:rPr>
          <w:rFonts w:ascii="Times New Roman" w:hAnsi="Times New Roman" w:cs="Times New Roman" w:eastAsia="Times New Roman" w:hint="default"/>
        </w:rPr>
        <w:t>AI</w:t>
      </w:r>
      <w:r>
        <w:rPr/>
        <w:t>与数据挖掘应用，公司技术研发能力和大数据服务能力得以持续提升。报告期，公司及子公司</w:t>
      </w:r>
    </w:p>
    <w:p>
      <w:pPr>
        <w:spacing w:after="0" w:line="30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28"/>
        <w:jc w:val="both"/>
      </w:pPr>
      <w:r>
        <w:rPr>
          <w:spacing w:val="-2"/>
        </w:rPr>
        <w:t>共新获</w:t>
      </w:r>
      <w:r>
        <w:rPr>
          <w:rFonts w:ascii="Times New Roman" w:hAnsi="Times New Roman" w:cs="Times New Roman" w:eastAsia="Times New Roman" w:hint="default"/>
          <w:spacing w:val="-2"/>
        </w:rPr>
        <w:t>179</w:t>
      </w:r>
      <w:r>
        <w:rPr>
          <w:spacing w:val="-2"/>
        </w:rPr>
        <w:t>项软件著作权及</w:t>
      </w:r>
      <w:r>
        <w:rPr>
          <w:rFonts w:ascii="Times New Roman" w:hAnsi="Times New Roman" w:cs="Times New Roman" w:eastAsia="Times New Roman" w:hint="default"/>
          <w:spacing w:val="-2"/>
        </w:rPr>
        <w:t>1</w:t>
      </w:r>
      <w:r>
        <w:rPr>
          <w:spacing w:val="-2"/>
        </w:rPr>
        <w:t>项发明专利。资质认证方面，公司获得信息安全服务资质认证（二级）、信息技术和售后服务认</w:t>
      </w:r>
      <w:r>
        <w:rPr>
          <w:spacing w:val="-64"/>
        </w:rPr>
        <w:t> </w:t>
      </w:r>
      <w:r>
        <w:rPr>
          <w:spacing w:val="-64"/>
        </w:rPr>
      </w:r>
      <w:r>
        <w:rPr/>
        <w:t>证证书（五星），子公司华夏电通获得涉密信息系统集成资质（甲级），子公司久其金建通过</w:t>
      </w:r>
      <w:r>
        <w:rPr>
          <w:rFonts w:ascii="Times New Roman" w:hAnsi="Times New Roman" w:cs="Times New Roman" w:eastAsia="Times New Roman" w:hint="default"/>
        </w:rPr>
        <w:t>ISO</w:t>
      </w:r>
      <w:r>
        <w:rPr/>
        <w:t>信息安全管理体系和</w:t>
      </w:r>
      <w:r>
        <w:rPr>
          <w:rFonts w:ascii="Times New Roman" w:hAnsi="Times New Roman" w:cs="Times New Roman" w:eastAsia="Times New Roman" w:hint="default"/>
        </w:rPr>
        <w:t>IT</w:t>
      </w:r>
      <w:r>
        <w:rPr/>
        <w:t>服 务管理体系认证。</w:t>
      </w:r>
    </w:p>
    <w:p>
      <w:pPr>
        <w:spacing w:line="240" w:lineRule="auto" w:before="3"/>
        <w:rPr>
          <w:rFonts w:ascii="宋体" w:hAnsi="宋体" w:cs="宋体" w:eastAsia="宋体" w:hint="default"/>
          <w:sz w:val="26"/>
          <w:szCs w:val="26"/>
        </w:rPr>
      </w:pPr>
    </w:p>
    <w:p>
      <w:pPr>
        <w:pStyle w:val="BodyText"/>
        <w:spacing w:line="316" w:lineRule="auto"/>
        <w:ind w:left="513" w:right="1115"/>
        <w:jc w:val="left"/>
      </w:pPr>
      <w:r>
        <w:rPr>
          <w:rFonts w:ascii="宋体" w:hAnsi="宋体" w:cs="宋体" w:eastAsia="宋体" w:hint="default"/>
          <w:b/>
          <w:bCs/>
        </w:rPr>
        <w:t>（三）行业地位与品牌价值</w:t>
      </w:r>
      <w:r>
        <w:rPr>
          <w:rFonts w:ascii="宋体" w:hAnsi="宋体" w:cs="宋体" w:eastAsia="宋体" w:hint="default"/>
          <w:b/>
          <w:bCs/>
          <w:w w:val="99"/>
        </w:rPr>
        <w:t> </w:t>
      </w:r>
      <w:r>
        <w:rPr/>
        <w:t>公司经过多年业务积累，在行业内树立了品牌价值优势。报告期，公司获评</w:t>
      </w:r>
      <w:r>
        <w:rPr>
          <w:rFonts w:ascii="Times New Roman" w:hAnsi="Times New Roman" w:cs="Times New Roman" w:eastAsia="Times New Roman" w:hint="default"/>
        </w:rPr>
        <w:t>“</w:t>
      </w:r>
      <w:r>
        <w:rPr/>
        <w:t>中国软件大会</w:t>
      </w:r>
      <w:r>
        <w:rPr>
          <w:rFonts w:ascii="Times New Roman" w:hAnsi="Times New Roman" w:cs="Times New Roman" w:eastAsia="Times New Roman" w:hint="default"/>
        </w:rPr>
        <w:t>2019</w:t>
      </w:r>
      <w:r>
        <w:rPr/>
        <w:t>年中国软件和信息服务</w:t>
      </w:r>
    </w:p>
    <w:p>
      <w:pPr>
        <w:pStyle w:val="BodyText"/>
        <w:spacing w:line="300" w:lineRule="auto"/>
        <w:ind w:right="1042"/>
        <w:jc w:val="left"/>
      </w:pPr>
      <w:r>
        <w:rPr/>
        <w:t>业十大领军企业</w:t>
      </w:r>
      <w:r>
        <w:rPr>
          <w:rFonts w:ascii="Times New Roman" w:hAnsi="Times New Roman" w:cs="Times New Roman" w:eastAsia="Times New Roman" w:hint="default"/>
        </w:rPr>
        <w:t>” “</w:t>
      </w:r>
      <w:r>
        <w:rPr/>
        <w:t>第二十三届中国国际软件博览会</w:t>
      </w:r>
      <w:r>
        <w:rPr>
          <w:rFonts w:ascii="Times New Roman" w:hAnsi="Times New Roman" w:cs="Times New Roman" w:eastAsia="Times New Roman" w:hint="default"/>
        </w:rPr>
        <w:t>2019</w:t>
      </w:r>
      <w:r>
        <w:rPr/>
        <w:t>软件和信息技术服务综合竞争力百强</w:t>
      </w:r>
      <w:r>
        <w:rPr>
          <w:rFonts w:ascii="Times New Roman" w:hAnsi="Times New Roman" w:cs="Times New Roman" w:eastAsia="Times New Roman" w:hint="default"/>
        </w:rPr>
        <w:t>”“</w:t>
      </w:r>
      <w:r>
        <w:rPr/>
        <w:t>世界计算机大会</w:t>
      </w:r>
      <w:r>
        <w:rPr>
          <w:rFonts w:ascii="Times New Roman" w:hAnsi="Times New Roman" w:cs="Times New Roman" w:eastAsia="Times New Roman" w:hint="default"/>
        </w:rPr>
        <w:t>2019</w:t>
      </w:r>
      <w:r>
        <w:rPr/>
        <w:t>中国大</w:t>
      </w:r>
      <w:r>
        <w:rPr>
          <w:spacing w:val="-53"/>
        </w:rPr>
        <w:t> </w:t>
      </w:r>
      <w:r>
        <w:rPr/>
        <w:t>数据企业</w:t>
      </w:r>
      <w:r>
        <w:rPr>
          <w:rFonts w:ascii="Times New Roman" w:hAnsi="Times New Roman" w:cs="Times New Roman" w:eastAsia="Times New Roman" w:hint="default"/>
        </w:rPr>
        <w:t>50</w:t>
      </w:r>
      <w:r>
        <w:rPr/>
        <w:t>强</w:t>
      </w:r>
      <w:r>
        <w:rPr>
          <w:rFonts w:ascii="Times New Roman" w:hAnsi="Times New Roman" w:cs="Times New Roman" w:eastAsia="Times New Roman" w:hint="default"/>
        </w:rPr>
        <w:t>”</w:t>
      </w:r>
      <w:r>
        <w:rPr/>
        <w:t>，子公司久其数字获评</w:t>
      </w:r>
      <w:r>
        <w:rPr>
          <w:rFonts w:ascii="Times New Roman" w:hAnsi="Times New Roman" w:cs="Times New Roman" w:eastAsia="Times New Roman" w:hint="default"/>
        </w:rPr>
        <w:t>“GTC2019</w:t>
      </w:r>
      <w:r>
        <w:rPr/>
        <w:t>全球流量大会鲸鸣奖</w:t>
      </w:r>
      <w:r>
        <w:rPr>
          <w:rFonts w:ascii="Times New Roman" w:hAnsi="Times New Roman" w:cs="Times New Roman" w:eastAsia="Times New Roman" w:hint="default"/>
        </w:rPr>
        <w:t>2019</w:t>
      </w:r>
      <w:r>
        <w:rPr/>
        <w:t>年度十佳海外营销服务商</w:t>
      </w:r>
      <w:r>
        <w:rPr>
          <w:rFonts w:ascii="Times New Roman" w:hAnsi="Times New Roman" w:cs="Times New Roman" w:eastAsia="Times New Roman" w:hint="default"/>
        </w:rPr>
        <w:t>”“</w:t>
      </w:r>
      <w:r>
        <w:rPr/>
        <w:t>中国广告年度数字大奖 </w:t>
      </w:r>
      <w:r>
        <w:rPr>
          <w:rFonts w:ascii="Times New Roman" w:hAnsi="Times New Roman" w:cs="Times New Roman" w:eastAsia="Times New Roman" w:hint="default"/>
        </w:rPr>
        <w:t>2019</w:t>
      </w:r>
      <w:r>
        <w:rPr/>
        <w:t>年度数字传播集团</w:t>
      </w:r>
      <w:r>
        <w:rPr>
          <w:rFonts w:ascii="Times New Roman" w:hAnsi="Times New Roman" w:cs="Times New Roman" w:eastAsia="Times New Roman" w:hint="default"/>
        </w:rPr>
        <w:t>”“</w:t>
      </w:r>
      <w:r>
        <w:rPr/>
        <w:t>澳门国际广告节</w:t>
      </w:r>
      <w:r>
        <w:rPr>
          <w:rFonts w:ascii="Times New Roman" w:hAnsi="Times New Roman" w:cs="Times New Roman" w:eastAsia="Times New Roman" w:hint="default"/>
        </w:rPr>
        <w:t>2018-2019</w:t>
      </w:r>
      <w:r>
        <w:rPr/>
        <w:t>年度中国最具影响力传播公司</w:t>
      </w:r>
      <w:r>
        <w:rPr>
          <w:rFonts w:ascii="Times New Roman" w:hAnsi="Times New Roman" w:cs="Times New Roman" w:eastAsia="Times New Roman" w:hint="default"/>
        </w:rPr>
        <w:t>”“</w:t>
      </w:r>
      <w:r>
        <w:rPr/>
        <w:t>第八届</w:t>
      </w:r>
      <w:r>
        <w:rPr>
          <w:rFonts w:ascii="Times New Roman" w:hAnsi="Times New Roman" w:cs="Times New Roman" w:eastAsia="Times New Roman" w:hint="default"/>
        </w:rPr>
        <w:t>ADMEN</w:t>
      </w:r>
      <w:r>
        <w:rPr/>
        <w:t>国际大奖年度最具商业</w:t>
      </w:r>
      <w:r>
        <w:rPr>
          <w:spacing w:val="28"/>
        </w:rPr>
        <w:t> </w:t>
      </w:r>
      <w:r>
        <w:rPr>
          <w:spacing w:val="28"/>
        </w:rPr>
      </w:r>
      <w:r>
        <w:rPr/>
        <w:t>价值数字营销公司</w:t>
      </w:r>
      <w:r>
        <w:rPr>
          <w:rFonts w:ascii="Times New Roman" w:hAnsi="Times New Roman" w:cs="Times New Roman" w:eastAsia="Times New Roman" w:hint="default"/>
        </w:rPr>
        <w:t>”</w:t>
      </w:r>
      <w:r>
        <w:rPr/>
        <w:t>等荣誉称号。产品荣誉方面，久其大数据处理与分析平台软件被评为</w:t>
      </w:r>
      <w:r>
        <w:rPr>
          <w:rFonts w:ascii="Times New Roman" w:hAnsi="Times New Roman" w:cs="Times New Roman" w:eastAsia="Times New Roman" w:hint="default"/>
        </w:rPr>
        <w:t>“2019</w:t>
      </w:r>
      <w:r>
        <w:rPr/>
        <w:t>年度优秀软件产品</w:t>
      </w:r>
      <w:r>
        <w:rPr>
          <w:rFonts w:ascii="Times New Roman" w:hAnsi="Times New Roman" w:cs="Times New Roman" w:eastAsia="Times New Roman" w:hint="default"/>
        </w:rPr>
        <w:t>”</w:t>
      </w:r>
      <w:r>
        <w:rPr/>
        <w:t>，久其小</w:t>
      </w:r>
      <w:r>
        <w:rPr>
          <w:spacing w:val="-59"/>
        </w:rPr>
        <w:t> </w:t>
      </w:r>
      <w:r>
        <w:rPr/>
        <w:t>久智能分析机器人获得</w:t>
      </w:r>
      <w:r>
        <w:rPr>
          <w:rFonts w:ascii="Times New Roman" w:hAnsi="Times New Roman" w:cs="Times New Roman" w:eastAsia="Times New Roman" w:hint="default"/>
        </w:rPr>
        <w:t>“2019</w:t>
      </w:r>
      <w:r>
        <w:rPr/>
        <w:t>年人工智能应用类产品</w:t>
      </w:r>
      <w:r>
        <w:rPr>
          <w:rFonts w:ascii="Times New Roman" w:hAnsi="Times New Roman" w:cs="Times New Roman" w:eastAsia="Times New Roman" w:hint="default"/>
        </w:rPr>
        <w:t>”</w:t>
      </w:r>
      <w:r>
        <w:rPr/>
        <w:t>认定，久其数据中台系统获评</w:t>
      </w:r>
      <w:r>
        <w:rPr>
          <w:rFonts w:ascii="Times New Roman" w:hAnsi="Times New Roman" w:cs="Times New Roman" w:eastAsia="Times New Roman" w:hint="default"/>
        </w:rPr>
        <w:t>“2019</w:t>
      </w:r>
      <w:r>
        <w:rPr/>
        <w:t>年北京市新技术新产品（服务）</w:t>
      </w:r>
      <w:r>
        <w:rPr>
          <w:rFonts w:ascii="Times New Roman" w:hAnsi="Times New Roman" w:cs="Times New Roman" w:eastAsia="Times New Roman" w:hint="default"/>
        </w:rPr>
        <w:t>”</w:t>
      </w:r>
      <w:r>
        <w:rPr/>
        <w:t>；</w:t>
      </w:r>
      <w:r>
        <w:rPr>
          <w:spacing w:val="-49"/>
        </w:rPr>
        <w:t> </w:t>
      </w:r>
      <w:r>
        <w:rPr/>
        <w:t>子公司华夏电通的智慧审务督察系统获评</w:t>
      </w:r>
      <w:r>
        <w:rPr>
          <w:rFonts w:ascii="Times New Roman" w:hAnsi="Times New Roman" w:cs="Times New Roman" w:eastAsia="Times New Roman" w:hint="default"/>
        </w:rPr>
        <w:t>“2019</w:t>
      </w:r>
      <w:r>
        <w:rPr/>
        <w:t>年智慧法院优秀创新产品</w:t>
      </w:r>
      <w:r>
        <w:rPr>
          <w:rFonts w:ascii="Times New Roman" w:hAnsi="Times New Roman" w:cs="Times New Roman" w:eastAsia="Times New Roman" w:hint="default"/>
        </w:rPr>
        <w:t>”</w:t>
      </w:r>
      <w:r>
        <w:rPr/>
        <w:t>，刑事执行检查办案平台获评</w:t>
      </w:r>
      <w:r>
        <w:rPr>
          <w:rFonts w:ascii="Times New Roman" w:hAnsi="Times New Roman" w:cs="Times New Roman" w:eastAsia="Times New Roman" w:hint="default"/>
        </w:rPr>
        <w:t>“2019</w:t>
      </w:r>
      <w:r>
        <w:rPr/>
        <w:t>年全国政法智</w:t>
      </w:r>
      <w:r>
        <w:rPr>
          <w:spacing w:val="-59"/>
        </w:rPr>
        <w:t> </w:t>
      </w:r>
      <w:r>
        <w:rPr/>
        <w:t>能化建设智慧检务十大解决方案</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4"/>
          <w:szCs w:val="24"/>
        </w:rPr>
      </w:pPr>
    </w:p>
    <w:p>
      <w:pPr>
        <w:pStyle w:val="BodyText"/>
        <w:spacing w:line="316" w:lineRule="auto"/>
        <w:ind w:right="1034" w:firstLine="360"/>
        <w:jc w:val="left"/>
      </w:pPr>
      <w:r>
        <w:rPr/>
        <w:t>报告期内，公司核心管理团队及关键技术人员未发生重大变化，未发生因专利及非专利技术升级换代、盈利模式变化、 特许经营权丧失等导致公司核心竞争能力受到严重影响的情况。</w:t>
      </w:r>
    </w:p>
    <w:p>
      <w:pPr>
        <w:spacing w:after="0" w:line="316"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1115"/>
        <w:jc w:val="left"/>
        <w:rPr>
          <w:b w:val="0"/>
          <w:bCs w:val="0"/>
        </w:rPr>
      </w:pPr>
      <w:bookmarkStart w:name="第四节 经营情况讨论与分析" w:id="23"/>
      <w:bookmarkEnd w:id="23"/>
      <w:r>
        <w:rPr>
          <w:b w:val="0"/>
          <w:bCs w:val="0"/>
        </w:rPr>
      </w:r>
      <w:bookmarkStart w:name="_bookmark3" w:id="24"/>
      <w:bookmarkEnd w:id="24"/>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5"/>
      <w:bookmarkEnd w:id="25"/>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13" w:right="1115"/>
        <w:jc w:val="left"/>
      </w:pPr>
      <w:r>
        <w:rPr>
          <w:rFonts w:ascii="宋体" w:hAnsi="宋体" w:cs="宋体" w:eastAsia="宋体" w:hint="default"/>
          <w:b/>
          <w:bCs/>
        </w:rPr>
        <w:t>（一）总体情况</w:t>
      </w:r>
      <w:r>
        <w:rPr>
          <w:rFonts w:ascii="宋体" w:hAnsi="宋体" w:cs="宋体" w:eastAsia="宋体" w:hint="default"/>
          <w:b/>
          <w:bCs/>
          <w:w w:val="99"/>
        </w:rPr>
        <w:t> </w:t>
      </w:r>
      <w:r>
        <w:rPr>
          <w:spacing w:val="8"/>
        </w:rPr>
        <w:t>公司在报告期推动管理软件和数字传播业务平稳发展，并积极消除</w:t>
      </w:r>
      <w:r>
        <w:rPr>
          <w:rFonts w:ascii="Times New Roman" w:hAnsi="Times New Roman" w:cs="Times New Roman" w:eastAsia="Times New Roman" w:hint="default"/>
          <w:spacing w:val="8"/>
        </w:rPr>
        <w:t>2018</w:t>
      </w:r>
      <w:r>
        <w:rPr>
          <w:spacing w:val="8"/>
        </w:rPr>
        <w:t>年度保留意见事项影响，共实现营业收入</w:t>
      </w:r>
    </w:p>
    <w:p>
      <w:pPr>
        <w:pStyle w:val="BodyText"/>
        <w:spacing w:line="248" w:lineRule="exact"/>
        <w:ind w:right="0"/>
        <w:jc w:val="both"/>
      </w:pPr>
      <w:r>
        <w:rPr>
          <w:rFonts w:ascii="Times New Roman" w:hAnsi="Times New Roman" w:cs="Times New Roman" w:eastAsia="Times New Roman" w:hint="default"/>
        </w:rPr>
        <w:t>310,165.02</w:t>
      </w:r>
      <w:r>
        <w:rPr/>
        <w:t>万元，同比增幅</w:t>
      </w:r>
      <w:r>
        <w:rPr>
          <w:rFonts w:ascii="Times New Roman" w:hAnsi="Times New Roman" w:cs="Times New Roman" w:eastAsia="Times New Roman" w:hint="default"/>
        </w:rPr>
        <w:t>14.02%</w:t>
      </w:r>
      <w:r>
        <w:rPr/>
        <w:t>，其中管理软件业务实现收入</w:t>
      </w:r>
      <w:r>
        <w:rPr>
          <w:rFonts w:ascii="Times New Roman" w:hAnsi="Times New Roman" w:cs="Times New Roman" w:eastAsia="Times New Roman" w:hint="default"/>
        </w:rPr>
        <w:t>100,279.24</w:t>
      </w:r>
      <w:r>
        <w:rPr/>
        <w:t>万元，同比减少</w:t>
      </w:r>
      <w:r>
        <w:rPr>
          <w:rFonts w:ascii="Times New Roman" w:hAnsi="Times New Roman" w:cs="Times New Roman" w:eastAsia="Times New Roman" w:hint="default"/>
        </w:rPr>
        <w:t>1.71%</w:t>
      </w:r>
      <w:r>
        <w:rPr/>
        <w:t>，数字传播业务实现收入</w:t>
      </w:r>
    </w:p>
    <w:p>
      <w:pPr>
        <w:pStyle w:val="BodyText"/>
        <w:spacing w:line="300" w:lineRule="auto" w:before="63"/>
        <w:ind w:right="1131"/>
        <w:jc w:val="both"/>
      </w:pPr>
      <w:r>
        <w:rPr>
          <w:rFonts w:ascii="Times New Roman" w:hAnsi="Times New Roman" w:cs="Times New Roman" w:eastAsia="Times New Roman" w:hint="default"/>
          <w:spacing w:val="-1"/>
        </w:rPr>
        <w:t>207,267.36</w:t>
      </w:r>
      <w:r>
        <w:rPr>
          <w:spacing w:val="-1"/>
        </w:rPr>
        <w:t>万元，同比增幅</w:t>
      </w:r>
      <w:r>
        <w:rPr>
          <w:rFonts w:ascii="Times New Roman" w:hAnsi="Times New Roman" w:cs="Times New Roman" w:eastAsia="Times New Roman" w:hint="default"/>
          <w:spacing w:val="-1"/>
        </w:rPr>
        <w:t>24.93%</w:t>
      </w:r>
      <w:r>
        <w:rPr>
          <w:spacing w:val="-1"/>
        </w:rPr>
        <w:t>。报告期，公司业务拓展及研发投入力度加大，公司员工人数和总薪酬均有较大增幅，加</w:t>
      </w:r>
      <w:r>
        <w:rPr>
          <w:spacing w:val="-45"/>
        </w:rPr>
        <w:t> </w:t>
      </w:r>
      <w:r>
        <w:rPr>
          <w:spacing w:val="-45"/>
        </w:rPr>
      </w:r>
      <w:r>
        <w:rPr/>
        <w:t>之财务费用增长，以及计提部分应收款项和商誉的减值准备，实现归属于上市公司股东的净利润</w:t>
      </w:r>
      <w:r>
        <w:rPr>
          <w:rFonts w:ascii="Times New Roman" w:hAnsi="Times New Roman" w:cs="Times New Roman" w:eastAsia="Times New Roman" w:hint="default"/>
        </w:rPr>
        <w:t>5,226.49</w:t>
      </w:r>
      <w:r>
        <w:rPr/>
        <w:t>万元，较上年实现</w:t>
      </w:r>
      <w:r>
        <w:rPr>
          <w:spacing w:val="-84"/>
        </w:rPr>
        <w:t> </w:t>
      </w:r>
      <w:r>
        <w:rPr>
          <w:spacing w:val="-84"/>
        </w:rPr>
      </w:r>
      <w:r>
        <w:rPr/>
        <w:t>扭亏为盈。</w:t>
      </w:r>
    </w:p>
    <w:p>
      <w:pPr>
        <w:spacing w:line="240" w:lineRule="auto" w:before="4"/>
        <w:rPr>
          <w:rFonts w:ascii="宋体" w:hAnsi="宋体" w:cs="宋体" w:eastAsia="宋体" w:hint="default"/>
          <w:sz w:val="26"/>
          <w:szCs w:val="26"/>
        </w:rPr>
      </w:pPr>
    </w:p>
    <w:p>
      <w:pPr>
        <w:pStyle w:val="Heading4"/>
        <w:spacing w:line="240" w:lineRule="auto"/>
        <w:ind w:right="1115"/>
        <w:jc w:val="left"/>
        <w:rPr>
          <w:b w:val="0"/>
          <w:bCs w:val="0"/>
        </w:rPr>
      </w:pPr>
      <w:r>
        <w:rPr/>
        <w:t>（二）主要业务情况</w:t>
      </w:r>
      <w:r>
        <w:rPr>
          <w:b w:val="0"/>
          <w:bCs w:val="0"/>
        </w:rPr>
      </w:r>
    </w:p>
    <w:p>
      <w:pPr>
        <w:pStyle w:val="BodyText"/>
        <w:spacing w:line="300" w:lineRule="auto" w:before="76"/>
        <w:ind w:left="513" w:right="1115"/>
        <w:jc w:val="left"/>
      </w:pPr>
      <w:r>
        <w:rPr>
          <w:rFonts w:ascii="Times New Roman" w:hAnsi="Times New Roman" w:cs="Times New Roman" w:eastAsia="Times New Roman" w:hint="default"/>
          <w:b/>
          <w:bCs/>
        </w:rPr>
        <w:t>1</w:t>
      </w:r>
      <w:r>
        <w:rPr>
          <w:rFonts w:ascii="宋体" w:hAnsi="宋体" w:cs="宋体" w:eastAsia="宋体" w:hint="default"/>
          <w:b/>
          <w:bCs/>
        </w:rPr>
        <w:t>、电子政务业务</w:t>
      </w:r>
      <w:r>
        <w:rPr>
          <w:rFonts w:ascii="宋体" w:hAnsi="宋体" w:cs="宋体" w:eastAsia="宋体" w:hint="default"/>
          <w:b/>
          <w:bCs/>
          <w:w w:val="99"/>
        </w:rPr>
        <w:t> </w:t>
      </w:r>
      <w:r>
        <w:rPr>
          <w:spacing w:val="-2"/>
        </w:rPr>
        <w:t>随着云计算、大数据、物联网、人工智能等新兴技术在政府领域的广泛应用，以及在</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政务信息化重大工程项目</w:t>
      </w:r>
    </w:p>
    <w:p>
      <w:pPr>
        <w:pStyle w:val="BodyText"/>
        <w:spacing w:line="309" w:lineRule="auto" w:before="13"/>
        <w:ind w:right="1130"/>
        <w:jc w:val="both"/>
      </w:pPr>
      <w:r>
        <w:rPr>
          <w:spacing w:val="-2"/>
        </w:rPr>
        <w:t>建设的带动下，我国政府</w:t>
      </w:r>
      <w:r>
        <w:rPr>
          <w:rFonts w:ascii="Times New Roman" w:hAnsi="Times New Roman" w:cs="Times New Roman" w:eastAsia="Times New Roman" w:hint="default"/>
          <w:spacing w:val="-2"/>
        </w:rPr>
        <w:t>IT</w:t>
      </w:r>
      <w:r>
        <w:rPr>
          <w:spacing w:val="-2"/>
        </w:rPr>
        <w:t>服务和软件产业规模继续保持高速增长态势，电子政务进入数字化、集约化、智能化阶段；并且</w:t>
      </w:r>
      <w:r>
        <w:rPr>
          <w:spacing w:val="-55"/>
        </w:rPr>
        <w:t> </w:t>
      </w:r>
      <w:r>
        <w:rPr>
          <w:spacing w:val="-55"/>
        </w:rPr>
      </w:r>
      <w:r>
        <w:rPr>
          <w:spacing w:val="-2"/>
        </w:rPr>
        <w:t>政务信息化建设模式亦由日常业务为主，向业务支撑与分析决策深化转变。作为大数据综合服务提供商，报告期公司坚持聚</w:t>
      </w:r>
      <w:r>
        <w:rPr>
          <w:spacing w:val="-63"/>
        </w:rPr>
        <w:t> </w:t>
      </w:r>
      <w:r>
        <w:rPr>
          <w:spacing w:val="-63"/>
        </w:rPr>
      </w:r>
      <w:r>
        <w:rPr>
          <w:spacing w:val="-2"/>
        </w:rPr>
        <w:t>焦行业，发挥技术创新优势，推进数据治理在财政、政务管理、交通、司法、教育、民生服务等领域的深度应用。由于正处</w:t>
      </w:r>
      <w:r>
        <w:rPr>
          <w:spacing w:val="-65"/>
        </w:rPr>
        <w:t> </w:t>
      </w:r>
      <w:r>
        <w:rPr>
          <w:spacing w:val="-65"/>
        </w:rPr>
      </w:r>
      <w:r>
        <w:rPr/>
        <w:t>在业务升级阶段的子公司华夏电通</w:t>
      </w:r>
      <w:r>
        <w:rPr>
          <w:rFonts w:ascii="Times New Roman" w:hAnsi="Times New Roman" w:cs="Times New Roman" w:eastAsia="Times New Roman" w:hint="default"/>
        </w:rPr>
        <w:t>2019</w:t>
      </w:r>
      <w:r>
        <w:rPr/>
        <w:t>年度收入规模下降，公司电子政务业务报告期共实现收入</w:t>
      </w:r>
      <w:r>
        <w:rPr>
          <w:rFonts w:ascii="Times New Roman" w:hAnsi="Times New Roman" w:cs="Times New Roman" w:eastAsia="Times New Roman" w:hint="default"/>
        </w:rPr>
        <w:t>69,794.45</w:t>
      </w:r>
      <w:r>
        <w:rPr/>
        <w:t>万元，同比减少</w:t>
      </w:r>
      <w:r>
        <w:rPr>
          <w:spacing w:val="-6"/>
        </w:rPr>
        <w:t> </w:t>
      </w:r>
      <w:r>
        <w:rPr>
          <w:spacing w:val="-6"/>
        </w:rPr>
      </w:r>
      <w:r>
        <w:rPr>
          <w:rFonts w:ascii="Times New Roman" w:hAnsi="Times New Roman" w:cs="Times New Roman" w:eastAsia="Times New Roman" w:hint="default"/>
        </w:rPr>
        <w:t>2.75%</w:t>
      </w:r>
      <w:r>
        <w:rPr/>
        <w:t>。</w:t>
      </w:r>
    </w:p>
    <w:p>
      <w:pPr>
        <w:spacing w:line="240" w:lineRule="auto" w:before="3"/>
        <w:rPr>
          <w:rFonts w:ascii="宋体" w:hAnsi="宋体" w:cs="宋体" w:eastAsia="宋体" w:hint="default"/>
          <w:sz w:val="24"/>
          <w:szCs w:val="24"/>
        </w:rPr>
      </w:pPr>
    </w:p>
    <w:p>
      <w:pPr>
        <w:pStyle w:val="BodyText"/>
        <w:spacing w:line="300" w:lineRule="auto"/>
        <w:ind w:left="513" w:right="1115"/>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）财政领域</w:t>
      </w:r>
      <w:r>
        <w:rPr>
          <w:rFonts w:ascii="宋体" w:hAnsi="宋体" w:cs="宋体" w:eastAsia="宋体" w:hint="default"/>
          <w:b/>
          <w:bCs/>
          <w:w w:val="99"/>
        </w:rPr>
        <w:t> </w:t>
      </w:r>
      <w:r>
        <w:rPr>
          <w:spacing w:val="-2"/>
        </w:rPr>
        <w:t>资产管理方面，报告期公司继续发挥资产管理的业务和技术优势：①中标向全国人大常委会报告国有资产管理情况编制</w:t>
      </w:r>
    </w:p>
    <w:p>
      <w:pPr>
        <w:pStyle w:val="BodyText"/>
        <w:spacing w:line="316" w:lineRule="auto" w:before="31"/>
        <w:ind w:right="1130"/>
        <w:jc w:val="both"/>
      </w:pPr>
      <w:r>
        <w:rPr>
          <w:spacing w:val="-2"/>
        </w:rPr>
        <w:t>分析平台建设项目，为财政部进一步加强国有资产监督管理工作提供重要支撑。资产管理已纳入财政核心业务，为资产管理</w:t>
      </w:r>
      <w:r>
        <w:rPr>
          <w:spacing w:val="-63"/>
        </w:rPr>
        <w:t> </w:t>
      </w:r>
      <w:r>
        <w:rPr>
          <w:spacing w:val="-63"/>
        </w:rPr>
      </w:r>
      <w:r>
        <w:rPr>
          <w:spacing w:val="-5"/>
        </w:rPr>
        <w:t>信息化推广创造了良好条件。②顺利完成行政事业单位资产管理信息系统（三期）全国推广应用，除签约江西、青岛、海南、</w:t>
      </w:r>
      <w:r>
        <w:rPr>
          <w:spacing w:val="-81"/>
        </w:rPr>
        <w:t> </w:t>
      </w:r>
      <w:r>
        <w:rPr>
          <w:spacing w:val="-81"/>
        </w:rPr>
      </w:r>
      <w:r>
        <w:rPr>
          <w:spacing w:val="-2"/>
        </w:rPr>
        <w:t>北京、河南等省市财政部门实施服务外，新增签约湖南全省资产实施项目，全国市场占有率进一步提高。③农村集体资产监</w:t>
      </w:r>
      <w:r>
        <w:rPr>
          <w:spacing w:val="-62"/>
        </w:rPr>
        <w:t> </w:t>
      </w:r>
      <w:r>
        <w:rPr>
          <w:spacing w:val="-62"/>
        </w:rPr>
      </w:r>
      <w:r>
        <w:rPr>
          <w:spacing w:val="-2"/>
        </w:rPr>
        <w:t>管领域取得突破，顺利验收西藏自治区农村集体资产管理信息系统建设项目，新签约甘孜州农村股权量化及产权制度改革信</w:t>
      </w:r>
      <w:r>
        <w:rPr>
          <w:spacing w:val="-63"/>
        </w:rPr>
        <w:t> </w:t>
      </w:r>
      <w:r>
        <w:rPr>
          <w:spacing w:val="-63"/>
        </w:rPr>
      </w:r>
      <w:r>
        <w:rPr>
          <w:spacing w:val="-2"/>
        </w:rPr>
        <w:t>息系统项目。④中标财政部国有金融资本管理系统建设项目，进一步提高国有金融资产管理的科学性、有效性，对于地方有</w:t>
      </w:r>
      <w:r>
        <w:rPr>
          <w:spacing w:val="-64"/>
        </w:rPr>
        <w:t> </w:t>
      </w:r>
      <w:r>
        <w:rPr>
          <w:spacing w:val="-64"/>
        </w:rPr>
      </w:r>
      <w:r>
        <w:rPr>
          <w:spacing w:val="-2"/>
        </w:rPr>
        <w:t>很好的示范作用。⑤加强业务研究及产品换代，在资产云、资产绩效管理、物联网应用、资产共享共用、资产大数据等业务</w:t>
      </w:r>
      <w:r>
        <w:rPr>
          <w:spacing w:val="-67"/>
        </w:rPr>
        <w:t> </w:t>
      </w:r>
      <w:r>
        <w:rPr>
          <w:spacing w:val="-67"/>
        </w:rPr>
      </w:r>
      <w:r>
        <w:rPr>
          <w:spacing w:val="-2"/>
        </w:rPr>
        <w:t>方向进行深入研究，同时基于公司新一代女娲研发平台开发出针对财政部门、行政事业单位、高校的智慧资产管理专版，产</w:t>
      </w:r>
      <w:r>
        <w:rPr>
          <w:spacing w:val="-64"/>
        </w:rPr>
        <w:t> </w:t>
      </w:r>
      <w:r>
        <w:rPr>
          <w:spacing w:val="-64"/>
        </w:rPr>
      </w:r>
      <w:r>
        <w:rPr/>
        <w:t>品性能及易用性大幅提升，市场竞争力进一步加强。</w:t>
      </w:r>
    </w:p>
    <w:p>
      <w:pPr>
        <w:pStyle w:val="BodyText"/>
        <w:spacing w:line="309" w:lineRule="auto" w:before="19"/>
        <w:ind w:right="1034" w:firstLine="360"/>
        <w:jc w:val="left"/>
      </w:pPr>
      <w:r>
        <w:rPr/>
        <w:t>财务管理方面，紧抓政府会计制度改革机遇，继续做好各级单位服务支撑工作并实现产品升级，业务在中央</w:t>
      </w:r>
      <w:r>
        <w:rPr>
          <w:rFonts w:ascii="Times New Roman" w:hAnsi="Times New Roman" w:cs="Times New Roman" w:eastAsia="Times New Roman" w:hint="default"/>
        </w:rPr>
        <w:t>20</w:t>
      </w:r>
      <w:r>
        <w:rPr/>
        <w:t>个部委、 地方</w:t>
      </w:r>
      <w:r>
        <w:rPr>
          <w:rFonts w:ascii="Times New Roman" w:hAnsi="Times New Roman" w:cs="Times New Roman" w:eastAsia="Times New Roman" w:hint="default"/>
        </w:rPr>
        <w:t>7</w:t>
      </w:r>
      <w:r>
        <w:rPr/>
        <w:t>个省级财政以及全国各级主管部门实现快速增长。支撑中央各个部委资产年报升级、决算会审及数据报送工作；保障</w:t>
      </w:r>
      <w:r>
        <w:rPr>
          <w:spacing w:val="-84"/>
        </w:rPr>
        <w:t> </w:t>
      </w:r>
      <w:r>
        <w:rPr>
          <w:spacing w:val="-84"/>
        </w:rPr>
      </w:r>
      <w:r>
        <w:rPr/>
        <w:t>海南、上海等</w:t>
      </w:r>
      <w:r>
        <w:rPr>
          <w:rFonts w:ascii="Times New Roman" w:hAnsi="Times New Roman" w:cs="Times New Roman" w:eastAsia="Times New Roman" w:hint="default"/>
        </w:rPr>
        <w:t>7</w:t>
      </w:r>
      <w:r>
        <w:rPr/>
        <w:t>个省财政系统的预算单位完成年度结账及会计账初始化工作；积极响应中央部委以及地方委办局的财务管理</w:t>
      </w:r>
      <w:r>
        <w:rPr>
          <w:spacing w:val="-84"/>
        </w:rPr>
        <w:t> </w:t>
      </w:r>
      <w:r>
        <w:rPr>
          <w:spacing w:val="-84"/>
        </w:rPr>
      </w:r>
      <w:r>
        <w:rPr/>
        <w:t>市场需求，关注内控财务一体化产品应用需求收集及分析工作，为下一步产品改善提供基础；全力推进国税、海关、国安、</w:t>
      </w:r>
      <w:r>
        <w:rPr>
          <w:spacing w:val="-83"/>
        </w:rPr>
        <w:t> </w:t>
      </w:r>
      <w:r>
        <w:rPr>
          <w:spacing w:val="-83"/>
        </w:rPr>
      </w:r>
      <w:r>
        <w:rPr>
          <w:spacing w:val="-2"/>
        </w:rPr>
        <w:t>邮政、统计、证监等二十多个重点部委的财务一体化项目的推广和升级，以扩大在中央部委层面的占有优势。此外，公司结</w:t>
      </w:r>
      <w:r>
        <w:rPr>
          <w:spacing w:val="-67"/>
        </w:rPr>
        <w:t> </w:t>
      </w:r>
      <w:r>
        <w:rPr>
          <w:spacing w:val="-67"/>
        </w:rPr>
      </w:r>
      <w:r>
        <w:rPr>
          <w:spacing w:val="-2"/>
        </w:rPr>
        <w:t>合新技术、新制度研发下一代政府财务报告、云核算产品、重构财务移动端，整体开发计划稳步推进；并且积极响应市场需</w:t>
      </w:r>
      <w:r>
        <w:rPr>
          <w:spacing w:val="-66"/>
        </w:rPr>
        <w:t> </w:t>
      </w:r>
      <w:r>
        <w:rPr>
          <w:spacing w:val="-66"/>
        </w:rPr>
      </w:r>
      <w:r>
        <w:rPr/>
        <w:t>求，形成基于内控报告的内控管理、内控评价产品体系及市场策略模式。</w:t>
      </w:r>
    </w:p>
    <w:p>
      <w:pPr>
        <w:pStyle w:val="BodyText"/>
        <w:spacing w:line="316" w:lineRule="auto" w:before="24"/>
        <w:ind w:right="1034" w:firstLine="360"/>
        <w:jc w:val="left"/>
      </w:pPr>
      <w:r>
        <w:rPr>
          <w:spacing w:val="-2"/>
        </w:rPr>
        <w:t>财政大数据方面，报告期公司深度聚焦财政与宏观经济领域，推出财政大数据分析应用平台和数据资产管理平台，全面</w:t>
      </w:r>
      <w:r>
        <w:rPr/>
        <w:t> 覆盖财政大数据分析应用重点主题，助力财政治理能力和财政公共服务水平的提升，推动财政大数据向财政数据治理转变。</w:t>
      </w:r>
      <w:r>
        <w:rPr>
          <w:spacing w:val="-83"/>
        </w:rPr>
        <w:t> </w:t>
      </w:r>
      <w:r>
        <w:rPr>
          <w:spacing w:val="-83"/>
        </w:rPr>
      </w:r>
      <w:r>
        <w:rPr>
          <w:spacing w:val="-2"/>
        </w:rPr>
        <w:t>实施完成全国人大常委会报告国有资产管理分析平台项目、陕西财政云数据治理项目和湖南省财政厅财税综合信息平台二期</w:t>
      </w:r>
      <w:r>
        <w:rPr>
          <w:spacing w:val="-64"/>
        </w:rPr>
        <w:t> </w:t>
      </w:r>
      <w:r>
        <w:rPr>
          <w:spacing w:val="-64"/>
        </w:rPr>
      </w:r>
      <w:r>
        <w:rPr/>
        <w:t>建设等项目。</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left="513" w:right="1115"/>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）政务管理</w:t>
      </w:r>
      <w:r>
        <w:rPr>
          <w:rFonts w:ascii="宋体" w:hAnsi="宋体" w:cs="宋体" w:eastAsia="宋体" w:hint="default"/>
          <w:b/>
          <w:bCs/>
          <w:w w:val="99"/>
        </w:rPr>
        <w:t> </w:t>
      </w:r>
      <w:r>
        <w:rPr>
          <w:spacing w:val="-2"/>
        </w:rPr>
        <w:t>政府统计业务方面，公司针对政府统计数据生产方式的变革，以及统计数据分析应用需求的提升，提供了从单位名录库</w:t>
      </w:r>
    </w:p>
    <w:p>
      <w:pPr>
        <w:pStyle w:val="BodyText"/>
        <w:spacing w:line="312" w:lineRule="auto" w:before="31"/>
        <w:ind w:left="0" w:right="1132"/>
        <w:jc w:val="right"/>
      </w:pPr>
      <w:r>
        <w:rPr>
          <w:spacing w:val="-2"/>
        </w:rPr>
        <w:t>到统计数据生产、统计数据处理、统计数据汇总分析、统计数据共享发布的全套解决方案和基于云架构微服务模式的新一代</w:t>
      </w:r>
      <w:r>
        <w:rPr>
          <w:spacing w:val="-76"/>
        </w:rPr>
        <w:t> </w:t>
      </w:r>
      <w:r>
        <w:rPr>
          <w:spacing w:val="-76"/>
        </w:rPr>
      </w:r>
      <w:r>
        <w:rPr>
          <w:spacing w:val="-2"/>
        </w:rPr>
        <w:t>报表平台。报告期，公司完成全国退役军人事务统计管理信息系统交付，服务全国退役军人事务管理部门，并签约辽宁、山</w:t>
      </w:r>
      <w:r>
        <w:rPr>
          <w:spacing w:val="-78"/>
        </w:rPr>
        <w:t> </w:t>
      </w:r>
      <w:r>
        <w:rPr>
          <w:spacing w:val="-78"/>
        </w:rPr>
      </w:r>
      <w:r>
        <w:rPr>
          <w:w w:val="95"/>
        </w:rPr>
        <w:t>西、重庆、广东、湖南、云南、北京、内蒙古、河北等</w:t>
      </w:r>
      <w:r>
        <w:rPr>
          <w:rFonts w:ascii="Times New Roman" w:hAnsi="Times New Roman" w:cs="Times New Roman" w:eastAsia="Times New Roman" w:hint="default"/>
          <w:w w:val="95"/>
        </w:rPr>
        <w:t>17</w:t>
      </w:r>
      <w:r>
        <w:rPr>
          <w:w w:val="95"/>
        </w:rPr>
        <w:t>省份约</w:t>
      </w:r>
      <w:r>
        <w:rPr>
          <w:rFonts w:ascii="Times New Roman" w:hAnsi="Times New Roman" w:cs="Times New Roman" w:eastAsia="Times New Roman" w:hint="default"/>
          <w:w w:val="95"/>
        </w:rPr>
        <w:t>240</w:t>
      </w:r>
      <w:r>
        <w:rPr>
          <w:w w:val="95"/>
        </w:rPr>
        <w:t>个市县级及退役军人管理部门统计业务技术服务项目。</w:t>
      </w:r>
      <w:r>
        <w:rPr>
          <w:spacing w:val="36"/>
          <w:w w:val="95"/>
        </w:rPr>
        <w:t> </w:t>
      </w:r>
      <w:r>
        <w:rPr>
          <w:spacing w:val="36"/>
          <w:w w:val="95"/>
        </w:rPr>
      </w:r>
      <w:r>
        <w:rPr>
          <w:spacing w:val="-2"/>
        </w:rPr>
        <w:t>稳步推进民政部金民工程一期公共服务与决策支持有关项目的实施交付和推广，通过金民工程项目交付将构建统一的民</w:t>
      </w:r>
    </w:p>
    <w:p>
      <w:pPr>
        <w:pStyle w:val="BodyText"/>
        <w:spacing w:line="300" w:lineRule="auto" w:before="22"/>
        <w:ind w:left="513" w:right="0" w:hanging="361"/>
        <w:jc w:val="left"/>
      </w:pPr>
      <w:r>
        <w:rPr/>
        <w:t>政业务</w:t>
      </w:r>
      <w:r>
        <w:rPr>
          <w:rFonts w:ascii="Times New Roman" w:hAnsi="Times New Roman" w:cs="Times New Roman" w:eastAsia="Times New Roman" w:hint="default"/>
        </w:rPr>
        <w:t>“</w:t>
      </w:r>
      <w:r>
        <w:rPr/>
        <w:t>一套报表</w:t>
      </w:r>
      <w:r>
        <w:rPr>
          <w:rFonts w:ascii="Times New Roman" w:hAnsi="Times New Roman" w:cs="Times New Roman" w:eastAsia="Times New Roman" w:hint="default"/>
        </w:rPr>
        <w:t>”</w:t>
      </w:r>
      <w:r>
        <w:rPr/>
        <w:t>体系、建立民政科学决策体系、提高信用信息归集和分析水平并构建一个高效的电子政务协同办公平台。</w:t>
      </w:r>
      <w:r>
        <w:rPr>
          <w:spacing w:val="-71"/>
        </w:rPr>
        <w:t> </w:t>
      </w:r>
      <w:r>
        <w:rPr>
          <w:spacing w:val="-71"/>
        </w:rPr>
      </w:r>
      <w:r>
        <w:rPr>
          <w:spacing w:val="-5"/>
        </w:rPr>
        <w:t>深化国资监管业务，先后形成国资监管行业国资国企在线监管云平台、大额资金动态监测系统、企业财务信息共享平台；</w:t>
      </w:r>
    </w:p>
    <w:p>
      <w:pPr>
        <w:pStyle w:val="BodyText"/>
        <w:spacing w:line="300" w:lineRule="auto" w:before="31"/>
        <w:ind w:right="1115"/>
        <w:jc w:val="left"/>
      </w:pPr>
      <w:r>
        <w:rPr>
          <w:spacing w:val="-5"/>
        </w:rPr>
        <w:t>继续发力行业协会，形成行业协会大数据综合管理平台等多个解决方案，签约国家信息中心</w:t>
      </w:r>
      <w:r>
        <w:rPr>
          <w:rFonts w:ascii="Times New Roman" w:hAnsi="Times New Roman" w:cs="Times New Roman" w:eastAsia="Times New Roman" w:hint="default"/>
          <w:spacing w:val="-5"/>
        </w:rPr>
        <w:t>2019</w:t>
      </w:r>
      <w:r>
        <w:rPr>
          <w:spacing w:val="-5"/>
        </w:rPr>
        <w:t>年国家公共数据开放网站（一</w:t>
      </w:r>
      <w:r>
        <w:rPr>
          <w:spacing w:val="-64"/>
        </w:rPr>
        <w:t> </w:t>
      </w:r>
      <w:r>
        <w:rPr>
          <w:spacing w:val="-64"/>
        </w:rPr>
      </w:r>
      <w:r>
        <w:rPr/>
        <w:t>期）工程国家经济运行仿真与政策分析系统建设项目，持续提升久其大数据业务的核心能力。</w:t>
      </w:r>
    </w:p>
    <w:p>
      <w:pPr>
        <w:spacing w:line="240" w:lineRule="auto" w:before="3"/>
        <w:rPr>
          <w:rFonts w:ascii="宋体" w:hAnsi="宋体" w:cs="宋体" w:eastAsia="宋体" w:hint="default"/>
          <w:sz w:val="26"/>
          <w:szCs w:val="26"/>
        </w:rPr>
      </w:pPr>
    </w:p>
    <w:p>
      <w:pPr>
        <w:pStyle w:val="BodyText"/>
        <w:spacing w:line="300" w:lineRule="auto"/>
        <w:ind w:left="513" w:right="1115"/>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）交通领域</w:t>
      </w:r>
      <w:r>
        <w:rPr>
          <w:rFonts w:ascii="宋体" w:hAnsi="宋体" w:cs="宋体" w:eastAsia="宋体" w:hint="default"/>
          <w:b/>
          <w:bCs/>
          <w:w w:val="99"/>
        </w:rPr>
        <w:t> </w:t>
      </w:r>
      <w:r>
        <w:rPr>
          <w:spacing w:val="-2"/>
        </w:rPr>
        <w:t>公司紧紧围绕交通运输信息化</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发展规划，持续为交通运输部及全国</w:t>
      </w:r>
      <w:r>
        <w:rPr>
          <w:rFonts w:ascii="Times New Roman" w:hAnsi="Times New Roman" w:cs="Times New Roman" w:eastAsia="Times New Roman" w:hint="default"/>
          <w:spacing w:val="-2"/>
        </w:rPr>
        <w:t>28</w:t>
      </w:r>
      <w:r>
        <w:rPr>
          <w:spacing w:val="-2"/>
        </w:rPr>
        <w:t>个省厅提供信息化服务。业务布局涉及综</w:t>
      </w:r>
    </w:p>
    <w:p>
      <w:pPr>
        <w:pStyle w:val="BodyText"/>
        <w:spacing w:line="309" w:lineRule="auto" w:before="13"/>
        <w:ind w:right="1130"/>
        <w:jc w:val="both"/>
      </w:pPr>
      <w:r>
        <w:rPr>
          <w:spacing w:val="-2"/>
        </w:rPr>
        <w:t>合统计决策、交通财务审计、数据中心与应急指挥中心、信用执法等方面，特别是在综合统计决策、数据中心、应急指挥中</w:t>
      </w:r>
      <w:r>
        <w:rPr>
          <w:spacing w:val="-68"/>
        </w:rPr>
        <w:t> </w:t>
      </w:r>
      <w:r>
        <w:rPr>
          <w:spacing w:val="-68"/>
        </w:rPr>
      </w:r>
      <w:r>
        <w:rPr/>
        <w:t>心等业务领域积极推进大数据技术与交通行业业务的融合。报告期内，公司新开拓应急装备物资管理平台及</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监管</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系统两项新业务布局。</w:t>
      </w:r>
    </w:p>
    <w:p>
      <w:pPr>
        <w:pStyle w:val="BodyText"/>
        <w:spacing w:line="307" w:lineRule="auto" w:before="24"/>
        <w:ind w:right="1128" w:firstLine="360"/>
        <w:jc w:val="both"/>
      </w:pPr>
      <w:r>
        <w:rPr>
          <w:spacing w:val="-2"/>
        </w:rPr>
        <w:t>综合统计决策业务已覆盖</w:t>
      </w:r>
      <w:r>
        <w:rPr>
          <w:rFonts w:ascii="Times New Roman" w:hAnsi="Times New Roman" w:cs="Times New Roman" w:eastAsia="Times New Roman" w:hint="default"/>
          <w:spacing w:val="-2"/>
        </w:rPr>
        <w:t>26</w:t>
      </w:r>
      <w:r>
        <w:rPr>
          <w:spacing w:val="-2"/>
        </w:rPr>
        <w:t>省，涵盖大部分行业统计业务。通过融合大数据技术，将数据作为</w:t>
      </w:r>
      <w:r>
        <w:rPr>
          <w:rFonts w:ascii="Times New Roman" w:hAnsi="Times New Roman" w:cs="Times New Roman" w:eastAsia="Times New Roman" w:hint="default"/>
          <w:spacing w:val="-2"/>
        </w:rPr>
        <w:t>“</w:t>
      </w:r>
      <w:r>
        <w:rPr>
          <w:spacing w:val="-2"/>
        </w:rPr>
        <w:t>资产</w:t>
      </w:r>
      <w:r>
        <w:rPr>
          <w:rFonts w:ascii="Times New Roman" w:hAnsi="Times New Roman" w:cs="Times New Roman" w:eastAsia="Times New Roman" w:hint="default"/>
          <w:spacing w:val="-2"/>
        </w:rPr>
        <w:t>”</w:t>
      </w:r>
      <w:r>
        <w:rPr>
          <w:spacing w:val="-2"/>
        </w:rPr>
        <w:t>进行管理，构建交</w:t>
      </w:r>
      <w:r>
        <w:rPr/>
        <w:t> </w:t>
      </w:r>
      <w:r>
        <w:rPr>
          <w:spacing w:val="-2"/>
        </w:rPr>
        <w:t>通行业统计分析的数据仓库，辅助交通行业经济运行分析。新签约交通运输部综合交通发展决策服务信息系统项目，该系统</w:t>
      </w:r>
      <w:r>
        <w:rPr>
          <w:spacing w:val="-63"/>
        </w:rPr>
        <w:t> </w:t>
      </w:r>
      <w:r>
        <w:rPr>
          <w:spacing w:val="-63"/>
        </w:rPr>
      </w:r>
      <w:r>
        <w:rPr>
          <w:spacing w:val="-1"/>
        </w:rPr>
        <w:t>作为国家综合交通运输信息平台中</w:t>
      </w:r>
      <w:r>
        <w:rPr>
          <w:rFonts w:ascii="Times New Roman" w:hAnsi="Times New Roman" w:cs="Times New Roman" w:eastAsia="Times New Roman" w:hint="default"/>
          <w:spacing w:val="-1"/>
        </w:rPr>
        <w:t>“</w:t>
      </w:r>
      <w:r>
        <w:rPr>
          <w:spacing w:val="-1"/>
        </w:rPr>
        <w:t>决策支持与评价</w:t>
      </w:r>
      <w:r>
        <w:rPr>
          <w:rFonts w:ascii="Times New Roman" w:hAnsi="Times New Roman" w:cs="Times New Roman" w:eastAsia="Times New Roman" w:hint="default"/>
          <w:spacing w:val="-1"/>
        </w:rPr>
        <w:t>”</w:t>
      </w:r>
      <w:r>
        <w:rPr>
          <w:spacing w:val="-1"/>
        </w:rPr>
        <w:t>的牵引性工程，将以</w:t>
      </w:r>
      <w:r>
        <w:rPr>
          <w:rFonts w:ascii="Times New Roman" w:hAnsi="Times New Roman" w:cs="Times New Roman" w:eastAsia="Times New Roman" w:hint="default"/>
          <w:spacing w:val="-1"/>
        </w:rPr>
        <w:t>“</w:t>
      </w:r>
      <w:r>
        <w:rPr>
          <w:spacing w:val="-1"/>
        </w:rPr>
        <w:t>数字化、图形化、全景化</w:t>
      </w:r>
      <w:r>
        <w:rPr>
          <w:rFonts w:ascii="Times New Roman" w:hAnsi="Times New Roman" w:cs="Times New Roman" w:eastAsia="Times New Roman" w:hint="default"/>
          <w:spacing w:val="-1"/>
        </w:rPr>
        <w:t>”</w:t>
      </w:r>
      <w:r>
        <w:rPr>
          <w:spacing w:val="-1"/>
        </w:rPr>
        <w:t>的展现方式，实现对交</w:t>
      </w:r>
      <w:r>
        <w:rPr>
          <w:spacing w:val="-75"/>
        </w:rPr>
        <w:t> </w:t>
      </w:r>
      <w:r>
        <w:rPr>
          <w:spacing w:val="-75"/>
        </w:rPr>
      </w:r>
      <w:r>
        <w:rPr/>
        <w:t>通重点建设项目重点流程的智能分析与预警等，为宏观决策提供支撑。</w:t>
      </w:r>
    </w:p>
    <w:p>
      <w:pPr>
        <w:pStyle w:val="BodyText"/>
        <w:spacing w:line="316" w:lineRule="auto" w:before="26"/>
        <w:ind w:right="1130" w:firstLine="360"/>
        <w:jc w:val="both"/>
      </w:pPr>
      <w:r>
        <w:rPr>
          <w:spacing w:val="-2"/>
        </w:rPr>
        <w:t>交通行业财务审计业务，目前公司用户单位涵盖交通部及所有直属单位、民航局及其直属单位，实现交通行业财务内控</w:t>
      </w:r>
      <w:r>
        <w:rPr/>
        <w:t> </w:t>
      </w:r>
      <w:r>
        <w:rPr>
          <w:spacing w:val="-2"/>
        </w:rPr>
        <w:t>业务全面覆盖、集中管理、强化审计、规范指导，促进行业健康发展。持续保障中国民航局空管局、清算中心和运行监控中</w:t>
      </w:r>
      <w:r>
        <w:rPr>
          <w:spacing w:val="-68"/>
        </w:rPr>
        <w:t> </w:t>
      </w:r>
      <w:r>
        <w:rPr>
          <w:spacing w:val="-68"/>
        </w:rPr>
      </w:r>
      <w:r>
        <w:rPr/>
        <w:t>心财务管理信息系统的升级改造，力争进一步扩大行业服务范围。</w:t>
      </w:r>
    </w:p>
    <w:p>
      <w:pPr>
        <w:pStyle w:val="BodyText"/>
        <w:spacing w:line="319" w:lineRule="auto" w:before="19"/>
        <w:ind w:left="513" w:right="0"/>
        <w:jc w:val="left"/>
      </w:pPr>
      <w:r>
        <w:rPr>
          <w:spacing w:val="-4"/>
        </w:rPr>
        <w:t>交通数据中心业务取得初步成效，甘肃项目于年底完成初验，初步实现大数据技术与交通行业业务融合应用的交付落地。</w:t>
      </w:r>
      <w:r>
        <w:rPr>
          <w:spacing w:val="-52"/>
        </w:rPr>
        <w:t> </w:t>
      </w:r>
      <w:r>
        <w:rPr>
          <w:spacing w:val="-52"/>
        </w:rPr>
      </w:r>
      <w:r>
        <w:rPr>
          <w:spacing w:val="-2"/>
        </w:rPr>
        <w:t>交通应急指挥中心业务覆盖范围进一步扩大，目前已涵盖交通运输部及江苏、云南、黑龙江等省市。江苏、黑龙江项目</w:t>
      </w:r>
    </w:p>
    <w:p>
      <w:pPr>
        <w:pStyle w:val="BodyText"/>
        <w:spacing w:line="316" w:lineRule="auto" w:before="17"/>
        <w:ind w:left="513" w:right="1123" w:hanging="361"/>
        <w:jc w:val="left"/>
      </w:pPr>
      <w:r>
        <w:rPr/>
        <w:t>的顺利验收，再次体现出公司在交通行业集成项目管理交付的能力。 信用执法业务方面进一步深化。交通信用业务已拓展至</w:t>
      </w:r>
      <w:r>
        <w:rPr>
          <w:rFonts w:ascii="Times New Roman" w:hAnsi="Times New Roman" w:cs="Times New Roman" w:eastAsia="Times New Roman" w:hint="default"/>
        </w:rPr>
        <w:t>11</w:t>
      </w:r>
      <w:r>
        <w:rPr/>
        <w:t>省</w:t>
      </w:r>
      <w:r>
        <w:rPr>
          <w:rFonts w:ascii="Times New Roman" w:hAnsi="Times New Roman" w:cs="Times New Roman" w:eastAsia="Times New Roman" w:hint="default"/>
        </w:rPr>
        <w:t>1</w:t>
      </w:r>
      <w:r>
        <w:rPr/>
        <w:t>市，报告期内相继完成河南、河北、四川、新疆的验收，</w:t>
      </w:r>
    </w:p>
    <w:p>
      <w:pPr>
        <w:pStyle w:val="BodyText"/>
        <w:spacing w:line="300" w:lineRule="auto"/>
        <w:ind w:right="1115"/>
        <w:jc w:val="left"/>
      </w:pPr>
      <w:r>
        <w:rPr>
          <w:spacing w:val="-2"/>
        </w:rPr>
        <w:t>协助多省份完成</w:t>
      </w:r>
      <w:r>
        <w:rPr>
          <w:rFonts w:ascii="Times New Roman" w:hAnsi="Times New Roman" w:cs="Times New Roman" w:eastAsia="Times New Roman" w:hint="default"/>
          <w:spacing w:val="-2"/>
        </w:rPr>
        <w:t>“</w:t>
      </w:r>
      <w:r>
        <w:rPr>
          <w:spacing w:val="-2"/>
        </w:rPr>
        <w:t>信用交通省</w:t>
      </w:r>
      <w:r>
        <w:rPr>
          <w:rFonts w:ascii="Times New Roman" w:hAnsi="Times New Roman" w:cs="Times New Roman" w:eastAsia="Times New Roman" w:hint="default"/>
          <w:spacing w:val="-2"/>
        </w:rPr>
        <w:t>”</w:t>
      </w:r>
      <w:r>
        <w:rPr>
          <w:spacing w:val="-2"/>
        </w:rPr>
        <w:t>指标分解与考核工作。交通行政执法业务蓬勃发展，签约中国交通通信信息中心以及青海、宁</w:t>
      </w:r>
      <w:r>
        <w:rPr>
          <w:spacing w:val="-46"/>
        </w:rPr>
        <w:t> </w:t>
      </w:r>
      <w:r>
        <w:rPr>
          <w:spacing w:val="-46"/>
        </w:rPr>
      </w:r>
      <w:r>
        <w:rPr/>
        <w:t>夏、江西、云南等省份的交通运输行政执法综合管理信息系统项目。</w:t>
      </w:r>
    </w:p>
    <w:p>
      <w:pPr>
        <w:pStyle w:val="BodyText"/>
        <w:spacing w:line="309" w:lineRule="auto" w:before="31"/>
        <w:ind w:right="1130" w:firstLine="360"/>
        <w:jc w:val="both"/>
      </w:pPr>
      <w:r>
        <w:rPr>
          <w:spacing w:val="-2"/>
        </w:rPr>
        <w:t>未来，公司将进一步落实聚焦交通行业的战略，通过</w:t>
      </w:r>
      <w:r>
        <w:rPr>
          <w:rFonts w:ascii="Times New Roman" w:hAnsi="Times New Roman" w:cs="Times New Roman" w:eastAsia="Times New Roman" w:hint="default"/>
          <w:spacing w:val="-2"/>
        </w:rPr>
        <w:t>“</w:t>
      </w:r>
      <w:r>
        <w:rPr>
          <w:spacing w:val="-2"/>
        </w:rPr>
        <w:t>二级单位推广、产品升级改造、提供增值服务</w:t>
      </w:r>
      <w:r>
        <w:rPr>
          <w:rFonts w:ascii="Times New Roman" w:hAnsi="Times New Roman" w:cs="Times New Roman" w:eastAsia="Times New Roman" w:hint="default"/>
          <w:spacing w:val="-2"/>
        </w:rPr>
        <w:t>”</w:t>
      </w:r>
      <w:r>
        <w:rPr>
          <w:spacing w:val="-2"/>
        </w:rPr>
        <w:t>等途径进一步提高</w:t>
      </w:r>
      <w:r>
        <w:rPr/>
        <w:t> </w:t>
      </w:r>
      <w:r>
        <w:rPr>
          <w:spacing w:val="-2"/>
        </w:rPr>
        <w:t>已有业务再生能力，并积极开拓交通安全监管等新业务，寻求公司在交通行业的持续稳定发展，稳步推进大数据技术与交通</w:t>
      </w:r>
      <w:r>
        <w:rPr>
          <w:spacing w:val="-63"/>
        </w:rPr>
        <w:t> </w:t>
      </w:r>
      <w:r>
        <w:rPr>
          <w:spacing w:val="-63"/>
        </w:rPr>
      </w:r>
      <w:r>
        <w:rPr/>
        <w:t>行业业务融合应用，力争成为国内领先的交通运输信息化和大数据服务提供商。</w:t>
      </w:r>
    </w:p>
    <w:p>
      <w:pPr>
        <w:spacing w:line="240" w:lineRule="auto" w:before="9"/>
        <w:rPr>
          <w:rFonts w:ascii="宋体" w:hAnsi="宋体" w:cs="宋体" w:eastAsia="宋体" w:hint="default"/>
          <w:sz w:val="25"/>
          <w:szCs w:val="25"/>
        </w:rPr>
      </w:pPr>
    </w:p>
    <w:p>
      <w:pPr>
        <w:pStyle w:val="BodyText"/>
        <w:spacing w:line="300" w:lineRule="auto"/>
        <w:ind w:left="513" w:right="1115"/>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）司法领域</w:t>
      </w:r>
      <w:r>
        <w:rPr>
          <w:rFonts w:ascii="宋体" w:hAnsi="宋体" w:cs="宋体" w:eastAsia="宋体" w:hint="default"/>
          <w:b/>
          <w:bCs/>
          <w:w w:val="99"/>
        </w:rPr>
        <w:t> </w:t>
      </w:r>
      <w:r>
        <w:rPr>
          <w:spacing w:val="-2"/>
        </w:rPr>
        <w:t>全资子公司华夏电通依托自身技术积累和引进战略合作伙伴，推动业务的升级和发展，提升智慧法庭、智慧监管、智慧</w:t>
      </w:r>
    </w:p>
    <w:p>
      <w:pPr>
        <w:pStyle w:val="BodyText"/>
        <w:spacing w:line="312" w:lineRule="auto" w:before="32"/>
        <w:ind w:right="1034"/>
        <w:jc w:val="left"/>
      </w:pPr>
      <w:r>
        <w:rPr/>
        <w:t>审判、智慧诉服和智慧执检等明星产品的适用性和易用性，努力打造集研发、建设、运维为一体的智慧法院综合服务体系。</w:t>
      </w:r>
      <w:r>
        <w:rPr>
          <w:spacing w:val="-83"/>
        </w:rPr>
        <w:t> </w:t>
      </w:r>
      <w:r>
        <w:rPr>
          <w:spacing w:val="-83"/>
        </w:rPr>
      </w:r>
      <w:r>
        <w:rPr>
          <w:spacing w:val="-2"/>
        </w:rPr>
        <w:t>一是承建了最高人民法院智慧庭审研发项目，并承担了最高人民法院智能审务督察及远程行政应诉平台系统建设任务，获得</w:t>
      </w:r>
      <w:r>
        <w:rPr>
          <w:spacing w:val="-63"/>
        </w:rPr>
        <w:t> </w:t>
      </w:r>
      <w:r>
        <w:rPr>
          <w:spacing w:val="-63"/>
        </w:rPr>
      </w:r>
      <w:r>
        <w:rPr>
          <w:spacing w:val="-2"/>
        </w:rPr>
        <w:t>客户高度评价；二是智慧法庭和审务督察项目在宁夏、江苏、安徽、山东、四川等多个地区落地，电子卷宗随案生成及深度</w:t>
      </w:r>
      <w:r>
        <w:rPr>
          <w:spacing w:val="-70"/>
        </w:rPr>
        <w:t> </w:t>
      </w:r>
      <w:r>
        <w:rPr>
          <w:spacing w:val="-70"/>
        </w:rPr>
      </w:r>
      <w:r>
        <w:rPr>
          <w:spacing w:val="-2"/>
        </w:rPr>
        <w:t>应用、智慧法庭、简案快审、金融借贷办案一体化平台、要素式审判等系列解决方案在山东全省法院得到了大力推广，并先</w:t>
      </w:r>
      <w:r>
        <w:rPr>
          <w:spacing w:val="-65"/>
        </w:rPr>
        <w:t> </w:t>
      </w:r>
      <w:r>
        <w:rPr>
          <w:spacing w:val="-65"/>
        </w:rPr>
      </w:r>
      <w:r>
        <w:rPr>
          <w:spacing w:val="-2"/>
        </w:rPr>
        <w:t>后签约四川全省电子卷宗随案生成及深度应用项目和四川全省科技法庭项目；三是业务规模不断扩大，截至报告期末，华夏</w:t>
      </w:r>
      <w:r>
        <w:rPr>
          <w:spacing w:val="-65"/>
        </w:rPr>
        <w:t> </w:t>
      </w:r>
      <w:r>
        <w:rPr>
          <w:spacing w:val="-65"/>
        </w:rPr>
      </w:r>
      <w:r>
        <w:rPr>
          <w:spacing w:val="-2"/>
        </w:rPr>
        <w:t>电通的智慧法院业务已延伸到江苏、安徽、江西、山东、广东等</w:t>
      </w:r>
      <w:r>
        <w:rPr>
          <w:rFonts w:ascii="Times New Roman" w:hAnsi="Times New Roman" w:cs="Times New Roman" w:eastAsia="Times New Roman" w:hint="default"/>
          <w:spacing w:val="-2"/>
        </w:rPr>
        <w:t>17</w:t>
      </w:r>
      <w:r>
        <w:rPr>
          <w:spacing w:val="-2"/>
        </w:rPr>
        <w:t>个省、市和自治区。此外，华夏电通还积极挖掘新业务增</w:t>
      </w:r>
      <w:r>
        <w:rPr>
          <w:spacing w:val="-69"/>
        </w:rPr>
        <w:t> </w:t>
      </w:r>
      <w:r>
        <w:rPr>
          <w:spacing w:val="-69"/>
        </w:rPr>
      </w:r>
      <w:r>
        <w:rPr>
          <w:spacing w:val="-2"/>
        </w:rPr>
        <w:t>长点，在智慧检务业务中不断尝试并取得突破，其刑事执行检察办案平台获评“</w:t>
      </w:r>
      <w:r>
        <w:rPr>
          <w:rFonts w:ascii="Times New Roman" w:hAnsi="Times New Roman" w:cs="Times New Roman" w:eastAsia="Times New Roman" w:hint="default"/>
          <w:spacing w:val="-2"/>
        </w:rPr>
        <w:t>2019</w:t>
      </w:r>
      <w:r>
        <w:rPr>
          <w:spacing w:val="-2"/>
        </w:rPr>
        <w:t>年全国政法智能化建设智慧检务十大解</w:t>
      </w:r>
      <w:r>
        <w:rPr>
          <w:spacing w:val="-60"/>
        </w:rPr>
        <w:t> </w:t>
      </w:r>
      <w:r>
        <w:rPr>
          <w:spacing w:val="-60"/>
        </w:rPr>
      </w:r>
      <w:r>
        <w:rPr/>
        <w:t>决方案”。</w:t>
      </w:r>
    </w:p>
    <w:p>
      <w:pPr>
        <w:spacing w:after="0" w:line="312"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left="513" w:right="1115"/>
        <w:jc w:val="left"/>
      </w:pPr>
      <w:r>
        <w:rPr>
          <w:rFonts w:ascii="宋体" w:hAnsi="宋体" w:cs="宋体" w:eastAsia="宋体" w:hint="default"/>
          <w:b/>
          <w:bCs/>
        </w:rPr>
        <w:t>（</w:t>
      </w:r>
      <w:r>
        <w:rPr>
          <w:rFonts w:ascii="Times New Roman" w:hAnsi="Times New Roman" w:cs="Times New Roman" w:eastAsia="Times New Roman" w:hint="default"/>
          <w:b/>
          <w:bCs/>
        </w:rPr>
        <w:t>5</w:t>
      </w:r>
      <w:r>
        <w:rPr>
          <w:rFonts w:ascii="宋体" w:hAnsi="宋体" w:cs="宋体" w:eastAsia="宋体" w:hint="default"/>
          <w:b/>
          <w:bCs/>
        </w:rPr>
        <w:t>）教育领域</w:t>
      </w:r>
      <w:r>
        <w:rPr>
          <w:rFonts w:ascii="宋体" w:hAnsi="宋体" w:cs="宋体" w:eastAsia="宋体" w:hint="default"/>
          <w:b/>
          <w:bCs/>
          <w:w w:val="99"/>
        </w:rPr>
        <w:t> </w:t>
      </w:r>
      <w:r>
        <w:rPr>
          <w:spacing w:val="-2"/>
        </w:rPr>
        <w:t>教育大数据方面，持续深耕完善教育部、广东、宁夏、重庆等部、省两级的教育科学决策服务体系，助力西藏教育打造</w:t>
      </w:r>
    </w:p>
    <w:p>
      <w:pPr>
        <w:pStyle w:val="BodyText"/>
        <w:spacing w:line="309" w:lineRule="auto" w:before="31"/>
        <w:ind w:right="1034"/>
        <w:jc w:val="left"/>
      </w:pPr>
      <w:r>
        <w:rPr>
          <w:rFonts w:ascii="Times New Roman" w:hAnsi="Times New Roman" w:cs="Times New Roman" w:eastAsia="Times New Roman" w:hint="default"/>
          <w:spacing w:val="-4"/>
          <w:w w:val="100"/>
        </w:rPr>
        <w:t>“</w:t>
      </w:r>
      <w:r>
        <w:rPr>
          <w:spacing w:val="-4"/>
          <w:w w:val="100"/>
        </w:rPr>
        <w:t>珠峰旗云</w:t>
      </w:r>
      <w:r>
        <w:rPr>
          <w:rFonts w:ascii="Times New Roman" w:hAnsi="Times New Roman" w:cs="Times New Roman" w:eastAsia="Times New Roman" w:hint="default"/>
          <w:spacing w:val="-4"/>
          <w:w w:val="100"/>
        </w:rPr>
        <w:t>”</w:t>
      </w:r>
      <w:r>
        <w:rPr>
          <w:spacing w:val="-4"/>
          <w:w w:val="100"/>
        </w:rPr>
        <w:t>信息化平台，以</w:t>
      </w:r>
      <w:r>
        <w:rPr>
          <w:rFonts w:ascii="Times New Roman" w:hAnsi="Times New Roman" w:cs="Times New Roman" w:eastAsia="Times New Roman" w:hint="default"/>
          <w:spacing w:val="-4"/>
          <w:w w:val="100"/>
        </w:rPr>
        <w:t>“</w:t>
      </w:r>
      <w:r>
        <w:rPr>
          <w:spacing w:val="-4"/>
          <w:w w:val="100"/>
        </w:rPr>
        <w:t>数据剖析问题、问题驱动决策</w:t>
      </w:r>
      <w:r>
        <w:rPr>
          <w:rFonts w:ascii="Times New Roman" w:hAnsi="Times New Roman" w:cs="Times New Roman" w:eastAsia="Times New Roman" w:hint="default"/>
          <w:spacing w:val="-4"/>
          <w:w w:val="100"/>
        </w:rPr>
        <w:t>”</w:t>
      </w:r>
      <w:r>
        <w:rPr>
          <w:spacing w:val="-4"/>
          <w:w w:val="100"/>
        </w:rPr>
        <w:t>的建设理念，持续为教育管理部门提高综合治理体系与治理能力，</w:t>
      </w:r>
      <w:r>
        <w:rPr/>
        <w:t> 实现了国内首例教育管理平台与资源平台数据融合的省级教育数据中心，建立了省、市、区县到学校的四级应用体系架构，</w:t>
      </w:r>
      <w:r>
        <w:rPr>
          <w:spacing w:val="-83"/>
        </w:rPr>
        <w:t> </w:t>
      </w:r>
      <w:r>
        <w:rPr>
          <w:spacing w:val="-83"/>
        </w:rPr>
      </w:r>
      <w:r>
        <w:rPr/>
        <w:t>实现数据的融合贯通，做到</w:t>
      </w:r>
      <w:r>
        <w:rPr>
          <w:rFonts w:ascii="Times New Roman" w:hAnsi="Times New Roman" w:cs="Times New Roman" w:eastAsia="Times New Roman" w:hint="default"/>
        </w:rPr>
        <w:t>“</w:t>
      </w:r>
      <w:r>
        <w:rPr/>
        <w:t>一数一源</w:t>
      </w:r>
      <w:r>
        <w:rPr>
          <w:rFonts w:ascii="Times New Roman" w:hAnsi="Times New Roman" w:cs="Times New Roman" w:eastAsia="Times New Roman" w:hint="default"/>
        </w:rPr>
        <w:t>”</w:t>
      </w:r>
      <w:r>
        <w:rPr/>
        <w:t>以及不同数据之间的相互校验。</w:t>
      </w:r>
    </w:p>
    <w:p>
      <w:pPr>
        <w:pStyle w:val="BodyText"/>
        <w:spacing w:line="312" w:lineRule="auto" w:before="5"/>
        <w:ind w:right="1131" w:firstLine="360"/>
        <w:jc w:val="both"/>
      </w:pPr>
      <w:r>
        <w:rPr>
          <w:spacing w:val="-2"/>
        </w:rPr>
        <w:t>教育资产方面，协助教育部建立国资监管平台，搭建标准资产数据中心、业务事项办事中心、统计报表中心；完成直属</w:t>
      </w:r>
      <w:r>
        <w:rPr/>
        <w:t> </w:t>
      </w:r>
      <w:r>
        <w:rPr>
          <w:spacing w:val="-2"/>
        </w:rPr>
        <w:t>高校资产处置、出租出借、清产核资、资产评估、科技成果评估项目备案、高校所属体制改革试点工作总结报告等多项业务</w:t>
      </w:r>
      <w:r>
        <w:rPr>
          <w:spacing w:val="-67"/>
        </w:rPr>
        <w:t> </w:t>
      </w:r>
      <w:r>
        <w:rPr>
          <w:spacing w:val="-67"/>
        </w:rPr>
      </w:r>
      <w:r>
        <w:rPr>
          <w:spacing w:val="-5"/>
        </w:rPr>
        <w:t>工作，并发布了高等院校资产管理信息系统智慧版。近年来，公司先后完成了北京邮电大学、中国人民公安大学、云南大学、</w:t>
      </w:r>
      <w:r>
        <w:rPr>
          <w:spacing w:val="-80"/>
        </w:rPr>
        <w:t> </w:t>
      </w:r>
      <w:r>
        <w:rPr>
          <w:spacing w:val="-80"/>
        </w:rPr>
      </w:r>
      <w:r>
        <w:rPr/>
        <w:t>云南师范大学、皖南医学院等</w:t>
      </w:r>
      <w:r>
        <w:rPr>
          <w:rFonts w:ascii="Times New Roman" w:hAnsi="Times New Roman" w:cs="Times New Roman" w:eastAsia="Times New Roman" w:hint="default"/>
        </w:rPr>
        <w:t>300</w:t>
      </w:r>
      <w:r>
        <w:rPr/>
        <w:t>多所高校资产一体化项目签约，逐步形成以资产管理为核心，整合采购、资产、房产、实</w:t>
      </w:r>
      <w:r>
        <w:rPr>
          <w:spacing w:val="-84"/>
        </w:rPr>
        <w:t> </w:t>
      </w:r>
      <w:r>
        <w:rPr>
          <w:spacing w:val="-84"/>
        </w:rPr>
      </w:r>
      <w:r>
        <w:rPr>
          <w:spacing w:val="-2"/>
        </w:rPr>
        <w:t>验室、大型仪器共享等多种业务，全面打造智能化一厅、一评、一数、二网、三终端的新型</w:t>
      </w:r>
      <w:r>
        <w:rPr>
          <w:rFonts w:ascii="Times New Roman" w:hAnsi="Times New Roman" w:cs="Times New Roman" w:eastAsia="Times New Roman" w:hint="default"/>
          <w:spacing w:val="-2"/>
        </w:rPr>
        <w:t>“3123”</w:t>
      </w:r>
      <w:r>
        <w:rPr>
          <w:spacing w:val="-2"/>
        </w:rPr>
        <w:t>资产管理业务模式，建立</w:t>
      </w:r>
      <w:r>
        <w:rPr>
          <w:spacing w:val="-42"/>
        </w:rPr>
        <w:t> </w:t>
      </w:r>
      <w:r>
        <w:rPr>
          <w:spacing w:val="-42"/>
        </w:rPr>
      </w:r>
      <w:r>
        <w:rPr/>
        <w:t>和完善资产管理绩效评价体系，实现资产管理模式由数据管理模型到精准治理范式的全面升级。</w:t>
      </w:r>
    </w:p>
    <w:p>
      <w:pPr>
        <w:pStyle w:val="BodyText"/>
        <w:spacing w:line="319" w:lineRule="auto" w:before="22"/>
        <w:ind w:right="1133" w:firstLine="360"/>
        <w:jc w:val="both"/>
      </w:pPr>
      <w:r>
        <w:rPr>
          <w:spacing w:val="-2"/>
        </w:rPr>
        <w:t>高校资助方面，以建设校园大数据为基础，挖掘学生信息、学情数据、学生消费数据、图书借阅数据、上网行为分析等</w:t>
      </w:r>
      <w:r>
        <w:rPr/>
        <w:t> </w:t>
      </w:r>
      <w:r>
        <w:rPr>
          <w:spacing w:val="-2"/>
        </w:rPr>
        <w:t>数据，进行数据分析，利用数学建模的手段，建设智慧资助主题分析、学生画像，辅助学生资助工作，预警资助问题；报告</w:t>
      </w:r>
      <w:r>
        <w:rPr>
          <w:spacing w:val="-73"/>
        </w:rPr>
        <w:t> </w:t>
      </w:r>
      <w:r>
        <w:rPr>
          <w:spacing w:val="-73"/>
        </w:rPr>
      </w:r>
      <w:r>
        <w:rPr/>
        <w:t>期，携手安徽医科大学、合肥学院完成项目建设。</w:t>
      </w:r>
    </w:p>
    <w:p>
      <w:pPr>
        <w:spacing w:line="240" w:lineRule="auto" w:before="2"/>
        <w:rPr>
          <w:rFonts w:ascii="宋体" w:hAnsi="宋体" w:cs="宋体" w:eastAsia="宋体" w:hint="default"/>
          <w:sz w:val="25"/>
          <w:szCs w:val="25"/>
        </w:rPr>
      </w:pPr>
    </w:p>
    <w:p>
      <w:pPr>
        <w:pStyle w:val="BodyText"/>
        <w:spacing w:line="300" w:lineRule="auto"/>
        <w:ind w:left="513" w:right="1115"/>
        <w:jc w:val="left"/>
      </w:pPr>
      <w:r>
        <w:rPr>
          <w:rFonts w:ascii="宋体" w:hAnsi="宋体" w:cs="宋体" w:eastAsia="宋体" w:hint="default"/>
          <w:b/>
          <w:bCs/>
        </w:rPr>
        <w:t>（</w:t>
      </w:r>
      <w:r>
        <w:rPr>
          <w:rFonts w:ascii="Times New Roman" w:hAnsi="Times New Roman" w:cs="Times New Roman" w:eastAsia="Times New Roman" w:hint="default"/>
          <w:b/>
          <w:bCs/>
        </w:rPr>
        <w:t>6</w:t>
      </w:r>
      <w:r>
        <w:rPr>
          <w:rFonts w:ascii="宋体" w:hAnsi="宋体" w:cs="宋体" w:eastAsia="宋体" w:hint="default"/>
          <w:b/>
          <w:bCs/>
        </w:rPr>
        <w:t>）民生服务</w:t>
      </w:r>
      <w:r>
        <w:rPr>
          <w:rFonts w:ascii="宋体" w:hAnsi="宋体" w:cs="宋体" w:eastAsia="宋体" w:hint="default"/>
          <w:b/>
          <w:bCs/>
          <w:w w:val="99"/>
        </w:rPr>
        <w:t> </w:t>
      </w:r>
      <w:r>
        <w:rPr>
          <w:spacing w:val="-2"/>
        </w:rPr>
        <w:t>报告期公司聚焦扶贫、信访等领域，不断推陈出新。扶贫方面，公司签约国务院扶贫办信息中心扶贫开发电子档案和宏</w:t>
      </w:r>
    </w:p>
    <w:p>
      <w:pPr>
        <w:pStyle w:val="BodyText"/>
        <w:spacing w:line="316" w:lineRule="auto" w:before="31"/>
        <w:ind w:right="1130"/>
        <w:jc w:val="both"/>
      </w:pPr>
      <w:r>
        <w:rPr>
          <w:spacing w:val="-5"/>
        </w:rPr>
        <w:t>观决策子系统、内蒙古自治区精准扶贫大数据平台建设、西藏自治区扶贫综合信息系统升级改造等项目，助力国家扶贫攻坚；</w:t>
      </w:r>
      <w:r>
        <w:rPr>
          <w:spacing w:val="-76"/>
        </w:rPr>
        <w:t> </w:t>
      </w:r>
      <w:r>
        <w:rPr>
          <w:spacing w:val="-76"/>
        </w:rPr>
      </w:r>
      <w:r>
        <w:rPr>
          <w:spacing w:val="-2"/>
        </w:rPr>
        <w:t>信访方面，公司通过大数据打造智能分析产品，形成了集智能业务办理、智能考核评价、智能分析研判为一体的整体解决方</w:t>
      </w:r>
      <w:r>
        <w:rPr>
          <w:spacing w:val="-64"/>
        </w:rPr>
        <w:t> </w:t>
      </w:r>
      <w:r>
        <w:rPr>
          <w:spacing w:val="-64"/>
        </w:rPr>
      </w:r>
      <w:r>
        <w:rPr>
          <w:spacing w:val="-2"/>
        </w:rPr>
        <w:t>案，并在国家信访局智能分析系统（二期）项目、天津市信访办智能辅助业务系统项目和陕西省信访局绩效评估系统项目中</w:t>
      </w:r>
      <w:r>
        <w:rPr>
          <w:spacing w:val="-66"/>
        </w:rPr>
        <w:t> </w:t>
      </w:r>
      <w:r>
        <w:rPr>
          <w:spacing w:val="-66"/>
        </w:rPr>
      </w:r>
      <w:r>
        <w:rPr/>
        <w:t>落地应用。</w:t>
      </w:r>
    </w:p>
    <w:p>
      <w:pPr>
        <w:pStyle w:val="BodyText"/>
        <w:spacing w:line="316" w:lineRule="auto" w:before="19"/>
        <w:ind w:right="1129" w:firstLine="360"/>
        <w:jc w:val="both"/>
      </w:pPr>
      <w:r>
        <w:rPr>
          <w:spacing w:val="-2"/>
        </w:rPr>
        <w:t>此外，公司还聚焦卫生、农业等重点行业方向，先后形成卫生行业资产服务产品化、卫生财务监管平台、多中心医疗大</w:t>
      </w:r>
      <w:r>
        <w:rPr/>
        <w:t> </w:t>
      </w:r>
      <w:r>
        <w:rPr>
          <w:spacing w:val="-2"/>
        </w:rPr>
        <w:t>数据管理与科研分析平台、疫情综合管理系统、专病标准化智能辅助诊疗系统，以及农村资产管理、村级股权量化等新业务</w:t>
      </w:r>
      <w:r>
        <w:rPr>
          <w:spacing w:val="-64"/>
        </w:rPr>
        <w:t> </w:t>
      </w:r>
      <w:r>
        <w:rPr>
          <w:spacing w:val="-64"/>
        </w:rPr>
      </w:r>
      <w:r>
        <w:rPr/>
        <w:t>领域的多个产品和解决方案，拟进行全国布局推广。</w:t>
      </w:r>
    </w:p>
    <w:p>
      <w:pPr>
        <w:spacing w:line="240" w:lineRule="auto" w:before="4"/>
        <w:rPr>
          <w:rFonts w:ascii="宋体" w:hAnsi="宋体" w:cs="宋体" w:eastAsia="宋体" w:hint="default"/>
          <w:sz w:val="25"/>
          <w:szCs w:val="25"/>
        </w:rPr>
      </w:pPr>
    </w:p>
    <w:p>
      <w:pPr>
        <w:pStyle w:val="BodyText"/>
        <w:spacing w:line="300" w:lineRule="auto"/>
        <w:ind w:left="513" w:right="1118"/>
        <w:jc w:val="left"/>
      </w:pPr>
      <w:r>
        <w:rPr>
          <w:rFonts w:ascii="Times New Roman" w:hAnsi="Times New Roman" w:cs="Times New Roman" w:eastAsia="Times New Roman" w:hint="default"/>
          <w:b/>
          <w:bCs/>
        </w:rPr>
        <w:t>2</w:t>
      </w:r>
      <w:r>
        <w:rPr>
          <w:rFonts w:ascii="宋体" w:hAnsi="宋体" w:cs="宋体" w:eastAsia="宋体" w:hint="default"/>
          <w:b/>
          <w:bCs/>
        </w:rPr>
        <w:t>、集团管控业务</w:t>
      </w:r>
      <w:r>
        <w:rPr>
          <w:rFonts w:ascii="宋体" w:hAnsi="宋体" w:cs="宋体" w:eastAsia="宋体" w:hint="default"/>
          <w:b/>
          <w:bCs/>
          <w:w w:val="99"/>
        </w:rPr>
        <w:t> </w:t>
      </w:r>
      <w:r>
        <w:rPr>
          <w:spacing w:val="-5"/>
        </w:rPr>
        <w:t>近年来随着企业集团信息化建设的不断深化与创新，企业信息化管理正在从分散化、集成化向垂直化、智能化方向发展。</w:t>
      </w:r>
    </w:p>
    <w:p>
      <w:pPr>
        <w:pStyle w:val="BodyText"/>
        <w:spacing w:line="309" w:lineRule="auto" w:before="31"/>
        <w:ind w:right="0"/>
        <w:jc w:val="left"/>
      </w:pPr>
      <w:r>
        <w:rPr>
          <w:spacing w:val="-2"/>
        </w:rPr>
        <w:t>回顾集团型企业信息化建设动因，伴随社会消费行为多元、集团合规要求加强、内部激励化小、非直接成本激增以及新一轮</w:t>
      </w:r>
      <w:r>
        <w:rPr>
          <w:spacing w:val="-64"/>
        </w:rPr>
        <w:t> </w:t>
      </w:r>
      <w:r>
        <w:rPr>
          <w:spacing w:val="-64"/>
        </w:rPr>
      </w:r>
      <w:r>
        <w:rPr/>
        <w:t>国际化冲击等特点，管理领域信息化建设逐渐呈现出</w:t>
      </w:r>
      <w:r>
        <w:rPr>
          <w:rFonts w:ascii="Times New Roman" w:hAnsi="Times New Roman" w:cs="Times New Roman" w:eastAsia="Times New Roman" w:hint="default"/>
        </w:rPr>
        <w:t>“</w:t>
      </w:r>
      <w:r>
        <w:rPr/>
        <w:t>管理流程中台化</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管理决策数据化</w:t>
      </w:r>
      <w:r>
        <w:rPr>
          <w:rFonts w:ascii="Times New Roman" w:hAnsi="Times New Roman" w:cs="Times New Roman" w:eastAsia="Times New Roman" w:hint="default"/>
        </w:rPr>
        <w:t>”</w:t>
      </w:r>
      <w:r>
        <w:rPr/>
        <w:t>的两大特征。围绕这两大特征，</w:t>
      </w:r>
      <w:r>
        <w:rPr>
          <w:spacing w:val="-50"/>
        </w:rPr>
        <w:t> </w:t>
      </w:r>
      <w:r>
        <w:rPr>
          <w:spacing w:val="-50"/>
        </w:rPr>
      </w:r>
      <w:r>
        <w:rPr>
          <w:spacing w:val="-2"/>
        </w:rPr>
        <w:t>构建面向全业务的大数据中心和财务共享平台已经成为企业运营管理的趋势。而云计算、大数据、人工智能等新兴技术的深</w:t>
      </w:r>
      <w:r>
        <w:rPr>
          <w:spacing w:val="-63"/>
        </w:rPr>
        <w:t> </w:t>
      </w:r>
      <w:r>
        <w:rPr>
          <w:spacing w:val="-63"/>
        </w:rPr>
      </w:r>
      <w:r>
        <w:rPr>
          <w:spacing w:val="-2"/>
        </w:rPr>
        <w:t>入应用正是解决之道。报告期，公司基于女娲平台，运用云原生技术架构实现了对企业大数据、财务云共享、企业绩效等产</w:t>
      </w:r>
      <w:r>
        <w:rPr>
          <w:spacing w:val="-67"/>
        </w:rPr>
        <w:t> </w:t>
      </w:r>
      <w:r>
        <w:rPr>
          <w:spacing w:val="-67"/>
        </w:rPr>
      </w:r>
      <w:r>
        <w:rPr/>
        <w:t>品与解决方案的重构，构建服务于大型集团企业以行业云、私有云为主的</w:t>
      </w:r>
      <w:r>
        <w:rPr>
          <w:rFonts w:ascii="Times New Roman" w:hAnsi="Times New Roman" w:cs="Times New Roman" w:eastAsia="Times New Roman" w:hint="default"/>
        </w:rPr>
        <w:t>“</w:t>
      </w:r>
      <w:r>
        <w:rPr/>
        <w:t>久其企业云</w:t>
      </w:r>
      <w:r>
        <w:rPr>
          <w:rFonts w:ascii="Times New Roman" w:hAnsi="Times New Roman" w:cs="Times New Roman" w:eastAsia="Times New Roman" w:hint="default"/>
        </w:rPr>
        <w:t>”</w:t>
      </w:r>
      <w:r>
        <w:rPr/>
        <w:t>业务体系，通过</w:t>
      </w:r>
      <w:r>
        <w:rPr>
          <w:rFonts w:ascii="Times New Roman" w:hAnsi="Times New Roman" w:cs="Times New Roman" w:eastAsia="Times New Roman" w:hint="default"/>
        </w:rPr>
        <w:t>“</w:t>
      </w:r>
      <w:r>
        <w:rPr/>
        <w:t>技术</w:t>
      </w:r>
      <w:r>
        <w:rPr>
          <w:rFonts w:ascii="Times New Roman" w:hAnsi="Times New Roman" w:cs="Times New Roman" w:eastAsia="Times New Roman" w:hint="default"/>
        </w:rPr>
        <w:t>+</w:t>
      </w:r>
      <w:r>
        <w:rPr/>
        <w:t>咨询</w:t>
      </w:r>
      <w:r>
        <w:rPr>
          <w:rFonts w:ascii="Times New Roman" w:hAnsi="Times New Roman" w:cs="Times New Roman" w:eastAsia="Times New Roman" w:hint="default"/>
        </w:rPr>
        <w:t>”</w:t>
      </w:r>
      <w:r>
        <w:rPr/>
        <w:t>的服务</w:t>
      </w:r>
      <w:r>
        <w:rPr>
          <w:spacing w:val="-56"/>
        </w:rPr>
        <w:t> </w:t>
      </w:r>
      <w:r>
        <w:rPr>
          <w:spacing w:val="-56"/>
        </w:rPr>
      </w:r>
      <w:r>
        <w:rPr/>
        <w:t>方式，构建</w:t>
      </w:r>
      <w:r>
        <w:rPr>
          <w:rFonts w:ascii="Times New Roman" w:hAnsi="Times New Roman" w:cs="Times New Roman" w:eastAsia="Times New Roman" w:hint="default"/>
        </w:rPr>
        <w:t>“</w:t>
      </w:r>
      <w:r>
        <w:rPr/>
        <w:t>战略</w:t>
      </w:r>
      <w:r>
        <w:rPr>
          <w:rFonts w:ascii="Times New Roman" w:hAnsi="Times New Roman" w:cs="Times New Roman" w:eastAsia="Times New Roman" w:hint="default"/>
        </w:rPr>
        <w:t>—</w:t>
      </w:r>
      <w:r>
        <w:rPr/>
        <w:t>管控</w:t>
      </w:r>
      <w:r>
        <w:rPr>
          <w:rFonts w:ascii="Times New Roman" w:hAnsi="Times New Roman" w:cs="Times New Roman" w:eastAsia="Times New Roman" w:hint="default"/>
        </w:rPr>
        <w:t>—</w:t>
      </w:r>
      <w:r>
        <w:rPr/>
        <w:t>运营</w:t>
      </w:r>
      <w:r>
        <w:rPr>
          <w:rFonts w:ascii="Times New Roman" w:hAnsi="Times New Roman" w:cs="Times New Roman" w:eastAsia="Times New Roman" w:hint="default"/>
        </w:rPr>
        <w:t>”</w:t>
      </w:r>
      <w:r>
        <w:rPr/>
        <w:t>三位一体的数字化管控体系，帮助大型集团企业向数字化、智能化转型迈进，共同打造长期 竞争力。受到部分重点项目延期影响，公司集团管控业务报告期共实现收入</w:t>
      </w:r>
      <w:r>
        <w:rPr>
          <w:rFonts w:ascii="Times New Roman" w:hAnsi="Times New Roman" w:cs="Times New Roman" w:eastAsia="Times New Roman" w:hint="default"/>
        </w:rPr>
        <w:t>30,484.80</w:t>
      </w:r>
      <w:r>
        <w:rPr/>
        <w:t>万元，同比增幅</w:t>
      </w:r>
      <w:r>
        <w:rPr>
          <w:rFonts w:ascii="Times New Roman" w:hAnsi="Times New Roman" w:cs="Times New Roman" w:eastAsia="Times New Roman" w:hint="default"/>
        </w:rPr>
        <w:t>0.76%</w:t>
      </w:r>
      <w:r>
        <w:rPr/>
        <w:t>。</w:t>
      </w:r>
    </w:p>
    <w:p>
      <w:pPr>
        <w:spacing w:line="240" w:lineRule="auto" w:before="4"/>
        <w:rPr>
          <w:rFonts w:ascii="宋体" w:hAnsi="宋体" w:cs="宋体" w:eastAsia="宋体" w:hint="default"/>
          <w:sz w:val="24"/>
          <w:szCs w:val="24"/>
        </w:rPr>
      </w:pPr>
    </w:p>
    <w:p>
      <w:pPr>
        <w:pStyle w:val="BodyText"/>
        <w:spacing w:line="300" w:lineRule="auto"/>
        <w:ind w:left="513" w:right="1115"/>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）业务产品体系</w:t>
      </w:r>
      <w:r>
        <w:rPr>
          <w:rFonts w:ascii="宋体" w:hAnsi="宋体" w:cs="宋体" w:eastAsia="宋体" w:hint="default"/>
          <w:b/>
          <w:bCs/>
          <w:w w:val="99"/>
        </w:rPr>
        <w:t> </w:t>
      </w:r>
      <w:r>
        <w:rPr>
          <w:spacing w:val="-2"/>
        </w:rPr>
        <w:t>公司集团管控业务体系包括战略、运营、财务和风险四大管控序列，以财务云共享、企业绩效和企业大数据为三大核心</w:t>
      </w:r>
    </w:p>
    <w:p>
      <w:pPr>
        <w:pStyle w:val="BodyText"/>
        <w:spacing w:line="240" w:lineRule="auto" w:before="31"/>
        <w:ind w:right="1115"/>
        <w:jc w:val="left"/>
      </w:pPr>
      <w:r>
        <w:rPr/>
        <w:t>产品线。</w:t>
      </w:r>
    </w:p>
    <w:p>
      <w:pPr>
        <w:pStyle w:val="BodyText"/>
        <w:spacing w:line="304" w:lineRule="auto" w:before="76"/>
        <w:ind w:right="1129" w:firstLine="360"/>
        <w:jc w:val="both"/>
      </w:pPr>
      <w:r>
        <w:rPr>
          <w:rFonts w:ascii="宋体" w:hAnsi="宋体" w:cs="宋体" w:eastAsia="宋体" w:hint="default"/>
          <w:b/>
          <w:bCs/>
          <w:spacing w:val="2"/>
        </w:rPr>
        <w:t>①以财务云共享为核心构建企业财务中台。</w:t>
      </w:r>
      <w:r>
        <w:rPr>
          <w:spacing w:val="2"/>
        </w:rPr>
        <w:t>集团财务共享平台，采用</w:t>
      </w:r>
      <w:r>
        <w:rPr>
          <w:rFonts w:ascii="Times New Roman" w:hAnsi="Times New Roman" w:cs="Times New Roman" w:eastAsia="Times New Roman" w:hint="default"/>
          <w:spacing w:val="2"/>
        </w:rPr>
        <w:t>“</w:t>
      </w:r>
      <w:r>
        <w:rPr>
          <w:spacing w:val="2"/>
        </w:rPr>
        <w:t>一个企业门户、四层系统架构，七大应用平台</w:t>
      </w:r>
      <w:r>
        <w:rPr>
          <w:rFonts w:ascii="Times New Roman" w:hAnsi="Times New Roman" w:cs="Times New Roman" w:eastAsia="Times New Roman" w:hint="default"/>
          <w:spacing w:val="2"/>
        </w:rPr>
        <w:t>”</w:t>
      </w:r>
      <w:r>
        <w:rPr>
          <w:rFonts w:ascii="Times New Roman" w:hAnsi="Times New Roman" w:cs="Times New Roman" w:eastAsia="Times New Roman" w:hint="default"/>
          <w:w w:val="100"/>
        </w:rPr>
        <w:t> </w:t>
      </w:r>
      <w:r>
        <w:rPr>
          <w:spacing w:val="-2"/>
        </w:rPr>
        <w:t>的设计思路开展统一设计和产品构建，涵盖收入、成本、费用、资产、资金、存货、投资、薪酬、税务等业务处理，可帮助</w:t>
      </w:r>
      <w:r>
        <w:rPr>
          <w:spacing w:val="-74"/>
        </w:rPr>
        <w:t> </w:t>
      </w:r>
      <w:r>
        <w:rPr>
          <w:spacing w:val="-74"/>
        </w:rPr>
      </w:r>
      <w:r>
        <w:rPr>
          <w:spacing w:val="-2"/>
        </w:rPr>
        <w:t>企业完成财务职能转型过程中的流程重构和信息系统建设。同时，公司在报告期发布了智慧财务解决方案，在</w:t>
      </w:r>
      <w:r>
        <w:rPr>
          <w:rFonts w:ascii="Times New Roman" w:hAnsi="Times New Roman" w:cs="Times New Roman" w:eastAsia="Times New Roman" w:hint="default"/>
          <w:spacing w:val="-2"/>
        </w:rPr>
        <w:t>RPA</w:t>
      </w:r>
      <w:r>
        <w:rPr>
          <w:spacing w:val="-2"/>
        </w:rPr>
        <w:t>（机器人</w:t>
      </w:r>
      <w:r>
        <w:rPr>
          <w:spacing w:val="-52"/>
        </w:rPr>
        <w:t> </w:t>
      </w:r>
      <w:r>
        <w:rPr>
          <w:spacing w:val="-52"/>
        </w:rPr>
      </w:r>
      <w:r>
        <w:rPr/>
        <w:t>流程自动化）、语音识别、</w:t>
      </w:r>
      <w:r>
        <w:rPr>
          <w:rFonts w:ascii="Times New Roman" w:hAnsi="Times New Roman" w:cs="Times New Roman" w:eastAsia="Times New Roman" w:hint="default"/>
        </w:rPr>
        <w:t>OCR</w:t>
      </w:r>
      <w:r>
        <w:rPr/>
        <w:t>（光学字符识别）、智能计算、深度机器学习、数据聚合应用、人机交互等能力上有了新</w:t>
      </w:r>
      <w:r>
        <w:rPr>
          <w:spacing w:val="-11"/>
        </w:rPr>
        <w:t> </w:t>
      </w:r>
      <w:r>
        <w:rPr>
          <w:spacing w:val="-11"/>
        </w:rPr>
      </w:r>
      <w:r>
        <w:rPr/>
        <w:t>的突破并在项目上应用。</w:t>
      </w:r>
    </w:p>
    <w:p>
      <w:pPr>
        <w:spacing w:before="27"/>
        <w:ind w:left="513" w:right="1115" w:firstLine="0"/>
        <w:jc w:val="left"/>
        <w:rPr>
          <w:rFonts w:ascii="宋体" w:hAnsi="宋体" w:cs="宋体" w:eastAsia="宋体" w:hint="default"/>
          <w:sz w:val="18"/>
          <w:szCs w:val="18"/>
        </w:rPr>
      </w:pPr>
      <w:r>
        <w:rPr>
          <w:rFonts w:ascii="宋体" w:hAnsi="宋体" w:cs="宋体" w:eastAsia="宋体" w:hint="default"/>
          <w:b/>
          <w:bCs/>
          <w:sz w:val="18"/>
          <w:szCs w:val="18"/>
        </w:rPr>
        <w:t>②以合并报表、全面预算、投资管理为核心深度打造企业绩效管理体系。</w:t>
      </w:r>
      <w:r>
        <w:rPr>
          <w:rFonts w:ascii="宋体" w:hAnsi="宋体" w:cs="宋体" w:eastAsia="宋体" w:hint="default"/>
          <w:sz w:val="18"/>
          <w:szCs w:val="18"/>
        </w:rPr>
        <w:t>合并报表方面，公司在报告期基于新一代女</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2" w:lineRule="auto" w:before="44"/>
        <w:ind w:right="1042"/>
        <w:jc w:val="left"/>
      </w:pPr>
      <w:r>
        <w:rPr>
          <w:spacing w:val="-2"/>
        </w:rPr>
        <w:t>娲技术平台重塑合并报表系统，业务持续升级，打通与核算系统衔接通道。全面预算方面，通过灵活的多维数据模型、完整</w:t>
      </w:r>
      <w:r>
        <w:rPr>
          <w:spacing w:val="-67"/>
        </w:rPr>
        <w:t> </w:t>
      </w:r>
      <w:r>
        <w:rPr>
          <w:spacing w:val="-67"/>
        </w:rPr>
      </w:r>
      <w:r>
        <w:rPr/>
        <w:t>的预算体系、完善的流程管理、全方位的控制体系和强大的数据整合能力，构建完整的全面预算管理体系。投资管理方面，</w:t>
      </w:r>
      <w:r>
        <w:rPr>
          <w:spacing w:val="-83"/>
        </w:rPr>
        <w:t> </w:t>
      </w:r>
      <w:r>
        <w:rPr>
          <w:spacing w:val="-83"/>
        </w:rPr>
      </w:r>
      <w:r>
        <w:rPr/>
        <w:t>通过建立覆盖投资项目</w:t>
      </w:r>
      <w:r>
        <w:rPr>
          <w:rFonts w:ascii="Times New Roman" w:hAnsi="Times New Roman" w:cs="Times New Roman" w:eastAsia="Times New Roman" w:hint="default"/>
        </w:rPr>
        <w:t>“</w:t>
      </w:r>
      <w:r>
        <w:rPr/>
        <w:t>规划</w:t>
      </w:r>
      <w:r>
        <w:rPr>
          <w:rFonts w:ascii="Times New Roman" w:hAnsi="Times New Roman" w:cs="Times New Roman" w:eastAsia="Times New Roman" w:hint="default"/>
        </w:rPr>
        <w:t>-</w:t>
      </w:r>
      <w:r>
        <w:rPr/>
        <w:t>计划</w:t>
      </w:r>
      <w:r>
        <w:rPr>
          <w:rFonts w:ascii="Times New Roman" w:hAnsi="Times New Roman" w:cs="Times New Roman" w:eastAsia="Times New Roman" w:hint="default"/>
        </w:rPr>
        <w:t>-</w:t>
      </w:r>
      <w:r>
        <w:rPr/>
        <w:t>决策</w:t>
      </w:r>
      <w:r>
        <w:rPr>
          <w:rFonts w:ascii="Times New Roman" w:hAnsi="Times New Roman" w:cs="Times New Roman" w:eastAsia="Times New Roman" w:hint="default"/>
        </w:rPr>
        <w:t>-</w:t>
      </w:r>
      <w:r>
        <w:rPr/>
        <w:t>实施</w:t>
      </w:r>
      <w:r>
        <w:rPr>
          <w:rFonts w:ascii="Times New Roman" w:hAnsi="Times New Roman" w:cs="Times New Roman" w:eastAsia="Times New Roman" w:hint="default"/>
        </w:rPr>
        <w:t>-</w:t>
      </w:r>
      <w:r>
        <w:rPr/>
        <w:t>运营</w:t>
      </w:r>
      <w:r>
        <w:rPr>
          <w:rFonts w:ascii="Times New Roman" w:hAnsi="Times New Roman" w:cs="Times New Roman" w:eastAsia="Times New Roman" w:hint="default"/>
        </w:rPr>
        <w:t>-</w:t>
      </w:r>
      <w:r>
        <w:rPr/>
        <w:t>退出</w:t>
      </w:r>
      <w:r>
        <w:rPr>
          <w:rFonts w:ascii="Times New Roman" w:hAnsi="Times New Roman" w:cs="Times New Roman" w:eastAsia="Times New Roman" w:hint="default"/>
        </w:rPr>
        <w:t>”</w:t>
      </w:r>
      <w:r>
        <w:rPr/>
        <w:t>全生命周期的管理体系，建成企业投资项目数据中心，支持投资管 理流程，实现投资项目数据采集标准化、电子化，项目决策规范化、科学化，以及投资评价日常化、智能化。</w:t>
      </w:r>
    </w:p>
    <w:p>
      <w:pPr>
        <w:pStyle w:val="BodyText"/>
        <w:spacing w:line="309" w:lineRule="auto" w:before="22"/>
        <w:ind w:right="1034" w:firstLine="360"/>
        <w:jc w:val="left"/>
      </w:pPr>
      <w:r>
        <w:rPr>
          <w:rFonts w:ascii="宋体" w:hAnsi="宋体" w:cs="宋体" w:eastAsia="宋体" w:hint="default"/>
          <w:b/>
          <w:bCs/>
        </w:rPr>
        <w:t>③以数据即资产为建设理念，通过数据中台的架构思想，构建企业大数据生态。</w:t>
      </w:r>
      <w:r>
        <w:rPr/>
        <w:t>久其企业大数据综合解决方案包含了 </w:t>
      </w:r>
      <w:r>
        <w:rPr>
          <w:spacing w:val="-2"/>
        </w:rPr>
        <w:t>从信息采集到分析应用的数据处理工具与方法，应用方向包括财务分析、经营分析、生产分析、数字营销、舆情监控、媒资</w:t>
      </w:r>
      <w:r>
        <w:rPr>
          <w:spacing w:val="-68"/>
        </w:rPr>
        <w:t> </w:t>
      </w:r>
      <w:r>
        <w:rPr>
          <w:spacing w:val="-68"/>
        </w:rPr>
      </w:r>
      <w:r>
        <w:rPr/>
        <w:t>分析、工业大数据等诸多数据分析场景，提供对企业数据资产的有效挖掘与管理，帮助企业决策者获取全新洞察。</w:t>
      </w:r>
      <w:r>
        <w:rPr>
          <w:rFonts w:ascii="Times New Roman" w:hAnsi="Times New Roman" w:cs="Times New Roman" w:eastAsia="Times New Roman" w:hint="default"/>
        </w:rPr>
        <w:t>2019</w:t>
      </w:r>
      <w:r>
        <w:rPr/>
        <w:t>年，</w:t>
      </w:r>
      <w:r>
        <w:rPr>
          <w:spacing w:val="-82"/>
        </w:rPr>
        <w:t> </w:t>
      </w:r>
      <w:r>
        <w:rPr/>
        <w:t>公司发布敏捷分析类产品 </w:t>
      </w:r>
      <w:r>
        <w:rPr>
          <w:rFonts w:ascii="Times New Roman" w:hAnsi="Times New Roman" w:cs="Times New Roman" w:eastAsia="Times New Roman" w:hint="default"/>
        </w:rPr>
        <w:t>“</w:t>
      </w:r>
      <w:r>
        <w:rPr/>
        <w:t>决算荟</w:t>
      </w:r>
      <w:r>
        <w:rPr>
          <w:rFonts w:ascii="Times New Roman" w:hAnsi="Times New Roman" w:cs="Times New Roman" w:eastAsia="Times New Roman" w:hint="default"/>
        </w:rPr>
        <w:t>”</w:t>
      </w:r>
      <w:r>
        <w:rPr/>
        <w:t>，产品内置企业经营管理、风险识别、热点专题等</w:t>
      </w:r>
      <w:r>
        <w:rPr>
          <w:rFonts w:ascii="Times New Roman" w:hAnsi="Times New Roman" w:cs="Times New Roman" w:eastAsia="Times New Roman" w:hint="default"/>
        </w:rPr>
        <w:t>12</w:t>
      </w:r>
      <w:r>
        <w:rPr/>
        <w:t>大分析模型，快速实现国有企业历</w:t>
      </w:r>
      <w:r>
        <w:rPr>
          <w:spacing w:val="-68"/>
        </w:rPr>
        <w:t> </w:t>
      </w:r>
      <w:r>
        <w:rPr>
          <w:spacing w:val="-68"/>
        </w:rPr>
      </w:r>
      <w:r>
        <w:rPr/>
        <w:t>年决算数据一键导入，助力企业轻松整合数据、快速分析，实现大数据探索。</w:t>
      </w:r>
    </w:p>
    <w:p>
      <w:pPr>
        <w:spacing w:line="240" w:lineRule="auto" w:before="9"/>
        <w:rPr>
          <w:rFonts w:ascii="宋体" w:hAnsi="宋体" w:cs="宋体" w:eastAsia="宋体" w:hint="default"/>
          <w:sz w:val="25"/>
          <w:szCs w:val="25"/>
        </w:rPr>
      </w:pPr>
    </w:p>
    <w:p>
      <w:pPr>
        <w:pStyle w:val="Heading4"/>
        <w:spacing w:line="240" w:lineRule="auto"/>
        <w:ind w:right="1115"/>
        <w:jc w:val="left"/>
        <w:rPr>
          <w:b w:val="0"/>
          <w:bCs w:val="0"/>
        </w:rPr>
      </w:pPr>
      <w:r>
        <w:rPr/>
        <w:t>（</w:t>
      </w:r>
      <w:r>
        <w:rPr>
          <w:rFonts w:ascii="Times New Roman" w:hAnsi="Times New Roman" w:cs="Times New Roman" w:eastAsia="Times New Roman" w:hint="default"/>
        </w:rPr>
        <w:t>2</w:t>
      </w:r>
      <w:r>
        <w:rPr/>
        <w:t>）行业解决方案</w:t>
      </w:r>
      <w:r>
        <w:rPr>
          <w:b w:val="0"/>
          <w:bCs w:val="0"/>
        </w:rPr>
      </w:r>
    </w:p>
    <w:p>
      <w:pPr>
        <w:pStyle w:val="BodyText"/>
        <w:spacing w:line="309" w:lineRule="auto" w:before="63"/>
        <w:ind w:right="1034" w:firstLine="360"/>
        <w:jc w:val="left"/>
      </w:pPr>
      <w:r>
        <w:rPr>
          <w:rFonts w:ascii="Times New Roman" w:hAnsi="Times New Roman" w:cs="Times New Roman" w:eastAsia="Times New Roman" w:hint="default"/>
        </w:rPr>
        <w:t>“</w:t>
      </w:r>
      <w:r>
        <w:rPr/>
        <w:t>聚焦管控、深耕行业、技术引领、数据赋能</w:t>
      </w:r>
      <w:r>
        <w:rPr>
          <w:rFonts w:ascii="Times New Roman" w:hAnsi="Times New Roman" w:cs="Times New Roman" w:eastAsia="Times New Roman" w:hint="default"/>
        </w:rPr>
        <w:t>”</w:t>
      </w:r>
      <w:r>
        <w:rPr/>
        <w:t>，是公司集团管控业务发展的核心思想。报告期，我们在建筑、通信等领 </w:t>
      </w:r>
      <w:r>
        <w:rPr>
          <w:spacing w:val="-2"/>
        </w:rPr>
        <w:t>域不断进行业务及产品边界的拓展，结合新技术应用，完善行业化解决方案。①建筑行业：推动建筑企业数字化转型，涵盖</w:t>
      </w:r>
      <w:r>
        <w:rPr>
          <w:spacing w:val="-66"/>
        </w:rPr>
        <w:t> </w:t>
      </w:r>
      <w:r>
        <w:rPr>
          <w:spacing w:val="-66"/>
        </w:rPr>
      </w:r>
      <w:r>
        <w:rPr>
          <w:spacing w:val="-2"/>
        </w:rPr>
        <w:t>业财一体化、经营管理、合同预算、成本管理、科研设计、企业大数据、工程项目管理等业务领域，为建筑企业转型升级提</w:t>
      </w:r>
      <w:r>
        <w:rPr>
          <w:spacing w:val="-73"/>
        </w:rPr>
        <w:t> </w:t>
      </w:r>
      <w:r>
        <w:rPr>
          <w:spacing w:val="-73"/>
        </w:rPr>
      </w:r>
      <w:r>
        <w:rPr/>
        <w:t>供一站式数智化产品组合与解决方案体系。②通信行业：运用大数据、人工智能等技术，提升通信行业数据分析应用能力，</w:t>
      </w:r>
      <w:r>
        <w:rPr>
          <w:spacing w:val="-82"/>
        </w:rPr>
        <w:t> </w:t>
      </w:r>
      <w:r>
        <w:rPr>
          <w:spacing w:val="-82"/>
        </w:rPr>
      </w:r>
      <w:r>
        <w:rPr/>
        <w:t>推动数据治理闭环管理，加速通信行业大数据应用落地。③能源行业</w:t>
      </w:r>
      <w:r>
        <w:rPr>
          <w:rFonts w:ascii="Times New Roman" w:hAnsi="Times New Roman" w:cs="Times New Roman" w:eastAsia="Times New Roman" w:hint="default"/>
        </w:rPr>
        <w:t>:</w:t>
      </w:r>
      <w:r>
        <w:rPr>
          <w:rFonts w:ascii="Times New Roman" w:hAnsi="Times New Roman" w:cs="Times New Roman" w:eastAsia="Times New Roman" w:hint="default"/>
          <w:spacing w:val="16"/>
        </w:rPr>
        <w:t> </w:t>
      </w:r>
      <w:r>
        <w:rPr/>
        <w:t>通过管理会计模拟和管理报告形式追溯能源行业价值 </w:t>
      </w:r>
      <w:r>
        <w:rPr>
          <w:spacing w:val="-2"/>
        </w:rPr>
        <w:t>链，为能源企业掌握全面运营数据提供数据支撑。④金融投资行业：通过大数据技术及创新手段构建全方位的金融风险监测</w:t>
      </w:r>
      <w:r>
        <w:rPr>
          <w:spacing w:val="-62"/>
        </w:rPr>
        <w:t> </w:t>
      </w:r>
      <w:r>
        <w:rPr>
          <w:spacing w:val="-62"/>
        </w:rPr>
      </w:r>
      <w:r>
        <w:rPr>
          <w:spacing w:val="-2"/>
        </w:rPr>
        <w:t>与预警体系。⑤航空运输行业：产品持续升级，新增</w:t>
      </w:r>
      <w:r>
        <w:rPr>
          <w:rFonts w:ascii="Times New Roman" w:hAnsi="Times New Roman" w:cs="Times New Roman" w:eastAsia="Times New Roman" w:hint="default"/>
          <w:spacing w:val="-2"/>
        </w:rPr>
        <w:t>RPA</w:t>
      </w:r>
      <w:r>
        <w:rPr>
          <w:spacing w:val="-2"/>
        </w:rPr>
        <w:t>、信用管理、绩效管理、质量管理、移动端全场景和全流程提单等</w:t>
      </w:r>
      <w:r>
        <w:rPr>
          <w:spacing w:val="-58"/>
        </w:rPr>
        <w:t> </w:t>
      </w:r>
      <w:r>
        <w:rPr>
          <w:spacing w:val="-58"/>
        </w:rPr>
      </w:r>
      <w:r>
        <w:rPr/>
        <w:t>功能，同时发布了航空性收入结算产品，实现对航空收入数据的全流程管理。</w:t>
      </w:r>
    </w:p>
    <w:p>
      <w:pPr>
        <w:spacing w:line="240" w:lineRule="auto" w:before="9"/>
        <w:rPr>
          <w:rFonts w:ascii="宋体" w:hAnsi="宋体" w:cs="宋体" w:eastAsia="宋体" w:hint="default"/>
          <w:sz w:val="25"/>
          <w:szCs w:val="25"/>
        </w:rPr>
      </w:pPr>
    </w:p>
    <w:p>
      <w:pPr>
        <w:pStyle w:val="BodyText"/>
        <w:spacing w:line="300" w:lineRule="auto"/>
        <w:ind w:left="513" w:right="1115"/>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）重点客户拓展</w:t>
      </w:r>
      <w:r>
        <w:rPr>
          <w:rFonts w:ascii="宋体" w:hAnsi="宋体" w:cs="宋体" w:eastAsia="宋体" w:hint="default"/>
          <w:b/>
          <w:bCs/>
          <w:w w:val="99"/>
        </w:rPr>
        <w:t> </w:t>
      </w:r>
      <w:r>
        <w:rPr>
          <w:spacing w:val="-2"/>
        </w:rPr>
        <w:t>报告期，公司采取行业与区域双轨前行的策略，持续深耕建筑、通信、能源、制造、金融投资及航空运输等行业，夯实</w:t>
      </w:r>
    </w:p>
    <w:p>
      <w:pPr>
        <w:pStyle w:val="BodyText"/>
        <w:spacing w:line="316" w:lineRule="auto" w:before="31"/>
        <w:ind w:right="1130"/>
        <w:jc w:val="both"/>
      </w:pPr>
      <w:r>
        <w:rPr>
          <w:spacing w:val="-5"/>
        </w:rPr>
        <w:t>地方重点区域战略布局，重点客户与项目拓展包括：子公司久其金建持续推进与中国铁建、中国化学、中国安能、中国建筑、</w:t>
      </w:r>
      <w:r>
        <w:rPr>
          <w:spacing w:val="-78"/>
        </w:rPr>
        <w:t> </w:t>
      </w:r>
      <w:r>
        <w:rPr>
          <w:spacing w:val="-78"/>
        </w:rPr>
      </w:r>
      <w:r>
        <w:rPr>
          <w:spacing w:val="-2"/>
        </w:rPr>
        <w:t>中国交建、中国电建、中国能建、中国中冶等集团企业在财务云共享、企业绩效、企业大数据等业务方面的深入合作；公司</w:t>
      </w:r>
      <w:r>
        <w:rPr>
          <w:spacing w:val="-68"/>
        </w:rPr>
        <w:t> </w:t>
      </w:r>
      <w:r>
        <w:rPr>
          <w:spacing w:val="-68"/>
        </w:rPr>
      </w:r>
      <w:r>
        <w:rPr>
          <w:spacing w:val="-2"/>
        </w:rPr>
        <w:t>继续深化与中国电信集团在</w:t>
      </w:r>
      <w:r>
        <w:rPr>
          <w:rFonts w:ascii="Times New Roman" w:hAnsi="Times New Roman" w:cs="Times New Roman" w:eastAsia="Times New Roman" w:hint="default"/>
          <w:spacing w:val="-2"/>
        </w:rPr>
        <w:t>MSS</w:t>
      </w:r>
      <w:r>
        <w:rPr>
          <w:spacing w:val="-2"/>
        </w:rPr>
        <w:t>项目，以及中国移动北京、辽宁、吉林、黑龙江、四川等省份财务业务数据分析应用等项目</w:t>
      </w:r>
      <w:r>
        <w:rPr>
          <w:spacing w:val="-66"/>
        </w:rPr>
        <w:t> </w:t>
      </w:r>
      <w:r>
        <w:rPr>
          <w:spacing w:val="-66"/>
        </w:rPr>
      </w:r>
      <w:r>
        <w:rPr>
          <w:spacing w:val="-2"/>
        </w:rPr>
        <w:t>方面的合作；助力国家能源集团和华能集团完成了企业财务数字化转型，为神华准能提供以数据资产化管控为核心的大数据</w:t>
      </w:r>
      <w:r>
        <w:rPr>
          <w:spacing w:val="-62"/>
        </w:rPr>
        <w:t> </w:t>
      </w:r>
      <w:r>
        <w:rPr>
          <w:spacing w:val="-62"/>
        </w:rPr>
      </w:r>
      <w:r>
        <w:rPr>
          <w:spacing w:val="-2"/>
        </w:rPr>
        <w:t>场景分析服务，为中国有色、中国航油提供增值化企业绩效业务服务；保持与国投集团、中国长城资产、中国华融、中国信</w:t>
      </w:r>
      <w:r>
        <w:rPr>
          <w:spacing w:val="-66"/>
        </w:rPr>
        <w:t> </w:t>
      </w:r>
      <w:r>
        <w:rPr>
          <w:spacing w:val="-66"/>
        </w:rPr>
      </w:r>
      <w:r>
        <w:rPr>
          <w:spacing w:val="-2"/>
        </w:rPr>
        <w:t>达、河南投资集团的深入合作，助力中国平安、新华人寿的智能报销、预算管理等项目工作；公司航空性收入结算产品在西</w:t>
      </w:r>
      <w:r>
        <w:rPr>
          <w:spacing w:val="-67"/>
        </w:rPr>
        <w:t> </w:t>
      </w:r>
      <w:r>
        <w:rPr>
          <w:spacing w:val="-67"/>
        </w:rPr>
      </w:r>
      <w:r>
        <w:rPr>
          <w:spacing w:val="-2"/>
        </w:rPr>
        <w:t>部机场和内蒙古机场落地，继续助力战略合作伙伴西部机场集团财务转型升级，并新拓中国民航西藏管理局客户；与中国航</w:t>
      </w:r>
      <w:r>
        <w:rPr>
          <w:spacing w:val="-63"/>
        </w:rPr>
        <w:t> </w:t>
      </w:r>
      <w:r>
        <w:rPr>
          <w:spacing w:val="-63"/>
        </w:rPr>
      </w:r>
      <w:r>
        <w:rPr>
          <w:spacing w:val="-2"/>
        </w:rPr>
        <w:t>天科工、中国兵器工业、国机集团、中国核建携手，助推集团智慧财务、企业绩效、企业大数据等相关产品与解决方案的落</w:t>
      </w:r>
      <w:r>
        <w:rPr>
          <w:spacing w:val="-67"/>
        </w:rPr>
        <w:t> </w:t>
      </w:r>
      <w:r>
        <w:rPr>
          <w:spacing w:val="-67"/>
        </w:rPr>
      </w:r>
      <w:r>
        <w:rPr/>
        <w:t>地。</w:t>
      </w:r>
    </w:p>
    <w:p>
      <w:pPr>
        <w:spacing w:line="240" w:lineRule="auto" w:before="4"/>
        <w:rPr>
          <w:rFonts w:ascii="宋体" w:hAnsi="宋体" w:cs="宋体" w:eastAsia="宋体" w:hint="default"/>
          <w:sz w:val="25"/>
          <w:szCs w:val="25"/>
        </w:rPr>
      </w:pPr>
    </w:p>
    <w:p>
      <w:pPr>
        <w:pStyle w:val="Heading4"/>
        <w:spacing w:line="240" w:lineRule="auto"/>
        <w:ind w:right="1115"/>
        <w:jc w:val="left"/>
        <w:rPr>
          <w:b w:val="0"/>
          <w:bCs w:val="0"/>
        </w:rPr>
      </w:pPr>
      <w:r>
        <w:rPr>
          <w:rFonts w:ascii="Times New Roman" w:hAnsi="Times New Roman" w:cs="Times New Roman" w:eastAsia="Times New Roman" w:hint="default"/>
        </w:rPr>
        <w:t>3</w:t>
      </w:r>
      <w:r>
        <w:rPr/>
        <w:t>、数字传播业务</w:t>
      </w:r>
      <w:r>
        <w:rPr>
          <w:b w:val="0"/>
          <w:bCs w:val="0"/>
        </w:rPr>
      </w:r>
    </w:p>
    <w:p>
      <w:pPr>
        <w:pStyle w:val="BodyText"/>
        <w:spacing w:line="307" w:lineRule="auto" w:before="63"/>
        <w:ind w:right="941" w:firstLine="360"/>
        <w:jc w:val="left"/>
      </w:pPr>
      <w:r>
        <w:rPr>
          <w:rFonts w:ascii="Times New Roman" w:hAnsi="Times New Roman" w:cs="Times New Roman" w:eastAsia="Times New Roman" w:hint="default"/>
        </w:rPr>
        <w:t>2019</w:t>
      </w:r>
      <w:r>
        <w:rPr/>
        <w:t>年是公司数字传播业务整合的第二年，在推进国内营销、出海营销和营销数字化三大业务模块的基础上，进一步确 </w:t>
      </w:r>
      <w:r>
        <w:rPr>
          <w:spacing w:val="-3"/>
        </w:rPr>
        <w:t>立了由数字营销向智慧营销的战略转型。报告期，公司数字传播业务报告期共实现营业收入</w:t>
      </w:r>
      <w:r>
        <w:rPr>
          <w:rFonts w:ascii="Times New Roman" w:hAnsi="Times New Roman" w:cs="Times New Roman" w:eastAsia="Times New Roman" w:hint="default"/>
          <w:spacing w:val="-3"/>
        </w:rPr>
        <w:t>207,267.36</w:t>
      </w:r>
      <w:r>
        <w:rPr>
          <w:spacing w:val="-3"/>
        </w:rPr>
        <w:t>万元，同比增幅</w:t>
      </w:r>
      <w:r>
        <w:rPr>
          <w:rFonts w:ascii="Times New Roman" w:hAnsi="Times New Roman" w:cs="Times New Roman" w:eastAsia="Times New Roman" w:hint="default"/>
          <w:spacing w:val="-3"/>
        </w:rPr>
        <w:t>24.93%</w:t>
      </w:r>
      <w:r>
        <w:rPr>
          <w:spacing w:val="-3"/>
        </w:rPr>
        <w:t>，</w:t>
      </w:r>
      <w:r>
        <w:rPr/>
        <w:t> 主要系毛利率较低的媒介代理业务规模扩大所致。但因市场竞争加剧、业务模式创新未达预期，公司数字传播业务后续增长</w:t>
      </w:r>
      <w:r>
        <w:rPr/>
        <w:t> 面临较大压力。</w:t>
      </w:r>
    </w:p>
    <w:p>
      <w:pPr>
        <w:spacing w:line="240" w:lineRule="auto" w:before="0"/>
        <w:rPr>
          <w:rFonts w:ascii="宋体" w:hAnsi="宋体" w:cs="宋体" w:eastAsia="宋体" w:hint="default"/>
          <w:sz w:val="18"/>
          <w:szCs w:val="18"/>
        </w:rPr>
      </w:pPr>
    </w:p>
    <w:p>
      <w:pPr>
        <w:pStyle w:val="BodyText"/>
        <w:spacing w:line="338" w:lineRule="auto" w:before="143"/>
        <w:ind w:left="513" w:right="1033"/>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）国内营销业务</w:t>
      </w:r>
      <w:r>
        <w:rPr>
          <w:rFonts w:ascii="宋体" w:hAnsi="宋体" w:cs="宋体" w:eastAsia="宋体" w:hint="default"/>
          <w:b/>
          <w:bCs/>
          <w:w w:val="99"/>
        </w:rPr>
        <w:t> </w:t>
      </w:r>
      <w:r>
        <w:rPr/>
        <w:t>国内营销主要围绕品牌整合营销和效果营销开展业务。报告期，整合营销业务继续深耕汽车、消费电子、医药、餐饮、</w:t>
      </w:r>
    </w:p>
    <w:p>
      <w:pPr>
        <w:pStyle w:val="BodyText"/>
        <w:spacing w:line="316" w:lineRule="auto" w:before="2"/>
        <w:ind w:right="1131"/>
        <w:jc w:val="both"/>
      </w:pPr>
      <w:r>
        <w:rPr>
          <w:spacing w:val="-2"/>
        </w:rPr>
        <w:t>银行等行业客户，新服务了百度、千金药业等客户，千万级别签约项目较之前有明显提升。同时，基于行业变化尝试更多的</w:t>
      </w:r>
      <w:r>
        <w:rPr>
          <w:spacing w:val="-67"/>
        </w:rPr>
        <w:t> </w:t>
      </w:r>
      <w:r>
        <w:rPr>
          <w:spacing w:val="-67"/>
        </w:rPr>
      </w:r>
      <w:r>
        <w:rPr>
          <w:spacing w:val="-2"/>
        </w:rPr>
        <w:t>业务合作模式，如电商网红直销、微信群实效营销等，并取得良好效果。效果营销方面，因上年末人员调整，加之优质媒介</w:t>
      </w:r>
      <w:r>
        <w:rPr>
          <w:spacing w:val="-68"/>
        </w:rPr>
        <w:t> </w:t>
      </w:r>
      <w:r>
        <w:rPr>
          <w:spacing w:val="-68"/>
        </w:rPr>
      </w:r>
      <w:r>
        <w:rPr>
          <w:spacing w:val="-2"/>
        </w:rPr>
        <w:t>资源集中化、市场竞争削减毛利等影响，业务规模下降较大，虽然报告期通过加强媒体资源合作及优化投放策略等方式，业</w:t>
      </w:r>
      <w:r>
        <w:rPr>
          <w:spacing w:val="-64"/>
        </w:rPr>
        <w:t> </w:t>
      </w:r>
      <w:r>
        <w:rPr>
          <w:spacing w:val="-64"/>
        </w:rPr>
      </w:r>
      <w:r>
        <w:rPr/>
        <w:t>务量在下半年有所恢复，但仍致全年整体业务完成度低于预期。</w:t>
      </w:r>
    </w:p>
    <w:p>
      <w:pPr>
        <w:spacing w:after="0" w:line="316"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spacing w:line="240" w:lineRule="auto"/>
        <w:ind w:right="1115"/>
        <w:jc w:val="left"/>
        <w:rPr>
          <w:b w:val="0"/>
          <w:bCs w:val="0"/>
        </w:rPr>
      </w:pPr>
      <w:r>
        <w:rPr/>
        <w:t>（</w:t>
      </w:r>
      <w:r>
        <w:rPr>
          <w:rFonts w:ascii="Times New Roman" w:hAnsi="Times New Roman" w:cs="Times New Roman" w:eastAsia="Times New Roman" w:hint="default"/>
        </w:rPr>
        <w:t>2</w:t>
      </w:r>
      <w:r>
        <w:rPr/>
        <w:t>）出海营销业务</w:t>
      </w:r>
      <w:r>
        <w:rPr>
          <w:b w:val="0"/>
          <w:bCs w:val="0"/>
        </w:rPr>
      </w:r>
    </w:p>
    <w:p>
      <w:pPr>
        <w:pStyle w:val="BodyText"/>
        <w:spacing w:line="300" w:lineRule="auto" w:before="101"/>
        <w:ind w:right="1130" w:firstLine="360"/>
        <w:jc w:val="both"/>
      </w:pPr>
      <w:r>
        <w:rPr>
          <w:rFonts w:ascii="Times New Roman" w:hAnsi="Times New Roman" w:cs="Times New Roman" w:eastAsia="Times New Roman" w:hint="default"/>
          <w:spacing w:val="-2"/>
        </w:rPr>
        <w:t>PandaMobo</w:t>
      </w:r>
      <w:r>
        <w:rPr>
          <w:spacing w:val="-2"/>
        </w:rPr>
        <w:t>出海营销主要以利用</w:t>
      </w:r>
      <w:r>
        <w:rPr>
          <w:rFonts w:ascii="Times New Roman" w:hAnsi="Times New Roman" w:cs="Times New Roman" w:eastAsia="Times New Roman" w:hint="default"/>
          <w:spacing w:val="-2"/>
        </w:rPr>
        <w:t>AI</w:t>
      </w:r>
      <w:r>
        <w:rPr>
          <w:spacing w:val="-2"/>
        </w:rPr>
        <w:t>、大数据技术为客户创新服务为工作重点。报告期，实现了自主研发的久其智能客服</w:t>
      </w:r>
      <w:r>
        <w:rPr/>
        <w:t> </w:t>
      </w:r>
      <w:r>
        <w:rPr>
          <w:rFonts w:ascii="Times New Roman" w:hAnsi="Times New Roman" w:cs="Times New Roman" w:eastAsia="Times New Roman" w:hint="default"/>
        </w:rPr>
        <w:t>JoinChat</w:t>
      </w:r>
      <w:r>
        <w:rPr/>
        <w:t>在品牌出海营销业务中的落地，协助贵州茅台、南方航空、一汽集团等大型品牌客户的出海营销服务，同时开辟了 家电行业，为后续品牌业务发展奠定基础。此外，公司研发的海外电商智能客服机器人</w:t>
      </w:r>
      <w:r>
        <w:rPr>
          <w:rFonts w:ascii="Times New Roman" w:hAnsi="Times New Roman" w:cs="Times New Roman" w:eastAsia="Times New Roman" w:hint="default"/>
        </w:rPr>
        <w:t>BoomCart</w:t>
      </w:r>
      <w:r>
        <w:rPr/>
        <w:t>在</w:t>
      </w:r>
      <w:r>
        <w:rPr>
          <w:rFonts w:ascii="Times New Roman" w:hAnsi="Times New Roman" w:cs="Times New Roman" w:eastAsia="Times New Roman" w:hint="default"/>
        </w:rPr>
        <w:t>Shopify</w:t>
      </w:r>
      <w:r>
        <w:rPr/>
        <w:t>中国首届开发者</w:t>
      </w:r>
      <w:r>
        <w:rPr>
          <w:spacing w:val="-57"/>
        </w:rPr>
        <w:t> </w:t>
      </w:r>
      <w:r>
        <w:rPr>
          <w:spacing w:val="-57"/>
        </w:rPr>
      </w:r>
      <w:r>
        <w:rPr/>
        <w:t>大赛中获得了</w:t>
      </w:r>
      <w:r>
        <w:rPr>
          <w:rFonts w:ascii="Times New Roman" w:hAnsi="Times New Roman" w:cs="Times New Roman" w:eastAsia="Times New Roman" w:hint="default"/>
        </w:rPr>
        <w:t>“</w:t>
      </w:r>
      <w:r>
        <w:rPr/>
        <w:t>最佳应用：赋能中国品牌出海</w:t>
      </w:r>
      <w:r>
        <w:rPr>
          <w:rFonts w:ascii="Times New Roman" w:hAnsi="Times New Roman" w:cs="Times New Roman" w:eastAsia="Times New Roman" w:hint="default"/>
        </w:rPr>
        <w:t>”</w:t>
      </w:r>
      <w:r>
        <w:rPr/>
        <w:t>奖项，互联网电商客户业务增多，服务了包括环球易购、</w:t>
      </w:r>
      <w:r>
        <w:rPr>
          <w:rFonts w:ascii="Times New Roman" w:hAnsi="Times New Roman" w:cs="Times New Roman" w:eastAsia="Times New Roman" w:hint="default"/>
        </w:rPr>
        <w:t>SheIn</w:t>
      </w:r>
      <w:r>
        <w:rPr/>
        <w:t>等大型电商客</w:t>
      </w:r>
      <w:r>
        <w:rPr>
          <w:spacing w:val="-40"/>
        </w:rPr>
        <w:t> </w:t>
      </w:r>
      <w:r>
        <w:rPr>
          <w:spacing w:val="-40"/>
        </w:rPr>
      </w:r>
      <w:r>
        <w:rPr>
          <w:spacing w:val="-2"/>
        </w:rPr>
        <w:t>户，并成为</w:t>
      </w:r>
      <w:r>
        <w:rPr>
          <w:rFonts w:ascii="Times New Roman" w:hAnsi="Times New Roman" w:cs="Times New Roman" w:eastAsia="Times New Roman" w:hint="default"/>
          <w:spacing w:val="-2"/>
        </w:rPr>
        <w:t>Facebook</w:t>
      </w:r>
      <w:r>
        <w:rPr>
          <w:spacing w:val="-2"/>
        </w:rPr>
        <w:t>年度中小电商客户拓展的代表。在拓展业务的同时，出海业务开始着眼于业务风险控制，重点优化提升</w:t>
      </w:r>
      <w:r>
        <w:rPr>
          <w:spacing w:val="-38"/>
        </w:rPr>
        <w:t> </w:t>
      </w:r>
      <w:r>
        <w:rPr>
          <w:spacing w:val="-38"/>
        </w:rPr>
      </w:r>
      <w:r>
        <w:rPr/>
        <w:t>资金周转率，防范媒体资源采买导致的资金垫款风险。</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BodyText"/>
        <w:spacing w:line="338" w:lineRule="auto"/>
        <w:ind w:left="513" w:right="1115"/>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）营销数字化业务</w:t>
      </w:r>
      <w:r>
        <w:rPr>
          <w:rFonts w:ascii="宋体" w:hAnsi="宋体" w:cs="宋体" w:eastAsia="宋体" w:hint="default"/>
          <w:b/>
          <w:bCs/>
          <w:w w:val="99"/>
        </w:rPr>
        <w:t> </w:t>
      </w:r>
      <w:r>
        <w:rPr/>
        <w:t>报告期，公司投入研发了数字营销</w:t>
      </w:r>
      <w:r>
        <w:rPr>
          <w:rFonts w:ascii="Times New Roman" w:hAnsi="Times New Roman" w:cs="Times New Roman" w:eastAsia="Times New Roman" w:hint="default"/>
        </w:rPr>
        <w:t>4.0</w:t>
      </w:r>
      <w:r>
        <w:rPr/>
        <w:t>平台，在用户和内容两方面对管理系统进行大规模升级改造，提升平台的智能化</w:t>
      </w:r>
    </w:p>
    <w:p>
      <w:pPr>
        <w:pStyle w:val="BodyText"/>
        <w:spacing w:line="230" w:lineRule="exact"/>
        <w:ind w:right="0"/>
        <w:jc w:val="left"/>
      </w:pPr>
      <w:r>
        <w:rPr/>
        <w:t>水平。同时推出了自主研发的以</w:t>
      </w:r>
      <w:r>
        <w:rPr>
          <w:rFonts w:ascii="Times New Roman" w:hAnsi="Times New Roman" w:cs="Times New Roman" w:eastAsia="Times New Roman" w:hint="default"/>
        </w:rPr>
        <w:t>JoinChat</w:t>
      </w:r>
      <w:r>
        <w:rPr/>
        <w:t>和久其全民营销</w:t>
      </w:r>
      <w:r>
        <w:rPr>
          <w:rFonts w:ascii="Times New Roman" w:hAnsi="Times New Roman" w:cs="Times New Roman" w:eastAsia="Times New Roman" w:hint="default"/>
        </w:rPr>
        <w:t>JoinShare</w:t>
      </w:r>
      <w:r>
        <w:rPr/>
        <w:t>为代表的第二代营销工具类产品，报告期已进入客户测试</w:t>
      </w:r>
    </w:p>
    <w:p>
      <w:pPr>
        <w:pStyle w:val="BodyText"/>
        <w:spacing w:line="240" w:lineRule="auto" w:before="63"/>
        <w:ind w:right="1115"/>
        <w:jc w:val="left"/>
      </w:pPr>
      <w:r>
        <w:rPr/>
        <w:t>阶段。由于新的营销数字化平台及产品尚处于先期投入和市场验证阶段，实现盈利转化还需要一定周期。</w:t>
      </w:r>
    </w:p>
    <w:p>
      <w:pPr>
        <w:spacing w:line="240" w:lineRule="auto" w:before="3"/>
        <w:rPr>
          <w:rFonts w:ascii="宋体" w:hAnsi="宋体" w:cs="宋体" w:eastAsia="宋体" w:hint="default"/>
          <w:sz w:val="25"/>
          <w:szCs w:val="25"/>
        </w:rPr>
      </w:pPr>
    </w:p>
    <w:p>
      <w:pPr>
        <w:spacing w:line="506" w:lineRule="auto" w:before="0"/>
        <w:ind w:left="152" w:right="8254" w:firstLine="0"/>
        <w:jc w:val="left"/>
        <w:rPr>
          <w:rFonts w:ascii="宋体" w:hAnsi="宋体" w:cs="宋体" w:eastAsia="宋体" w:hint="default"/>
          <w:sz w:val="18"/>
          <w:szCs w:val="18"/>
        </w:rPr>
      </w:pPr>
      <w:bookmarkStart w:name="二、主营业务分析" w:id="26"/>
      <w:bookmarkEnd w:id="26"/>
      <w:r>
        <w:rPr/>
      </w:r>
      <w:r>
        <w:rPr>
          <w:rFonts w:ascii="宋体" w:hAnsi="宋体" w:cs="宋体" w:eastAsia="宋体" w:hint="default"/>
          <w:b/>
          <w:bCs/>
          <w:sz w:val="24"/>
          <w:szCs w:val="24"/>
        </w:rPr>
        <w:t>二、主营业务分析</w:t>
      </w:r>
      <w:r>
        <w:rPr>
          <w:rFonts w:ascii="宋体" w:hAnsi="宋体" w:cs="宋体" w:eastAsia="宋体" w:hint="default"/>
          <w:b/>
          <w:bCs/>
          <w:w w:val="99"/>
          <w:sz w:val="24"/>
          <w:szCs w:val="24"/>
        </w:rPr>
        <w:t> </w:t>
      </w:r>
      <w:bookmarkStart w:name="1、概述" w:id="27"/>
      <w:bookmarkEnd w:id="2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参见本节</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w:t>
      </w:r>
    </w:p>
    <w:p>
      <w:pPr>
        <w:pStyle w:val="Heading3"/>
        <w:spacing w:line="240" w:lineRule="auto" w:before="121"/>
        <w:ind w:right="1115"/>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5"/>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0"/>
        <w:gridCol w:w="1594"/>
        <w:gridCol w:w="1590"/>
        <w:gridCol w:w="1600"/>
        <w:gridCol w:w="1586"/>
        <w:gridCol w:w="1598"/>
      </w:tblGrid>
      <w:tr>
        <w:trPr>
          <w:trHeight w:val="206" w:hRule="exact"/>
        </w:trPr>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600" w:type="dxa"/>
            <w:vMerge w:val="restart"/>
            <w:tcBorders>
              <w:top w:val="nil" w:sz="6" w:space="0" w:color="auto"/>
              <w:left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9" w:hRule="exact"/>
        </w:trPr>
        <w:tc>
          <w:tcPr>
            <w:tcW w:w="1600"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金额</w:t>
            </w:r>
          </w:p>
        </w:tc>
        <w:tc>
          <w:tcPr>
            <w:tcW w:w="15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0"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3,101,650,196.18</w:t>
            </w:r>
          </w:p>
        </w:tc>
        <w:tc>
          <w:tcPr>
            <w:tcW w:w="1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600"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2,720,235,569.39</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100%</w:t>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14.02%</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电子政务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697,944,471.45</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22.50%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717,703,674.49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26.38%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集团管控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304,847,971.40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9.83%</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302,547,781.81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11.12%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0.76%</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互联网业务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2,089,237,677.35</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67.36%</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1,691,564,483.47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62.18%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23.51%</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9,620,075.98</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0.31%</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8,419,629.62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0.31%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14.26%</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304,974,402.75</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9.83%</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426,638,535.43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15.68%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-28.52%</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硬件产品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53,228,967.77</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77,501,054.97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2.85%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-31.32%</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644,589,072.33</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20.78%</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2"/>
                <w:sz w:val="18"/>
              </w:rPr>
              <w:t>516,111,865.90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18.97%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24.89%</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2,089,237,677.35</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67.36%</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1,691,564,483.47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62.18%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23.51%</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9,620,075.98</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0.31%</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8,419,629.62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0.31%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14.26%</w:t>
            </w:r>
          </w:p>
        </w:tc>
      </w:tr>
    </w:tbl>
    <w:p>
      <w:pPr>
        <w:pStyle w:val="BodyText"/>
        <w:spacing w:line="240" w:lineRule="auto" w:before="49"/>
        <w:ind w:right="1115"/>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08"/>
        <w:gridCol w:w="1008"/>
        <w:gridCol w:w="1009"/>
        <w:gridCol w:w="1013"/>
        <w:gridCol w:w="1011"/>
        <w:gridCol w:w="1003"/>
        <w:gridCol w:w="1006"/>
        <w:gridCol w:w="1001"/>
        <w:gridCol w:w="1003"/>
      </w:tblGrid>
      <w:tr>
        <w:trPr>
          <w:trHeight w:val="206" w:hRule="exact"/>
        </w:trPr>
        <w:tc>
          <w:tcPr>
            <w:tcW w:w="1508" w:type="dxa"/>
            <w:tcBorders>
              <w:top w:val="single" w:sz="4" w:space="0" w:color="000000"/>
              <w:left w:val="single" w:sz="4" w:space="0" w:color="000000"/>
              <w:bottom w:val="nil" w:sz="6" w:space="0" w:color="auto"/>
              <w:right w:val="single" w:sz="4" w:space="0" w:color="000000"/>
            </w:tcBorders>
            <w:shd w:val="clear" w:color="auto" w:fill="D2D2D2"/>
          </w:tcPr>
          <w:p>
            <w:pPr/>
          </w:p>
        </w:tc>
        <w:tc>
          <w:tcPr>
            <w:tcW w:w="4040"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4013"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190" w:hRule="exact"/>
        </w:trPr>
        <w:tc>
          <w:tcPr>
            <w:tcW w:w="1508" w:type="dxa"/>
            <w:vMerge w:val="restart"/>
            <w:tcBorders>
              <w:top w:val="nil" w:sz="6" w:space="0" w:color="auto"/>
              <w:left w:val="single" w:sz="4" w:space="0" w:color="000000"/>
              <w:right w:val="single" w:sz="4" w:space="0" w:color="000000"/>
            </w:tcBorders>
            <w:shd w:val="clear" w:color="auto" w:fill="D2D2D2"/>
          </w:tcPr>
          <w:p>
            <w:pPr/>
          </w:p>
        </w:tc>
        <w:tc>
          <w:tcPr>
            <w:tcW w:w="4040" w:type="dxa"/>
            <w:gridSpan w:val="4"/>
            <w:vMerge/>
            <w:tcBorders>
              <w:left w:val="single" w:sz="4" w:space="0" w:color="000000"/>
              <w:bottom w:val="single" w:sz="4" w:space="0" w:color="000000"/>
              <w:right w:val="single" w:sz="4" w:space="0" w:color="000000"/>
            </w:tcBorders>
            <w:shd w:val="clear" w:color="auto" w:fill="D2D2D2"/>
          </w:tcPr>
          <w:p>
            <w:pPr/>
          </w:p>
        </w:tc>
        <w:tc>
          <w:tcPr>
            <w:tcW w:w="4013"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508" w:type="dxa"/>
            <w:vMerge/>
            <w:tcBorders>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7"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6" w:hRule="exact"/>
        </w:trPr>
        <w:tc>
          <w:tcPr>
            <w:tcW w:w="15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1009" w:type="dxa"/>
            <w:vMerge/>
            <w:tcBorders>
              <w:left w:val="single" w:sz="4" w:space="0" w:color="000000"/>
              <w:bottom w:val="single" w:sz="4" w:space="0" w:color="000000"/>
              <w:right w:val="single" w:sz="4" w:space="0" w:color="000000"/>
            </w:tcBorders>
            <w:shd w:val="clear" w:color="auto" w:fill="D2D2D2"/>
          </w:tcPr>
          <w:p>
            <w:pPr/>
          </w:p>
        </w:tc>
        <w:tc>
          <w:tcPr>
            <w:tcW w:w="1013"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006"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5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10"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522,758,320.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57</w:t>
            </w:r>
          </w:p>
        </w:tc>
        <w:tc>
          <w:tcPr>
            <w:tcW w:w="1009"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576,838,800.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17</w:t>
            </w:r>
          </w:p>
        </w:tc>
        <w:tc>
          <w:tcPr>
            <w:tcW w:w="101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755,838,155.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21</w:t>
            </w:r>
          </w:p>
        </w:tc>
        <w:tc>
          <w:tcPr>
            <w:tcW w:w="1011" w:type="dxa"/>
            <w:vMerge w:val="restart"/>
            <w:tcBorders>
              <w:top w:val="single" w:sz="4" w:space="0" w:color="000000"/>
              <w:left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1,246,214,92</w:t>
            </w:r>
          </w:p>
          <w:p>
            <w:pPr>
              <w:pStyle w:val="TableParagraph"/>
              <w:spacing w:line="240" w:lineRule="auto" w:before="102"/>
              <w:ind w:left="665" w:right="0"/>
              <w:jc w:val="left"/>
              <w:rPr>
                <w:rFonts w:ascii="Times New Roman" w:hAnsi="Times New Roman" w:cs="Times New Roman" w:eastAsia="Times New Roman" w:hint="default"/>
                <w:sz w:val="18"/>
                <w:szCs w:val="18"/>
              </w:rPr>
            </w:pPr>
            <w:r>
              <w:rPr>
                <w:rFonts w:ascii="Times New Roman"/>
                <w:sz w:val="18"/>
              </w:rPr>
              <w:t>0.23</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418,189,044.</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75</w:t>
            </w:r>
          </w:p>
        </w:tc>
        <w:tc>
          <w:tcPr>
            <w:tcW w:w="1006" w:type="dxa"/>
            <w:vMerge w:val="restart"/>
            <w:tcBorders>
              <w:top w:val="single" w:sz="4" w:space="0" w:color="000000"/>
              <w:left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594,997,411.</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13</w:t>
            </w:r>
          </w:p>
        </w:tc>
        <w:tc>
          <w:tcPr>
            <w:tcW w:w="1001" w:type="dxa"/>
            <w:vMerge w:val="restart"/>
            <w:tcBorders>
              <w:top w:val="single" w:sz="4" w:space="0" w:color="000000"/>
              <w:left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684,022,818.</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80</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1,023,026,29</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4.71</w:t>
            </w:r>
          </w:p>
        </w:tc>
      </w:tr>
      <w:tr>
        <w:trPr>
          <w:trHeight w:val="391" w:hRule="exact"/>
        </w:trPr>
        <w:tc>
          <w:tcPr>
            <w:tcW w:w="15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vMerge/>
            <w:tcBorders>
              <w:left w:val="single" w:sz="10" w:space="0" w:color="D2D2D2"/>
              <w:right w:val="single" w:sz="4" w:space="0" w:color="000000"/>
            </w:tcBorders>
          </w:tcPr>
          <w:p>
            <w:pPr/>
          </w:p>
        </w:tc>
        <w:tc>
          <w:tcPr>
            <w:tcW w:w="1009" w:type="dxa"/>
            <w:vMerge/>
            <w:tcBorders>
              <w:left w:val="single" w:sz="4" w:space="0" w:color="000000"/>
              <w:right w:val="single" w:sz="4" w:space="0" w:color="000000"/>
            </w:tcBorders>
          </w:tcPr>
          <w:p>
            <w:pPr/>
          </w:p>
        </w:tc>
        <w:tc>
          <w:tcPr>
            <w:tcW w:w="1013"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c>
          <w:tcPr>
            <w:tcW w:w="100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r>
      <w:tr>
        <w:trPr>
          <w:trHeight w:val="161" w:hRule="exact"/>
        </w:trPr>
        <w:tc>
          <w:tcPr>
            <w:tcW w:w="15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10" w:space="0" w:color="D2D2D2"/>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1006"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r>
      <w:tr>
        <w:trPr>
          <w:trHeight w:val="715" w:hRule="exact"/>
        </w:trPr>
        <w:tc>
          <w:tcPr>
            <w:tcW w:w="1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5"/>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-59,221,556.</w:t>
            </w:r>
          </w:p>
          <w:p>
            <w:pPr>
              <w:pStyle w:val="TableParagraph"/>
              <w:spacing w:line="240" w:lineRule="auto" w:before="105"/>
              <w:ind w:left="11" w:right="0"/>
              <w:jc w:val="left"/>
              <w:rPr>
                <w:rFonts w:ascii="Times New Roman" w:hAnsi="Times New Roman" w:cs="Times New Roman" w:eastAsia="Times New Roman" w:hint="default"/>
                <w:sz w:val="18"/>
                <w:szCs w:val="18"/>
              </w:rPr>
            </w:pPr>
            <w:r>
              <w:rPr>
                <w:rFonts w:ascii="Times New Roman"/>
                <w:sz w:val="18"/>
              </w:rPr>
              <w:t>61</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-23,857,096.</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59</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89,705,374.9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45,638,183.6</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4</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7,448,361.08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76,965,952.2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82,874,518.5</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-1,008,753,1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49.41</w:t>
            </w:r>
          </w:p>
        </w:tc>
      </w:tr>
    </w:tbl>
    <w:p>
      <w:pPr>
        <w:pStyle w:val="BodyText"/>
        <w:spacing w:line="338" w:lineRule="auto" w:before="49"/>
        <w:ind w:right="1115"/>
        <w:jc w:val="left"/>
      </w:pPr>
      <w:r>
        <w:rPr/>
        <w:t>说明经营季节性（或周期性）发生的原因及波动风险 </w:t>
      </w:r>
      <w:r>
        <w:rPr>
          <w:spacing w:val="-2"/>
        </w:rPr>
        <w:t>公司收入主要来源于电子政务、集团管控、数字传播三大类业务。其中电子政务和集团管控业务的客户群体主要为政府部门</w:t>
      </w:r>
      <w:r>
        <w:rPr>
          <w:spacing w:val="-66"/>
        </w:rPr>
        <w:t> </w:t>
      </w:r>
      <w:r>
        <w:rPr>
          <w:spacing w:val="-66"/>
        </w:rPr>
      </w:r>
      <w:r>
        <w:rPr>
          <w:spacing w:val="-2"/>
        </w:rPr>
        <w:t>和大型企事业单位，该类客户大多执行较为严格的财务预算和支出管理制度，通常在年初制定项目计划或支出安排，下半年</w:t>
      </w:r>
    </w:p>
    <w:p>
      <w:pPr>
        <w:pStyle w:val="BodyText"/>
        <w:spacing w:line="319" w:lineRule="auto" w:before="2"/>
        <w:ind w:right="1034"/>
        <w:jc w:val="left"/>
      </w:pPr>
      <w:r>
        <w:rPr>
          <w:spacing w:val="-2"/>
        </w:rPr>
        <w:t>实施交付并完成项目验收相关工作。因此，公司实现收入及盈利的高峰期通常在每年的第三和第四季度。此外，数字传播业</w:t>
      </w:r>
      <w:r>
        <w:rPr>
          <w:spacing w:val="-65"/>
        </w:rPr>
        <w:t> </w:t>
      </w:r>
      <w:r>
        <w:rPr>
          <w:spacing w:val="-65"/>
        </w:rPr>
      </w:r>
      <w:r>
        <w:rPr/>
        <w:t>务受季节性因素影响相对较小，但受居民消费习惯和假日经济的影响，广告主投放数量和金额也存在一些季节性变化特征。</w:t>
      </w:r>
    </w:p>
    <w:p>
      <w:pPr>
        <w:spacing w:line="240" w:lineRule="auto" w:before="9"/>
        <w:rPr>
          <w:rFonts w:ascii="宋体" w:hAnsi="宋体" w:cs="宋体" w:eastAsia="宋体" w:hint="default"/>
          <w:sz w:val="22"/>
          <w:szCs w:val="22"/>
        </w:rPr>
      </w:pPr>
    </w:p>
    <w:p>
      <w:pPr>
        <w:pStyle w:val="Heading3"/>
        <w:spacing w:line="240" w:lineRule="auto"/>
        <w:ind w:right="1115"/>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32" w:right="0"/>
        <w:jc w:val="left"/>
      </w:pPr>
      <w:r>
        <w:rPr/>
        <w:t>单位：元</w:t>
      </w:r>
    </w:p>
    <w:p>
      <w:pPr>
        <w:spacing w:after="0" w:line="240" w:lineRule="auto"/>
        <w:jc w:val="left"/>
        <w:sectPr>
          <w:type w:val="continuous"/>
          <w:pgSz w:w="11910" w:h="16840"/>
          <w:pgMar w:top="1060" w:bottom="1160" w:left="980" w:right="0"/>
          <w:cols w:num="2" w:equalWidth="0">
            <w:col w:w="9066" w:space="40"/>
            <w:col w:w="1824"/>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电子政务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697,944,471.45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131,194,567.81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-0.51%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集团管控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304,847,971.40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14,610,743.30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-57.76%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6.64%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互联网业务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2,089,237,677.35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1,952,741,436.20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40.12%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-11.08%</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304,974,402.75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41,257,905.09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644,589,072.33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57,748,101.60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36.26%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-0.75%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2,089,237,677.35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1,952,741,436.20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40.12%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-11.08%</w:t>
            </w:r>
          </w:p>
        </w:tc>
      </w:tr>
    </w:tbl>
    <w:p>
      <w:pPr>
        <w:pStyle w:val="BodyText"/>
        <w:spacing w:line="240" w:lineRule="auto" w:before="49"/>
        <w:ind w:right="1115"/>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3"/>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3"/>
        <w:spacing w:line="240" w:lineRule="auto"/>
        <w:ind w:right="1115"/>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15"/>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5"/>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15"/>
        <w:jc w:val="left"/>
      </w:pPr>
      <w:r>
        <w:rPr/>
        <w:t>行业和产品分类</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电子政务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131,194,567.81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131,260,820.22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集团管控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14,610,743.30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34,588,529.65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-57.76%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互联网业务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1,952,741,436.20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93.01%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1,393,631,154.47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89.31%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933,280.92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942,876.64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-1.02%</w:t>
            </w:r>
          </w:p>
        </w:tc>
      </w:tr>
      <w:tr>
        <w:trPr>
          <w:trHeight w:val="403" w:hRule="exact"/>
        </w:trPr>
        <w:tc>
          <w:tcPr>
            <w:tcW w:w="273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2,099,480,028.23</w:t>
            </w:r>
          </w:p>
        </w:tc>
        <w:tc>
          <w:tcPr>
            <w:tcW w:w="1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1,560,423,380.98</w:t>
            </w:r>
          </w:p>
        </w:tc>
        <w:tc>
          <w:tcPr>
            <w:tcW w:w="1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34.55%</w:t>
            </w:r>
          </w:p>
        </w:tc>
      </w:tr>
    </w:tbl>
    <w:p>
      <w:pPr>
        <w:pStyle w:val="BodyText"/>
        <w:spacing w:line="240" w:lineRule="auto" w:before="50"/>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41,257,905.09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49,612,159.12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-16.84%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46,799,304.42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73,855,010.80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-36.63%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57,748,101.60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42,382,179.95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36.26%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1,952,741,436.20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93.01%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1,393,631,154.47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89.31%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40.12%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933,280.92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942,876.64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w:t>
            </w:r>
          </w:p>
        </w:tc>
      </w:tr>
      <w:tr>
        <w:trPr>
          <w:trHeight w:val="402" w:hRule="exact"/>
        </w:trPr>
        <w:tc>
          <w:tcPr>
            <w:tcW w:w="273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2,099,480,028.23</w:t>
            </w:r>
          </w:p>
        </w:tc>
        <w:tc>
          <w:tcPr>
            <w:tcW w:w="1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1,560,423,380.98</w:t>
            </w:r>
          </w:p>
        </w:tc>
        <w:tc>
          <w:tcPr>
            <w:tcW w:w="1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34.55%</w:t>
            </w:r>
          </w:p>
        </w:tc>
      </w:tr>
    </w:tbl>
    <w:p>
      <w:pPr>
        <w:spacing w:line="240" w:lineRule="auto" w:before="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745" w:footer="980" w:top="1060" w:bottom="1160" w:left="980" w:right="0"/>
        </w:sectPr>
      </w:pPr>
    </w:p>
    <w:p>
      <w:pPr>
        <w:pStyle w:val="BodyText"/>
        <w:spacing w:line="340" w:lineRule="auto" w:before="44"/>
        <w:ind w:right="-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32" w:right="0"/>
        <w:jc w:val="left"/>
      </w:pPr>
      <w:r>
        <w:rPr/>
        <w:t>单位：元</w:t>
      </w:r>
    </w:p>
    <w:p>
      <w:pPr>
        <w:spacing w:after="0" w:line="240" w:lineRule="auto"/>
        <w:jc w:val="left"/>
        <w:sectPr>
          <w:type w:val="continuous"/>
          <w:pgSz w:w="11910" w:h="16840"/>
          <w:pgMar w:top="1060" w:bottom="1160" w:left="980" w:right="0"/>
          <w:cols w:num="2" w:equalWidth="0">
            <w:col w:w="9066" w:space="40"/>
            <w:col w:w="1824"/>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媒体资源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1,952,741,436.20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93.01%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1,393,631,154.47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89.31%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40.34%</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设备材料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48,040,388.50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74,647,947.58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-35.64%</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98,698,203.53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4.70%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92,144,278.93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5.91%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3.72%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2,099,480,028.23</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1,560,423,380.98</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34.55%</w:t>
            </w:r>
          </w:p>
        </w:tc>
      </w:tr>
    </w:tbl>
    <w:p>
      <w:pPr>
        <w:spacing w:line="240" w:lineRule="auto" w:before="4"/>
        <w:rPr>
          <w:rFonts w:ascii="宋体" w:hAnsi="宋体" w:cs="宋体" w:eastAsia="宋体" w:hint="default"/>
          <w:sz w:val="19"/>
          <w:szCs w:val="19"/>
        </w:rPr>
      </w:pPr>
    </w:p>
    <w:p>
      <w:pPr>
        <w:pStyle w:val="Heading3"/>
        <w:spacing w:line="240" w:lineRule="auto" w:before="36"/>
        <w:ind w:right="1115"/>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pStyle w:val="BodyText"/>
        <w:spacing w:line="300" w:lineRule="auto" w:before="103"/>
        <w:ind w:right="1132" w:firstLine="36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10</w:t>
      </w:r>
      <w:r>
        <w:rPr>
          <w:spacing w:val="-2"/>
        </w:rPr>
        <w:t>日，公司</w:t>
      </w:r>
      <w:r>
        <w:rPr>
          <w:rFonts w:ascii="Times New Roman" w:hAnsi="Times New Roman" w:cs="Times New Roman" w:eastAsia="Times New Roman" w:hint="default"/>
          <w:spacing w:val="-2"/>
        </w:rPr>
        <w:t>2019</w:t>
      </w:r>
      <w:r>
        <w:rPr>
          <w:spacing w:val="-2"/>
        </w:rPr>
        <w:t>年第四次临时股东大会审议通过，公司拟向关联方北京启顺通达科技有限公司转让上海移通</w:t>
      </w:r>
      <w:r>
        <w:rPr/>
        <w:t> 网络有限公司</w:t>
      </w:r>
      <w:r>
        <w:rPr>
          <w:rFonts w:ascii="Times New Roman" w:hAnsi="Times New Roman" w:cs="Times New Roman" w:eastAsia="Times New Roman" w:hint="default"/>
        </w:rPr>
        <w:t>100%</w:t>
      </w:r>
      <w:r>
        <w:rPr/>
        <w:t>股权。截至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日，启顺通达已按照《北京久其软件股份有限公司与北京启顺通达科技有限公</w:t>
      </w:r>
      <w:r>
        <w:rPr>
          <w:spacing w:val="-60"/>
        </w:rPr>
        <w:t> </w:t>
      </w:r>
      <w:r>
        <w:rPr>
          <w:spacing w:val="-60"/>
        </w:rPr>
      </w:r>
      <w:r>
        <w:rPr>
          <w:spacing w:val="-1"/>
        </w:rPr>
        <w:t>司关于上海移通网络有限公司的股权转让协议》的约定向公司支付完毕全部</w:t>
      </w:r>
      <w:r>
        <w:rPr>
          <w:rFonts w:ascii="Times New Roman" w:hAnsi="Times New Roman" w:cs="Times New Roman" w:eastAsia="Times New Roman" w:hint="default"/>
          <w:spacing w:val="-1"/>
        </w:rPr>
        <w:t>30,300</w:t>
      </w:r>
      <w:r>
        <w:rPr>
          <w:spacing w:val="-1"/>
        </w:rPr>
        <w:t>万元股权转让价款，且公司与启顺通达已</w:t>
      </w:r>
    </w:p>
    <w:p>
      <w:pPr>
        <w:spacing w:after="0" w:line="300" w:lineRule="auto"/>
        <w:jc w:val="both"/>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34"/>
        <w:jc w:val="left"/>
      </w:pPr>
      <w:r>
        <w:rPr/>
        <w:t>完成上海移通经营管理工作的交接，上海移通</w:t>
      </w:r>
      <w:r>
        <w:rPr>
          <w:rFonts w:ascii="Times New Roman" w:hAnsi="Times New Roman" w:cs="Times New Roman" w:eastAsia="Times New Roman" w:hint="default"/>
        </w:rPr>
        <w:t>100%</w:t>
      </w:r>
      <w:r>
        <w:rPr/>
        <w:t>股权的交割已完成。自交割完成之日起，上海移通将不再纳入公司的合</w:t>
      </w:r>
      <w:r>
        <w:rPr>
          <w:spacing w:val="-58"/>
        </w:rPr>
        <w:t> </w:t>
      </w:r>
      <w:r>
        <w:rPr>
          <w:spacing w:val="-58"/>
        </w:rPr>
      </w:r>
      <w:r>
        <w:rPr/>
        <w:t>并报表范围。上海移通</w:t>
      </w:r>
      <w:r>
        <w:rPr>
          <w:rFonts w:ascii="Times New Roman" w:hAnsi="Times New Roman" w:cs="Times New Roman" w:eastAsia="Times New Roman" w:hint="default"/>
        </w:rPr>
        <w:t>2019</w:t>
      </w:r>
      <w:r>
        <w:rPr/>
        <w:t>年度</w:t>
      </w:r>
      <w:r>
        <w:rPr>
          <w:rFonts w:ascii="Times New Roman" w:hAnsi="Times New Roman" w:cs="Times New Roman" w:eastAsia="Times New Roman" w:hint="default"/>
        </w:rPr>
        <w:t>1-10</w:t>
      </w:r>
      <w:r>
        <w:rPr/>
        <w:t>月为公司贡献利润</w:t>
      </w:r>
      <w:r>
        <w:rPr>
          <w:rFonts w:ascii="Times New Roman" w:hAnsi="Times New Roman" w:cs="Times New Roman" w:eastAsia="Times New Roman" w:hint="default"/>
        </w:rPr>
        <w:t>474.05</w:t>
      </w:r>
      <w:r>
        <w:rPr/>
        <w:t>万元，上年度贡献利润</w:t>
      </w:r>
      <w:r>
        <w:rPr>
          <w:rFonts w:ascii="Times New Roman" w:hAnsi="Times New Roman" w:cs="Times New Roman" w:eastAsia="Times New Roman" w:hint="default"/>
        </w:rPr>
        <w:t>4,161.28</w:t>
      </w:r>
      <w:r>
        <w:rPr/>
        <w:t>万元。</w:t>
      </w:r>
    </w:p>
    <w:p>
      <w:pPr>
        <w:spacing w:line="240" w:lineRule="auto" w:before="4"/>
        <w:rPr>
          <w:rFonts w:ascii="宋体" w:hAnsi="宋体" w:cs="宋体" w:eastAsia="宋体" w:hint="default"/>
          <w:sz w:val="22"/>
          <w:szCs w:val="22"/>
        </w:rPr>
      </w:pPr>
    </w:p>
    <w:p>
      <w:pPr>
        <w:pStyle w:val="Heading3"/>
        <w:spacing w:line="240" w:lineRule="auto"/>
        <w:ind w:right="1115"/>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15"/>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487"/>
        <w:gridCol w:w="3082"/>
      </w:tblGrid>
      <w:tr>
        <w:trPr>
          <w:trHeight w:val="401" w:hRule="exact"/>
        </w:trPr>
        <w:tc>
          <w:tcPr>
            <w:tcW w:w="6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402,277,507.86</w:t>
            </w:r>
          </w:p>
        </w:tc>
      </w:tr>
      <w:tr>
        <w:trPr>
          <w:trHeight w:val="404" w:hRule="exact"/>
        </w:trPr>
        <w:tc>
          <w:tcPr>
            <w:tcW w:w="6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12.97%</w:t>
            </w:r>
          </w:p>
        </w:tc>
      </w:tr>
      <w:tr>
        <w:trPr>
          <w:trHeight w:val="401" w:hRule="exact"/>
        </w:trPr>
        <w:tc>
          <w:tcPr>
            <w:tcW w:w="6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15"/>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120,378,177.37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3.88%</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80,381,226.08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2.59%</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76,579,020.30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69,006,415.33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2.22%</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55,932,668.78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402,277,507.86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12.97%</w:t>
            </w:r>
          </w:p>
        </w:tc>
      </w:tr>
    </w:tbl>
    <w:p>
      <w:pPr>
        <w:pStyle w:val="BodyText"/>
        <w:spacing w:line="240" w:lineRule="auto" w:before="49"/>
        <w:ind w:right="1115"/>
        <w:jc w:val="left"/>
      </w:pPr>
      <w:r>
        <w:rPr/>
        <w:t>主要客户其他情况说明</w:t>
      </w:r>
    </w:p>
    <w:p>
      <w:pPr>
        <w:pStyle w:val="BodyText"/>
        <w:spacing w:line="319" w:lineRule="auto" w:before="117"/>
        <w:ind w:right="1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上述前五名客户与公司不存在关联关系，公司董事、监事、高级管理人员、核心技术人员、持股</w:t>
      </w:r>
      <w:r>
        <w:rPr>
          <w:rFonts w:ascii="Times New Roman" w:hAnsi="Times New Roman" w:cs="Times New Roman" w:eastAsia="Times New Roman" w:hint="default"/>
        </w:rPr>
        <w:t>5%</w:t>
      </w:r>
      <w:r>
        <w:rPr/>
        <w:t>以上股东、实际控制人 和其他关联方在上述前五名客户中未直接或者间接拥有权益。</w:t>
      </w:r>
    </w:p>
    <w:p>
      <w:pPr>
        <w:pStyle w:val="BodyText"/>
        <w:spacing w:line="240" w:lineRule="auto" w:before="58"/>
        <w:ind w:right="1115"/>
        <w:jc w:val="left"/>
      </w:pPr>
      <w:r>
        <w:rPr/>
        <w:t>公司主要供应商情况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487"/>
        <w:gridCol w:w="3082"/>
      </w:tblGrid>
      <w:tr>
        <w:trPr>
          <w:trHeight w:val="401" w:hRule="exact"/>
        </w:trPr>
        <w:tc>
          <w:tcPr>
            <w:tcW w:w="6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1,421,854,115.43</w:t>
            </w:r>
          </w:p>
        </w:tc>
      </w:tr>
      <w:tr>
        <w:trPr>
          <w:trHeight w:val="403" w:hRule="exact"/>
        </w:trPr>
        <w:tc>
          <w:tcPr>
            <w:tcW w:w="6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67.72%</w:t>
            </w:r>
          </w:p>
        </w:tc>
      </w:tr>
      <w:tr>
        <w:trPr>
          <w:trHeight w:val="401" w:hRule="exact"/>
        </w:trPr>
        <w:tc>
          <w:tcPr>
            <w:tcW w:w="6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15"/>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1,021,628,202.57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48.66%</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237,628,040.41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11.32%</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64,691,214.77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60,728,063.69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37,178,593.99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1,421,854,115.43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67.72%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15"/>
        <w:jc w:val="left"/>
      </w:pPr>
      <w:r>
        <w:rPr/>
        <w:t>主要供应商其他情况说明</w:t>
      </w:r>
    </w:p>
    <w:p>
      <w:pPr>
        <w:pStyle w:val="BodyText"/>
        <w:spacing w:line="319" w:lineRule="auto" w:before="117"/>
        <w:ind w:right="1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上述前五名供应商与公司不存在关联关系，公司董事、监事、高级管理人员、核心技术人员、持股</w:t>
      </w:r>
      <w:r>
        <w:rPr>
          <w:rFonts w:ascii="Times New Roman" w:hAnsi="Times New Roman" w:cs="Times New Roman" w:eastAsia="Times New Roman" w:hint="default"/>
        </w:rPr>
        <w:t>5%</w:t>
      </w:r>
      <w:r>
        <w:rPr/>
        <w:t>以上股东、实际控制 人和其他关联方在上述前五名供应商中未直接或者间接拥有权益。</w:t>
      </w:r>
    </w:p>
    <w:p>
      <w:pPr>
        <w:spacing w:line="240" w:lineRule="auto" w:before="9"/>
        <w:rPr>
          <w:rFonts w:ascii="宋体" w:hAnsi="宋体" w:cs="宋体" w:eastAsia="宋体" w:hint="default"/>
          <w:sz w:val="22"/>
          <w:szCs w:val="22"/>
        </w:rPr>
      </w:pPr>
    </w:p>
    <w:p>
      <w:pPr>
        <w:pStyle w:val="Heading3"/>
        <w:spacing w:line="240" w:lineRule="auto"/>
        <w:ind w:right="1115"/>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48"/>
        <w:gridCol w:w="1637"/>
        <w:gridCol w:w="1462"/>
        <w:gridCol w:w="2919"/>
      </w:tblGrid>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79"/>
              <w:jc w:val="righ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99,048,384.11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4" w:right="0"/>
              <w:jc w:val="left"/>
              <w:rPr>
                <w:rFonts w:ascii="Times New Roman" w:hAnsi="Times New Roman" w:cs="Times New Roman" w:eastAsia="Times New Roman" w:hint="default"/>
                <w:sz w:val="18"/>
                <w:szCs w:val="18"/>
              </w:rPr>
            </w:pPr>
            <w:r>
              <w:rPr>
                <w:rFonts w:ascii="Times New Roman"/>
                <w:sz w:val="18"/>
              </w:rPr>
              <w:t>111,128,496.71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-10.87%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报告期内无重大变化</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79"/>
              <w:jc w:val="righ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413,206,314.11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402,278,571.92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报告期内无重大变化</w:t>
            </w:r>
          </w:p>
        </w:tc>
      </w:tr>
      <w:tr>
        <w:trPr>
          <w:trHeight w:val="404"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79"/>
              <w:jc w:val="right"/>
              <w:rPr>
                <w:rFonts w:ascii="宋体" w:hAnsi="宋体" w:cs="宋体" w:eastAsia="宋体" w:hint="default"/>
                <w:sz w:val="18"/>
                <w:szCs w:val="18"/>
              </w:rPr>
            </w:pPr>
            <w:r>
              <w:rPr>
                <w:rFonts w:ascii="宋体" w:hAnsi="宋体" w:cs="宋体" w:eastAsia="宋体" w:hint="default"/>
                <w:sz w:val="18"/>
                <w:szCs w:val="18"/>
              </w:rPr>
              <w:t>财务费用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53,049,171.71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40,791,170.98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主要系报告期可转债利息增加所致</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79"/>
              <w:jc w:val="right"/>
              <w:rPr>
                <w:rFonts w:ascii="宋体" w:hAnsi="宋体" w:cs="宋体" w:eastAsia="宋体" w:hint="default"/>
                <w:sz w:val="18"/>
                <w:szCs w:val="18"/>
              </w:rPr>
            </w:pPr>
            <w:r>
              <w:rPr>
                <w:rFonts w:ascii="宋体" w:hAnsi="宋体" w:cs="宋体" w:eastAsia="宋体" w:hint="default"/>
                <w:sz w:val="18"/>
                <w:szCs w:val="18"/>
              </w:rPr>
              <w:t>研发费用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323,615,109.95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272,619,937.55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18.71%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报告期内无重大变化</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3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Times New Roman" w:hAnsi="Times New Roman" w:cs="Times New Roman" w:eastAsia="Times New Roman" w:hint="default"/>
        </w:rPr>
        <w:t>2019</w:t>
      </w:r>
      <w:r>
        <w:rPr/>
        <w:t>年全年研发支出总额为</w:t>
      </w:r>
      <w:r>
        <w:rPr>
          <w:rFonts w:ascii="Times New Roman" w:hAnsi="Times New Roman" w:cs="Times New Roman" w:eastAsia="Times New Roman" w:hint="default"/>
        </w:rPr>
        <w:t>34,579.33</w:t>
      </w:r>
      <w:r>
        <w:rPr/>
        <w:t>万元，占营业收入比重为</w:t>
      </w:r>
      <w:r>
        <w:rPr>
          <w:rFonts w:ascii="Times New Roman" w:hAnsi="Times New Roman" w:cs="Times New Roman" w:eastAsia="Times New Roman" w:hint="default"/>
        </w:rPr>
        <w:t>11.15%</w:t>
      </w:r>
      <w:r>
        <w:rPr/>
        <w:t>，同比增长</w:t>
      </w:r>
      <w:r>
        <w:rPr>
          <w:rFonts w:ascii="Times New Roman" w:hAnsi="Times New Roman" w:cs="Times New Roman" w:eastAsia="Times New Roman" w:hint="default"/>
        </w:rPr>
        <w:t>19.80%</w:t>
      </w:r>
      <w:r>
        <w:rPr/>
        <w:t>。 公司研发投入情况</w:t>
      </w:r>
    </w:p>
    <w:p>
      <w:pPr>
        <w:spacing w:line="240" w:lineRule="auto" w:before="9"/>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4512"/>
        <w:gridCol w:w="1953"/>
        <w:gridCol w:w="1945"/>
        <w:gridCol w:w="1277"/>
      </w:tblGrid>
      <w:tr>
        <w:trPr>
          <w:trHeight w:val="401" w:hRule="exact"/>
        </w:trPr>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3" w:hRule="exact"/>
        </w:trPr>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195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1,973</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13.52%</w:t>
            </w:r>
          </w:p>
        </w:tc>
      </w:tr>
      <w:tr>
        <w:trPr>
          <w:trHeight w:val="401" w:hRule="exact"/>
        </w:trPr>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195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61.50%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w:t>
            </w:r>
          </w:p>
        </w:tc>
      </w:tr>
      <w:tr>
        <w:trPr>
          <w:trHeight w:val="403" w:hRule="exact"/>
        </w:trPr>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195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345,793,315.61</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288,646,361.78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19.80%</w:t>
            </w:r>
          </w:p>
        </w:tc>
      </w:tr>
      <w:tr>
        <w:trPr>
          <w:trHeight w:val="401" w:hRule="exact"/>
        </w:trPr>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195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11.15%</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0.54%</w:t>
            </w:r>
          </w:p>
        </w:tc>
      </w:tr>
      <w:tr>
        <w:trPr>
          <w:trHeight w:val="403" w:hRule="exact"/>
        </w:trPr>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195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22,178,205.66</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16,026,424.23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38.39%</w:t>
            </w:r>
          </w:p>
        </w:tc>
      </w:tr>
      <w:tr>
        <w:trPr>
          <w:trHeight w:val="401" w:hRule="exact"/>
        </w:trPr>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195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49"/>
        <w:ind w:right="-17"/>
        <w:jc w:val="left"/>
      </w:pPr>
      <w:r>
        <w:rPr/>
        <w:t>研发投入总额占营业收入的比重较上年发生显著变化的原因</w:t>
      </w:r>
    </w:p>
    <w:p>
      <w:pPr>
        <w:pStyle w:val="BodyText"/>
        <w:spacing w:line="240" w:lineRule="auto" w:before="117"/>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left="-32" w:right="0"/>
        <w:jc w:val="left"/>
      </w:pPr>
      <w:r>
        <w:rPr/>
        <w:t>单位：元</w:t>
      </w:r>
    </w:p>
    <w:p>
      <w:pPr>
        <w:spacing w:after="0" w:line="240" w:lineRule="auto"/>
        <w:jc w:val="left"/>
        <w:sectPr>
          <w:type w:val="continuous"/>
          <w:pgSz w:w="11910" w:h="16840"/>
          <w:pgMar w:top="1060" w:bottom="1160" w:left="980" w:right="0"/>
          <w:cols w:num="2" w:equalWidth="0">
            <w:col w:w="9066" w:space="40"/>
            <w:col w:w="1824"/>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44"/>
        <w:gridCol w:w="1844"/>
        <w:gridCol w:w="4395"/>
        <w:gridCol w:w="2120"/>
      </w:tblGrid>
      <w:tr>
        <w:trPr>
          <w:trHeight w:val="401" w:hRule="exact"/>
        </w:trPr>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7"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8"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82"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6" w:right="0"/>
              <w:jc w:val="left"/>
              <w:rPr>
                <w:rFonts w:ascii="宋体" w:hAnsi="宋体" w:cs="宋体" w:eastAsia="宋体" w:hint="default"/>
                <w:sz w:val="18"/>
                <w:szCs w:val="18"/>
              </w:rPr>
            </w:pPr>
            <w:r>
              <w:rPr>
                <w:rFonts w:ascii="宋体" w:hAnsi="宋体" w:cs="宋体" w:eastAsia="宋体" w:hint="default"/>
                <w:sz w:val="18"/>
                <w:szCs w:val="18"/>
              </w:rPr>
              <w:t>实施进度</w:t>
            </w:r>
          </w:p>
        </w:tc>
      </w:tr>
      <w:tr>
        <w:trPr>
          <w:trHeight w:val="715"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久其国资监管 平台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3,212,878.33</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59"/>
              <w:jc w:val="left"/>
              <w:rPr>
                <w:rFonts w:ascii="宋体" w:hAnsi="宋体" w:cs="宋体" w:eastAsia="宋体" w:hint="default"/>
                <w:sz w:val="18"/>
                <w:szCs w:val="18"/>
              </w:rPr>
            </w:pPr>
            <w:r>
              <w:rPr>
                <w:rFonts w:ascii="宋体" w:hAnsi="宋体" w:cs="宋体" w:eastAsia="宋体" w:hint="default"/>
                <w:sz w:val="18"/>
                <w:szCs w:val="18"/>
              </w:rPr>
              <w:t>本项目围绕</w:t>
            </w:r>
            <w:r>
              <w:rPr>
                <w:rFonts w:ascii="Times New Roman" w:hAnsi="Times New Roman" w:cs="Times New Roman" w:eastAsia="Times New Roman" w:hint="default"/>
                <w:sz w:val="18"/>
                <w:szCs w:val="18"/>
              </w:rPr>
              <w:t>“</w:t>
            </w:r>
            <w:r>
              <w:rPr>
                <w:rFonts w:ascii="宋体" w:hAnsi="宋体" w:cs="宋体" w:eastAsia="宋体" w:hint="default"/>
                <w:sz w:val="18"/>
                <w:szCs w:val="18"/>
              </w:rPr>
              <w:t>履行出资人职责</w:t>
            </w:r>
            <w:r>
              <w:rPr>
                <w:rFonts w:ascii="Times New Roman" w:hAnsi="Times New Roman" w:cs="Times New Roman" w:eastAsia="Times New Roman" w:hint="default"/>
                <w:sz w:val="18"/>
                <w:szCs w:val="18"/>
              </w:rPr>
              <w:t>”</w:t>
            </w:r>
            <w:r>
              <w:rPr>
                <w:rFonts w:ascii="宋体" w:hAnsi="宋体" w:cs="宋体" w:eastAsia="宋体" w:hint="default"/>
                <w:sz w:val="18"/>
                <w:szCs w:val="18"/>
              </w:rPr>
              <w:t>的监管核心，基于大数据 技术建立国资监管数据平台。</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研发完成</w:t>
            </w:r>
          </w:p>
        </w:tc>
      </w:tr>
      <w:tr>
        <w:trPr>
          <w:trHeight w:val="1025"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29"/>
              <w:jc w:val="left"/>
              <w:rPr>
                <w:rFonts w:ascii="宋体" w:hAnsi="宋体" w:cs="宋体" w:eastAsia="宋体" w:hint="default"/>
                <w:sz w:val="18"/>
                <w:szCs w:val="18"/>
              </w:rPr>
            </w:pPr>
            <w:r>
              <w:rPr>
                <w:rFonts w:ascii="宋体" w:hAnsi="宋体" w:cs="宋体" w:eastAsia="宋体" w:hint="default"/>
                <w:sz w:val="18"/>
                <w:szCs w:val="18"/>
              </w:rPr>
              <w:t>政府会计核算 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15,311,435.36</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本项目从预算、资产、核算、决算报表的财务一体化层 </w:t>
            </w:r>
            <w:r>
              <w:rPr>
                <w:rFonts w:ascii="宋体" w:hAnsi="宋体" w:cs="宋体" w:eastAsia="宋体" w:hint="default"/>
                <w:spacing w:val="-3"/>
                <w:sz w:val="18"/>
                <w:szCs w:val="18"/>
              </w:rPr>
              <w:t>面建设基于新政府会计制度的系统。满足新会计制度</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双</w:t>
            </w:r>
            <w:r>
              <w:rPr>
                <w:rFonts w:ascii="宋体" w:hAnsi="宋体" w:cs="宋体" w:eastAsia="宋体" w:hint="default"/>
                <w:spacing w:val="-79"/>
                <w:sz w:val="18"/>
                <w:szCs w:val="18"/>
              </w:rPr>
              <w:t> </w:t>
            </w:r>
            <w:r>
              <w:rPr>
                <w:rFonts w:ascii="宋体" w:hAnsi="宋体" w:cs="宋体" w:eastAsia="宋体" w:hint="default"/>
                <w:sz w:val="18"/>
                <w:szCs w:val="18"/>
              </w:rPr>
              <w:t>基础、双功能、双报告</w:t>
            </w:r>
            <w:r>
              <w:rPr>
                <w:rFonts w:ascii="Times New Roman" w:hAnsi="Times New Roman" w:cs="Times New Roman" w:eastAsia="Times New Roman" w:hint="default"/>
                <w:sz w:val="18"/>
                <w:szCs w:val="18"/>
              </w:rPr>
              <w:t>”</w:t>
            </w:r>
            <w:r>
              <w:rPr>
                <w:rFonts w:ascii="宋体" w:hAnsi="宋体" w:cs="宋体" w:eastAsia="宋体" w:hint="default"/>
                <w:sz w:val="18"/>
                <w:szCs w:val="18"/>
              </w:rPr>
              <w:t>要求</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4"/>
              <w:jc w:val="both"/>
              <w:rPr>
                <w:rFonts w:ascii="宋体" w:hAnsi="宋体" w:cs="宋体" w:eastAsia="宋体" w:hint="default"/>
                <w:sz w:val="18"/>
                <w:szCs w:val="18"/>
              </w:rPr>
            </w:pPr>
            <w:r>
              <w:rPr>
                <w:rFonts w:ascii="宋体" w:hAnsi="宋体" w:cs="宋体" w:eastAsia="宋体" w:hint="default"/>
                <w:sz w:val="18"/>
                <w:szCs w:val="18"/>
              </w:rPr>
              <w:t>报告期内已完成部分项目 的试点上线，目前处于完 善系统，优化需求阶段</w:t>
            </w:r>
          </w:p>
        </w:tc>
      </w:tr>
      <w:tr>
        <w:trPr>
          <w:trHeight w:val="715"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Times New Roman" w:hAnsi="Times New Roman" w:cs="Times New Roman" w:eastAsia="Times New Roman" w:hint="default"/>
                <w:sz w:val="18"/>
                <w:szCs w:val="18"/>
              </w:rPr>
            </w:pPr>
            <w:r>
              <w:rPr>
                <w:rFonts w:ascii="宋体" w:hAnsi="宋体" w:cs="宋体" w:eastAsia="宋体" w:hint="default"/>
                <w:sz w:val="18"/>
                <w:szCs w:val="18"/>
              </w:rPr>
              <w:t>久其数字营销 平台</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3,653,891.97</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3" w:right="39"/>
              <w:jc w:val="left"/>
              <w:rPr>
                <w:rFonts w:ascii="宋体" w:hAnsi="宋体" w:cs="宋体" w:eastAsia="宋体" w:hint="default"/>
                <w:sz w:val="18"/>
                <w:szCs w:val="18"/>
              </w:rPr>
            </w:pPr>
            <w:r>
              <w:rPr>
                <w:rFonts w:ascii="宋体" w:hAnsi="宋体" w:cs="宋体" w:eastAsia="宋体" w:hint="default"/>
                <w:sz w:val="18"/>
                <w:szCs w:val="18"/>
              </w:rPr>
              <w:t>营销数字化管理系统是基于数字营销环境下推出的适用 于企业用户数据、用户关系及企业营销管理的综合性服</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研发完成</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44"/>
        <w:gridCol w:w="1844"/>
        <w:gridCol w:w="4395"/>
        <w:gridCol w:w="2120"/>
      </w:tblGrid>
      <w:tr>
        <w:trPr>
          <w:trHeight w:val="401" w:hRule="exact"/>
        </w:trPr>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7"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8"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82"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6" w:right="0"/>
              <w:jc w:val="left"/>
              <w:rPr>
                <w:rFonts w:ascii="宋体" w:hAnsi="宋体" w:cs="宋体" w:eastAsia="宋体" w:hint="default"/>
                <w:sz w:val="18"/>
                <w:szCs w:val="18"/>
              </w:rPr>
            </w:pPr>
            <w:r>
              <w:rPr>
                <w:rFonts w:ascii="宋体" w:hAnsi="宋体" w:cs="宋体" w:eastAsia="宋体" w:hint="default"/>
                <w:sz w:val="18"/>
                <w:szCs w:val="18"/>
              </w:rPr>
              <w:t>实施进度</w:t>
            </w:r>
          </w:p>
        </w:tc>
      </w:tr>
      <w:tr>
        <w:trPr>
          <w:trHeight w:val="986" w:hRule="exact"/>
        </w:trPr>
        <w:tc>
          <w:tcPr>
            <w:tcW w:w="12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3" w:right="-15"/>
              <w:jc w:val="both"/>
              <w:rPr>
                <w:rFonts w:ascii="宋体" w:hAnsi="宋体" w:cs="宋体" w:eastAsia="宋体" w:hint="default"/>
                <w:sz w:val="18"/>
                <w:szCs w:val="18"/>
              </w:rPr>
            </w:pPr>
            <w:r>
              <w:rPr>
                <w:rFonts w:ascii="宋体" w:hAnsi="宋体" w:cs="宋体" w:eastAsia="宋体" w:hint="default"/>
                <w:spacing w:val="-7"/>
                <w:sz w:val="18"/>
                <w:szCs w:val="18"/>
              </w:rPr>
              <w:t>务平台，该平台在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DMP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数据平台与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CRM </w:t>
            </w:r>
            <w:r>
              <w:rPr>
                <w:rFonts w:ascii="宋体" w:hAnsi="宋体" w:cs="宋体" w:eastAsia="宋体" w:hint="default"/>
                <w:sz w:val="18"/>
                <w:szCs w:val="18"/>
              </w:rPr>
              <w:t>用户管理平台 基础之上具备了多渠道数据打通，用户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ID</w:t>
            </w:r>
            <w:r>
              <w:rPr>
                <w:rFonts w:ascii="宋体" w:hAnsi="宋体" w:cs="宋体" w:eastAsia="宋体" w:hint="default"/>
                <w:sz w:val="18"/>
                <w:szCs w:val="18"/>
              </w:rPr>
              <w:t>、精准推送、 用户标签构建诸多功能。</w:t>
            </w:r>
          </w:p>
        </w:tc>
        <w:tc>
          <w:tcPr>
            <w:tcW w:w="212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6" w:lineRule="auto" w:before="8"/>
        <w:ind w:right="1115"/>
        <w:jc w:val="left"/>
      </w:pPr>
      <w:r>
        <w:rPr>
          <w:spacing w:val="-2"/>
        </w:rPr>
        <w:t>作为公司自主研发项目，除了按照公司研发项目管理制度进行过程管理之外，还按照公司内控要求，履行可研、预算和集中</w:t>
      </w:r>
      <w:r>
        <w:rPr>
          <w:spacing w:val="-64"/>
        </w:rPr>
        <w:t> </w:t>
      </w:r>
      <w:r>
        <w:rPr>
          <w:spacing w:val="-64"/>
        </w:rPr>
      </w:r>
      <w:r>
        <w:rPr>
          <w:spacing w:val="-2"/>
        </w:rPr>
        <w:t>决策等程序。平台类自主研发，完成既定功能模块，达到商业化使用条件，公司根据相关规定对该项目进行资本化；产品类</w:t>
      </w:r>
      <w:r>
        <w:rPr>
          <w:spacing w:val="-67"/>
        </w:rPr>
        <w:t> </w:t>
      </w:r>
      <w:r>
        <w:rPr>
          <w:spacing w:val="-67"/>
        </w:rPr>
      </w:r>
      <w:r>
        <w:rPr/>
        <w:t>自主研发，形成产品软件著作权，并取得一定效益，公司根据相关规定对该项目进行资本化。 研发投入资本化率大幅变动的原因及其合理性说明</w:t>
      </w:r>
    </w:p>
    <w:p>
      <w:pPr>
        <w:pStyle w:val="BodyText"/>
        <w:spacing w:line="240" w:lineRule="auto" w:before="59"/>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15"/>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3979"/>
        <w:gridCol w:w="2212"/>
        <w:gridCol w:w="2199"/>
        <w:gridCol w:w="1296"/>
      </w:tblGrid>
      <w:tr>
        <w:trPr>
          <w:trHeight w:val="403" w:hRule="exact"/>
        </w:trPr>
        <w:tc>
          <w:tcPr>
            <w:tcW w:w="3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3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3,066,837,833.43</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2,957,090,995.02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3.71%</w:t>
            </w:r>
          </w:p>
        </w:tc>
      </w:tr>
      <w:tr>
        <w:trPr>
          <w:trHeight w:val="402" w:hRule="exact"/>
        </w:trPr>
        <w:tc>
          <w:tcPr>
            <w:tcW w:w="3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2,898,826,211.28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2,514,804,529.76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15.27%</w:t>
            </w:r>
          </w:p>
        </w:tc>
      </w:tr>
      <w:tr>
        <w:trPr>
          <w:trHeight w:val="402" w:hRule="exact"/>
        </w:trPr>
        <w:tc>
          <w:tcPr>
            <w:tcW w:w="3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168,011,622.15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442,286,465.26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-62.01%</w:t>
            </w:r>
          </w:p>
        </w:tc>
      </w:tr>
      <w:tr>
        <w:trPr>
          <w:trHeight w:val="402" w:hRule="exact"/>
        </w:trPr>
        <w:tc>
          <w:tcPr>
            <w:tcW w:w="3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2,225,316,276.57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1,760,444,810.32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26.41%</w:t>
            </w:r>
          </w:p>
        </w:tc>
      </w:tr>
      <w:tr>
        <w:trPr>
          <w:trHeight w:val="402" w:hRule="exact"/>
        </w:trPr>
        <w:tc>
          <w:tcPr>
            <w:tcW w:w="3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2,287,780,789.25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2,246,102,922.12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w:t>
            </w:r>
          </w:p>
        </w:tc>
      </w:tr>
      <w:tr>
        <w:trPr>
          <w:trHeight w:val="402" w:hRule="exact"/>
        </w:trPr>
        <w:tc>
          <w:tcPr>
            <w:tcW w:w="3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-62,464,512.68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-485,658,111.80</w:t>
            </w: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324,560,000.00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478,730,000.00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-32.20%</w:t>
            </w:r>
          </w:p>
        </w:tc>
      </w:tr>
      <w:tr>
        <w:trPr>
          <w:trHeight w:val="402" w:hRule="exact"/>
        </w:trPr>
        <w:tc>
          <w:tcPr>
            <w:tcW w:w="3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490,872,499.93</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574,722,275.00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-14.59%</w:t>
            </w:r>
          </w:p>
        </w:tc>
      </w:tr>
      <w:tr>
        <w:trPr>
          <w:trHeight w:val="402" w:hRule="exact"/>
        </w:trPr>
        <w:tc>
          <w:tcPr>
            <w:tcW w:w="3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-166,312,499.93</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-95,992,275.00</w:t>
            </w: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-58,135,144.36</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-137,633,472.89</w:t>
            </w:r>
          </w:p>
        </w:tc>
        <w:tc>
          <w:tcPr>
            <w:tcW w:w="129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15"/>
        <w:jc w:val="left"/>
      </w:pPr>
      <w:r>
        <w:rPr/>
        <w:t>相关数据同比发生重大变动的主要影响因素说明</w:t>
      </w:r>
    </w:p>
    <w:p>
      <w:pPr>
        <w:pStyle w:val="BodyText"/>
        <w:spacing w:line="240" w:lineRule="auto" w:before="115"/>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115"/>
        <w:jc w:val="left"/>
      </w:pPr>
      <w:r>
        <w:rPr>
          <w:spacing w:val="-1"/>
        </w:rPr>
        <w:t>（</w:t>
      </w:r>
      <w:r>
        <w:rPr>
          <w:rFonts w:ascii="Times New Roman" w:hAnsi="Times New Roman" w:cs="Times New Roman" w:eastAsia="Times New Roman" w:hint="default"/>
          <w:spacing w:val="-1"/>
        </w:rPr>
        <w:t>1</w:t>
      </w:r>
      <w:r>
        <w:rPr>
          <w:spacing w:val="-1"/>
        </w:rPr>
        <w:t>）经营活动产生的现金流量净额本期为流入</w:t>
      </w:r>
      <w:r>
        <w:rPr>
          <w:rFonts w:ascii="Times New Roman" w:hAnsi="Times New Roman" w:cs="Times New Roman" w:eastAsia="Times New Roman" w:hint="default"/>
          <w:spacing w:val="-1"/>
        </w:rPr>
        <w:t>16,801.16</w:t>
      </w:r>
      <w:r>
        <w:rPr>
          <w:spacing w:val="-1"/>
        </w:rPr>
        <w:t>万元，较上期净流入减少</w:t>
      </w:r>
      <w:r>
        <w:rPr>
          <w:rFonts w:ascii="Times New Roman" w:hAnsi="Times New Roman" w:cs="Times New Roman" w:eastAsia="Times New Roman" w:hint="default"/>
          <w:spacing w:val="-1"/>
        </w:rPr>
        <w:t>62.01%</w:t>
      </w:r>
      <w:r>
        <w:rPr>
          <w:spacing w:val="-1"/>
        </w:rPr>
        <w:t>，主要系报告期内数字传播业务媒</w:t>
      </w:r>
      <w:r>
        <w:rPr>
          <w:spacing w:val="-40"/>
        </w:rPr>
        <w:t> </w:t>
      </w:r>
      <w:r>
        <w:rPr>
          <w:spacing w:val="-40"/>
        </w:rPr>
      </w:r>
      <w:r>
        <w:rPr/>
        <w:t>介采购量增加所致。</w:t>
      </w:r>
    </w:p>
    <w:p>
      <w:pPr>
        <w:pStyle w:val="BodyText"/>
        <w:spacing w:line="300" w:lineRule="auto" w:before="31"/>
        <w:ind w:right="1115"/>
        <w:jc w:val="left"/>
      </w:pPr>
      <w:r>
        <w:rPr>
          <w:spacing w:val="-2"/>
        </w:rPr>
        <w:t>（</w:t>
      </w:r>
      <w:r>
        <w:rPr>
          <w:rFonts w:ascii="Times New Roman" w:hAnsi="Times New Roman" w:cs="Times New Roman" w:eastAsia="Times New Roman" w:hint="default"/>
          <w:spacing w:val="-2"/>
        </w:rPr>
        <w:t>2</w:t>
      </w:r>
      <w:r>
        <w:rPr>
          <w:spacing w:val="-2"/>
        </w:rPr>
        <w:t>）投资活动产生的现金流量净额本期为流出</w:t>
      </w:r>
      <w:r>
        <w:rPr>
          <w:rFonts w:ascii="Times New Roman" w:hAnsi="Times New Roman" w:cs="Times New Roman" w:eastAsia="Times New Roman" w:hint="default"/>
          <w:spacing w:val="-2"/>
        </w:rPr>
        <w:t>6,246.45</w:t>
      </w:r>
      <w:r>
        <w:rPr>
          <w:spacing w:val="-2"/>
        </w:rPr>
        <w:t>万元，上期为流出</w:t>
      </w:r>
      <w:r>
        <w:rPr>
          <w:rFonts w:ascii="Times New Roman" w:hAnsi="Times New Roman" w:cs="Times New Roman" w:eastAsia="Times New Roman" w:hint="default"/>
          <w:spacing w:val="-2"/>
        </w:rPr>
        <w:t>48,565.81</w:t>
      </w:r>
      <w:r>
        <w:rPr>
          <w:spacing w:val="-2"/>
        </w:rPr>
        <w:t>万元，主要系报告期内支付的股权款和申</w:t>
      </w:r>
      <w:r>
        <w:rPr>
          <w:spacing w:val="-52"/>
        </w:rPr>
        <w:t> </w:t>
      </w:r>
      <w:r>
        <w:rPr>
          <w:spacing w:val="-52"/>
        </w:rPr>
      </w:r>
      <w:r>
        <w:rPr/>
        <w:t>购赎回理财净额较上期减少所致。</w:t>
      </w:r>
    </w:p>
    <w:p>
      <w:pPr>
        <w:pStyle w:val="BodyText"/>
        <w:spacing w:line="300" w:lineRule="auto" w:before="31"/>
        <w:ind w:right="1115"/>
        <w:jc w:val="left"/>
      </w:pPr>
      <w:r>
        <w:rPr>
          <w:spacing w:val="-2"/>
        </w:rPr>
        <w:t>（</w:t>
      </w:r>
      <w:r>
        <w:rPr>
          <w:rFonts w:ascii="Times New Roman" w:hAnsi="Times New Roman" w:cs="Times New Roman" w:eastAsia="Times New Roman" w:hint="default"/>
          <w:spacing w:val="-2"/>
        </w:rPr>
        <w:t>3</w:t>
      </w:r>
      <w:r>
        <w:rPr>
          <w:spacing w:val="-2"/>
        </w:rPr>
        <w:t>）筹资活动产生的现金流量净额本期为流出</w:t>
      </w:r>
      <w:r>
        <w:rPr>
          <w:rFonts w:ascii="Times New Roman" w:hAnsi="Times New Roman" w:cs="Times New Roman" w:eastAsia="Times New Roman" w:hint="default"/>
          <w:spacing w:val="-2"/>
        </w:rPr>
        <w:t>16,631.25</w:t>
      </w:r>
      <w:r>
        <w:rPr>
          <w:spacing w:val="-2"/>
        </w:rPr>
        <w:t>万元，上期为流出</w:t>
      </w:r>
      <w:r>
        <w:rPr>
          <w:rFonts w:ascii="Times New Roman" w:hAnsi="Times New Roman" w:cs="Times New Roman" w:eastAsia="Times New Roman" w:hint="default"/>
          <w:spacing w:val="-2"/>
        </w:rPr>
        <w:t>9,599.23</w:t>
      </w:r>
      <w:r>
        <w:rPr>
          <w:spacing w:val="-2"/>
        </w:rPr>
        <w:t>万元，主要系报告期本期借款净偿还增加</w:t>
      </w:r>
      <w:r>
        <w:rPr>
          <w:spacing w:val="-53"/>
        </w:rPr>
        <w:t> </w:t>
      </w:r>
      <w:r>
        <w:rPr>
          <w:spacing w:val="-53"/>
        </w:rPr>
      </w:r>
      <w:r>
        <w:rPr/>
        <w:t>所致。</w:t>
      </w:r>
    </w:p>
    <w:p>
      <w:pPr>
        <w:pStyle w:val="BodyText"/>
        <w:spacing w:line="328" w:lineRule="auto" w:before="72"/>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报告期内公司经营活动产生的现金净流量比本年度净利润高，主要系报告期内计提商誉减值和信用减值损失导致净利润减少</w:t>
      </w:r>
      <w:r>
        <w:rPr>
          <w:spacing w:val="-63"/>
        </w:rPr>
        <w:t> </w:t>
      </w:r>
      <w:r>
        <w:rPr>
          <w:spacing w:val="-63"/>
        </w:rPr>
      </w:r>
      <w:r>
        <w:rPr/>
        <w:t>所致。</w:t>
      </w:r>
    </w:p>
    <w:p>
      <w:pPr>
        <w:spacing w:line="240" w:lineRule="auto" w:before="2"/>
        <w:rPr>
          <w:rFonts w:ascii="宋体" w:hAnsi="宋体" w:cs="宋体" w:eastAsia="宋体" w:hint="default"/>
          <w:sz w:val="20"/>
          <w:szCs w:val="20"/>
        </w:rPr>
      </w:pPr>
    </w:p>
    <w:p>
      <w:pPr>
        <w:pStyle w:val="Heading2"/>
        <w:spacing w:line="240" w:lineRule="auto"/>
        <w:ind w:right="1115"/>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15"/>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5"/>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17"/>
        <w:jc w:val="left"/>
      </w:pPr>
      <w:r>
        <w:rPr/>
        <w:t>公司</w:t>
      </w:r>
      <w:r>
        <w:rPr>
          <w:spacing w:val="-46"/>
        </w:rPr>
        <w:t> </w:t>
      </w:r>
      <w:r>
        <w:rPr>
          <w:rFonts w:ascii="Times New Roman" w:hAnsi="Times New Roman" w:cs="Times New Roman" w:eastAsia="Times New Roman" w:hint="default"/>
        </w:rPr>
        <w:t>2019 </w:t>
      </w:r>
      <w:r>
        <w:rPr/>
        <w:t>年起首次执行新金融工具准则、新收入准则或新租赁准则且调整执行当年年初财务报表相关项目</w:t>
      </w:r>
    </w:p>
    <w:p>
      <w:pPr>
        <w:pStyle w:val="BodyText"/>
        <w:spacing w:line="240" w:lineRule="auto" w:before="103"/>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8525" w:space="395"/>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41"/>
        <w:gridCol w:w="1231"/>
        <w:gridCol w:w="1167"/>
        <w:gridCol w:w="2307"/>
        <w:gridCol w:w="1166"/>
        <w:gridCol w:w="1061"/>
        <w:gridCol w:w="1728"/>
      </w:tblGrid>
      <w:tr>
        <w:trPr>
          <w:trHeight w:val="206" w:hRule="exact"/>
        </w:trPr>
        <w:tc>
          <w:tcPr>
            <w:tcW w:w="94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34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7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7" w:hRule="exact"/>
        </w:trPr>
        <w:tc>
          <w:tcPr>
            <w:tcW w:w="941" w:type="dxa"/>
            <w:vMerge w:val="restart"/>
            <w:tcBorders>
              <w:top w:val="nil" w:sz="6" w:space="0" w:color="auto"/>
              <w:left w:val="single" w:sz="4" w:space="0" w:color="000000"/>
              <w:right w:val="single" w:sz="4" w:space="0" w:color="000000"/>
            </w:tcBorders>
            <w:shd w:val="clear" w:color="auto" w:fill="D2D2D2"/>
          </w:tcPr>
          <w:p>
            <w:pPr/>
          </w:p>
        </w:tc>
        <w:tc>
          <w:tcPr>
            <w:tcW w:w="2398" w:type="dxa"/>
            <w:gridSpan w:val="2"/>
            <w:vMerge/>
            <w:tcBorders>
              <w:left w:val="single" w:sz="4" w:space="0" w:color="000000"/>
              <w:bottom w:val="single" w:sz="4" w:space="0" w:color="000000"/>
              <w:right w:val="single" w:sz="4" w:space="0" w:color="000000"/>
            </w:tcBorders>
            <w:shd w:val="clear" w:color="auto" w:fill="D2D2D2"/>
          </w:tcPr>
          <w:p>
            <w:pPr/>
          </w:p>
        </w:tc>
        <w:tc>
          <w:tcPr>
            <w:tcW w:w="3473" w:type="dxa"/>
            <w:gridSpan w:val="2"/>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shd w:val="clear" w:color="auto" w:fill="D2D2D2"/>
          </w:tcPr>
          <w:p>
            <w:pPr/>
          </w:p>
        </w:tc>
      </w:tr>
      <w:tr>
        <w:trPr>
          <w:trHeight w:val="194" w:hRule="exact"/>
        </w:trPr>
        <w:tc>
          <w:tcPr>
            <w:tcW w:w="941" w:type="dxa"/>
            <w:vMerge/>
            <w:tcBorders>
              <w:left w:val="single" w:sz="4" w:space="0" w:color="000000"/>
              <w:bottom w:val="nil" w:sz="6" w:space="0" w:color="auto"/>
              <w:right w:val="single" w:sz="4" w:space="0" w:color="000000"/>
            </w:tcBorders>
            <w:shd w:val="clear" w:color="auto" w:fill="D2D2D2"/>
          </w:tcPr>
          <w:p>
            <w:pPr/>
          </w:p>
        </w:tc>
        <w:tc>
          <w:tcPr>
            <w:tcW w:w="12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8"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23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8"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061" w:type="dxa"/>
            <w:vMerge/>
            <w:tcBorders>
              <w:left w:val="single" w:sz="4" w:space="0" w:color="000000"/>
              <w:right w:val="single" w:sz="4" w:space="0" w:color="000000"/>
            </w:tcBorders>
            <w:shd w:val="clear" w:color="auto" w:fill="D2D2D2"/>
          </w:tcPr>
          <w:p>
            <w:pPr/>
          </w:p>
        </w:tc>
        <w:tc>
          <w:tcPr>
            <w:tcW w:w="1728" w:type="dxa"/>
            <w:vMerge/>
            <w:tcBorders>
              <w:left w:val="single" w:sz="4" w:space="0" w:color="000000"/>
              <w:right w:val="single" w:sz="4" w:space="0" w:color="000000"/>
            </w:tcBorders>
            <w:shd w:val="clear" w:color="auto" w:fill="D2D2D2"/>
          </w:tcPr>
          <w:p>
            <w:pPr/>
          </w:p>
        </w:tc>
      </w:tr>
      <w:tr>
        <w:trPr>
          <w:trHeight w:val="206" w:hRule="exact"/>
        </w:trPr>
        <w:tc>
          <w:tcPr>
            <w:tcW w:w="94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31"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2307"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72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748,613,541.40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24.66%</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793,917,307.25</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24.25%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0.41%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61" w:hRule="exact"/>
        </w:trPr>
        <w:tc>
          <w:tcPr>
            <w:tcW w:w="94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31"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639,767,198.54</w:t>
            </w:r>
          </w:p>
        </w:tc>
        <w:tc>
          <w:tcPr>
            <w:tcW w:w="11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1" w:right="0"/>
              <w:jc w:val="left"/>
              <w:rPr>
                <w:rFonts w:ascii="Times New Roman" w:hAnsi="Times New Roman" w:cs="Times New Roman" w:eastAsia="Times New Roman" w:hint="default"/>
                <w:sz w:val="18"/>
                <w:szCs w:val="18"/>
              </w:rPr>
            </w:pPr>
            <w:r>
              <w:rPr>
                <w:rFonts w:ascii="Times New Roman"/>
                <w:sz w:val="18"/>
              </w:rPr>
              <w:t>21.07%</w:t>
            </w:r>
          </w:p>
        </w:tc>
        <w:tc>
          <w:tcPr>
            <w:tcW w:w="230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49" w:right="0"/>
              <w:jc w:val="left"/>
              <w:rPr>
                <w:rFonts w:ascii="Times New Roman" w:hAnsi="Times New Roman" w:cs="Times New Roman" w:eastAsia="Times New Roman" w:hint="default"/>
                <w:sz w:val="18"/>
                <w:szCs w:val="18"/>
              </w:rPr>
            </w:pPr>
            <w:r>
              <w:rPr>
                <w:rFonts w:ascii="Times New Roman"/>
                <w:sz w:val="18"/>
              </w:rPr>
              <w:t>516,451,081.20</w:t>
            </w:r>
          </w:p>
        </w:tc>
        <w:tc>
          <w:tcPr>
            <w:tcW w:w="116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0" w:right="0"/>
              <w:jc w:val="left"/>
              <w:rPr>
                <w:rFonts w:ascii="Times New Roman" w:hAnsi="Times New Roman" w:cs="Times New Roman" w:eastAsia="Times New Roman" w:hint="default"/>
                <w:sz w:val="18"/>
                <w:szCs w:val="18"/>
              </w:rPr>
            </w:pPr>
            <w:r>
              <w:rPr>
                <w:rFonts w:ascii="Times New Roman"/>
                <w:sz w:val="18"/>
              </w:rPr>
              <w:t>15.77%</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5.30%</w:t>
            </w:r>
          </w:p>
        </w:tc>
        <w:tc>
          <w:tcPr>
            <w:tcW w:w="1728" w:type="dxa"/>
            <w:vMerge w:val="restart"/>
            <w:tcBorders>
              <w:top w:val="single" w:sz="4" w:space="0" w:color="000000"/>
              <w:left w:val="single" w:sz="4" w:space="0" w:color="000000"/>
              <w:right w:val="single" w:sz="4" w:space="0" w:color="000000"/>
            </w:tcBorders>
          </w:tcPr>
          <w:p>
            <w:pPr>
              <w:pStyle w:val="TableParagraph"/>
              <w:spacing w:line="316"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主要系报告期数字传 播业务规模扩大所致</w:t>
            </w:r>
          </w:p>
        </w:tc>
      </w:tr>
      <w:tr>
        <w:trPr>
          <w:trHeight w:val="392" w:hRule="exact"/>
        </w:trPr>
        <w:tc>
          <w:tcPr>
            <w:tcW w:w="9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31" w:type="dxa"/>
            <w:vMerge/>
            <w:tcBorders>
              <w:left w:val="single" w:sz="10" w:space="0" w:color="D2D2D2"/>
              <w:right w:val="single" w:sz="4" w:space="0" w:color="000000"/>
            </w:tcBorders>
          </w:tcPr>
          <w:p>
            <w:pPr/>
          </w:p>
        </w:tc>
        <w:tc>
          <w:tcPr>
            <w:tcW w:w="1167" w:type="dxa"/>
            <w:vMerge/>
            <w:tcBorders>
              <w:left w:val="single" w:sz="4" w:space="0" w:color="000000"/>
              <w:right w:val="single" w:sz="4" w:space="0" w:color="000000"/>
            </w:tcBorders>
          </w:tcPr>
          <w:p>
            <w:pPr/>
          </w:p>
        </w:tc>
        <w:tc>
          <w:tcPr>
            <w:tcW w:w="2307"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728" w:type="dxa"/>
            <w:vMerge/>
            <w:tcBorders>
              <w:left w:val="single" w:sz="4" w:space="0" w:color="000000"/>
              <w:right w:val="single" w:sz="4" w:space="0" w:color="000000"/>
            </w:tcBorders>
          </w:tcPr>
          <w:p>
            <w:pPr/>
          </w:p>
        </w:tc>
      </w:tr>
      <w:tr>
        <w:trPr>
          <w:trHeight w:val="161" w:hRule="exact"/>
        </w:trPr>
        <w:tc>
          <w:tcPr>
            <w:tcW w:w="94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31" w:type="dxa"/>
            <w:vMerge/>
            <w:tcBorders>
              <w:left w:val="single" w:sz="10" w:space="0" w:color="D2D2D2"/>
              <w:bottom w:val="single" w:sz="4" w:space="0" w:color="000000"/>
              <w:right w:val="single" w:sz="4" w:space="0" w:color="000000"/>
            </w:tcBorders>
          </w:tcPr>
          <w:p>
            <w:pPr/>
          </w:p>
        </w:tc>
        <w:tc>
          <w:tcPr>
            <w:tcW w:w="1167" w:type="dxa"/>
            <w:vMerge/>
            <w:tcBorders>
              <w:left w:val="single" w:sz="4" w:space="0" w:color="000000"/>
              <w:bottom w:val="single" w:sz="4" w:space="0" w:color="000000"/>
              <w:right w:val="single" w:sz="4" w:space="0" w:color="000000"/>
            </w:tcBorders>
          </w:tcPr>
          <w:p>
            <w:pPr/>
          </w:p>
        </w:tc>
        <w:tc>
          <w:tcPr>
            <w:tcW w:w="2307" w:type="dxa"/>
            <w:vMerge/>
            <w:tcBorders>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728" w:type="dxa"/>
            <w:vMerge/>
            <w:tcBorders>
              <w:left w:val="single" w:sz="4" w:space="0" w:color="000000"/>
              <w:bottom w:val="single" w:sz="4" w:space="0" w:color="000000"/>
              <w:right w:val="single" w:sz="4" w:space="0" w:color="000000"/>
            </w:tcBorders>
          </w:tcPr>
          <w:p>
            <w:pPr/>
          </w:p>
        </w:tc>
      </w:tr>
      <w:tr>
        <w:trPr>
          <w:trHeight w:val="403" w:hRule="exact"/>
        </w:trPr>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21,777,996.90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0.72%</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23,991,294.24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713" w:hRule="exact"/>
        </w:trPr>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85"/>
              <w:jc w:val="left"/>
              <w:rPr>
                <w:rFonts w:ascii="宋体" w:hAnsi="宋体" w:cs="宋体" w:eastAsia="宋体" w:hint="default"/>
                <w:sz w:val="18"/>
                <w:szCs w:val="18"/>
              </w:rPr>
            </w:pPr>
            <w:r>
              <w:rPr>
                <w:rFonts w:ascii="宋体" w:hAnsi="宋体" w:cs="宋体" w:eastAsia="宋体" w:hint="default"/>
                <w:sz w:val="18"/>
                <w:szCs w:val="18"/>
              </w:rPr>
              <w:t>投资性房 地产</w:t>
            </w:r>
          </w:p>
        </w:tc>
        <w:tc>
          <w:tcPr>
            <w:tcW w:w="12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27,589,095.36</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0.91%</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28,522,376.28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715" w:hRule="exact"/>
        </w:trPr>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5"/>
              <w:jc w:val="left"/>
              <w:rPr>
                <w:rFonts w:ascii="宋体" w:hAnsi="宋体" w:cs="宋体" w:eastAsia="宋体" w:hint="default"/>
                <w:sz w:val="18"/>
                <w:szCs w:val="18"/>
              </w:rPr>
            </w:pPr>
            <w:r>
              <w:rPr>
                <w:rFonts w:ascii="宋体" w:hAnsi="宋体" w:cs="宋体" w:eastAsia="宋体" w:hint="default"/>
                <w:sz w:val="18"/>
                <w:szCs w:val="18"/>
              </w:rPr>
              <w:t>长期股权 投资</w:t>
            </w:r>
          </w:p>
        </w:tc>
        <w:tc>
          <w:tcPr>
            <w:tcW w:w="12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139,510,306.18</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4.59%</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129,886,501.93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0.62%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217,216,701.23</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7.15%</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226,609,647.58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100,488,389.38</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81,224,640.18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0.83%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61" w:hRule="exact"/>
        </w:trPr>
        <w:tc>
          <w:tcPr>
            <w:tcW w:w="94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31"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50,000,000.00</w:t>
            </w:r>
          </w:p>
        </w:tc>
        <w:tc>
          <w:tcPr>
            <w:tcW w:w="11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0" w:right="0"/>
              <w:jc w:val="left"/>
              <w:rPr>
                <w:rFonts w:ascii="Times New Roman" w:hAnsi="Times New Roman" w:cs="Times New Roman" w:eastAsia="Times New Roman" w:hint="default"/>
                <w:sz w:val="18"/>
                <w:szCs w:val="18"/>
              </w:rPr>
            </w:pPr>
            <w:r>
              <w:rPr>
                <w:rFonts w:ascii="Times New Roman"/>
                <w:sz w:val="18"/>
              </w:rPr>
              <w:t>1.65%</w:t>
            </w:r>
          </w:p>
        </w:tc>
        <w:tc>
          <w:tcPr>
            <w:tcW w:w="230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49" w:right="0"/>
              <w:jc w:val="left"/>
              <w:rPr>
                <w:rFonts w:ascii="Times New Roman" w:hAnsi="Times New Roman" w:cs="Times New Roman" w:eastAsia="Times New Roman" w:hint="default"/>
                <w:sz w:val="18"/>
                <w:szCs w:val="18"/>
              </w:rPr>
            </w:pPr>
            <w:r>
              <w:rPr>
                <w:rFonts w:ascii="Times New Roman"/>
                <w:sz w:val="18"/>
              </w:rPr>
              <w:t>135,010,527.52</w:t>
            </w:r>
          </w:p>
        </w:tc>
        <w:tc>
          <w:tcPr>
            <w:tcW w:w="116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9" w:right="0"/>
              <w:jc w:val="left"/>
              <w:rPr>
                <w:rFonts w:ascii="Times New Roman" w:hAnsi="Times New Roman" w:cs="Times New Roman" w:eastAsia="Times New Roman" w:hint="default"/>
                <w:sz w:val="18"/>
                <w:szCs w:val="18"/>
              </w:rPr>
            </w:pPr>
            <w:r>
              <w:rPr>
                <w:rFonts w:ascii="Times New Roman"/>
                <w:sz w:val="18"/>
              </w:rPr>
              <w:t>4.12%</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-2.47%</w:t>
            </w:r>
          </w:p>
        </w:tc>
        <w:tc>
          <w:tcPr>
            <w:tcW w:w="1728" w:type="dxa"/>
            <w:vMerge w:val="restart"/>
            <w:tcBorders>
              <w:top w:val="single" w:sz="4" w:space="0" w:color="000000"/>
              <w:left w:val="single" w:sz="4" w:space="0" w:color="000000"/>
              <w:right w:val="single" w:sz="4" w:space="0" w:color="000000"/>
            </w:tcBorders>
          </w:tcPr>
          <w:p>
            <w:pPr>
              <w:pStyle w:val="TableParagraph"/>
              <w:spacing w:line="314"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主要系报告期内偿还 金融机构贷款所致</w:t>
            </w:r>
          </w:p>
        </w:tc>
      </w:tr>
      <w:tr>
        <w:trPr>
          <w:trHeight w:val="391" w:hRule="exact"/>
        </w:trPr>
        <w:tc>
          <w:tcPr>
            <w:tcW w:w="9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31" w:type="dxa"/>
            <w:vMerge/>
            <w:tcBorders>
              <w:left w:val="single" w:sz="10" w:space="0" w:color="D2D2D2"/>
              <w:right w:val="single" w:sz="4" w:space="0" w:color="000000"/>
            </w:tcBorders>
          </w:tcPr>
          <w:p>
            <w:pPr/>
          </w:p>
        </w:tc>
        <w:tc>
          <w:tcPr>
            <w:tcW w:w="1167" w:type="dxa"/>
            <w:vMerge/>
            <w:tcBorders>
              <w:left w:val="single" w:sz="4" w:space="0" w:color="000000"/>
              <w:right w:val="single" w:sz="4" w:space="0" w:color="000000"/>
            </w:tcBorders>
          </w:tcPr>
          <w:p>
            <w:pPr/>
          </w:p>
        </w:tc>
        <w:tc>
          <w:tcPr>
            <w:tcW w:w="2307"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728" w:type="dxa"/>
            <w:vMerge/>
            <w:tcBorders>
              <w:left w:val="single" w:sz="4" w:space="0" w:color="000000"/>
              <w:right w:val="single" w:sz="4" w:space="0" w:color="000000"/>
            </w:tcBorders>
          </w:tcPr>
          <w:p>
            <w:pPr/>
          </w:p>
        </w:tc>
      </w:tr>
      <w:tr>
        <w:trPr>
          <w:trHeight w:val="161" w:hRule="exact"/>
        </w:trPr>
        <w:tc>
          <w:tcPr>
            <w:tcW w:w="94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31" w:type="dxa"/>
            <w:vMerge/>
            <w:tcBorders>
              <w:left w:val="single" w:sz="10" w:space="0" w:color="D2D2D2"/>
              <w:bottom w:val="single" w:sz="4" w:space="0" w:color="000000"/>
              <w:right w:val="single" w:sz="4" w:space="0" w:color="000000"/>
            </w:tcBorders>
          </w:tcPr>
          <w:p>
            <w:pPr/>
          </w:p>
        </w:tc>
        <w:tc>
          <w:tcPr>
            <w:tcW w:w="1167" w:type="dxa"/>
            <w:vMerge/>
            <w:tcBorders>
              <w:left w:val="single" w:sz="4" w:space="0" w:color="000000"/>
              <w:bottom w:val="single" w:sz="4" w:space="0" w:color="000000"/>
              <w:right w:val="single" w:sz="4" w:space="0" w:color="000000"/>
            </w:tcBorders>
          </w:tcPr>
          <w:p>
            <w:pPr/>
          </w:p>
        </w:tc>
        <w:tc>
          <w:tcPr>
            <w:tcW w:w="2307" w:type="dxa"/>
            <w:vMerge/>
            <w:tcBorders>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728" w:type="dxa"/>
            <w:vMerge/>
            <w:tcBorders>
              <w:left w:val="single" w:sz="4" w:space="0" w:color="000000"/>
              <w:bottom w:val="single" w:sz="4" w:space="0" w:color="000000"/>
              <w:right w:val="single" w:sz="4" w:space="0" w:color="000000"/>
            </w:tcBorders>
          </w:tcPr>
          <w:p>
            <w:pPr/>
          </w:p>
        </w:tc>
      </w:tr>
      <w:tr>
        <w:trPr>
          <w:trHeight w:val="161" w:hRule="exact"/>
        </w:trPr>
        <w:tc>
          <w:tcPr>
            <w:tcW w:w="94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31"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280,000,000.00</w:t>
            </w:r>
          </w:p>
        </w:tc>
        <w:tc>
          <w:tcPr>
            <w:tcW w:w="11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0" w:right="0"/>
              <w:jc w:val="left"/>
              <w:rPr>
                <w:rFonts w:ascii="Times New Roman" w:hAnsi="Times New Roman" w:cs="Times New Roman" w:eastAsia="Times New Roman" w:hint="default"/>
                <w:sz w:val="18"/>
                <w:szCs w:val="18"/>
              </w:rPr>
            </w:pPr>
            <w:r>
              <w:rPr>
                <w:rFonts w:ascii="Times New Roman"/>
                <w:sz w:val="18"/>
              </w:rPr>
              <w:t>9.22%</w:t>
            </w:r>
          </w:p>
        </w:tc>
        <w:tc>
          <w:tcPr>
            <w:tcW w:w="230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49" w:right="0"/>
              <w:jc w:val="left"/>
              <w:rPr>
                <w:rFonts w:ascii="Times New Roman" w:hAnsi="Times New Roman" w:cs="Times New Roman" w:eastAsia="Times New Roman" w:hint="default"/>
                <w:sz w:val="18"/>
                <w:szCs w:val="18"/>
              </w:rPr>
            </w:pPr>
            <w:r>
              <w:rPr>
                <w:rFonts w:ascii="Times New Roman"/>
                <w:sz w:val="18"/>
              </w:rPr>
              <w:t>252,000,000.00</w:t>
            </w:r>
          </w:p>
        </w:tc>
        <w:tc>
          <w:tcPr>
            <w:tcW w:w="116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9" w:right="0"/>
              <w:jc w:val="left"/>
              <w:rPr>
                <w:rFonts w:ascii="Times New Roman" w:hAnsi="Times New Roman" w:cs="Times New Roman" w:eastAsia="Times New Roman" w:hint="default"/>
                <w:sz w:val="18"/>
                <w:szCs w:val="18"/>
              </w:rPr>
            </w:pPr>
            <w:r>
              <w:rPr>
                <w:rFonts w:ascii="Times New Roman"/>
                <w:sz w:val="18"/>
              </w:rPr>
              <w:t>7.70%</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1.52%</w:t>
            </w:r>
          </w:p>
        </w:tc>
        <w:tc>
          <w:tcPr>
            <w:tcW w:w="1728" w:type="dxa"/>
            <w:vMerge w:val="restart"/>
            <w:tcBorders>
              <w:top w:val="single" w:sz="4" w:space="0" w:color="000000"/>
              <w:left w:val="single" w:sz="4" w:space="0" w:color="000000"/>
              <w:right w:val="single" w:sz="4" w:space="0" w:color="000000"/>
            </w:tcBorders>
          </w:tcPr>
          <w:p>
            <w:pPr>
              <w:pStyle w:val="TableParagraph"/>
              <w:spacing w:line="316"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主要系报告期内并购 贷款增加所致</w:t>
            </w:r>
          </w:p>
        </w:tc>
      </w:tr>
      <w:tr>
        <w:trPr>
          <w:trHeight w:val="394" w:hRule="exact"/>
        </w:trPr>
        <w:tc>
          <w:tcPr>
            <w:tcW w:w="9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31" w:type="dxa"/>
            <w:vMerge/>
            <w:tcBorders>
              <w:left w:val="single" w:sz="10" w:space="0" w:color="D2D2D2"/>
              <w:right w:val="single" w:sz="4" w:space="0" w:color="000000"/>
            </w:tcBorders>
          </w:tcPr>
          <w:p>
            <w:pPr/>
          </w:p>
        </w:tc>
        <w:tc>
          <w:tcPr>
            <w:tcW w:w="1167" w:type="dxa"/>
            <w:vMerge/>
            <w:tcBorders>
              <w:left w:val="single" w:sz="4" w:space="0" w:color="000000"/>
              <w:right w:val="single" w:sz="4" w:space="0" w:color="000000"/>
            </w:tcBorders>
          </w:tcPr>
          <w:p>
            <w:pPr/>
          </w:p>
        </w:tc>
        <w:tc>
          <w:tcPr>
            <w:tcW w:w="2307"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728" w:type="dxa"/>
            <w:vMerge/>
            <w:tcBorders>
              <w:left w:val="single" w:sz="4" w:space="0" w:color="000000"/>
              <w:right w:val="single" w:sz="4" w:space="0" w:color="000000"/>
            </w:tcBorders>
          </w:tcPr>
          <w:p>
            <w:pPr/>
          </w:p>
        </w:tc>
      </w:tr>
      <w:tr>
        <w:trPr>
          <w:trHeight w:val="161" w:hRule="exact"/>
        </w:trPr>
        <w:tc>
          <w:tcPr>
            <w:tcW w:w="94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31" w:type="dxa"/>
            <w:vMerge/>
            <w:tcBorders>
              <w:left w:val="single" w:sz="10" w:space="0" w:color="D2D2D2"/>
              <w:bottom w:val="single" w:sz="4" w:space="0" w:color="000000"/>
              <w:right w:val="single" w:sz="4" w:space="0" w:color="000000"/>
            </w:tcBorders>
          </w:tcPr>
          <w:p>
            <w:pPr/>
          </w:p>
        </w:tc>
        <w:tc>
          <w:tcPr>
            <w:tcW w:w="1167" w:type="dxa"/>
            <w:vMerge/>
            <w:tcBorders>
              <w:left w:val="single" w:sz="4" w:space="0" w:color="000000"/>
              <w:bottom w:val="single" w:sz="4" w:space="0" w:color="000000"/>
              <w:right w:val="single" w:sz="4" w:space="0" w:color="000000"/>
            </w:tcBorders>
          </w:tcPr>
          <w:p>
            <w:pPr/>
          </w:p>
        </w:tc>
        <w:tc>
          <w:tcPr>
            <w:tcW w:w="2307" w:type="dxa"/>
            <w:vMerge/>
            <w:tcBorders>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728" w:type="dxa"/>
            <w:vMerge/>
            <w:tcBorders>
              <w:left w:val="single" w:sz="4" w:space="0" w:color="000000"/>
              <w:bottom w:val="single" w:sz="4" w:space="0" w:color="000000"/>
              <w:right w:val="single" w:sz="4" w:space="0" w:color="000000"/>
            </w:tcBorders>
          </w:tcPr>
          <w:p>
            <w:pPr/>
          </w:p>
        </w:tc>
      </w:tr>
      <w:tr>
        <w:trPr>
          <w:trHeight w:val="713" w:hRule="exact"/>
        </w:trPr>
        <w:tc>
          <w:tcPr>
            <w:tcW w:w="9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49"/>
              <w:ind w:left="24" w:right="185"/>
              <w:jc w:val="left"/>
              <w:rPr>
                <w:rFonts w:ascii="宋体" w:hAnsi="宋体" w:cs="宋体" w:eastAsia="宋体" w:hint="default"/>
                <w:sz w:val="18"/>
                <w:szCs w:val="18"/>
              </w:rPr>
            </w:pPr>
            <w:r>
              <w:rPr>
                <w:rFonts w:ascii="宋体" w:hAnsi="宋体" w:cs="宋体" w:eastAsia="宋体" w:hint="default"/>
                <w:sz w:val="18"/>
                <w:szCs w:val="18"/>
              </w:rPr>
              <w:t>交易性金 融资产</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207,000,000.00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6.82%</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437,418,500.00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13.36%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主要系报告期内结构 性存款解出所致</w:t>
            </w:r>
          </w:p>
        </w:tc>
      </w:tr>
      <w:tr>
        <w:trPr>
          <w:trHeight w:val="1027" w:hRule="exact"/>
        </w:trPr>
        <w:tc>
          <w:tcPr>
            <w:tcW w:w="9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85"/>
              <w:jc w:val="left"/>
              <w:rPr>
                <w:rFonts w:ascii="宋体" w:hAnsi="宋体" w:cs="宋体" w:eastAsia="宋体" w:hint="default"/>
                <w:sz w:val="18"/>
                <w:szCs w:val="18"/>
              </w:rPr>
            </w:pPr>
            <w:r>
              <w:rPr>
                <w:rFonts w:ascii="宋体" w:hAnsi="宋体" w:cs="宋体" w:eastAsia="宋体" w:hint="default"/>
                <w:sz w:val="18"/>
                <w:szCs w:val="18"/>
              </w:rPr>
              <w:t>应收保理 款</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61,339,769.23</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131,848,779.64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both"/>
              <w:rPr>
                <w:rFonts w:ascii="宋体" w:hAnsi="宋体" w:cs="宋体" w:eastAsia="宋体" w:hint="default"/>
                <w:sz w:val="18"/>
                <w:szCs w:val="18"/>
              </w:rPr>
            </w:pPr>
            <w:r>
              <w:rPr>
                <w:rFonts w:ascii="宋体" w:hAnsi="宋体" w:cs="宋体" w:eastAsia="宋体" w:hint="default"/>
                <w:sz w:val="18"/>
                <w:szCs w:val="18"/>
              </w:rPr>
              <w:t>主要系报告期计提应 收保理款坏账损失所 致</w:t>
            </w:r>
          </w:p>
        </w:tc>
      </w:tr>
      <w:tr>
        <w:trPr>
          <w:trHeight w:val="1025" w:hRule="exact"/>
        </w:trPr>
        <w:tc>
          <w:tcPr>
            <w:tcW w:w="9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340,782,327.10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11.22%</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183,610,965.70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5.61%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both"/>
              <w:rPr>
                <w:rFonts w:ascii="宋体" w:hAnsi="宋体" w:cs="宋体" w:eastAsia="宋体" w:hint="default"/>
                <w:sz w:val="18"/>
                <w:szCs w:val="18"/>
              </w:rPr>
            </w:pPr>
            <w:r>
              <w:rPr>
                <w:rFonts w:ascii="宋体" w:hAnsi="宋体" w:cs="宋体" w:eastAsia="宋体" w:hint="default"/>
                <w:sz w:val="18"/>
                <w:szCs w:val="18"/>
              </w:rPr>
              <w:t>主要系报告期数字传 播业务媒介采购量增 加所致</w:t>
            </w:r>
          </w:p>
        </w:tc>
      </w:tr>
      <w:tr>
        <w:trPr>
          <w:trHeight w:val="715" w:hRule="exact"/>
        </w:trPr>
        <w:tc>
          <w:tcPr>
            <w:tcW w:w="9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185"/>
              <w:jc w:val="left"/>
              <w:rPr>
                <w:rFonts w:ascii="宋体" w:hAnsi="宋体" w:cs="宋体" w:eastAsia="宋体" w:hint="default"/>
                <w:sz w:val="18"/>
                <w:szCs w:val="18"/>
              </w:rPr>
            </w:pPr>
            <w:r>
              <w:rPr>
                <w:rFonts w:ascii="宋体" w:hAnsi="宋体" w:cs="宋体" w:eastAsia="宋体" w:hint="default"/>
                <w:sz w:val="18"/>
                <w:szCs w:val="18"/>
              </w:rPr>
              <w:t>其他应付 款</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287,372,591.21</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9.46%</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624,372,044.48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19.07%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-9.61%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主要系报告期支付股 权对价款所致</w:t>
            </w:r>
          </w:p>
        </w:tc>
      </w:tr>
      <w:tr>
        <w:trPr>
          <w:trHeight w:val="713" w:hRule="exact"/>
        </w:trPr>
        <w:tc>
          <w:tcPr>
            <w:tcW w:w="9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689,442,584.40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22.71%</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659,725,709.42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20.15%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主要系报告期可转债 利息增加所致</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64"/>
        <w:gridCol w:w="1187"/>
        <w:gridCol w:w="1189"/>
        <w:gridCol w:w="837"/>
        <w:gridCol w:w="534"/>
        <w:gridCol w:w="1321"/>
        <w:gridCol w:w="1318"/>
        <w:gridCol w:w="925"/>
        <w:gridCol w:w="1183"/>
      </w:tblGrid>
      <w:tr>
        <w:trPr>
          <w:trHeight w:val="317" w:hRule="exact"/>
        </w:trPr>
        <w:tc>
          <w:tcPr>
            <w:tcW w:w="1164" w:type="dxa"/>
            <w:vMerge w:val="restart"/>
            <w:tcBorders>
              <w:top w:val="single" w:sz="4" w:space="0" w:color="000000"/>
              <w:left w:val="single" w:sz="4" w:space="0" w:color="000000"/>
              <w:right w:val="single" w:sz="4" w:space="0" w:color="000000"/>
            </w:tcBorders>
            <w:shd w:val="clear" w:color="auto" w:fill="D2D2D2"/>
          </w:tcPr>
          <w:p>
            <w:pPr/>
          </w:p>
        </w:tc>
        <w:tc>
          <w:tcPr>
            <w:tcW w:w="1187" w:type="dxa"/>
            <w:vMerge w:val="restart"/>
            <w:tcBorders>
              <w:top w:val="single" w:sz="4" w:space="0" w:color="000000"/>
              <w:left w:val="single" w:sz="4" w:space="0" w:color="000000"/>
              <w:right w:val="single" w:sz="4" w:space="0" w:color="000000"/>
            </w:tcBorders>
            <w:shd w:val="clear" w:color="auto" w:fill="D2D2D2"/>
          </w:tcPr>
          <w:p>
            <w:pPr/>
          </w:p>
        </w:tc>
        <w:tc>
          <w:tcPr>
            <w:tcW w:w="1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83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1" w:right="53"/>
              <w:jc w:val="center"/>
              <w:rPr>
                <w:rFonts w:ascii="宋体" w:hAnsi="宋体" w:cs="宋体" w:eastAsia="宋体" w:hint="default"/>
                <w:sz w:val="18"/>
                <w:szCs w:val="18"/>
              </w:rPr>
            </w:pPr>
            <w:r>
              <w:rPr>
                <w:rFonts w:ascii="宋体" w:hAnsi="宋体" w:cs="宋体" w:eastAsia="宋体" w:hint="default"/>
                <w:sz w:val="18"/>
                <w:szCs w:val="18"/>
              </w:rPr>
              <w:t>计入权益 的累计公 允价值变 动</w:t>
            </w:r>
          </w:p>
        </w:tc>
        <w:tc>
          <w:tcPr>
            <w:tcW w:w="5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5" w:right="76"/>
              <w:jc w:val="both"/>
              <w:rPr>
                <w:rFonts w:ascii="宋体" w:hAnsi="宋体" w:cs="宋体" w:eastAsia="宋体" w:hint="default"/>
                <w:sz w:val="18"/>
                <w:szCs w:val="18"/>
              </w:rPr>
            </w:pPr>
            <w:r>
              <w:rPr>
                <w:rFonts w:ascii="宋体" w:hAnsi="宋体" w:cs="宋体" w:eastAsia="宋体" w:hint="default"/>
                <w:sz w:val="18"/>
                <w:szCs w:val="18"/>
              </w:rPr>
              <w:t>本期 计提 的减 值</w:t>
            </w:r>
          </w:p>
        </w:tc>
        <w:tc>
          <w:tcPr>
            <w:tcW w:w="1321" w:type="dxa"/>
            <w:vMerge w:val="restart"/>
            <w:tcBorders>
              <w:top w:val="single" w:sz="4" w:space="0" w:color="000000"/>
              <w:left w:val="single" w:sz="4" w:space="0" w:color="000000"/>
              <w:right w:val="single" w:sz="4" w:space="0" w:color="000000"/>
            </w:tcBorders>
            <w:shd w:val="clear" w:color="auto" w:fill="D2D2D2"/>
          </w:tcPr>
          <w:p>
            <w:pPr/>
          </w:p>
        </w:tc>
        <w:tc>
          <w:tcPr>
            <w:tcW w:w="1318" w:type="dxa"/>
            <w:vMerge w:val="restart"/>
            <w:tcBorders>
              <w:top w:val="single" w:sz="4" w:space="0" w:color="000000"/>
              <w:left w:val="single" w:sz="4" w:space="0" w:color="000000"/>
              <w:right w:val="single" w:sz="4" w:space="0" w:color="000000"/>
            </w:tcBorders>
            <w:shd w:val="clear" w:color="auto" w:fill="D2D2D2"/>
          </w:tcPr>
          <w:p>
            <w:pPr/>
          </w:p>
        </w:tc>
        <w:tc>
          <w:tcPr>
            <w:tcW w:w="925" w:type="dxa"/>
            <w:vMerge w:val="restart"/>
            <w:tcBorders>
              <w:top w:val="single" w:sz="4" w:space="0" w:color="000000"/>
              <w:left w:val="single" w:sz="4" w:space="0" w:color="000000"/>
              <w:right w:val="single" w:sz="4" w:space="0" w:color="000000"/>
            </w:tcBorders>
            <w:shd w:val="clear" w:color="auto" w:fill="D2D2D2"/>
          </w:tcPr>
          <w:p>
            <w:pPr/>
          </w:p>
        </w:tc>
        <w:tc>
          <w:tcPr>
            <w:tcW w:w="1183"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164" w:type="dxa"/>
            <w:vMerge/>
            <w:tcBorders>
              <w:left w:val="single" w:sz="4" w:space="0" w:color="000000"/>
              <w:bottom w:val="nil" w:sz="6" w:space="0" w:color="auto"/>
              <w:right w:val="single" w:sz="4" w:space="0" w:color="000000"/>
            </w:tcBorders>
            <w:shd w:val="clear" w:color="auto" w:fill="D2D2D2"/>
          </w:tcPr>
          <w:p>
            <w:pPr/>
          </w:p>
        </w:tc>
        <w:tc>
          <w:tcPr>
            <w:tcW w:w="1187" w:type="dxa"/>
            <w:vMerge/>
            <w:tcBorders>
              <w:left w:val="single" w:sz="4" w:space="0" w:color="000000"/>
              <w:bottom w:val="nil" w:sz="6" w:space="0" w:color="auto"/>
              <w:right w:val="single" w:sz="4" w:space="0" w:color="000000"/>
            </w:tcBorders>
            <w:shd w:val="clear" w:color="auto" w:fill="D2D2D2"/>
          </w:tcPr>
          <w:p>
            <w:pPr/>
          </w:p>
        </w:tc>
        <w:tc>
          <w:tcPr>
            <w:tcW w:w="1189"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24" w:right="52"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837" w:type="dxa"/>
            <w:vMerge/>
            <w:tcBorders>
              <w:left w:val="single" w:sz="4" w:space="0" w:color="000000"/>
              <w:right w:val="single" w:sz="4" w:space="0" w:color="000000"/>
            </w:tcBorders>
            <w:shd w:val="clear" w:color="auto" w:fill="D2D2D2"/>
          </w:tcPr>
          <w:p>
            <w:pPr/>
          </w:p>
        </w:tc>
        <w:tc>
          <w:tcPr>
            <w:tcW w:w="534" w:type="dxa"/>
            <w:vMerge/>
            <w:tcBorders>
              <w:left w:val="single" w:sz="4" w:space="0" w:color="000000"/>
              <w:right w:val="single" w:sz="4" w:space="0" w:color="000000"/>
            </w:tcBorders>
            <w:shd w:val="clear" w:color="auto" w:fill="D2D2D2"/>
          </w:tcPr>
          <w:p>
            <w:pPr/>
          </w:p>
        </w:tc>
        <w:tc>
          <w:tcPr>
            <w:tcW w:w="1321"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c>
          <w:tcPr>
            <w:tcW w:w="925" w:type="dxa"/>
            <w:vMerge/>
            <w:tcBorders>
              <w:left w:val="single" w:sz="4" w:space="0" w:color="000000"/>
              <w:bottom w:val="nil" w:sz="6" w:space="0" w:color="auto"/>
              <w:right w:val="single" w:sz="4" w:space="0" w:color="000000"/>
            </w:tcBorders>
            <w:shd w:val="clear" w:color="auto" w:fill="D2D2D2"/>
          </w:tcPr>
          <w:p>
            <w:pPr/>
          </w:p>
        </w:tc>
        <w:tc>
          <w:tcPr>
            <w:tcW w:w="1183" w:type="dxa"/>
            <w:vMerge/>
            <w:tcBorders>
              <w:left w:val="single" w:sz="4" w:space="0" w:color="000000"/>
              <w:bottom w:val="nil" w:sz="6" w:space="0" w:color="auto"/>
              <w:right w:val="single" w:sz="4" w:space="0" w:color="000000"/>
            </w:tcBorders>
            <w:shd w:val="clear" w:color="auto" w:fill="D2D2D2"/>
          </w:tcPr>
          <w:p>
            <w:pPr/>
          </w:p>
        </w:tc>
      </w:tr>
      <w:tr>
        <w:trPr>
          <w:trHeight w:val="391" w:hRule="exact"/>
        </w:trPr>
        <w:tc>
          <w:tcPr>
            <w:tcW w:w="11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1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89" w:type="dxa"/>
            <w:vMerge/>
            <w:tcBorders>
              <w:left w:val="single" w:sz="4" w:space="0" w:color="000000"/>
              <w:right w:val="single" w:sz="4" w:space="0" w:color="000000"/>
            </w:tcBorders>
            <w:shd w:val="clear" w:color="auto" w:fill="D2D2D2"/>
          </w:tcPr>
          <w:p>
            <w:pPr/>
          </w:p>
        </w:tc>
        <w:tc>
          <w:tcPr>
            <w:tcW w:w="837" w:type="dxa"/>
            <w:vMerge/>
            <w:tcBorders>
              <w:left w:val="single" w:sz="4" w:space="0" w:color="000000"/>
              <w:right w:val="single" w:sz="4" w:space="0" w:color="000000"/>
            </w:tcBorders>
            <w:shd w:val="clear" w:color="auto" w:fill="D2D2D2"/>
          </w:tcPr>
          <w:p>
            <w:pPr/>
          </w:p>
        </w:tc>
        <w:tc>
          <w:tcPr>
            <w:tcW w:w="534" w:type="dxa"/>
            <w:vMerge/>
            <w:tcBorders>
              <w:left w:val="single" w:sz="4" w:space="0" w:color="000000"/>
              <w:right w:val="single" w:sz="4" w:space="0" w:color="000000"/>
            </w:tcBorders>
            <w:shd w:val="clear" w:color="auto" w:fill="D2D2D2"/>
          </w:tcPr>
          <w:p>
            <w:pPr/>
          </w:p>
        </w:tc>
        <w:tc>
          <w:tcPr>
            <w:tcW w:w="13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8"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3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9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164" w:type="dxa"/>
            <w:vMerge w:val="restart"/>
            <w:tcBorders>
              <w:top w:val="nil" w:sz="6" w:space="0" w:color="auto"/>
              <w:left w:val="single" w:sz="4" w:space="0" w:color="000000"/>
              <w:right w:val="single" w:sz="4" w:space="0" w:color="000000"/>
            </w:tcBorders>
            <w:shd w:val="clear" w:color="auto" w:fill="D2D2D2"/>
          </w:tcPr>
          <w:p>
            <w:pPr/>
          </w:p>
        </w:tc>
        <w:tc>
          <w:tcPr>
            <w:tcW w:w="1187" w:type="dxa"/>
            <w:vMerge w:val="restart"/>
            <w:tcBorders>
              <w:top w:val="nil" w:sz="6" w:space="0" w:color="auto"/>
              <w:left w:val="single" w:sz="4" w:space="0" w:color="000000"/>
              <w:right w:val="single" w:sz="4" w:space="0" w:color="000000"/>
            </w:tcBorders>
            <w:shd w:val="clear" w:color="auto" w:fill="D2D2D2"/>
          </w:tcPr>
          <w:p>
            <w:pPr/>
          </w:p>
        </w:tc>
        <w:tc>
          <w:tcPr>
            <w:tcW w:w="1189" w:type="dxa"/>
            <w:vMerge/>
            <w:tcBorders>
              <w:left w:val="single" w:sz="4" w:space="0" w:color="000000"/>
              <w:bottom w:val="nil" w:sz="6" w:space="0" w:color="auto"/>
              <w:right w:val="single" w:sz="4" w:space="0" w:color="000000"/>
            </w:tcBorders>
            <w:shd w:val="clear" w:color="auto" w:fill="D2D2D2"/>
          </w:tcPr>
          <w:p>
            <w:pPr/>
          </w:p>
        </w:tc>
        <w:tc>
          <w:tcPr>
            <w:tcW w:w="837" w:type="dxa"/>
            <w:vMerge/>
            <w:tcBorders>
              <w:left w:val="single" w:sz="4" w:space="0" w:color="000000"/>
              <w:right w:val="single" w:sz="4" w:space="0" w:color="000000"/>
            </w:tcBorders>
            <w:shd w:val="clear" w:color="auto" w:fill="D2D2D2"/>
          </w:tcPr>
          <w:p>
            <w:pPr/>
          </w:p>
        </w:tc>
        <w:tc>
          <w:tcPr>
            <w:tcW w:w="534" w:type="dxa"/>
            <w:vMerge/>
            <w:tcBorders>
              <w:left w:val="single" w:sz="4" w:space="0" w:color="000000"/>
              <w:right w:val="single" w:sz="4" w:space="0" w:color="000000"/>
            </w:tcBorders>
            <w:shd w:val="clear" w:color="auto" w:fill="D2D2D2"/>
          </w:tcPr>
          <w:p>
            <w:pPr/>
          </w:p>
        </w:tc>
        <w:tc>
          <w:tcPr>
            <w:tcW w:w="1321" w:type="dxa"/>
            <w:vMerge w:val="restart"/>
            <w:tcBorders>
              <w:top w:val="nil" w:sz="6" w:space="0" w:color="auto"/>
              <w:left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
        </w:tc>
        <w:tc>
          <w:tcPr>
            <w:tcW w:w="925" w:type="dxa"/>
            <w:vMerge w:val="restart"/>
            <w:tcBorders>
              <w:top w:val="nil" w:sz="6" w:space="0" w:color="auto"/>
              <w:left w:val="single" w:sz="4" w:space="0" w:color="000000"/>
              <w:right w:val="single" w:sz="4" w:space="0" w:color="000000"/>
            </w:tcBorders>
            <w:shd w:val="clear" w:color="auto" w:fill="D2D2D2"/>
          </w:tcPr>
          <w:p>
            <w:pPr/>
          </w:p>
        </w:tc>
        <w:tc>
          <w:tcPr>
            <w:tcW w:w="1183" w:type="dxa"/>
            <w:vMerge w:val="restart"/>
            <w:tcBorders>
              <w:top w:val="nil" w:sz="6" w:space="0" w:color="auto"/>
              <w:left w:val="single" w:sz="4" w:space="0" w:color="000000"/>
              <w:right w:val="single" w:sz="4" w:space="0" w:color="000000"/>
            </w:tcBorders>
            <w:shd w:val="clear" w:color="auto" w:fill="D2D2D2"/>
          </w:tcPr>
          <w:p>
            <w:pPr/>
          </w:p>
        </w:tc>
      </w:tr>
      <w:tr>
        <w:trPr>
          <w:trHeight w:val="322" w:hRule="exact"/>
        </w:trPr>
        <w:tc>
          <w:tcPr>
            <w:tcW w:w="1164" w:type="dxa"/>
            <w:vMerge/>
            <w:tcBorders>
              <w:left w:val="single" w:sz="4" w:space="0" w:color="000000"/>
              <w:bottom w:val="single" w:sz="4" w:space="0" w:color="000000"/>
              <w:right w:val="single" w:sz="4" w:space="0" w:color="000000"/>
            </w:tcBorders>
            <w:shd w:val="clear" w:color="auto" w:fill="D2D2D2"/>
          </w:tcPr>
          <w:p>
            <w:pPr/>
          </w:p>
        </w:tc>
        <w:tc>
          <w:tcPr>
            <w:tcW w:w="1187" w:type="dxa"/>
            <w:vMerge/>
            <w:tcBorders>
              <w:left w:val="single" w:sz="4" w:space="0" w:color="000000"/>
              <w:bottom w:val="single" w:sz="4" w:space="0" w:color="000000"/>
              <w:right w:val="single" w:sz="4" w:space="0" w:color="000000"/>
            </w:tcBorders>
            <w:shd w:val="clear" w:color="auto" w:fill="D2D2D2"/>
          </w:tcPr>
          <w:p>
            <w:pPr/>
          </w:p>
        </w:tc>
        <w:tc>
          <w:tcPr>
            <w:tcW w:w="1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837" w:type="dxa"/>
            <w:vMerge/>
            <w:tcBorders>
              <w:left w:val="single" w:sz="4" w:space="0" w:color="000000"/>
              <w:bottom w:val="single" w:sz="4" w:space="0" w:color="000000"/>
              <w:right w:val="single" w:sz="4" w:space="0" w:color="000000"/>
            </w:tcBorders>
            <w:shd w:val="clear" w:color="auto" w:fill="D2D2D2"/>
          </w:tcPr>
          <w:p>
            <w:pPr/>
          </w:p>
        </w:tc>
        <w:tc>
          <w:tcPr>
            <w:tcW w:w="534" w:type="dxa"/>
            <w:vMerge/>
            <w:tcBorders>
              <w:left w:val="single" w:sz="4" w:space="0" w:color="000000"/>
              <w:bottom w:val="single" w:sz="4" w:space="0" w:color="000000"/>
              <w:right w:val="single" w:sz="4" w:space="0" w:color="000000"/>
            </w:tcBorders>
            <w:shd w:val="clear" w:color="auto" w:fill="D2D2D2"/>
          </w:tcPr>
          <w:p>
            <w:pPr/>
          </w:p>
        </w:tc>
        <w:tc>
          <w:tcPr>
            <w:tcW w:w="1321"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c>
          <w:tcPr>
            <w:tcW w:w="925" w:type="dxa"/>
            <w:vMerge/>
            <w:tcBorders>
              <w:left w:val="single" w:sz="4" w:space="0" w:color="000000"/>
              <w:bottom w:val="single" w:sz="4" w:space="0" w:color="000000"/>
              <w:right w:val="single" w:sz="4" w:space="0" w:color="000000"/>
            </w:tcBorders>
            <w:shd w:val="clear" w:color="auto" w:fill="D2D2D2"/>
          </w:tcPr>
          <w:p>
            <w:pPr/>
          </w:p>
        </w:tc>
        <w:tc>
          <w:tcPr>
            <w:tcW w:w="1183"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493" w:type="dxa"/>
            <w:gridSpan w:val="8"/>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both"/>
              <w:rPr>
                <w:rFonts w:ascii="宋体" w:hAnsi="宋体" w:cs="宋体" w:eastAsia="宋体" w:hint="default"/>
                <w:sz w:val="18"/>
                <w:szCs w:val="18"/>
              </w:rPr>
            </w:pPr>
            <w:r>
              <w:rPr>
                <w:rFonts w:ascii="宋体" w:hAnsi="宋体" w:cs="宋体" w:eastAsia="宋体" w:hint="default"/>
                <w:sz w:val="18"/>
                <w:szCs w:val="18"/>
              </w:rPr>
              <w:t>交易性金融资 产（不含衍生 金融资产）</w:t>
            </w:r>
          </w:p>
        </w:tc>
        <w:tc>
          <w:tcPr>
            <w:tcW w:w="11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437,000,000.00</w:t>
            </w:r>
          </w:p>
        </w:tc>
        <w:tc>
          <w:tcPr>
            <w:tcW w:w="1189" w:type="dxa"/>
            <w:tcBorders>
              <w:top w:val="single" w:sz="4" w:space="0" w:color="000000"/>
              <w:left w:val="single" w:sz="4" w:space="0" w:color="000000"/>
              <w:bottom w:val="single" w:sz="4" w:space="0" w:color="000000"/>
              <w:right w:val="single" w:sz="4" w:space="0" w:color="000000"/>
            </w:tcBorders>
          </w:tcPr>
          <w:p>
            <w:pPr/>
          </w:p>
        </w:tc>
        <w:tc>
          <w:tcPr>
            <w:tcW w:w="837" w:type="dxa"/>
            <w:tcBorders>
              <w:top w:val="single" w:sz="4" w:space="0" w:color="000000"/>
              <w:left w:val="single" w:sz="4" w:space="0" w:color="000000"/>
              <w:bottom w:val="single" w:sz="4" w:space="0" w:color="000000"/>
              <w:right w:val="single" w:sz="4" w:space="0" w:color="000000"/>
            </w:tcBorders>
          </w:tcPr>
          <w:p>
            <w:pPr/>
          </w:p>
        </w:tc>
        <w:tc>
          <w:tcPr>
            <w:tcW w:w="53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1,721,000,000.00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1,951,000,000.00</w:t>
            </w:r>
          </w:p>
        </w:tc>
        <w:tc>
          <w:tcPr>
            <w:tcW w:w="92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207,000,000.00</w:t>
            </w:r>
          </w:p>
        </w:tc>
      </w:tr>
      <w:tr>
        <w:trPr>
          <w:trHeight w:val="715" w:hRule="exact"/>
        </w:trPr>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firstLine="182"/>
              <w:jc w:val="left"/>
              <w:rPr>
                <w:rFonts w:ascii="宋体" w:hAnsi="宋体" w:cs="宋体" w:eastAsia="宋体" w:hint="default"/>
                <w:sz w:val="18"/>
                <w:szCs w:val="18"/>
              </w:rPr>
            </w:pPr>
            <w:r>
              <w:rPr>
                <w:rFonts w:ascii="宋体" w:hAnsi="宋体" w:cs="宋体" w:eastAsia="宋体" w:hint="default"/>
                <w:sz w:val="18"/>
                <w:szCs w:val="18"/>
              </w:rPr>
              <w:t>其他非流动 金融资产</w:t>
            </w:r>
          </w:p>
        </w:tc>
        <w:tc>
          <w:tcPr>
            <w:tcW w:w="11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6,998,002.94</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-132,317.99</w:t>
            </w:r>
          </w:p>
        </w:tc>
        <w:tc>
          <w:tcPr>
            <w:tcW w:w="837" w:type="dxa"/>
            <w:tcBorders>
              <w:top w:val="single" w:sz="4" w:space="0" w:color="000000"/>
              <w:left w:val="single" w:sz="4" w:space="0" w:color="000000"/>
              <w:bottom w:val="single" w:sz="4" w:space="0" w:color="000000"/>
              <w:right w:val="single" w:sz="4" w:space="0" w:color="000000"/>
            </w:tcBorders>
          </w:tcPr>
          <w:p>
            <w:pPr/>
          </w:p>
        </w:tc>
        <w:tc>
          <w:tcPr>
            <w:tcW w:w="53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-445,098.78</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6,420,586.17</w:t>
            </w:r>
          </w:p>
        </w:tc>
      </w:tr>
      <w:tr>
        <w:trPr>
          <w:trHeight w:val="161" w:hRule="exact"/>
        </w:trPr>
        <w:tc>
          <w:tcPr>
            <w:tcW w:w="11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sz w:val="18"/>
              </w:rPr>
              <w:t>443,998,002.94</w:t>
            </w:r>
          </w:p>
        </w:tc>
        <w:tc>
          <w:tcPr>
            <w:tcW w:w="118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-132,317.99</w:t>
            </w:r>
          </w:p>
        </w:tc>
        <w:tc>
          <w:tcPr>
            <w:tcW w:w="837" w:type="dxa"/>
            <w:vMerge w:val="restart"/>
            <w:tcBorders>
              <w:top w:val="single" w:sz="4" w:space="0" w:color="000000"/>
              <w:left w:val="single" w:sz="4" w:space="0" w:color="000000"/>
              <w:right w:val="single" w:sz="4" w:space="0" w:color="000000"/>
            </w:tcBorders>
          </w:tcPr>
          <w:p>
            <w:pPr/>
          </w:p>
        </w:tc>
        <w:tc>
          <w:tcPr>
            <w:tcW w:w="534" w:type="dxa"/>
            <w:vMerge w:val="restart"/>
            <w:tcBorders>
              <w:top w:val="single" w:sz="4" w:space="0" w:color="000000"/>
              <w:left w:val="single" w:sz="4" w:space="0" w:color="000000"/>
              <w:right w:val="single" w:sz="4" w:space="0" w:color="000000"/>
            </w:tcBorders>
          </w:tcPr>
          <w:p>
            <w:pPr/>
          </w:p>
        </w:tc>
        <w:tc>
          <w:tcPr>
            <w:tcW w:w="13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1,721,000,000.00</w:t>
            </w:r>
          </w:p>
        </w:tc>
        <w:tc>
          <w:tcPr>
            <w:tcW w:w="13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1,951,000,000.00</w:t>
            </w:r>
          </w:p>
        </w:tc>
        <w:tc>
          <w:tcPr>
            <w:tcW w:w="925" w:type="dxa"/>
            <w:vMerge w:val="restart"/>
            <w:tcBorders>
              <w:top w:val="single" w:sz="4" w:space="0" w:color="000000"/>
              <w:left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sz w:val="18"/>
              </w:rPr>
              <w:t>-445,098.78</w:t>
            </w:r>
          </w:p>
        </w:tc>
        <w:tc>
          <w:tcPr>
            <w:tcW w:w="11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213,420,586.17</w:t>
            </w:r>
          </w:p>
        </w:tc>
      </w:tr>
      <w:tr>
        <w:trPr>
          <w:trHeight w:val="391" w:hRule="exact"/>
        </w:trPr>
        <w:tc>
          <w:tcPr>
            <w:tcW w:w="11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187" w:type="dxa"/>
            <w:vMerge/>
            <w:tcBorders>
              <w:left w:val="single" w:sz="10" w:space="0" w:color="D2D2D2"/>
              <w:right w:val="single" w:sz="4" w:space="0" w:color="000000"/>
            </w:tcBorders>
          </w:tcPr>
          <w:p>
            <w:pPr/>
          </w:p>
        </w:tc>
        <w:tc>
          <w:tcPr>
            <w:tcW w:w="1189" w:type="dxa"/>
            <w:vMerge/>
            <w:tcBorders>
              <w:left w:val="single" w:sz="4" w:space="0" w:color="000000"/>
              <w:right w:val="single" w:sz="4" w:space="0" w:color="000000"/>
            </w:tcBorders>
          </w:tcPr>
          <w:p>
            <w:pPr/>
          </w:p>
        </w:tc>
        <w:tc>
          <w:tcPr>
            <w:tcW w:w="837" w:type="dxa"/>
            <w:vMerge/>
            <w:tcBorders>
              <w:left w:val="single" w:sz="4" w:space="0" w:color="000000"/>
              <w:right w:val="single" w:sz="4" w:space="0" w:color="000000"/>
            </w:tcBorders>
          </w:tcPr>
          <w:p>
            <w:pPr/>
          </w:p>
        </w:tc>
        <w:tc>
          <w:tcPr>
            <w:tcW w:w="534" w:type="dxa"/>
            <w:vMerge/>
            <w:tcBorders>
              <w:left w:val="single" w:sz="4" w:space="0" w:color="000000"/>
              <w:right w:val="single" w:sz="4" w:space="0" w:color="000000"/>
            </w:tcBorders>
          </w:tcPr>
          <w:p>
            <w:pPr/>
          </w:p>
        </w:tc>
        <w:tc>
          <w:tcPr>
            <w:tcW w:w="1321" w:type="dxa"/>
            <w:vMerge/>
            <w:tcBorders>
              <w:left w:val="single" w:sz="4" w:space="0" w:color="000000"/>
              <w:right w:val="single" w:sz="4" w:space="0" w:color="000000"/>
            </w:tcBorders>
          </w:tcPr>
          <w:p>
            <w:pPr/>
          </w:p>
        </w:tc>
        <w:tc>
          <w:tcPr>
            <w:tcW w:w="1318" w:type="dxa"/>
            <w:vMerge/>
            <w:tcBorders>
              <w:left w:val="single" w:sz="4" w:space="0" w:color="000000"/>
              <w:right w:val="single" w:sz="4" w:space="0" w:color="000000"/>
            </w:tcBorders>
          </w:tcPr>
          <w:p>
            <w:pPr/>
          </w:p>
        </w:tc>
        <w:tc>
          <w:tcPr>
            <w:tcW w:w="925" w:type="dxa"/>
            <w:vMerge/>
            <w:tcBorders>
              <w:left w:val="single" w:sz="4" w:space="0" w:color="000000"/>
              <w:right w:val="single" w:sz="4" w:space="0" w:color="000000"/>
            </w:tcBorders>
          </w:tcPr>
          <w:p>
            <w:pPr/>
          </w:p>
        </w:tc>
        <w:tc>
          <w:tcPr>
            <w:tcW w:w="1183" w:type="dxa"/>
            <w:vMerge/>
            <w:tcBorders>
              <w:left w:val="single" w:sz="4" w:space="0" w:color="000000"/>
              <w:right w:val="single" w:sz="4" w:space="0" w:color="000000"/>
            </w:tcBorders>
          </w:tcPr>
          <w:p>
            <w:pPr/>
          </w:p>
        </w:tc>
      </w:tr>
      <w:tr>
        <w:trPr>
          <w:trHeight w:val="161" w:hRule="exact"/>
        </w:trPr>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7" w:type="dxa"/>
            <w:vMerge/>
            <w:tcBorders>
              <w:left w:val="single" w:sz="10" w:space="0" w:color="D2D2D2"/>
              <w:bottom w:val="single" w:sz="4" w:space="0" w:color="000000"/>
              <w:right w:val="single" w:sz="4" w:space="0" w:color="000000"/>
            </w:tcBorders>
          </w:tcPr>
          <w:p>
            <w:pPr/>
          </w:p>
        </w:tc>
        <w:tc>
          <w:tcPr>
            <w:tcW w:w="1189" w:type="dxa"/>
            <w:vMerge/>
            <w:tcBorders>
              <w:left w:val="single" w:sz="4" w:space="0" w:color="000000"/>
              <w:bottom w:val="single" w:sz="4" w:space="0" w:color="000000"/>
              <w:right w:val="single" w:sz="4" w:space="0" w:color="000000"/>
            </w:tcBorders>
          </w:tcPr>
          <w:p>
            <w:pPr/>
          </w:p>
        </w:tc>
        <w:tc>
          <w:tcPr>
            <w:tcW w:w="837" w:type="dxa"/>
            <w:vMerge/>
            <w:tcBorders>
              <w:left w:val="single" w:sz="4" w:space="0" w:color="000000"/>
              <w:bottom w:val="single" w:sz="4" w:space="0" w:color="000000"/>
              <w:right w:val="single" w:sz="4" w:space="0" w:color="000000"/>
            </w:tcBorders>
          </w:tcPr>
          <w:p>
            <w:pPr/>
          </w:p>
        </w:tc>
        <w:tc>
          <w:tcPr>
            <w:tcW w:w="534" w:type="dxa"/>
            <w:vMerge/>
            <w:tcBorders>
              <w:left w:val="single" w:sz="4" w:space="0" w:color="000000"/>
              <w:bottom w:val="single" w:sz="4" w:space="0" w:color="000000"/>
              <w:right w:val="single" w:sz="4" w:space="0" w:color="000000"/>
            </w:tcBorders>
          </w:tcPr>
          <w:p>
            <w:pPr/>
          </w:p>
        </w:tc>
        <w:tc>
          <w:tcPr>
            <w:tcW w:w="1321" w:type="dxa"/>
            <w:vMerge/>
            <w:tcBorders>
              <w:left w:val="single" w:sz="4" w:space="0" w:color="000000"/>
              <w:bottom w:val="single" w:sz="4" w:space="0" w:color="000000"/>
              <w:right w:val="single" w:sz="4" w:space="0" w:color="000000"/>
            </w:tcBorders>
          </w:tcPr>
          <w:p>
            <w:pPr/>
          </w:p>
        </w:tc>
        <w:tc>
          <w:tcPr>
            <w:tcW w:w="1318" w:type="dxa"/>
            <w:vMerge/>
            <w:tcBorders>
              <w:left w:val="single" w:sz="4" w:space="0" w:color="000000"/>
              <w:bottom w:val="single" w:sz="4" w:space="0" w:color="000000"/>
              <w:right w:val="single" w:sz="4" w:space="0" w:color="000000"/>
            </w:tcBorders>
          </w:tcPr>
          <w:p>
            <w:pPr/>
          </w:p>
        </w:tc>
        <w:tc>
          <w:tcPr>
            <w:tcW w:w="925" w:type="dxa"/>
            <w:vMerge/>
            <w:tcBorders>
              <w:left w:val="single" w:sz="4" w:space="0" w:color="000000"/>
              <w:bottom w:val="single" w:sz="4" w:space="0" w:color="000000"/>
              <w:right w:val="single" w:sz="4" w:space="0" w:color="000000"/>
            </w:tcBorders>
          </w:tcPr>
          <w:p>
            <w:pPr/>
          </w:p>
        </w:tc>
        <w:tc>
          <w:tcPr>
            <w:tcW w:w="1183" w:type="dxa"/>
            <w:vMerge/>
            <w:tcBorders>
              <w:left w:val="single" w:sz="4" w:space="0" w:color="000000"/>
              <w:bottom w:val="single" w:sz="4" w:space="0" w:color="000000"/>
              <w:right w:val="single" w:sz="4" w:space="0" w:color="000000"/>
            </w:tcBorders>
          </w:tcPr>
          <w:p>
            <w:pPr/>
          </w:p>
        </w:tc>
      </w:tr>
      <w:tr>
        <w:trPr>
          <w:trHeight w:val="403" w:hRule="exact"/>
        </w:trPr>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837" w:type="dxa"/>
            <w:tcBorders>
              <w:top w:val="single" w:sz="4" w:space="0" w:color="000000"/>
              <w:left w:val="single" w:sz="4" w:space="0" w:color="000000"/>
              <w:bottom w:val="single" w:sz="4" w:space="0" w:color="000000"/>
              <w:right w:val="single" w:sz="4" w:space="0" w:color="000000"/>
            </w:tcBorders>
          </w:tcPr>
          <w:p>
            <w:pPr/>
          </w:p>
        </w:tc>
        <w:tc>
          <w:tcPr>
            <w:tcW w:w="53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1" w:right="0"/>
              <w:jc w:val="left"/>
              <w:rPr>
                <w:rFonts w:ascii="Times New Roman" w:hAnsi="Times New Roman" w:cs="Times New Roman" w:eastAsia="Times New Roman" w:hint="default"/>
                <w:sz w:val="18"/>
                <w:szCs w:val="18"/>
              </w:rPr>
            </w:pPr>
            <w:r>
              <w:rPr>
                <w:rFonts w:ascii="Times New Roman"/>
                <w:sz w:val="18"/>
              </w:rPr>
              <w:t>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57" w:lineRule="auto" w:before="49"/>
        <w:ind w:right="5174"/>
        <w:jc w:val="left"/>
      </w:pPr>
      <w:r>
        <w:rPr/>
        <w:t>其他变动的内容 本期以公允价值计量的资产的其他变动系上期预提的结构性存款利息。 报告期内公司主要资产计量属性是否发生重大变化</w:t>
      </w:r>
    </w:p>
    <w:p>
      <w:pPr>
        <w:pStyle w:val="BodyText"/>
        <w:spacing w:line="240" w:lineRule="auto" w:before="26"/>
        <w:ind w:right="111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15"/>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1131" w:firstLine="360"/>
        <w:jc w:val="both"/>
      </w:pP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日召开的第六届董事会第二十五次（临时）会议审议通过了《关于以自有资产抵押向银行申请并购 </w:t>
      </w:r>
      <w:r>
        <w:rPr>
          <w:spacing w:val="-3"/>
        </w:rPr>
        <w:t>贷款的议案》，同意公司向中国工商银行股份有限公司北京经济技术开发区支行申请金额不超过</w:t>
      </w:r>
      <w:r>
        <w:rPr>
          <w:rFonts w:ascii="Times New Roman" w:hAnsi="Times New Roman" w:cs="Times New Roman" w:eastAsia="Times New Roman" w:hint="default"/>
          <w:spacing w:val="-3"/>
        </w:rPr>
        <w:t>4.8</w:t>
      </w:r>
      <w:r>
        <w:rPr>
          <w:spacing w:val="-3"/>
        </w:rPr>
        <w:t>亿元人民币的并购贷款，</w:t>
      </w:r>
      <w:r>
        <w:rPr>
          <w:spacing w:val="-51"/>
        </w:rPr>
        <w:t> </w:t>
      </w:r>
      <w:r>
        <w:rPr>
          <w:spacing w:val="-51"/>
        </w:rPr>
      </w:r>
      <w:r>
        <w:rPr/>
        <w:t>贷款期限不超过五年，同时公司以部分自有土地使用权及房屋产权作为抵押担保物。具体情况详见公司于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日在</w:t>
      </w:r>
      <w:r>
        <w:rPr>
          <w:spacing w:val="-87"/>
        </w:rPr>
        <w:t> </w:t>
      </w:r>
      <w:r>
        <w:rPr>
          <w:spacing w:val="-2"/>
        </w:rPr>
        <w:t>巨潮资讯网（</w:t>
      </w:r>
      <w:hyperlink r:id="rId13">
        <w:r>
          <w:rPr>
            <w:rFonts w:ascii="Times New Roman" w:hAnsi="Times New Roman" w:cs="Times New Roman" w:eastAsia="Times New Roman" w:hint="default"/>
            <w:spacing w:val="-2"/>
          </w:rPr>
          <w:t>www.cninfo.com.cn</w:t>
        </w:r>
      </w:hyperlink>
      <w:r>
        <w:rPr>
          <w:spacing w:val="-2"/>
        </w:rPr>
        <w:t>）上披露的《关于以自有资产抵押向银行申请并购贷款的公告》（公告编号</w:t>
      </w:r>
      <w:r>
        <w:rPr>
          <w:rFonts w:ascii="Times New Roman" w:hAnsi="Times New Roman" w:cs="Times New Roman" w:eastAsia="Times New Roman" w:hint="default"/>
          <w:spacing w:val="-2"/>
        </w:rPr>
        <w:t>2018-063</w:t>
      </w:r>
      <w:r>
        <w:rPr>
          <w:spacing w:val="-2"/>
        </w:rPr>
        <w:t>）。截</w:t>
      </w:r>
      <w:r>
        <w:rPr>
          <w:spacing w:val="-57"/>
        </w:rPr>
        <w:t> </w:t>
      </w:r>
      <w:r>
        <w:rPr/>
        <w:t>至报告期末，贷款余额为</w:t>
      </w:r>
      <w:r>
        <w:rPr>
          <w:rFonts w:ascii="Times New Roman" w:hAnsi="Times New Roman" w:cs="Times New Roman" w:eastAsia="Times New Roman" w:hint="default"/>
        </w:rPr>
        <w:t>28,000</w:t>
      </w:r>
      <w:r>
        <w:rPr/>
        <w:t>万元，有关土地使用权和房屋产权仍被质押或抵押。</w:t>
      </w:r>
    </w:p>
    <w:p>
      <w:pPr>
        <w:spacing w:line="240" w:lineRule="auto" w:before="5"/>
        <w:rPr>
          <w:rFonts w:ascii="宋体" w:hAnsi="宋体" w:cs="宋体" w:eastAsia="宋体" w:hint="default"/>
          <w:sz w:val="20"/>
          <w:szCs w:val="20"/>
        </w:rPr>
      </w:pPr>
    </w:p>
    <w:p>
      <w:pPr>
        <w:pStyle w:val="Heading2"/>
        <w:spacing w:line="240" w:lineRule="auto"/>
        <w:ind w:right="1115"/>
        <w:jc w:val="left"/>
        <w:rPr>
          <w:b w:val="0"/>
          <w:bCs w:val="0"/>
        </w:rPr>
      </w:pPr>
      <w:bookmarkStart w:name="五、投资状况分析" w:id="45"/>
      <w:bookmarkEnd w:id="45"/>
      <w:r>
        <w:rPr>
          <w:b w:val="0"/>
          <w:bCs w:val="0"/>
        </w:rPr>
      </w: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5"/>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6" w:right="0"/>
              <w:jc w:val="left"/>
              <w:rPr>
                <w:rFonts w:ascii="Times New Roman" w:hAnsi="Times New Roman" w:cs="Times New Roman" w:eastAsia="Times New Roman" w:hint="default"/>
                <w:sz w:val="18"/>
                <w:szCs w:val="18"/>
              </w:rPr>
            </w:pPr>
            <w:r>
              <w:rPr>
                <w:rFonts w:ascii="Times New Roman"/>
                <w:sz w:val="18"/>
              </w:rPr>
              <w:t>2,287,780,789.25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1,008,693,539.00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126.81%</w:t>
            </w:r>
          </w:p>
        </w:tc>
      </w:tr>
    </w:tbl>
    <w:p>
      <w:pPr>
        <w:pStyle w:val="BodyText"/>
        <w:spacing w:line="240" w:lineRule="auto" w:before="49"/>
        <w:ind w:right="1115"/>
        <w:jc w:val="left"/>
      </w:pPr>
      <w:r>
        <w:rPr/>
        <w:t>本期投资总额增加的主要原因系报告期适用新金融工具准则，新增以公允价值计量的金融资产。</w:t>
      </w:r>
    </w:p>
    <w:p>
      <w:pPr>
        <w:spacing w:line="240" w:lineRule="auto" w:before="0"/>
        <w:rPr>
          <w:rFonts w:ascii="宋体" w:hAnsi="宋体" w:cs="宋体" w:eastAsia="宋体" w:hint="default"/>
          <w:sz w:val="18"/>
          <w:szCs w:val="18"/>
        </w:rPr>
      </w:pPr>
    </w:p>
    <w:p>
      <w:pPr>
        <w:pStyle w:val="Heading3"/>
        <w:spacing w:line="240" w:lineRule="auto" w:before="118"/>
        <w:ind w:right="1115"/>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5"/>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555"/>
        <w:gridCol w:w="554"/>
        <w:gridCol w:w="557"/>
        <w:gridCol w:w="557"/>
        <w:gridCol w:w="1090"/>
        <w:gridCol w:w="1176"/>
        <w:gridCol w:w="557"/>
        <w:gridCol w:w="610"/>
        <w:gridCol w:w="502"/>
        <w:gridCol w:w="557"/>
        <w:gridCol w:w="557"/>
        <w:gridCol w:w="557"/>
        <w:gridCol w:w="1870"/>
      </w:tblGrid>
      <w:tr>
        <w:trPr>
          <w:trHeight w:val="2585" w:hRule="exact"/>
        </w:trPr>
        <w:tc>
          <w:tcPr>
            <w:tcW w:w="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4" w:lineRule="auto"/>
              <w:ind w:left="91" w:right="92"/>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4" w:lineRule="auto"/>
              <w:ind w:left="93" w:right="89"/>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5" w:right="89"/>
              <w:jc w:val="both"/>
              <w:rPr>
                <w:rFonts w:ascii="宋体" w:hAnsi="宋体" w:cs="宋体" w:eastAsia="宋体" w:hint="default"/>
                <w:sz w:val="18"/>
                <w:szCs w:val="18"/>
              </w:rPr>
            </w:pPr>
            <w:r>
              <w:rPr>
                <w:rFonts w:ascii="宋体" w:hAnsi="宋体" w:cs="宋体" w:eastAsia="宋体" w:hint="default"/>
                <w:sz w:val="18"/>
                <w:szCs w:val="18"/>
              </w:rPr>
              <w:t>是否 为固 定资 产投 资</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投资 项目 涉及 行业</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4" w:lineRule="auto"/>
              <w:ind w:left="271" w:right="87" w:hanging="180"/>
              <w:jc w:val="left"/>
              <w:rPr>
                <w:rFonts w:ascii="宋体" w:hAnsi="宋体" w:cs="宋体" w:eastAsia="宋体" w:hint="default"/>
                <w:sz w:val="18"/>
                <w:szCs w:val="18"/>
              </w:rPr>
            </w:pPr>
            <w:r>
              <w:rPr>
                <w:rFonts w:ascii="宋体" w:hAnsi="宋体" w:cs="宋体" w:eastAsia="宋体" w:hint="default"/>
                <w:sz w:val="18"/>
                <w:szCs w:val="18"/>
              </w:rPr>
              <w:t>本报告期投 入金额</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43" w:right="41"/>
              <w:jc w:val="center"/>
              <w:rPr>
                <w:rFonts w:ascii="宋体" w:hAnsi="宋体" w:cs="宋体" w:eastAsia="宋体" w:hint="default"/>
                <w:sz w:val="18"/>
                <w:szCs w:val="18"/>
              </w:rPr>
            </w:pPr>
            <w:r>
              <w:rPr>
                <w:rFonts w:ascii="宋体" w:hAnsi="宋体" w:cs="宋体" w:eastAsia="宋体" w:hint="default"/>
                <w:sz w:val="18"/>
                <w:szCs w:val="18"/>
              </w:rPr>
              <w:t>截至报告期末 累计实际投入 金额</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4" w:lineRule="auto"/>
              <w:ind w:left="93" w:right="91"/>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4" w:lineRule="auto"/>
              <w:ind w:left="211" w:right="27" w:hanging="181"/>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4" w:lineRule="auto"/>
              <w:ind w:left="64" w:right="65"/>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截止 报告 期末 累计 实现 的收 益</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未达 到计 划进 度和 预计 收益 的原 因</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93" w:right="92"/>
              <w:jc w:val="left"/>
              <w:rPr>
                <w:rFonts w:ascii="宋体" w:hAnsi="宋体" w:cs="宋体" w:eastAsia="宋体" w:hint="default"/>
                <w:sz w:val="18"/>
                <w:szCs w:val="18"/>
              </w:rPr>
            </w:pPr>
            <w:r>
              <w:rPr>
                <w:rFonts w:ascii="宋体" w:hAnsi="宋体" w:cs="宋体" w:eastAsia="宋体" w:hint="default"/>
                <w:sz w:val="18"/>
                <w:szCs w:val="18"/>
              </w:rPr>
              <w:t>披露 日期</w:t>
            </w:r>
          </w:p>
          <w:p>
            <w:pPr>
              <w:pStyle w:val="TableParagraph"/>
              <w:spacing w:line="316" w:lineRule="auto" w:before="20"/>
              <w:ind w:left="93" w:right="92"/>
              <w:jc w:val="left"/>
              <w:rPr>
                <w:rFonts w:ascii="宋体" w:hAnsi="宋体" w:cs="宋体" w:eastAsia="宋体" w:hint="default"/>
                <w:sz w:val="18"/>
                <w:szCs w:val="18"/>
              </w:rPr>
            </w:pPr>
            <w:r>
              <w:rPr>
                <w:rFonts w:ascii="宋体" w:hAnsi="宋体" w:cs="宋体" w:eastAsia="宋体" w:hint="default"/>
                <w:sz w:val="18"/>
                <w:szCs w:val="18"/>
              </w:rPr>
              <w:t>（如 有）</w:t>
            </w:r>
          </w:p>
        </w:tc>
        <w:tc>
          <w:tcPr>
            <w:tcW w:w="1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1964" w:hRule="exact"/>
        </w:trPr>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久其 政务 研发 中心 建设 项目</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 w:right="161"/>
              <w:jc w:val="both"/>
              <w:rPr>
                <w:rFonts w:ascii="宋体" w:hAnsi="宋体" w:cs="宋体" w:eastAsia="宋体" w:hint="default"/>
                <w:sz w:val="18"/>
                <w:szCs w:val="18"/>
              </w:rPr>
            </w:pPr>
            <w:r>
              <w:rPr>
                <w:rFonts w:ascii="宋体" w:hAnsi="宋体" w:cs="宋体" w:eastAsia="宋体" w:hint="default"/>
                <w:sz w:val="18"/>
                <w:szCs w:val="18"/>
              </w:rPr>
              <w:t>软件 信息 及服 务业</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19,263,749.20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118,385,597.28</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161"/>
              <w:jc w:val="both"/>
              <w:rPr>
                <w:rFonts w:ascii="宋体" w:hAnsi="宋体" w:cs="宋体" w:eastAsia="宋体" w:hint="default"/>
                <w:sz w:val="18"/>
                <w:szCs w:val="18"/>
              </w:rPr>
            </w:pPr>
            <w:r>
              <w:rPr>
                <w:rFonts w:ascii="宋体" w:hAnsi="宋体" w:cs="宋体" w:eastAsia="宋体" w:hint="default"/>
                <w:sz w:val="18"/>
                <w:szCs w:val="18"/>
              </w:rPr>
              <w:t>自有 资金 和募 集资 金</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37.80%</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88" w:right="23" w:hanging="180"/>
              <w:jc w:val="left"/>
              <w:rPr>
                <w:rFonts w:ascii="宋体" w:hAnsi="宋体" w:cs="宋体" w:eastAsia="宋体" w:hint="default"/>
                <w:sz w:val="18"/>
                <w:szCs w:val="18"/>
              </w:rPr>
            </w:pPr>
            <w:r>
              <w:rPr>
                <w:rFonts w:ascii="宋体" w:hAnsi="宋体" w:cs="宋体" w:eastAsia="宋体" w:hint="default"/>
                <w:sz w:val="18"/>
                <w:szCs w:val="18"/>
              </w:rPr>
              <w:t>不适 用</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343" w:right="23" w:hanging="180"/>
              <w:jc w:val="left"/>
              <w:rPr>
                <w:rFonts w:ascii="宋体" w:hAnsi="宋体" w:cs="宋体" w:eastAsia="宋体" w:hint="default"/>
                <w:sz w:val="18"/>
                <w:szCs w:val="18"/>
              </w:rPr>
            </w:pPr>
            <w:r>
              <w:rPr>
                <w:rFonts w:ascii="宋体" w:hAnsi="宋体" w:cs="宋体" w:eastAsia="宋体" w:hint="default"/>
                <w:sz w:val="18"/>
                <w:szCs w:val="18"/>
              </w:rPr>
              <w:t>不适 用</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3" w:right="161"/>
              <w:jc w:val="left"/>
              <w:rPr>
                <w:rFonts w:ascii="宋体" w:hAnsi="宋体" w:cs="宋体" w:eastAsia="宋体" w:hint="default"/>
                <w:sz w:val="18"/>
                <w:szCs w:val="18"/>
              </w:rPr>
            </w:pPr>
            <w:r>
              <w:rPr>
                <w:rFonts w:ascii="宋体" w:hAnsi="宋体" w:cs="宋体" w:eastAsia="宋体" w:hint="default"/>
                <w:sz w:val="18"/>
                <w:szCs w:val="18"/>
              </w:rPr>
              <w:t>不适 用</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35"/>
              <w:jc w:val="both"/>
              <w:rPr>
                <w:rFonts w:ascii="宋体" w:hAnsi="宋体" w:cs="宋体" w:eastAsia="宋体" w:hint="default"/>
                <w:sz w:val="18"/>
                <w:szCs w:val="18"/>
              </w:rPr>
            </w:pPr>
            <w:r>
              <w:rPr>
                <w:rFonts w:ascii="宋体" w:hAnsi="宋体" w:cs="宋体" w:eastAsia="宋体" w:hint="default"/>
                <w:sz w:val="18"/>
                <w:szCs w:val="18"/>
              </w:rPr>
              <w:t>《公开发可转换公司债 券募集资金运用可行性 分析报告》披露于巨潮 资讯网</w:t>
            </w:r>
          </w:p>
          <w:p>
            <w:pPr>
              <w:pStyle w:val="TableParagraph"/>
              <w:spacing w:line="240" w:lineRule="auto" w:before="17"/>
              <w:ind w:left="23" w:right="0"/>
              <w:jc w:val="both"/>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1" w:hRule="exact"/>
        </w:trPr>
        <w:tc>
          <w:tcPr>
            <w:tcW w:w="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19,263,749.20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118,385,597.28</w:t>
            </w:r>
          </w:p>
        </w:tc>
        <w:tc>
          <w:tcPr>
            <w:tcW w:w="5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8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18"/>
        <w:gridCol w:w="1181"/>
        <w:gridCol w:w="1237"/>
        <w:gridCol w:w="958"/>
        <w:gridCol w:w="1375"/>
        <w:gridCol w:w="1375"/>
        <w:gridCol w:w="1106"/>
        <w:gridCol w:w="1181"/>
        <w:gridCol w:w="838"/>
      </w:tblGrid>
      <w:tr>
        <w:trPr>
          <w:trHeight w:val="1028" w:hRule="exact"/>
        </w:trPr>
        <w:tc>
          <w:tcPr>
            <w:tcW w:w="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22"/>
              <w:jc w:val="left"/>
              <w:rPr>
                <w:rFonts w:ascii="宋体" w:hAnsi="宋体" w:cs="宋体" w:eastAsia="宋体" w:hint="default"/>
                <w:sz w:val="18"/>
                <w:szCs w:val="18"/>
              </w:rPr>
            </w:pPr>
            <w:r>
              <w:rPr>
                <w:rFonts w:ascii="宋体" w:hAnsi="宋体" w:cs="宋体" w:eastAsia="宋体" w:hint="default"/>
                <w:sz w:val="18"/>
                <w:szCs w:val="18"/>
              </w:rPr>
              <w:t>资产 类别</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43"/>
              <w:jc w:val="right"/>
              <w:rPr>
                <w:rFonts w:ascii="宋体" w:hAnsi="宋体" w:cs="宋体" w:eastAsia="宋体" w:hint="default"/>
                <w:sz w:val="18"/>
                <w:szCs w:val="18"/>
              </w:rPr>
            </w:pPr>
            <w:r>
              <w:rPr>
                <w:rFonts w:ascii="宋体" w:hAnsi="宋体" w:cs="宋体" w:eastAsia="宋体" w:hint="default"/>
                <w:sz w:val="18"/>
                <w:szCs w:val="18"/>
              </w:rPr>
              <w:t>初始投资成本</w:t>
            </w:r>
          </w:p>
        </w:tc>
        <w:tc>
          <w:tcPr>
            <w:tcW w:w="1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54" w:right="70"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23"/>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592" w:right="50" w:hanging="540"/>
              <w:jc w:val="left"/>
              <w:rPr>
                <w:rFonts w:ascii="宋体" w:hAnsi="宋体" w:cs="宋体" w:eastAsia="宋体" w:hint="default"/>
                <w:sz w:val="18"/>
                <w:szCs w:val="18"/>
              </w:rPr>
            </w:pPr>
            <w:r>
              <w:rPr>
                <w:rFonts w:ascii="宋体" w:hAnsi="宋体" w:cs="宋体" w:eastAsia="宋体" w:hint="default"/>
                <w:sz w:val="18"/>
                <w:szCs w:val="18"/>
              </w:rPr>
              <w:t>报告期内购入金 额</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592" w:right="50" w:hanging="540"/>
              <w:jc w:val="left"/>
              <w:rPr>
                <w:rFonts w:ascii="宋体" w:hAnsi="宋体" w:cs="宋体" w:eastAsia="宋体" w:hint="default"/>
                <w:sz w:val="18"/>
                <w:szCs w:val="18"/>
              </w:rPr>
            </w:pPr>
            <w:r>
              <w:rPr>
                <w:rFonts w:ascii="宋体" w:hAnsi="宋体" w:cs="宋体" w:eastAsia="宋体" w:hint="default"/>
                <w:sz w:val="18"/>
                <w:szCs w:val="18"/>
              </w:rPr>
              <w:t>报告期内售出金 额</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58" w:right="96" w:hanging="360"/>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6"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1025" w:hRule="exact"/>
        </w:trPr>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437,000,000.00</w:t>
            </w:r>
          </w:p>
        </w:tc>
        <w:tc>
          <w:tcPr>
            <w:tcW w:w="123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1,721,000,000.00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1,951,000,000.00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12,597,703.69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207,000,000.00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3"/>
              <w:jc w:val="left"/>
              <w:rPr>
                <w:rFonts w:ascii="宋体" w:hAnsi="宋体" w:cs="宋体" w:eastAsia="宋体" w:hint="default"/>
                <w:sz w:val="18"/>
                <w:szCs w:val="18"/>
              </w:rPr>
            </w:pPr>
            <w:r>
              <w:rPr>
                <w:rFonts w:ascii="宋体" w:hAnsi="宋体" w:cs="宋体" w:eastAsia="宋体" w:hint="default"/>
                <w:sz w:val="18"/>
                <w:szCs w:val="18"/>
              </w:rPr>
              <w:t>募集资 金、自有 资金</w:t>
            </w:r>
          </w:p>
        </w:tc>
      </w:tr>
      <w:tr>
        <w:trPr>
          <w:trHeight w:val="403" w:hRule="exact"/>
        </w:trPr>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6,998,002.94</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-132,317.99</w:t>
            </w:r>
          </w:p>
        </w:tc>
        <w:tc>
          <w:tcPr>
            <w:tcW w:w="958"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6,420,586.17</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9"/>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1" w:hRule="exact"/>
        </w:trPr>
        <w:tc>
          <w:tcPr>
            <w:tcW w:w="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z w:val="18"/>
                <w:szCs w:val="18"/>
              </w:rPr>
              <w:t>合计</w:t>
            </w:r>
          </w:p>
        </w:tc>
        <w:tc>
          <w:tcPr>
            <w:tcW w:w="11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443,998,002.94</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-132,317.99</w:t>
            </w:r>
          </w:p>
        </w:tc>
        <w:tc>
          <w:tcPr>
            <w:tcW w:w="958"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1,721,000,000.00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1,951,000,000.00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12,597,703.69</w:t>
            </w:r>
          </w:p>
        </w:tc>
        <w:tc>
          <w:tcPr>
            <w:tcW w:w="118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213,420,586.17</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26"/>
          <w:szCs w:val="26"/>
        </w:rPr>
      </w:pPr>
    </w:p>
    <w:p>
      <w:pPr>
        <w:pStyle w:val="Heading3"/>
        <w:spacing w:line="240" w:lineRule="auto"/>
        <w:ind w:right="1115"/>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80" w:top="1060" w:bottom="1160" w:left="980" w:right="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17"/>
        <w:ind w:left="0" w:right="157"/>
        <w:jc w:val="right"/>
      </w:pPr>
      <w:r>
        <w:rPr/>
        <w:t>单位：万元</w:t>
      </w:r>
    </w:p>
    <w:p>
      <w:pPr>
        <w:spacing w:line="240" w:lineRule="auto" w:before="4"/>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653"/>
        <w:gridCol w:w="530"/>
        <w:gridCol w:w="917"/>
        <w:gridCol w:w="1440"/>
        <w:gridCol w:w="1501"/>
        <w:gridCol w:w="1572"/>
        <w:gridCol w:w="1402"/>
        <w:gridCol w:w="1675"/>
        <w:gridCol w:w="1414"/>
        <w:gridCol w:w="1570"/>
        <w:gridCol w:w="1315"/>
      </w:tblGrid>
      <w:tr>
        <w:trPr>
          <w:trHeight w:val="715" w:hRule="exact"/>
        </w:trPr>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48" w:hanging="180"/>
              <w:jc w:val="left"/>
              <w:rPr>
                <w:rFonts w:ascii="宋体" w:hAnsi="宋体" w:cs="宋体" w:eastAsia="宋体" w:hint="default"/>
                <w:sz w:val="18"/>
                <w:szCs w:val="18"/>
              </w:rPr>
            </w:pPr>
            <w:r>
              <w:rPr>
                <w:rFonts w:ascii="宋体" w:hAnsi="宋体" w:cs="宋体" w:eastAsia="宋体" w:hint="default"/>
                <w:sz w:val="18"/>
                <w:szCs w:val="18"/>
              </w:rPr>
              <w:t>募集年 份</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 w:right="77"/>
              <w:jc w:val="left"/>
              <w:rPr>
                <w:rFonts w:ascii="宋体" w:hAnsi="宋体" w:cs="宋体" w:eastAsia="宋体" w:hint="default"/>
                <w:sz w:val="18"/>
                <w:szCs w:val="18"/>
              </w:rPr>
            </w:pPr>
            <w:r>
              <w:rPr>
                <w:rFonts w:ascii="宋体" w:hAnsi="宋体" w:cs="宋体" w:eastAsia="宋体" w:hint="default"/>
                <w:sz w:val="18"/>
                <w:szCs w:val="18"/>
              </w:rPr>
              <w:t>募集 方式</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5" w:right="84" w:hanging="272"/>
              <w:jc w:val="left"/>
              <w:rPr>
                <w:rFonts w:ascii="宋体" w:hAnsi="宋体" w:cs="宋体" w:eastAsia="宋体" w:hint="default"/>
                <w:sz w:val="18"/>
                <w:szCs w:val="18"/>
              </w:rPr>
            </w:pPr>
            <w:r>
              <w:rPr>
                <w:rFonts w:ascii="宋体" w:hAnsi="宋体" w:cs="宋体" w:eastAsia="宋体" w:hint="default"/>
                <w:sz w:val="18"/>
                <w:szCs w:val="18"/>
              </w:rPr>
              <w:t>本期已使用募集 资金总额</w:t>
            </w:r>
          </w:p>
        </w:tc>
        <w:tc>
          <w:tcPr>
            <w:tcW w:w="1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3" w:right="26" w:hanging="450"/>
              <w:jc w:val="left"/>
              <w:rPr>
                <w:rFonts w:ascii="宋体" w:hAnsi="宋体" w:cs="宋体" w:eastAsia="宋体" w:hint="default"/>
                <w:sz w:val="18"/>
                <w:szCs w:val="18"/>
              </w:rPr>
            </w:pPr>
            <w:r>
              <w:rPr>
                <w:rFonts w:ascii="宋体" w:hAnsi="宋体" w:cs="宋体" w:eastAsia="宋体" w:hint="default"/>
                <w:sz w:val="18"/>
                <w:szCs w:val="18"/>
              </w:rPr>
              <w:t>已累计使用募集资 金总额</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8" w:right="60" w:hanging="89"/>
              <w:jc w:val="left"/>
              <w:rPr>
                <w:rFonts w:ascii="宋体" w:hAnsi="宋体" w:cs="宋体" w:eastAsia="宋体" w:hint="default"/>
                <w:sz w:val="18"/>
                <w:szCs w:val="18"/>
              </w:rPr>
            </w:pPr>
            <w:r>
              <w:rPr>
                <w:rFonts w:ascii="宋体" w:hAnsi="宋体" w:cs="宋体" w:eastAsia="宋体" w:hint="default"/>
                <w:sz w:val="18"/>
                <w:szCs w:val="18"/>
              </w:rPr>
              <w:t>报告期内变更用途 的募集资金总额</w:t>
            </w:r>
          </w:p>
        </w:tc>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5" w:right="65" w:hanging="92"/>
              <w:jc w:val="left"/>
              <w:rPr>
                <w:rFonts w:ascii="宋体" w:hAnsi="宋体" w:cs="宋体" w:eastAsia="宋体" w:hint="default"/>
                <w:sz w:val="18"/>
                <w:szCs w:val="18"/>
              </w:rPr>
            </w:pPr>
            <w:r>
              <w:rPr>
                <w:rFonts w:ascii="宋体" w:hAnsi="宋体" w:cs="宋体" w:eastAsia="宋体" w:hint="default"/>
                <w:sz w:val="18"/>
                <w:szCs w:val="18"/>
              </w:rPr>
              <w:t>累计变更用途的 募集资金总额</w:t>
            </w:r>
          </w:p>
        </w:tc>
        <w:tc>
          <w:tcPr>
            <w:tcW w:w="1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3" w:right="110" w:hanging="92"/>
              <w:jc w:val="left"/>
              <w:rPr>
                <w:rFonts w:ascii="宋体" w:hAnsi="宋体" w:cs="宋体" w:eastAsia="宋体" w:hint="default"/>
                <w:sz w:val="18"/>
                <w:szCs w:val="18"/>
              </w:rPr>
            </w:pPr>
            <w:r>
              <w:rPr>
                <w:rFonts w:ascii="宋体" w:hAnsi="宋体" w:cs="宋体" w:eastAsia="宋体" w:hint="default"/>
                <w:sz w:val="18"/>
                <w:szCs w:val="18"/>
              </w:rPr>
              <w:t>累计变更用途的募 集资金总额比例</w:t>
            </w:r>
          </w:p>
        </w:tc>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0" w:hanging="360"/>
              <w:jc w:val="left"/>
              <w:rPr>
                <w:rFonts w:ascii="宋体" w:hAnsi="宋体" w:cs="宋体" w:eastAsia="宋体" w:hint="default"/>
                <w:sz w:val="18"/>
                <w:szCs w:val="18"/>
              </w:rPr>
            </w:pPr>
            <w:r>
              <w:rPr>
                <w:rFonts w:ascii="宋体" w:hAnsi="宋体" w:cs="宋体" w:eastAsia="宋体" w:hint="default"/>
                <w:sz w:val="18"/>
                <w:szCs w:val="18"/>
              </w:rPr>
              <w:t>尚未使用募集资 金总额</w:t>
            </w: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1" w:right="59" w:hanging="272"/>
              <w:jc w:val="left"/>
              <w:rPr>
                <w:rFonts w:ascii="宋体" w:hAnsi="宋体" w:cs="宋体" w:eastAsia="宋体" w:hint="default"/>
                <w:sz w:val="18"/>
                <w:szCs w:val="18"/>
              </w:rPr>
            </w:pPr>
            <w:r>
              <w:rPr>
                <w:rFonts w:ascii="宋体" w:hAnsi="宋体" w:cs="宋体" w:eastAsia="宋体" w:hint="default"/>
                <w:sz w:val="18"/>
                <w:szCs w:val="18"/>
              </w:rPr>
              <w:t>尚未使用募集资金 用途及去向</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110"/>
              <w:jc w:val="left"/>
              <w:rPr>
                <w:rFonts w:ascii="宋体" w:hAnsi="宋体" w:cs="宋体" w:eastAsia="宋体" w:hint="default"/>
                <w:sz w:val="18"/>
                <w:szCs w:val="18"/>
              </w:rPr>
            </w:pPr>
            <w:r>
              <w:rPr>
                <w:rFonts w:ascii="宋体" w:hAnsi="宋体" w:cs="宋体" w:eastAsia="宋体" w:hint="default"/>
                <w:sz w:val="18"/>
                <w:szCs w:val="18"/>
              </w:rPr>
              <w:t>闲置两年以上 募集资金金额</w:t>
            </w:r>
          </w:p>
        </w:tc>
      </w:tr>
      <w:tr>
        <w:trPr>
          <w:trHeight w:val="713"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公开 发行</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6,697.40</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36,507.83</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45,048.52</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5"/>
              <w:jc w:val="left"/>
              <w:rPr>
                <w:rFonts w:ascii="宋体" w:hAnsi="宋体" w:cs="宋体" w:eastAsia="宋体" w:hint="default"/>
                <w:sz w:val="18"/>
                <w:szCs w:val="18"/>
              </w:rPr>
            </w:pPr>
            <w:r>
              <w:rPr>
                <w:rFonts w:ascii="宋体" w:hAnsi="宋体" w:cs="宋体" w:eastAsia="宋体" w:hint="default"/>
                <w:sz w:val="18"/>
                <w:szCs w:val="18"/>
              </w:rPr>
              <w:t>暂时补充流动资金 以及进行现金管理</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6,697.40</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36,507.83</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4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45,048.52</w:t>
            </w: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398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314" w:hRule="exact"/>
        </w:trPr>
        <w:tc>
          <w:tcPr>
            <w:tcW w:w="1398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[2017]392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号《关于核准北京久其软件股份有限公司公开发行可转换公司债券的批复》的核准，公司于</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日向社会公开发行可转</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换公司债券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780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万张，发行价格为每张</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元，募集资金总额为</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78,000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万元，扣除发行费用总额人民币</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1,507.80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万元，募集资金净额为人民币</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76,492.20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万元。该资金已于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日存入兴业银行北</w:t>
            </w:r>
            <w:r>
              <w:rPr>
                <w:rFonts w:ascii="宋体" w:hAnsi="宋体" w:cs="宋体" w:eastAsia="宋体" w:hint="default"/>
                <w:spacing w:val="-3"/>
                <w:sz w:val="18"/>
                <w:szCs w:val="18"/>
              </w:rPr>
              <w:t>京</w:t>
            </w:r>
            <w:r>
              <w:rPr>
                <w:rFonts w:ascii="宋体" w:hAnsi="宋体" w:cs="宋体" w:eastAsia="宋体" w:hint="default"/>
                <w:sz w:val="18"/>
                <w:szCs w:val="18"/>
              </w:rPr>
              <w:t>东城支行开立的募集资金专户</w:t>
            </w:r>
            <w:r>
              <w:rPr>
                <w:rFonts w:ascii="宋体" w:hAnsi="宋体" w:cs="宋体" w:eastAsia="宋体" w:hint="default"/>
                <w:spacing w:val="-89"/>
                <w:sz w:val="18"/>
                <w:szCs w:val="18"/>
              </w:rPr>
              <w:t>。</w:t>
            </w:r>
            <w:r>
              <w:rPr>
                <w:rFonts w:ascii="宋体" w:hAnsi="宋体" w:cs="宋体" w:eastAsia="宋体" w:hint="default"/>
                <w:sz w:val="18"/>
                <w:szCs w:val="18"/>
              </w:rPr>
              <w:t>截至</w:t>
            </w:r>
            <w:r>
              <w:rPr>
                <w:rFonts w:ascii="宋体" w:hAnsi="宋体" w:cs="宋体" w:eastAsia="宋体" w:hint="default"/>
                <w:spacing w:val="-56"/>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r>
              <w:rPr>
                <w:rFonts w:ascii="宋体" w:hAnsi="宋体" w:cs="宋体" w:eastAsia="宋体" w:hint="default"/>
                <w:spacing w:val="-92"/>
                <w:sz w:val="18"/>
                <w:szCs w:val="18"/>
              </w:rPr>
              <w:t>，</w:t>
            </w:r>
            <w:r>
              <w:rPr>
                <w:rFonts w:ascii="宋体" w:hAnsi="宋体" w:cs="宋体" w:eastAsia="宋体" w:hint="default"/>
                <w:sz w:val="18"/>
                <w:szCs w:val="18"/>
              </w:rPr>
              <w:t>已累</w:t>
            </w:r>
            <w:r>
              <w:rPr>
                <w:rFonts w:ascii="宋体" w:hAnsi="宋体" w:cs="宋体" w:eastAsia="宋体" w:hint="default"/>
                <w:spacing w:val="-3"/>
                <w:sz w:val="18"/>
                <w:szCs w:val="18"/>
              </w:rPr>
              <w:t>计</w:t>
            </w:r>
            <w:r>
              <w:rPr>
                <w:rFonts w:ascii="宋体" w:hAnsi="宋体" w:cs="宋体" w:eastAsia="宋体" w:hint="default"/>
                <w:sz w:val="18"/>
                <w:szCs w:val="18"/>
              </w:rPr>
              <w:t>使用募集资金总额为</w:t>
            </w:r>
            <w:r>
              <w:rPr>
                <w:rFonts w:ascii="宋体" w:hAnsi="宋体" w:cs="宋体" w:eastAsia="宋体" w:hint="default"/>
                <w:spacing w:val="-56"/>
                <w:sz w:val="18"/>
                <w:szCs w:val="18"/>
              </w:rPr>
              <w:t> </w:t>
            </w:r>
            <w:r>
              <w:rPr>
                <w:rFonts w:ascii="Times New Roman" w:hAnsi="Times New Roman" w:cs="Times New Roman" w:eastAsia="Times New Roman" w:hint="default"/>
                <w:spacing w:val="1"/>
                <w:sz w:val="18"/>
                <w:szCs w:val="18"/>
              </w:rPr>
              <w:t>36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w:t>
            </w:r>
            <w:r>
              <w:rPr>
                <w:rFonts w:ascii="宋体" w:hAnsi="宋体" w:cs="宋体" w:eastAsia="宋体" w:hint="default"/>
                <w:spacing w:val="-92"/>
                <w:sz w:val="18"/>
                <w:szCs w:val="18"/>
              </w:rPr>
              <w:t>元</w:t>
            </w:r>
            <w:r>
              <w:rPr>
                <w:rFonts w:ascii="宋体" w:hAnsi="宋体" w:cs="宋体" w:eastAsia="宋体" w:hint="default"/>
                <w:sz w:val="18"/>
                <w:szCs w:val="18"/>
              </w:rPr>
              <w:t>（含发行费用</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尚未使用</w:t>
            </w:r>
            <w:r>
              <w:rPr>
                <w:rFonts w:ascii="宋体" w:hAnsi="宋体" w:cs="宋体" w:eastAsia="宋体" w:hint="default"/>
                <w:spacing w:val="2"/>
                <w:sz w:val="18"/>
                <w:szCs w:val="18"/>
              </w:rPr>
              <w:t>募</w:t>
            </w:r>
            <w:r>
              <w:rPr>
                <w:rFonts w:ascii="宋体" w:hAnsi="宋体" w:cs="宋体" w:eastAsia="宋体" w:hint="default"/>
                <w:sz w:val="18"/>
                <w:szCs w:val="18"/>
              </w:rPr>
              <w:t>集资金总额为</w:t>
            </w:r>
            <w:r>
              <w:rPr>
                <w:rFonts w:ascii="宋体" w:hAnsi="宋体" w:cs="宋体" w:eastAsia="宋体" w:hint="default"/>
                <w:spacing w:val="-56"/>
                <w:sz w:val="18"/>
                <w:szCs w:val="18"/>
              </w:rPr>
              <w:t> </w:t>
            </w:r>
            <w:r>
              <w:rPr>
                <w:rFonts w:ascii="Times New Roman" w:hAnsi="Times New Roman" w:cs="Times New Roman" w:eastAsia="Times New Roman" w:hint="default"/>
                <w:spacing w:val="1"/>
                <w:sz w:val="18"/>
                <w:szCs w:val="18"/>
              </w:rPr>
              <w:t>45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2</w:t>
            </w:r>
          </w:p>
          <w:p>
            <w:pPr>
              <w:pStyle w:val="TableParagraph"/>
              <w:spacing w:line="300" w:lineRule="auto" w:before="63"/>
              <w:ind w:left="23" w:right="22"/>
              <w:jc w:val="left"/>
              <w:rPr>
                <w:rFonts w:ascii="宋体" w:hAnsi="宋体" w:cs="宋体" w:eastAsia="宋体" w:hint="default"/>
                <w:sz w:val="18"/>
                <w:szCs w:val="18"/>
              </w:rPr>
            </w:pPr>
            <w:r>
              <w:rPr>
                <w:rFonts w:ascii="宋体" w:hAnsi="宋体" w:cs="宋体" w:eastAsia="宋体" w:hint="default"/>
                <w:sz w:val="18"/>
                <w:szCs w:val="18"/>
              </w:rPr>
              <w:t>万元，包括用于暂时补充流动资金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16,515.37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万元以及结存金额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28,533.15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万元，结存募集资金中进行现金管理未到期金额为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27,900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万元，剩余募集资金存放在公司及子公司的募 集资金专户中。</w:t>
            </w:r>
          </w:p>
          <w:p>
            <w:pPr>
              <w:pStyle w:val="TableParagraph"/>
              <w:spacing w:line="300" w:lineRule="auto" w:before="72"/>
              <w:ind w:left="23" w:right="23"/>
              <w:jc w:val="left"/>
              <w:rPr>
                <w:rFonts w:ascii="宋体" w:hAnsi="宋体" w:cs="宋体" w:eastAsia="宋体" w:hint="default"/>
                <w:sz w:val="18"/>
                <w:szCs w:val="18"/>
              </w:rPr>
            </w:pPr>
            <w:r>
              <w:rPr>
                <w:rFonts w:ascii="宋体" w:hAnsi="宋体" w:cs="宋体" w:eastAsia="宋体" w:hint="default"/>
                <w:sz w:val="18"/>
                <w:szCs w:val="18"/>
              </w:rPr>
              <w:t>经公司于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年第一次临时股东大会审议通过，变更久其政务研发中心建设项目、下一代集团管控平台、数字营销运营平台和政企大数据平台四个项目 剩余的募集资金用途，用于归还银行贷款、补充日常运营资金。</w:t>
            </w:r>
          </w:p>
        </w:tc>
      </w:tr>
    </w:tbl>
    <w:p>
      <w:pPr>
        <w:spacing w:line="240" w:lineRule="auto" w:before="3"/>
        <w:rPr>
          <w:rFonts w:ascii="宋体" w:hAnsi="宋体" w:cs="宋体" w:eastAsia="宋体" w:hint="default"/>
          <w:sz w:val="19"/>
          <w:szCs w:val="19"/>
        </w:rPr>
      </w:pPr>
    </w:p>
    <w:p>
      <w:pPr>
        <w:pStyle w:val="Heading3"/>
        <w:spacing w:line="240" w:lineRule="auto" w:before="36"/>
        <w:ind w:left="140" w:right="0"/>
        <w:jc w:val="left"/>
        <w:rPr>
          <w:b w:val="0"/>
          <w:bCs w:val="0"/>
        </w:rPr>
      </w:pP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7"/>
        <w:jc w:val="right"/>
      </w:pPr>
      <w:r>
        <w:rPr/>
        <w:t>单位：万元</w:t>
      </w:r>
    </w:p>
    <w:p>
      <w:pPr>
        <w:spacing w:line="240" w:lineRule="auto" w:before="3"/>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2520"/>
        <w:gridCol w:w="850"/>
        <w:gridCol w:w="994"/>
        <w:gridCol w:w="991"/>
        <w:gridCol w:w="1068"/>
        <w:gridCol w:w="1200"/>
        <w:gridCol w:w="1277"/>
        <w:gridCol w:w="1699"/>
        <w:gridCol w:w="1136"/>
        <w:gridCol w:w="850"/>
        <w:gridCol w:w="1337"/>
      </w:tblGrid>
      <w:tr>
        <w:trPr>
          <w:trHeight w:val="1026" w:hRule="exact"/>
        </w:trPr>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83" w:right="0"/>
              <w:jc w:val="left"/>
              <w:rPr>
                <w:rFonts w:ascii="宋体" w:hAnsi="宋体" w:cs="宋体" w:eastAsia="宋体" w:hint="default"/>
                <w:sz w:val="18"/>
                <w:szCs w:val="18"/>
              </w:rPr>
            </w:pPr>
            <w:r>
              <w:rPr>
                <w:rFonts w:ascii="宋体" w:hAnsi="宋体" w:cs="宋体" w:eastAsia="宋体" w:hint="default"/>
                <w:sz w:val="18"/>
                <w:szCs w:val="18"/>
              </w:rPr>
              <w:t>承诺投资项目和超募资金投向</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0"/>
              <w:ind w:left="28" w:right="29"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部分变更</w:t>
            </w:r>
            <w:r>
              <w:rPr>
                <w:rFonts w:ascii="Times New Roman" w:hAnsi="Times New Roman" w:cs="Times New Roman" w:eastAsia="Times New Roman"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8" w:right="44"/>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04" w:right="41" w:hanging="166"/>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56" w:right="79" w:hanging="180"/>
              <w:jc w:val="left"/>
              <w:rPr>
                <w:rFonts w:ascii="宋体" w:hAnsi="宋体" w:cs="宋体" w:eastAsia="宋体" w:hint="default"/>
                <w:sz w:val="18"/>
                <w:szCs w:val="18"/>
              </w:rPr>
            </w:pPr>
            <w:r>
              <w:rPr>
                <w:rFonts w:ascii="宋体" w:hAnsi="宋体" w:cs="宋体" w:eastAsia="宋体" w:hint="default"/>
                <w:sz w:val="18"/>
                <w:szCs w:val="18"/>
              </w:rPr>
              <w:t>本报告期投 入金额</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129" w:right="53" w:hanging="75"/>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截至期末累计 投入金额</w:t>
            </w:r>
            <w:r>
              <w:rPr>
                <w:rFonts w:ascii="Times New Roman" w:hAnsi="Times New Roman" w:cs="Times New Roman" w:eastAsia="Times New Roman" w:hint="default"/>
                <w:sz w:val="18"/>
                <w:szCs w:val="18"/>
              </w:rPr>
              <w:t>(2)</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 w:right="20" w:firstLine="69"/>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截至期末投资 进度</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82" w:right="35" w:hanging="449"/>
              <w:jc w:val="left"/>
              <w:rPr>
                <w:rFonts w:ascii="宋体" w:hAnsi="宋体" w:cs="宋体" w:eastAsia="宋体" w:hint="default"/>
                <w:sz w:val="18"/>
                <w:szCs w:val="18"/>
              </w:rPr>
            </w:pPr>
            <w:r>
              <w:rPr>
                <w:rFonts w:ascii="宋体" w:hAnsi="宋体" w:cs="宋体" w:eastAsia="宋体" w:hint="default"/>
                <w:sz w:val="18"/>
                <w:szCs w:val="18"/>
              </w:rPr>
              <w:t>项目达到预定可使用 状态日期</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01" w:right="111"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57" w:right="60"/>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124" w:right="31" w:hanging="92"/>
              <w:jc w:val="left"/>
              <w:rPr>
                <w:rFonts w:ascii="宋体" w:hAnsi="宋体" w:cs="宋体" w:eastAsia="宋体" w:hint="default"/>
                <w:sz w:val="18"/>
                <w:szCs w:val="18"/>
              </w:rPr>
            </w:pPr>
            <w:r>
              <w:rPr>
                <w:rFonts w:ascii="宋体" w:hAnsi="宋体" w:cs="宋体" w:eastAsia="宋体" w:hint="default"/>
                <w:sz w:val="18"/>
                <w:szCs w:val="18"/>
              </w:rPr>
              <w:t>项目可行性是否 发生重大变化</w:t>
            </w:r>
          </w:p>
        </w:tc>
      </w:tr>
      <w:tr>
        <w:trPr>
          <w:trHeight w:val="401" w:hRule="exact"/>
        </w:trPr>
        <w:tc>
          <w:tcPr>
            <w:tcW w:w="139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40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久其政务研发中心建设项目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27,580.23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27,580.23</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2,157.62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11,305.70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40.99%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4"/>
              <w:jc w:val="left"/>
              <w:rPr>
                <w:rFonts w:ascii="宋体" w:hAnsi="宋体" w:cs="宋体" w:eastAsia="宋体" w:hint="default"/>
                <w:sz w:val="18"/>
                <w:szCs w:val="18"/>
              </w:rPr>
            </w:pPr>
            <w:r>
              <w:rPr>
                <w:rFonts w:ascii="宋体" w:hAnsi="宋体" w:cs="宋体" w:eastAsia="宋体" w:hint="default"/>
                <w:sz w:val="18"/>
                <w:szCs w:val="18"/>
              </w:rPr>
              <w:t>购买北京瑞意恒动科技有限公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20,500.00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3,600.00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97.56%</w:t>
            </w:r>
          </w:p>
        </w:tc>
        <w:tc>
          <w:tcPr>
            <w:tcW w:w="169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1" w:right="0"/>
              <w:jc w:val="left"/>
              <w:rPr>
                <w:rFonts w:ascii="Times New Roman" w:hAnsi="Times New Roman" w:cs="Times New Roman" w:eastAsia="Times New Roman" w:hint="default"/>
                <w:sz w:val="18"/>
                <w:szCs w:val="18"/>
              </w:rPr>
            </w:pPr>
            <w:r>
              <w:rPr>
                <w:rFonts w:ascii="Times New Roman"/>
                <w:sz w:val="18"/>
              </w:rPr>
              <w:t>2,138.41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7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下一代集团管控平台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w w:val="95"/>
                <w:sz w:val="18"/>
              </w:rPr>
              <w:t>4,176.95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4,176.95</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425.67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1,163.67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27.86%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建设中</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1"/>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right"/>
        <w:rPr>
          <w:rFonts w:ascii="宋体" w:hAnsi="宋体" w:cs="宋体" w:eastAsia="宋体" w:hint="default"/>
          <w:sz w:val="18"/>
          <w:szCs w:val="18"/>
        </w:rPr>
        <w:sectPr>
          <w:headerReference w:type="default" r:id="rId14"/>
          <w:footerReference w:type="default" r:id="rId15"/>
          <w:pgSz w:w="16840" w:h="11910" w:orient="landscape"/>
          <w:pgMar w:header="867" w:footer="980" w:top="1060" w:bottom="1160" w:left="1300" w:right="1280"/>
          <w:pgNumType w:start="28"/>
        </w:sectPr>
      </w:pPr>
    </w:p>
    <w:p>
      <w:pPr>
        <w:spacing w:line="240" w:lineRule="auto" w:before="0"/>
        <w:rPr>
          <w:rFonts w:ascii="宋体" w:hAnsi="宋体" w:cs="宋体" w:eastAsia="宋体" w:hint="default"/>
          <w:sz w:val="20"/>
          <w:szCs w:val="20"/>
        </w:rPr>
      </w:pPr>
      <w:r>
        <w:rPr/>
        <w:pict>
          <v:shape style="position:absolute;margin-left:71.760002pt;margin-top:55.200008pt;width:696.85pt;height:471.35pt;mso-position-horizontal-relative:page;mso-position-vertical-relative:page;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20"/>
                    <w:gridCol w:w="850"/>
                    <w:gridCol w:w="142"/>
                    <w:gridCol w:w="853"/>
                    <w:gridCol w:w="991"/>
                    <w:gridCol w:w="1068"/>
                    <w:gridCol w:w="1200"/>
                    <w:gridCol w:w="1276"/>
                    <w:gridCol w:w="1700"/>
                    <w:gridCol w:w="1141"/>
                    <w:gridCol w:w="844"/>
                    <w:gridCol w:w="1337"/>
                  </w:tblGrid>
                  <w:tr>
                    <w:trPr>
                      <w:trHeight w:val="418" w:hRule="exact"/>
                    </w:trPr>
                    <w:tc>
                      <w:tcPr>
                        <w:tcW w:w="252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数字营销运营平台</w:t>
                        </w: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4" w:type="dxa"/>
                        <w:gridSpan w:val="2"/>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left="326" w:right="0"/>
                          <w:jc w:val="left"/>
                          <w:rPr>
                            <w:rFonts w:ascii="Times New Roman" w:hAnsi="Times New Roman" w:cs="Times New Roman" w:eastAsia="Times New Roman" w:hint="default"/>
                            <w:sz w:val="18"/>
                            <w:szCs w:val="18"/>
                          </w:rPr>
                        </w:pPr>
                        <w:r>
                          <w:rPr>
                            <w:rFonts w:ascii="Times New Roman"/>
                            <w:sz w:val="18"/>
                          </w:rPr>
                          <w:t>14,749.5</w:t>
                        </w:r>
                      </w:p>
                    </w:tc>
                    <w:tc>
                      <w:tcPr>
                        <w:tcW w:w="9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14,749.5</w:t>
                        </w:r>
                      </w:p>
                    </w:tc>
                    <w:tc>
                      <w:tcPr>
                        <w:tcW w:w="106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0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190.55</w:t>
                        </w:r>
                      </w:p>
                    </w:tc>
                    <w:tc>
                      <w:tcPr>
                        <w:tcW w:w="12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1.29%</w:t>
                        </w:r>
                      </w:p>
                    </w:tc>
                    <w:tc>
                      <w:tcPr>
                        <w:tcW w:w="170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141" w:type="dxa"/>
                        <w:tcBorders>
                          <w:top w:val="single" w:sz="15" w:space="0" w:color="000000"/>
                          <w:left w:val="single" w:sz="4" w:space="0" w:color="000000"/>
                          <w:bottom w:val="single" w:sz="4" w:space="0" w:color="000000"/>
                          <w:right w:val="single" w:sz="4" w:space="0" w:color="000000"/>
                        </w:tcBorders>
                      </w:tcPr>
                      <w:p>
                        <w:pPr/>
                      </w:p>
                    </w:tc>
                    <w:tc>
                      <w:tcPr>
                        <w:tcW w:w="84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已调整</w:t>
                        </w:r>
                      </w:p>
                    </w:tc>
                    <w:tc>
                      <w:tcPr>
                        <w:tcW w:w="133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政企大数据平台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7" w:right="0"/>
                          <w:jc w:val="left"/>
                          <w:rPr>
                            <w:rFonts w:ascii="Times New Roman" w:hAnsi="Times New Roman" w:cs="Times New Roman" w:eastAsia="Times New Roman" w:hint="default"/>
                            <w:sz w:val="18"/>
                            <w:szCs w:val="18"/>
                          </w:rPr>
                        </w:pPr>
                        <w:r>
                          <w:rPr>
                            <w:rFonts w:ascii="Times New Roman"/>
                            <w:sz w:val="18"/>
                          </w:rPr>
                          <w:t>10,993.32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10,993.32</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514.11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2,340.11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21.29%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14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建设中</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公开发行可转债的发行费用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1,507.8</w:t>
                        </w:r>
                      </w:p>
                    </w:tc>
                    <w:tc>
                      <w:tcPr>
                        <w:tcW w:w="127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99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51" w:right="0"/>
                          <w:jc w:val="left"/>
                          <w:rPr>
                            <w:rFonts w:ascii="Times New Roman" w:hAnsi="Times New Roman" w:cs="Times New Roman" w:eastAsia="Times New Roman" w:hint="default"/>
                            <w:sz w:val="18"/>
                            <w:szCs w:val="18"/>
                          </w:rPr>
                        </w:pPr>
                        <w:r>
                          <w:rPr>
                            <w:rFonts w:ascii="Times New Roman"/>
                            <w:sz w:val="18"/>
                          </w:rPr>
                          <w:t>78,000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6,697.4</w:t>
                        </w:r>
                      </w:p>
                    </w:tc>
                    <w:tc>
                      <w:tcPr>
                        <w:tcW w:w="120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36,507.83</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73" w:right="0"/>
                          <w:jc w:val="left"/>
                          <w:rPr>
                            <w:rFonts w:ascii="Times New Roman" w:hAnsi="Times New Roman" w:cs="Times New Roman" w:eastAsia="Times New Roman" w:hint="default"/>
                            <w:sz w:val="18"/>
                            <w:szCs w:val="18"/>
                          </w:rPr>
                        </w:pPr>
                        <w:r>
                          <w:rPr>
                            <w:rFonts w:ascii="Times New Roman"/>
                            <w:sz w:val="18"/>
                          </w:rPr>
                          <w:t>--</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141" w:type="dxa"/>
                        <w:tcBorders>
                          <w:top w:val="single" w:sz="4" w:space="0" w:color="000000"/>
                          <w:left w:val="single" w:sz="12" w:space="0" w:color="D2D2D2"/>
                          <w:bottom w:val="single" w:sz="4" w:space="0" w:color="000000"/>
                          <w:right w:val="single" w:sz="12"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2,138.41</w:t>
                        </w:r>
                      </w:p>
                    </w:tc>
                    <w:tc>
                      <w:tcPr>
                        <w:tcW w:w="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8"/>
                          <w:jc w:val="center"/>
                          <w:rPr>
                            <w:rFonts w:ascii="Times New Roman" w:hAnsi="Times New Roman" w:cs="Times New Roman" w:eastAsia="Times New Roman" w:hint="default"/>
                            <w:sz w:val="18"/>
                            <w:szCs w:val="18"/>
                          </w:rPr>
                        </w:pPr>
                        <w:r>
                          <w:rPr>
                            <w:rFonts w:ascii="Times New Roman"/>
                            <w:sz w:val="18"/>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392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1" w:hRule="exact"/>
                    </w:trPr>
                    <w:tc>
                      <w:tcPr>
                        <w:tcW w:w="13922"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4" w:hRule="exact"/>
                    </w:trPr>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2"/>
                          <w:jc w:val="center"/>
                          <w:rPr>
                            <w:rFonts w:ascii="Times New Roman" w:hAnsi="Times New Roman" w:cs="Times New Roman" w:eastAsia="Times New Roman" w:hint="default"/>
                            <w:sz w:val="18"/>
                            <w:szCs w:val="18"/>
                          </w:rPr>
                        </w:pPr>
                        <w:r>
                          <w:rPr>
                            <w:rFonts w:ascii="Times New Roman"/>
                            <w:sz w:val="18"/>
                          </w:rPr>
                          <w:t>--</w:t>
                        </w:r>
                      </w:p>
                    </w:tc>
                    <w:tc>
                      <w:tcPr>
                        <w:tcW w:w="142" w:type="dxa"/>
                        <w:tcBorders>
                          <w:top w:val="single" w:sz="4" w:space="0" w:color="000000"/>
                          <w:left w:val="single" w:sz="4" w:space="0" w:color="000000"/>
                          <w:bottom w:val="single" w:sz="4" w:space="0" w:color="000000"/>
                          <w:right w:val="nil" w:sz="6" w:space="0" w:color="auto"/>
                        </w:tcBorders>
                      </w:tcPr>
                      <w:p>
                        <w:pPr/>
                      </w:p>
                    </w:tc>
                    <w:tc>
                      <w:tcPr>
                        <w:tcW w:w="8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326" w:right="0"/>
                          <w:jc w:val="left"/>
                          <w:rPr>
                            <w:rFonts w:ascii="Times New Roman" w:hAnsi="Times New Roman" w:cs="Times New Roman" w:eastAsia="Times New Roman" w:hint="default"/>
                            <w:sz w:val="18"/>
                            <w:szCs w:val="18"/>
                          </w:rPr>
                        </w:pPr>
                        <w:r>
                          <w:rPr>
                            <w:rFonts w:ascii="Times New Roman"/>
                            <w:sz w:val="18"/>
                          </w:rPr>
                          <w:t>78,000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78,000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6,697.4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36,507.83</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573" w:right="0"/>
                          <w:jc w:val="left"/>
                          <w:rPr>
                            <w:rFonts w:ascii="Times New Roman" w:hAnsi="Times New Roman" w:cs="Times New Roman" w:eastAsia="Times New Roman" w:hint="default"/>
                            <w:sz w:val="18"/>
                            <w:szCs w:val="18"/>
                          </w:rPr>
                        </w:pPr>
                        <w:r>
                          <w:rPr>
                            <w:rFonts w:ascii="Times New Roman"/>
                            <w:sz w:val="18"/>
                          </w:rPr>
                          <w:t>--</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2"/>
                          <w:jc w:val="center"/>
                          <w:rPr>
                            <w:rFonts w:ascii="Times New Roman" w:hAnsi="Times New Roman" w:cs="Times New Roman" w:eastAsia="Times New Roman" w:hint="default"/>
                            <w:sz w:val="18"/>
                            <w:szCs w:val="18"/>
                          </w:rPr>
                        </w:pPr>
                        <w:r>
                          <w:rPr>
                            <w:rFonts w:ascii="Times New Roman"/>
                            <w:sz w:val="18"/>
                          </w:rPr>
                          <w:t>--</w:t>
                        </w:r>
                      </w:p>
                    </w:tc>
                    <w:tc>
                      <w:tcPr>
                        <w:tcW w:w="1141" w:type="dxa"/>
                        <w:tcBorders>
                          <w:top w:val="single" w:sz="4" w:space="0" w:color="000000"/>
                          <w:left w:val="single" w:sz="4" w:space="0" w:color="000000"/>
                          <w:bottom w:val="single" w:sz="4" w:space="0" w:color="000000"/>
                          <w:right w:val="single" w:sz="12" w:space="0" w:color="D2D2D2"/>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w w:val="95"/>
                            <w:sz w:val="18"/>
                          </w:rPr>
                          <w:t>2,138.41</w:t>
                        </w:r>
                      </w:p>
                    </w:tc>
                    <w:tc>
                      <w:tcPr>
                        <w:tcW w:w="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8"/>
                          <w:jc w:val="center"/>
                          <w:rPr>
                            <w:rFonts w:ascii="Times New Roman" w:hAnsi="Times New Roman" w:cs="Times New Roman" w:eastAsia="Times New Roman" w:hint="default"/>
                            <w:sz w:val="18"/>
                            <w:szCs w:val="18"/>
                          </w:rPr>
                        </w:pPr>
                        <w:r>
                          <w:rPr>
                            <w:rFonts w:ascii="Times New Roman"/>
                            <w:sz w:val="18"/>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6572" w:hRule="exact"/>
                    </w:trPr>
                    <w:tc>
                      <w:tcPr>
                        <w:tcW w:w="351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23" w:right="0"/>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未达到计划进度或预计收益的情况和原因</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1041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、关于募投项目未达计划进度的情况</w:t>
                        </w:r>
                      </w:p>
                      <w:p>
                        <w:pPr>
                          <w:pStyle w:val="TableParagraph"/>
                          <w:spacing w:line="300" w:lineRule="auto" w:before="101"/>
                          <w:ind w:left="24" w:right="19"/>
                          <w:jc w:val="left"/>
                          <w:rPr>
                            <w:rFonts w:ascii="宋体" w:hAnsi="宋体" w:cs="宋体" w:eastAsia="宋体" w:hint="default"/>
                            <w:sz w:val="18"/>
                            <w:szCs w:val="18"/>
                          </w:rPr>
                        </w:pPr>
                        <w:r>
                          <w:rPr>
                            <w:rFonts w:ascii="宋体" w:hAnsi="宋体" w:cs="宋体" w:eastAsia="宋体" w:hint="default"/>
                            <w:sz w:val="18"/>
                            <w:szCs w:val="18"/>
                          </w:rPr>
                          <w:t>经公司于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日召开的第六届董事会第四十二次会议审议通过，对公司公开发行可转换债券募集资金投资项目中的</w:t>
                        </w:r>
                        <w:r>
                          <w:rPr>
                            <w:rFonts w:ascii="Times New Roman" w:hAnsi="Times New Roman" w:cs="Times New Roman" w:eastAsia="Times New Roman" w:hint="default"/>
                            <w:sz w:val="18"/>
                            <w:szCs w:val="18"/>
                          </w:rPr>
                          <w:t>“</w:t>
                        </w:r>
                        <w:r>
                          <w:rPr>
                            <w:rFonts w:ascii="宋体" w:hAnsi="宋体" w:cs="宋体" w:eastAsia="宋体" w:hint="default"/>
                            <w:sz w:val="18"/>
                            <w:szCs w:val="18"/>
                          </w:rPr>
                          <w:t>久其 政务研发中心建设项目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下一代集团管控平台</w:t>
                        </w:r>
                        <w:r>
                          <w:rPr>
                            <w:rFonts w:ascii="Times New Roman" w:hAnsi="Times New Roman" w:cs="Times New Roman" w:eastAsia="Times New Roman" w:hint="default"/>
                            <w:sz w:val="18"/>
                            <w:szCs w:val="18"/>
                          </w:rPr>
                          <w:t>”“</w:t>
                        </w:r>
                        <w:r>
                          <w:rPr>
                            <w:rFonts w:ascii="宋体" w:hAnsi="宋体" w:cs="宋体" w:eastAsia="宋体" w:hint="default"/>
                            <w:sz w:val="18"/>
                            <w:szCs w:val="18"/>
                          </w:rPr>
                          <w:t>数字营销运营平台</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政企大数据平台</w:t>
                        </w:r>
                        <w:r>
                          <w:rPr>
                            <w:rFonts w:ascii="Times New Roman" w:hAnsi="Times New Roman" w:cs="Times New Roman" w:eastAsia="Times New Roman" w:hint="default"/>
                            <w:sz w:val="18"/>
                            <w:szCs w:val="18"/>
                          </w:rPr>
                          <w:t>”</w:t>
                        </w:r>
                        <w:r>
                          <w:rPr>
                            <w:rFonts w:ascii="宋体" w:hAnsi="宋体" w:cs="宋体" w:eastAsia="宋体" w:hint="default"/>
                            <w:sz w:val="18"/>
                            <w:szCs w:val="18"/>
                          </w:rPr>
                          <w:t>进行延期。</w:t>
                        </w:r>
                      </w:p>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）久其政务研发中心建设项目</w:t>
                        </w:r>
                      </w:p>
                      <w:p>
                        <w:pPr>
                          <w:pStyle w:val="TableParagraph"/>
                          <w:spacing w:line="314" w:lineRule="auto" w:before="103"/>
                          <w:ind w:left="24" w:right="19"/>
                          <w:jc w:val="left"/>
                          <w:rPr>
                            <w:rFonts w:ascii="宋体" w:hAnsi="宋体" w:cs="宋体" w:eastAsia="宋体" w:hint="default"/>
                            <w:sz w:val="18"/>
                            <w:szCs w:val="18"/>
                          </w:rPr>
                        </w:pPr>
                        <w:r>
                          <w:rPr>
                            <w:rFonts w:ascii="宋体" w:hAnsi="宋体" w:cs="宋体" w:eastAsia="宋体" w:hint="default"/>
                            <w:sz w:val="18"/>
                            <w:szCs w:val="18"/>
                          </w:rPr>
                          <w:t>该项目系基建工程项目，项目实施地点在北京。在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年完成土地使用权购置后，该项目就启动了报批和建设有关工作，虽然公司 </w:t>
                        </w:r>
                        <w:r>
                          <w:rPr>
                            <w:rFonts w:ascii="宋体" w:hAnsi="宋体" w:cs="宋体" w:eastAsia="宋体" w:hint="default"/>
                            <w:spacing w:val="-2"/>
                            <w:sz w:val="18"/>
                            <w:szCs w:val="18"/>
                          </w:rPr>
                          <w:t>一直以来积极协调施工、监理等单位推进工程进度，但在建设期间，该项目仍然不可避免地受较强持续雨水天气致地基工程中断、北</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方秋冬季节空气重污染预案限制工程开工、以及北京召开重要会议或举行重大活动期间工程停工等事项的影响，造成整体工期拖延 </w:t>
                        </w:r>
                        <w:r>
                          <w:rPr>
                            <w:rFonts w:ascii="宋体" w:hAnsi="宋体" w:cs="宋体" w:eastAsia="宋体" w:hint="default"/>
                            <w:spacing w:val="-2"/>
                            <w:sz w:val="18"/>
                            <w:szCs w:val="18"/>
                          </w:rPr>
                          <w:t>报告期，该项目整体工程建设施工阶段虽已基本完成，结合公司业务布局与发展规划，以及后续事项的工作排期，公司将该项目的计</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划完工时间延期至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）下一代集团管控平台</w:t>
                        </w:r>
                      </w:p>
                      <w:p>
                        <w:pPr>
                          <w:pStyle w:val="TableParagraph"/>
                          <w:spacing w:line="307" w:lineRule="auto" w:before="103"/>
                          <w:ind w:left="24" w:right="18"/>
                          <w:jc w:val="both"/>
                          <w:rPr>
                            <w:rFonts w:ascii="Times New Roman" w:hAnsi="Times New Roman" w:cs="Times New Roman" w:eastAsia="Times New Roman" w:hint="default"/>
                            <w:sz w:val="18"/>
                            <w:szCs w:val="18"/>
                          </w:rPr>
                        </w:pPr>
                        <w:r>
                          <w:rPr>
                            <w:rFonts w:ascii="宋体" w:hAnsi="宋体" w:cs="宋体" w:eastAsia="宋体" w:hint="default"/>
                            <w:sz w:val="18"/>
                            <w:szCs w:val="18"/>
                          </w:rPr>
                          <w:t>该项目是基于新的技术平台，结合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SaaS</w:t>
                        </w:r>
                        <w:r>
                          <w:rPr>
                            <w:rFonts w:ascii="宋体" w:hAnsi="宋体" w:cs="宋体" w:eastAsia="宋体" w:hint="default"/>
                            <w:sz w:val="18"/>
                            <w:szCs w:val="18"/>
                          </w:rPr>
                          <w:t>、移动化、大数据存储与管理、大数据分析与挖掘等技术，对公司集团管控产品进行技术升 级和系统功能结构优化。随着云计算、移动互联、大数据以及</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AI</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技术的深入发展，公司在运用新技术为企业集团客户探索管理模式 </w:t>
                        </w:r>
                        <w:r>
                          <w:rPr>
                            <w:rFonts w:ascii="宋体" w:hAnsi="宋体" w:cs="宋体" w:eastAsia="宋体" w:hint="default"/>
                            <w:spacing w:val="-2"/>
                            <w:sz w:val="18"/>
                            <w:szCs w:val="18"/>
                          </w:rPr>
                          <w:t>创新和管理价值提升方面，投入了比较多的研发工作。由于前期项目投入主要为人工成本，软硬件设备投入较少，因此募集资金投入</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进度较缓。为确保该平台建设能够更好地适应业务发展的需求，取得良好的市场应用成效，公司将该项目的计划完工时间延期至</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2021</w:t>
                        </w:r>
                      </w:p>
                      <w:p>
                        <w:pPr>
                          <w:pStyle w:val="TableParagraph"/>
                          <w:spacing w:line="240" w:lineRule="auto" w:before="7"/>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14" w:lineRule="auto" w:before="104"/>
                          <w:ind w:left="24"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）数字营销运营平台 </w:t>
                        </w:r>
                        <w:r>
                          <w:rPr>
                            <w:rFonts w:ascii="宋体" w:hAnsi="宋体" w:cs="宋体" w:eastAsia="宋体" w:hint="default"/>
                            <w:spacing w:val="-2"/>
                            <w:sz w:val="18"/>
                            <w:szCs w:val="18"/>
                          </w:rPr>
                          <w:t>该项目最早由公司承担项目建设，后实施主体变更为久其数字。由于数字传播业务开展主要通过公司并购企业运营，业务融合、品牌</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重构、组织架构及人员管理优化等工作需要逐步协调，导致</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数字营销运营平台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项目投入进展较为缓慢；同时，数字营销行业近年来</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因互联网流量红利逐步消减、媒体资源不断向头部平台聚拢，市场竞争白热化，业务更迭加快，久其数字以</w:t>
                        </w:r>
                        <w:r>
                          <w:rPr>
                            <w:rFonts w:ascii="Times New Roman" w:hAnsi="Times New Roman" w:cs="Times New Roman" w:eastAsia="Times New Roman" w:hint="default"/>
                            <w:sz w:val="18"/>
                            <w:szCs w:val="18"/>
                          </w:rPr>
                          <w:t>“</w:t>
                        </w:r>
                        <w:r>
                          <w:rPr>
                            <w:rFonts w:ascii="宋体" w:hAnsi="宋体" w:cs="宋体" w:eastAsia="宋体" w:hint="default"/>
                            <w:sz w:val="18"/>
                            <w:szCs w:val="18"/>
                          </w:rPr>
                          <w:t>大数据</w:t>
                        </w:r>
                        <w:r>
                          <w:rPr>
                            <w:rFonts w:ascii="Times New Roman" w:hAnsi="Times New Roman" w:cs="Times New Roman" w:eastAsia="Times New Roman" w:hint="default"/>
                            <w:sz w:val="18"/>
                            <w:szCs w:val="18"/>
                          </w:rPr>
                          <w:t>+</w:t>
                        </w:r>
                        <w:r>
                          <w:rPr>
                            <w:rFonts w:ascii="宋体" w:hAnsi="宋体" w:cs="宋体" w:eastAsia="宋体" w:hint="default"/>
                            <w:sz w:val="18"/>
                            <w:szCs w:val="18"/>
                          </w:rPr>
                          <w:t>营销</w:t>
                        </w:r>
                        <w:r>
                          <w:rPr>
                            <w:rFonts w:ascii="Times New Roman" w:hAnsi="Times New Roman" w:cs="Times New Roman" w:eastAsia="Times New Roman" w:hint="default"/>
                            <w:sz w:val="18"/>
                            <w:szCs w:val="18"/>
                          </w:rPr>
                          <w:t>”</w:t>
                        </w:r>
                        <w:r>
                          <w:rPr>
                            <w:rFonts w:ascii="宋体" w:hAnsi="宋体" w:cs="宋体" w:eastAsia="宋体" w:hint="default"/>
                            <w:sz w:val="18"/>
                            <w:szCs w:val="18"/>
                          </w:rPr>
                          <w:t>战略来调</w:t>
                        </w:r>
                        <w:r>
                          <w:rPr>
                            <w:rFonts w:ascii="宋体" w:hAnsi="宋体" w:cs="宋体" w:eastAsia="宋体" w:hint="default"/>
                            <w:spacing w:val="-81"/>
                            <w:sz w:val="18"/>
                            <w:szCs w:val="18"/>
                          </w:rPr>
                          <w:t> </w:t>
                        </w:r>
                        <w:r>
                          <w:rPr>
                            <w:rFonts w:ascii="宋体" w:hAnsi="宋体" w:cs="宋体" w:eastAsia="宋体" w:hint="default"/>
                            <w:spacing w:val="-2"/>
                            <w:sz w:val="18"/>
                            <w:szCs w:val="18"/>
                          </w:rPr>
                          <w:t>整业务模式以寻求差异化竞争优势；此外，公司逐渐将发展战略更加聚焦于管理软件根基业务。因此，公司对该项目设立之初筹划的</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40" w:lineRule="auto"/>
        <w:ind w:left="0" w:right="117"/>
        <w:jc w:val="right"/>
      </w:pPr>
      <w:r>
        <w:rPr/>
        <w:t>。</w:t>
      </w:r>
    </w:p>
    <w:p>
      <w:pPr>
        <w:spacing w:after="0" w:line="240" w:lineRule="auto"/>
        <w:jc w:val="right"/>
        <w:sectPr>
          <w:pgSz w:w="16840" w:h="11910" w:orient="landscape"/>
          <w:pgMar w:header="867" w:footer="980" w:top="1060" w:bottom="1160" w:left="1320" w:right="130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3512"/>
        <w:gridCol w:w="10410"/>
      </w:tblGrid>
      <w:tr>
        <w:trPr>
          <w:trHeight w:val="6508" w:hRule="exact"/>
        </w:trPr>
        <w:tc>
          <w:tcPr>
            <w:tcW w:w="3512"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0410" w:type="dxa"/>
            <w:tcBorders>
              <w:top w:val="single" w:sz="15" w:space="0" w:color="000000"/>
              <w:left w:val="single" w:sz="4" w:space="0" w:color="000000"/>
              <w:bottom w:val="single" w:sz="4" w:space="0" w:color="000000"/>
              <w:right w:val="single" w:sz="4" w:space="0" w:color="000000"/>
            </w:tcBorders>
          </w:tcPr>
          <w:p>
            <w:pPr>
              <w:pStyle w:val="TableParagraph"/>
              <w:spacing w:line="309" w:lineRule="auto" w:before="11"/>
              <w:ind w:left="24" w:right="21"/>
              <w:jc w:val="both"/>
              <w:rPr>
                <w:rFonts w:ascii="宋体" w:hAnsi="宋体" w:cs="宋体" w:eastAsia="宋体" w:hint="default"/>
                <w:sz w:val="18"/>
                <w:szCs w:val="18"/>
              </w:rPr>
            </w:pPr>
            <w:r>
              <w:rPr>
                <w:rFonts w:ascii="Times New Roman" w:hAnsi="Times New Roman" w:cs="Times New Roman" w:eastAsia="Times New Roman" w:hint="default"/>
                <w:spacing w:val="-2"/>
                <w:w w:val="99"/>
                <w:sz w:val="18"/>
                <w:szCs w:val="18"/>
              </w:rPr>
              <w:t>DSP</w:t>
            </w:r>
            <w:r>
              <w:rPr>
                <w:rFonts w:ascii="宋体" w:hAnsi="宋体" w:cs="宋体" w:eastAsia="宋体" w:hint="default"/>
                <w:spacing w:val="-2"/>
                <w:w w:val="99"/>
                <w:sz w:val="18"/>
                <w:szCs w:val="18"/>
              </w:rPr>
              <w:t>（需求方平台）、</w:t>
            </w:r>
            <w:r>
              <w:rPr>
                <w:rFonts w:ascii="Times New Roman" w:hAnsi="Times New Roman" w:cs="Times New Roman" w:eastAsia="Times New Roman" w:hint="default"/>
                <w:spacing w:val="-2"/>
                <w:w w:val="99"/>
                <w:sz w:val="18"/>
                <w:szCs w:val="18"/>
              </w:rPr>
              <w:t>DMP</w:t>
            </w:r>
            <w:r>
              <w:rPr>
                <w:rFonts w:ascii="宋体" w:hAnsi="宋体" w:cs="宋体" w:eastAsia="宋体" w:hint="default"/>
                <w:spacing w:val="-2"/>
                <w:w w:val="99"/>
                <w:sz w:val="18"/>
                <w:szCs w:val="18"/>
              </w:rPr>
              <w:t>（数据管理平台）等系统平台建设未做大规模的软硬件设备设施和数据资源的投入，因此募集资金投入进</w:t>
            </w:r>
            <w:r>
              <w:rPr>
                <w:rFonts w:ascii="宋体" w:hAnsi="宋体" w:cs="宋体" w:eastAsia="宋体" w:hint="default"/>
                <w:spacing w:val="-61"/>
                <w:w w:val="99"/>
                <w:sz w:val="18"/>
                <w:szCs w:val="18"/>
              </w:rPr>
              <w:t> </w:t>
            </w:r>
            <w:r>
              <w:rPr>
                <w:rFonts w:ascii="宋体" w:hAnsi="宋体" w:cs="宋体" w:eastAsia="宋体" w:hint="default"/>
                <w:spacing w:val="-61"/>
                <w:w w:val="99"/>
                <w:sz w:val="18"/>
                <w:szCs w:val="18"/>
              </w:rPr>
            </w:r>
            <w:r>
              <w:rPr>
                <w:rFonts w:ascii="宋体" w:hAnsi="宋体" w:cs="宋体" w:eastAsia="宋体" w:hint="default"/>
                <w:spacing w:val="-2"/>
                <w:sz w:val="18"/>
                <w:szCs w:val="18"/>
              </w:rPr>
              <w:t>度较缓。为确保该平台建设能够更好地适应行业发展趋势及业务变化的需求，取得良好的市场应用成效，公司将该项目的计划完工时</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间延期至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p>
            <w:pPr>
              <w:pStyle w:val="TableParagraph"/>
              <w:spacing w:line="321" w:lineRule="auto" w:before="43"/>
              <w:ind w:left="24"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）政企大数据平台 </w:t>
            </w:r>
            <w:r>
              <w:rPr>
                <w:rFonts w:ascii="宋体" w:hAnsi="宋体" w:cs="宋体" w:eastAsia="宋体" w:hint="default"/>
                <w:spacing w:val="-2"/>
                <w:sz w:val="18"/>
                <w:szCs w:val="18"/>
              </w:rPr>
              <w:t>该项目由公司与华夏电通共同承建，主要服务于政府和大型企业集团，为政府部门及企业提供满足云化部署及大数据整合、集成与分</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2"/>
                <w:sz w:val="18"/>
                <w:szCs w:val="18"/>
              </w:rPr>
              <w:t>析挖掘的应用平台。该项目建设期间的投入主要为研发人工成本。由于当前公有云市场竞争激烈并逐渐向少数厂商集中，公司为客户</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2"/>
                <w:sz w:val="18"/>
                <w:szCs w:val="18"/>
              </w:rPr>
              <w:t>提供的公有云服务多为后备手段，本着节约资金、优化资源配置的考虑，减慢了涉及公有云基础设施建设、外部数据资源库等有关软</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硬件投入，因此募集资金投入进度较缓。为确保该平台建设能够更好地适应业务发展的需求，取得良好的市场应用成效，公司将该项</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目的计划完工时间延期至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36"/>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、关于募投项目预计收益的情况</w:t>
            </w:r>
          </w:p>
          <w:p>
            <w:pPr>
              <w:pStyle w:val="TableParagraph"/>
              <w:spacing w:line="300" w:lineRule="auto" w:before="101"/>
              <w:ind w:left="24" w:right="19"/>
              <w:jc w:val="both"/>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日股东大会批准部分募投项目的募集资金用途变更后，</w:t>
            </w:r>
            <w:r>
              <w:rPr>
                <w:rFonts w:ascii="Times New Roman" w:hAnsi="Times New Roman" w:cs="Times New Roman" w:eastAsia="Times New Roman" w:hint="default"/>
                <w:sz w:val="18"/>
                <w:szCs w:val="18"/>
              </w:rPr>
              <w:t>“</w:t>
            </w:r>
            <w:r>
              <w:rPr>
                <w:rFonts w:ascii="宋体" w:hAnsi="宋体" w:cs="宋体" w:eastAsia="宋体" w:hint="default"/>
                <w:sz w:val="18"/>
                <w:szCs w:val="18"/>
              </w:rPr>
              <w:t>下一代集团管控平台</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政企大数据平台</w:t>
            </w:r>
            <w:r>
              <w:rPr>
                <w:rFonts w:ascii="Times New Roman" w:hAnsi="Times New Roman" w:cs="Times New Roman" w:eastAsia="Times New Roman" w:hint="default"/>
                <w:sz w:val="18"/>
                <w:szCs w:val="18"/>
              </w:rPr>
              <w:t>”</w:t>
            </w:r>
            <w:r>
              <w:rPr>
                <w:rFonts w:ascii="宋体" w:hAnsi="宋体" w:cs="宋体" w:eastAsia="宋体" w:hint="default"/>
                <w:sz w:val="18"/>
                <w:szCs w:val="18"/>
              </w:rPr>
              <w:t>的后续研发 </w:t>
            </w:r>
            <w:r>
              <w:rPr>
                <w:rFonts w:ascii="宋体" w:hAnsi="宋体" w:cs="宋体" w:eastAsia="宋体" w:hint="default"/>
                <w:spacing w:val="-2"/>
                <w:sz w:val="18"/>
                <w:szCs w:val="18"/>
              </w:rPr>
              <w:t>将以自有资金投入，而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数字营销运营平台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因原方案已不适应业务需求，将中止投入，后续如继续投入将由公司根据项目建设需求以</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1"/>
                <w:sz w:val="18"/>
                <w:szCs w:val="18"/>
              </w:rPr>
              <w:t>自有或自筹资金方式解决。</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下一代集团管控平台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和</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政企大数据平台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项目报告期仍处于建设期内，尚未产生收益，后续随着项目建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设完成将进行收益核算。</w:t>
            </w:r>
          </w:p>
          <w:p>
            <w:pPr>
              <w:pStyle w:val="TableParagraph"/>
              <w:spacing w:line="240" w:lineRule="auto" w:before="72"/>
              <w:ind w:left="24" w:right="0"/>
              <w:jc w:val="both"/>
              <w:rPr>
                <w:rFonts w:ascii="宋体" w:hAnsi="宋体" w:cs="宋体" w:eastAsia="宋体" w:hint="default"/>
                <w:sz w:val="18"/>
                <w:szCs w:val="18"/>
              </w:rPr>
            </w:pPr>
            <w:r>
              <w:rPr>
                <w:rFonts w:ascii="宋体" w:hAnsi="宋体" w:cs="宋体" w:eastAsia="宋体" w:hint="default"/>
                <w:sz w:val="18"/>
                <w:szCs w:val="18"/>
              </w:rPr>
              <w:t>根据交易对手方沈栋梁、郝欣诚、顾瀚博与公司签署的《现金购买资产协议</w:t>
            </w:r>
            <w:r>
              <w:rPr>
                <w:rFonts w:ascii="宋体" w:hAnsi="宋体" w:cs="宋体" w:eastAsia="宋体" w:hint="default"/>
                <w:spacing w:val="-92"/>
                <w:sz w:val="18"/>
                <w:szCs w:val="18"/>
              </w:rPr>
              <w:t>》</w:t>
            </w:r>
            <w:r>
              <w:rPr>
                <w:rFonts w:ascii="宋体" w:hAnsi="宋体" w:cs="宋体" w:eastAsia="宋体" w:hint="default"/>
                <w:sz w:val="18"/>
                <w:szCs w:val="18"/>
              </w:rPr>
              <w:t>，交易对手</w:t>
            </w:r>
            <w:r>
              <w:rPr>
                <w:rFonts w:ascii="宋体" w:hAnsi="宋体" w:cs="宋体" w:eastAsia="宋体" w:hint="default"/>
                <w:spacing w:val="2"/>
                <w:sz w:val="18"/>
                <w:szCs w:val="18"/>
              </w:rPr>
              <w:t>方</w:t>
            </w:r>
            <w:r>
              <w:rPr>
                <w:rFonts w:ascii="宋体" w:hAnsi="宋体" w:cs="宋体" w:eastAsia="宋体" w:hint="default"/>
                <w:sz w:val="18"/>
                <w:szCs w:val="18"/>
              </w:rPr>
              <w:t>承诺瑞意恒动</w:t>
            </w:r>
            <w:r>
              <w:rPr>
                <w:rFonts w:ascii="宋体" w:hAnsi="宋体" w:cs="宋体" w:eastAsia="宋体" w:hint="default"/>
                <w:spacing w:val="-26"/>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16</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3"/>
                <w:sz w:val="18"/>
                <w:szCs w:val="18"/>
              </w:rPr>
              <w:t>度</w:t>
            </w:r>
            <w:r>
              <w:rPr>
                <w:rFonts w:ascii="宋体" w:hAnsi="宋体" w:cs="宋体" w:eastAsia="宋体" w:hint="default"/>
                <w:sz w:val="18"/>
                <w:szCs w:val="18"/>
              </w:rPr>
              <w:t>净利润分别</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不低于人民币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1,950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2,535</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万元。瑞意恒动经审计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年度的实际净利润均高于承诺净利润，完成了业绩承</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诺</w:t>
            </w:r>
            <w:r>
              <w:rPr>
                <w:rFonts w:ascii="宋体" w:hAnsi="宋体" w:cs="宋体" w:eastAsia="宋体" w:hint="default"/>
                <w:spacing w:val="-17"/>
                <w:sz w:val="18"/>
                <w:szCs w:val="18"/>
              </w:rPr>
              <w:t>。</w:t>
            </w:r>
            <w:r>
              <w:rPr>
                <w:rFonts w:ascii="宋体" w:hAnsi="宋体" w:cs="宋体" w:eastAsia="宋体" w:hint="default"/>
                <w:sz w:val="18"/>
                <w:szCs w:val="18"/>
              </w:rPr>
              <w:t>此外</w:t>
            </w:r>
            <w:r>
              <w:rPr>
                <w:rFonts w:ascii="宋体" w:hAnsi="宋体" w:cs="宋体" w:eastAsia="宋体" w:hint="default"/>
                <w:spacing w:val="-17"/>
                <w:sz w:val="18"/>
                <w:szCs w:val="18"/>
              </w:rPr>
              <w:t>，</w:t>
            </w:r>
            <w:r>
              <w:rPr>
                <w:rFonts w:ascii="宋体" w:hAnsi="宋体" w:cs="宋体" w:eastAsia="宋体" w:hint="default"/>
                <w:sz w:val="18"/>
                <w:szCs w:val="18"/>
              </w:rPr>
              <w:t>沈栋梁于</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日与公司签订</w:t>
            </w:r>
            <w:r>
              <w:rPr>
                <w:rFonts w:ascii="宋体" w:hAnsi="宋体" w:cs="宋体" w:eastAsia="宋体" w:hint="default"/>
                <w:spacing w:val="-20"/>
                <w:sz w:val="18"/>
                <w:szCs w:val="18"/>
              </w:rPr>
              <w:t>了</w:t>
            </w:r>
            <w:r>
              <w:rPr>
                <w:rFonts w:ascii="宋体" w:hAnsi="宋体" w:cs="宋体" w:eastAsia="宋体" w:hint="default"/>
                <w:sz w:val="18"/>
                <w:szCs w:val="18"/>
              </w:rPr>
              <w:t>《业绩</w:t>
            </w:r>
            <w:r>
              <w:rPr>
                <w:rFonts w:ascii="宋体" w:hAnsi="宋体" w:cs="宋体" w:eastAsia="宋体" w:hint="default"/>
                <w:spacing w:val="-3"/>
                <w:sz w:val="18"/>
                <w:szCs w:val="18"/>
              </w:rPr>
              <w:t>承</w:t>
            </w:r>
            <w:r>
              <w:rPr>
                <w:rFonts w:ascii="宋体" w:hAnsi="宋体" w:cs="宋体" w:eastAsia="宋体" w:hint="default"/>
                <w:sz w:val="18"/>
                <w:szCs w:val="18"/>
              </w:rPr>
              <w:t>诺与补偿协议</w:t>
            </w:r>
            <w:r>
              <w:rPr>
                <w:rFonts w:ascii="宋体" w:hAnsi="宋体" w:cs="宋体" w:eastAsia="宋体" w:hint="default"/>
                <w:spacing w:val="-92"/>
                <w:sz w:val="18"/>
                <w:szCs w:val="18"/>
              </w:rPr>
              <w:t>》</w:t>
            </w:r>
            <w:r>
              <w:rPr>
                <w:rFonts w:ascii="宋体" w:hAnsi="宋体" w:cs="宋体" w:eastAsia="宋体" w:hint="default"/>
                <w:spacing w:val="-17"/>
                <w:sz w:val="18"/>
                <w:szCs w:val="18"/>
              </w:rPr>
              <w:t>，</w:t>
            </w:r>
            <w:r>
              <w:rPr>
                <w:rFonts w:ascii="宋体" w:hAnsi="宋体" w:cs="宋体" w:eastAsia="宋体" w:hint="default"/>
                <w:sz w:val="18"/>
                <w:szCs w:val="18"/>
              </w:rPr>
              <w:t>同意延长一年业绩承诺期</w:t>
            </w:r>
            <w:r>
              <w:rPr>
                <w:rFonts w:ascii="宋体" w:hAnsi="宋体" w:cs="宋体" w:eastAsia="宋体" w:hint="default"/>
                <w:spacing w:val="-17"/>
                <w:sz w:val="18"/>
                <w:szCs w:val="18"/>
              </w:rPr>
              <w:t>，</w:t>
            </w:r>
            <w:r>
              <w:rPr>
                <w:rFonts w:ascii="宋体" w:hAnsi="宋体" w:cs="宋体" w:eastAsia="宋体" w:hint="default"/>
                <w:sz w:val="18"/>
                <w:szCs w:val="18"/>
              </w:rPr>
              <w:t>承诺瑞意恒动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年度净</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利润应不低于</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2,600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万元。瑞意恒动</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年度净利润（指扣除非经常性损益后归属于母公司所有者的净利润与归属于母公司所有者</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的净利润孰低者</w:t>
            </w:r>
            <w:r>
              <w:rPr>
                <w:rFonts w:ascii="宋体" w:hAnsi="宋体" w:cs="宋体" w:eastAsia="宋体" w:hint="default"/>
                <w:spacing w:val="-17"/>
                <w:sz w:val="18"/>
                <w:szCs w:val="18"/>
              </w:rPr>
              <w:t>）</w:t>
            </w:r>
            <w:r>
              <w:rPr>
                <w:rFonts w:ascii="宋体" w:hAnsi="宋体" w:cs="宋体" w:eastAsia="宋体" w:hint="default"/>
                <w:sz w:val="18"/>
                <w:szCs w:val="18"/>
              </w:rPr>
              <w:t>为</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7 </w:t>
            </w:r>
            <w:r>
              <w:rPr>
                <w:rFonts w:ascii="宋体" w:hAnsi="宋体" w:cs="宋体" w:eastAsia="宋体" w:hint="default"/>
                <w:sz w:val="18"/>
                <w:szCs w:val="18"/>
              </w:rPr>
              <w:t>万元</w:t>
            </w:r>
            <w:r>
              <w:rPr>
                <w:rFonts w:ascii="宋体" w:hAnsi="宋体" w:cs="宋体" w:eastAsia="宋体" w:hint="default"/>
                <w:spacing w:val="-17"/>
                <w:sz w:val="18"/>
                <w:szCs w:val="18"/>
              </w:rPr>
              <w:t>，</w:t>
            </w:r>
            <w:r>
              <w:rPr>
                <w:rFonts w:ascii="宋体" w:hAnsi="宋体" w:cs="宋体" w:eastAsia="宋体" w:hint="default"/>
                <w:sz w:val="18"/>
                <w:szCs w:val="18"/>
              </w:rPr>
              <w:t>未完成</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年度的业</w:t>
            </w:r>
            <w:r>
              <w:rPr>
                <w:rFonts w:ascii="宋体" w:hAnsi="宋体" w:cs="宋体" w:eastAsia="宋体" w:hint="default"/>
                <w:spacing w:val="-3"/>
                <w:sz w:val="18"/>
                <w:szCs w:val="18"/>
              </w:rPr>
              <w:t>绩</w:t>
            </w:r>
            <w:r>
              <w:rPr>
                <w:rFonts w:ascii="宋体" w:hAnsi="宋体" w:cs="宋体" w:eastAsia="宋体" w:hint="default"/>
                <w:sz w:val="18"/>
                <w:szCs w:val="18"/>
              </w:rPr>
              <w:t>承诺</w:t>
            </w:r>
            <w:r>
              <w:rPr>
                <w:rFonts w:ascii="宋体" w:hAnsi="宋体" w:cs="宋体" w:eastAsia="宋体" w:hint="default"/>
                <w:spacing w:val="-17"/>
                <w:sz w:val="18"/>
                <w:szCs w:val="18"/>
              </w:rPr>
              <w:t>。</w:t>
            </w:r>
            <w:r>
              <w:rPr>
                <w:rFonts w:ascii="宋体" w:hAnsi="宋体" w:cs="宋体" w:eastAsia="宋体" w:hint="default"/>
                <w:sz w:val="18"/>
                <w:szCs w:val="18"/>
              </w:rPr>
              <w:t>根</w:t>
            </w:r>
            <w:r>
              <w:rPr>
                <w:rFonts w:ascii="宋体" w:hAnsi="宋体" w:cs="宋体" w:eastAsia="宋体" w:hint="default"/>
                <w:spacing w:val="-17"/>
                <w:sz w:val="18"/>
                <w:szCs w:val="18"/>
              </w:rPr>
              <w:t>据</w:t>
            </w:r>
            <w:r>
              <w:rPr>
                <w:rFonts w:ascii="宋体" w:hAnsi="宋体" w:cs="宋体" w:eastAsia="宋体" w:hint="default"/>
                <w:sz w:val="18"/>
                <w:szCs w:val="18"/>
              </w:rPr>
              <w:t>《业绩承诺与补偿协议</w:t>
            </w:r>
            <w:r>
              <w:rPr>
                <w:rFonts w:ascii="宋体" w:hAnsi="宋体" w:cs="宋体" w:eastAsia="宋体" w:hint="default"/>
                <w:spacing w:val="-92"/>
                <w:sz w:val="18"/>
                <w:szCs w:val="18"/>
              </w:rPr>
              <w:t>》</w:t>
            </w:r>
            <w:r>
              <w:rPr>
                <w:rFonts w:ascii="宋体" w:hAnsi="宋体" w:cs="宋体" w:eastAsia="宋体" w:hint="default"/>
                <w:spacing w:val="-17"/>
                <w:sz w:val="18"/>
                <w:szCs w:val="18"/>
              </w:rPr>
              <w:t>，</w:t>
            </w:r>
            <w:r>
              <w:rPr>
                <w:rFonts w:ascii="宋体" w:hAnsi="宋体" w:cs="宋体" w:eastAsia="宋体" w:hint="default"/>
                <w:sz w:val="18"/>
                <w:szCs w:val="18"/>
              </w:rPr>
              <w:t>沈栋梁应以现金方式一次性向公司</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支付补偿金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462.03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1"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项目可行性发生重大变化的情况说明</w:t>
            </w:r>
          </w:p>
        </w:tc>
        <w:tc>
          <w:tcPr>
            <w:tcW w:w="10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详见上述</w:t>
            </w:r>
            <w:r>
              <w:rPr>
                <w:rFonts w:ascii="Times New Roman" w:hAnsi="Times New Roman" w:cs="Times New Roman" w:eastAsia="Times New Roman" w:hint="default"/>
                <w:sz w:val="18"/>
                <w:szCs w:val="18"/>
              </w:rPr>
              <w:t>“</w:t>
            </w:r>
            <w:r>
              <w:rPr>
                <w:rFonts w:ascii="宋体" w:hAnsi="宋体" w:cs="宋体" w:eastAsia="宋体" w:hint="default"/>
                <w:sz w:val="18"/>
                <w:szCs w:val="18"/>
              </w:rPr>
              <w:t>未达到计划进度或预计收益的情况和原因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超募资金的金额、用途及使用进展情况</w:t>
            </w:r>
          </w:p>
        </w:tc>
        <w:tc>
          <w:tcPr>
            <w:tcW w:w="10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募集资金投资项目实施地点变更情况</w:t>
            </w:r>
          </w:p>
        </w:tc>
        <w:tc>
          <w:tcPr>
            <w:tcW w:w="10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22"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募集资金投资项目实施方式调整情况</w:t>
            </w:r>
          </w:p>
        </w:tc>
        <w:tc>
          <w:tcPr>
            <w:tcW w:w="10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183"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募集资金投资项目先期投入及置换情况</w:t>
            </w:r>
          </w:p>
        </w:tc>
        <w:tc>
          <w:tcPr>
            <w:tcW w:w="10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本报告期公司不存在募集资金投资项目先期投入及置换情况。</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日，公司召开第六届董事会第八次会议，同意使用募集</w:t>
            </w:r>
          </w:p>
          <w:p>
            <w:pPr>
              <w:pStyle w:val="TableParagraph"/>
              <w:spacing w:line="300" w:lineRule="auto" w:before="62"/>
              <w:ind w:left="24" w:right="30"/>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16,162.11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万元置换预先已投入公开发行可转换债券募集资金投资项目的自筹资金。立信会计师事务所（特殊普通合伙）对该事 </w:t>
            </w:r>
            <w:r>
              <w:rPr>
                <w:rFonts w:ascii="宋体" w:hAnsi="宋体" w:cs="宋体" w:eastAsia="宋体" w:hint="default"/>
                <w:spacing w:val="-2"/>
                <w:sz w:val="18"/>
                <w:szCs w:val="18"/>
              </w:rPr>
              <w:t>项进行了专项审核，并出具了《北京久其软件股份有限公司募集资金置换专项审核报告》（信会师报字</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第</w:t>
            </w:r>
            <w:r>
              <w:rPr>
                <w:rFonts w:ascii="宋体" w:hAnsi="宋体" w:cs="宋体" w:eastAsia="宋体" w:hint="default"/>
                <w:spacing w:val="-37"/>
                <w:sz w:val="18"/>
                <w:szCs w:val="18"/>
              </w:rPr>
              <w:t> </w:t>
            </w:r>
            <w:r>
              <w:rPr>
                <w:rFonts w:ascii="Times New Roman" w:hAnsi="Times New Roman" w:cs="Times New Roman" w:eastAsia="Times New Roman" w:hint="default"/>
                <w:spacing w:val="-1"/>
                <w:w w:val="99"/>
                <w:sz w:val="18"/>
                <w:szCs w:val="18"/>
              </w:rPr>
              <w:t>ZG12073</w:t>
            </w:r>
            <w:r>
              <w:rPr>
                <w:rFonts w:ascii="Times New Roman" w:hAnsi="Times New Roman" w:cs="Times New Roman" w:eastAsia="Times New Roman" w:hint="default"/>
                <w:spacing w:val="7"/>
                <w:w w:val="99"/>
                <w:sz w:val="18"/>
                <w:szCs w:val="18"/>
              </w:rPr>
              <w:t> </w:t>
            </w:r>
            <w:r>
              <w:rPr>
                <w:rFonts w:ascii="宋体" w:hAnsi="宋体" w:cs="宋体" w:eastAsia="宋体" w:hint="default"/>
                <w:spacing w:val="-31"/>
                <w:sz w:val="18"/>
                <w:szCs w:val="18"/>
              </w:rPr>
              <w:t>号）。</w:t>
            </w:r>
          </w:p>
        </w:tc>
      </w:tr>
    </w:tbl>
    <w:p>
      <w:pPr>
        <w:spacing w:after="0" w:line="300" w:lineRule="auto"/>
        <w:jc w:val="left"/>
        <w:rPr>
          <w:rFonts w:ascii="宋体" w:hAnsi="宋体" w:cs="宋体" w:eastAsia="宋体" w:hint="default"/>
          <w:sz w:val="18"/>
          <w:szCs w:val="18"/>
        </w:rPr>
        <w:sectPr>
          <w:pgSz w:w="16840" w:h="11910" w:orient="landscape"/>
          <w:pgMar w:header="867" w:footer="980" w:top="1060" w:bottom="1160" w:left="1320" w:right="132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3512"/>
        <w:gridCol w:w="10410"/>
      </w:tblGrid>
      <w:tr>
        <w:trPr>
          <w:trHeight w:val="2682" w:hRule="exact"/>
        </w:trPr>
        <w:tc>
          <w:tcPr>
            <w:tcW w:w="351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宋体" w:hAnsi="宋体" w:cs="宋体" w:eastAsia="宋体" w:hint="default"/>
                <w:sz w:val="18"/>
                <w:szCs w:val="18"/>
              </w:rPr>
            </w:pPr>
            <w:r>
              <w:rPr>
                <w:rFonts w:ascii="宋体" w:hAnsi="宋体" w:cs="宋体" w:eastAsia="宋体" w:hint="default"/>
                <w:sz w:val="18"/>
                <w:szCs w:val="18"/>
              </w:rPr>
              <w:t>用闲置募集资金暂时补充流动资金情况</w:t>
            </w:r>
          </w:p>
        </w:tc>
        <w:tc>
          <w:tcPr>
            <w:tcW w:w="1041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在确保不影响募集资金投资项目正常开展的前提下，为提高募集资金使用效率、降低财务成本，经公司于</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日召开的第</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pacing w:val="-2"/>
                <w:sz w:val="18"/>
                <w:szCs w:val="18"/>
              </w:rPr>
              <w:t>六届董事会第二十三次会议审议通过，同意公司及久其政务拟使用不超过</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0"/>
                <w:sz w:val="18"/>
                <w:szCs w:val="18"/>
              </w:rPr>
              <w:t> </w:t>
            </w:r>
            <w:r>
              <w:rPr>
                <w:rFonts w:ascii="宋体" w:hAnsi="宋体" w:cs="宋体" w:eastAsia="宋体" w:hint="default"/>
                <w:spacing w:val="-2"/>
                <w:sz w:val="18"/>
                <w:szCs w:val="18"/>
              </w:rPr>
              <w:t>亿元人民币的闲置募集资金暂时补充流动资金，期限不超</w:t>
            </w:r>
          </w:p>
          <w:p>
            <w:pPr>
              <w:pStyle w:val="TableParagraph"/>
              <w:spacing w:line="300" w:lineRule="auto" w:before="63"/>
              <w:ind w:left="24" w:right="20"/>
              <w:jc w:val="left"/>
              <w:rPr>
                <w:rFonts w:ascii="宋体" w:hAnsi="宋体" w:cs="宋体" w:eastAsia="宋体" w:hint="default"/>
                <w:sz w:val="18"/>
                <w:szCs w:val="18"/>
              </w:rPr>
            </w:pPr>
            <w:r>
              <w:rPr>
                <w:rFonts w:ascii="宋体" w:hAnsi="宋体" w:cs="宋体" w:eastAsia="宋体" w:hint="default"/>
                <w:sz w:val="18"/>
                <w:szCs w:val="18"/>
              </w:rPr>
              <w:t>过</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日，经公司第六届董事会第二十九次（临时）会议审议通过，同意增加华夏电通和久其数字为使用部分 闲置募集资金暂时补充流动资金的实施主体。</w:t>
            </w:r>
          </w:p>
          <w:p>
            <w:pPr>
              <w:pStyle w:val="TableParagraph"/>
              <w:spacing w:line="240" w:lineRule="auto" w:before="7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日，公司将暂时补充流动资金的募集资金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19,054.78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万元全部归还至公司及子公司的募集资金专用账户。</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2"/>
                <w:sz w:val="18"/>
                <w:szCs w:val="18"/>
              </w:rPr>
              <w:t>日，经公司第六届董事会第三十三次（临时）会议审议通过，同意公司及久其政务、华夏电通、久其数字继续使用合计不超过</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亿元</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人民币暂时闲置的募集资金补充流动资金，期限不超过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日，公司及子公司实际使用闲置募集资金暂时补充流动资金的金额为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16,515.37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403" w:hRule="exact"/>
        </w:trPr>
        <w:tc>
          <w:tcPr>
            <w:tcW w:w="35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项目实施出现募集资金结余的金额及原因</w:t>
            </w:r>
          </w:p>
        </w:tc>
        <w:tc>
          <w:tcPr>
            <w:tcW w:w="10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370" w:hRule="exact"/>
        </w:trPr>
        <w:tc>
          <w:tcPr>
            <w:tcW w:w="35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尚未使用的募集资金用途及去向</w:t>
            </w:r>
          </w:p>
        </w:tc>
        <w:tc>
          <w:tcPr>
            <w:tcW w:w="10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日，尚未使用的募集资金余额或暂时补充流动资金，或根据需要进行现金管理，或存放于募集资金专户中。</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、暂时补充流动资金情况详见本表</w:t>
            </w:r>
            <w:r>
              <w:rPr>
                <w:rFonts w:ascii="Times New Roman" w:hAnsi="Times New Roman" w:cs="Times New Roman" w:eastAsia="Times New Roman" w:hint="default"/>
                <w:sz w:val="18"/>
                <w:szCs w:val="18"/>
              </w:rPr>
              <w:t>“</w:t>
            </w:r>
            <w:r>
              <w:rPr>
                <w:rFonts w:ascii="宋体" w:hAnsi="宋体" w:cs="宋体" w:eastAsia="宋体" w:hint="default"/>
                <w:sz w:val="18"/>
                <w:szCs w:val="18"/>
              </w:rPr>
              <w:t>用闲置募集资金暂时补充流动资金情况</w:t>
            </w:r>
            <w:r>
              <w:rPr>
                <w:rFonts w:ascii="Times New Roman" w:hAnsi="Times New Roman" w:cs="Times New Roman" w:eastAsia="Times New Roman" w:hint="default"/>
                <w:sz w:val="18"/>
                <w:szCs w:val="18"/>
              </w:rPr>
              <w:t>”</w:t>
            </w:r>
            <w:r>
              <w:rPr>
                <w:rFonts w:ascii="宋体" w:hAnsi="宋体" w:cs="宋体" w:eastAsia="宋体" w:hint="default"/>
                <w:sz w:val="18"/>
                <w:szCs w:val="18"/>
              </w:rPr>
              <w:t>部分。</w:t>
            </w:r>
          </w:p>
          <w:p>
            <w:pPr>
              <w:pStyle w:val="TableParagraph"/>
              <w:spacing w:line="240" w:lineRule="auto" w:before="10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、现金管理情况如下：</w:t>
            </w:r>
            <w:r>
              <w:rPr>
                <w:rFonts w:ascii="宋体" w:hAnsi="宋体" w:cs="宋体" w:eastAsia="宋体" w:hint="default"/>
                <w:spacing w:val="-1"/>
                <w:sz w:val="18"/>
                <w:szCs w:val="18"/>
              </w:rPr>
              <w:t> </w:t>
            </w:r>
            <w:r>
              <w:rPr>
                <w:rFonts w:ascii="宋体" w:hAnsi="宋体" w:cs="宋体" w:eastAsia="宋体" w:hint="default"/>
                <w:sz w:val="18"/>
                <w:szCs w:val="18"/>
              </w:rPr>
              <w:t>经公司于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年第四次临时股东大会审议通过，同意公司及久其政务在不影响募</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投项目建设和募集资金正常使用的前提下，继续使用不超过人民币 </w:t>
            </w:r>
            <w:r>
              <w:rPr>
                <w:rFonts w:ascii="Times New Roman" w:hAnsi="Times New Roman" w:cs="Times New Roman" w:eastAsia="Times New Roman" w:hint="default"/>
                <w:sz w:val="18"/>
                <w:szCs w:val="18"/>
              </w:rPr>
              <w:t>45,000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万元暂时闲置的募集资金进行现金管理，投资期限不超过</w:t>
            </w:r>
          </w:p>
          <w:p>
            <w:pPr>
              <w:pStyle w:val="TableParagraph"/>
              <w:spacing w:line="300" w:lineRule="auto" w:before="63"/>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个月。在上述额度和期限内，资金可以滚动使用。</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日，经公司第六届董事会第二十九次（临时）会议审议通过，同 意增加华夏电通和久其数字为使用部分暂时闲置募集资金进行现金管理的实施主体。</w:t>
            </w:r>
          </w:p>
          <w:p>
            <w:pPr>
              <w:pStyle w:val="TableParagraph"/>
              <w:spacing w:line="240" w:lineRule="auto" w:before="7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日，经公司</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年第三次临时股东大会审议通过，同意公司及久其政务、华夏电通、久其数字继续使用总额不超过</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40,000 </w:t>
            </w:r>
            <w:r>
              <w:rPr>
                <w:rFonts w:ascii="宋体" w:hAnsi="宋体" w:cs="宋体" w:eastAsia="宋体" w:hint="default"/>
                <w:sz w:val="18"/>
                <w:szCs w:val="18"/>
              </w:rPr>
              <w:t>万元暂时闲置的募集资金进行现金管理，期限不超过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个月。在上述额度和期限内，资金可以滚动使用。</w:t>
            </w:r>
          </w:p>
          <w:p>
            <w:pPr>
              <w:pStyle w:val="TableParagraph"/>
              <w:spacing w:line="300" w:lineRule="auto" w:before="101"/>
              <w:ind w:left="24" w:right="19"/>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日，公司及子公司进行尚未赎回的现金管理余额为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27,900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万元，报告期收到的理财收益为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1,098.38</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万元。报告</w:t>
            </w:r>
            <w:r>
              <w:rPr>
                <w:rFonts w:ascii="宋体" w:hAnsi="宋体" w:cs="宋体" w:eastAsia="宋体" w:hint="default"/>
                <w:sz w:val="18"/>
                <w:szCs w:val="18"/>
              </w:rPr>
              <w:t> </w:t>
            </w:r>
            <w:r>
              <w:rPr>
                <w:rFonts w:ascii="宋体" w:hAnsi="宋体" w:cs="宋体" w:eastAsia="宋体" w:hint="default"/>
                <w:spacing w:val="-2"/>
                <w:w w:val="99"/>
                <w:sz w:val="18"/>
                <w:szCs w:val="18"/>
              </w:rPr>
              <w:t>期内现金管理的进展情况已在指定信息披露媒体《中国证券报》《证券时报》和巨潮资讯网（</w:t>
            </w:r>
            <w:hyperlink r:id="rId13">
              <w:r>
                <w:rPr>
                  <w:rFonts w:ascii="Times New Roman" w:hAnsi="Times New Roman" w:cs="Times New Roman" w:eastAsia="Times New Roman" w:hint="default"/>
                  <w:spacing w:val="-2"/>
                  <w:w w:val="99"/>
                  <w:sz w:val="18"/>
                  <w:szCs w:val="18"/>
                </w:rPr>
                <w:t>www.cninfo.com.cn</w:t>
              </w:r>
            </w:hyperlink>
            <w:r>
              <w:rPr>
                <w:rFonts w:ascii="宋体" w:hAnsi="宋体" w:cs="宋体" w:eastAsia="宋体" w:hint="default"/>
                <w:spacing w:val="-2"/>
                <w:w w:val="99"/>
                <w:sz w:val="18"/>
                <w:szCs w:val="18"/>
              </w:rPr>
              <w:t>）上公开披露。</w:t>
            </w:r>
          </w:p>
        </w:tc>
      </w:tr>
      <w:tr>
        <w:trPr>
          <w:trHeight w:val="1027"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57"/>
              <w:jc w:val="left"/>
              <w:rPr>
                <w:rFonts w:ascii="宋体" w:hAnsi="宋体" w:cs="宋体" w:eastAsia="宋体" w:hint="default"/>
                <w:sz w:val="18"/>
                <w:szCs w:val="18"/>
              </w:rPr>
            </w:pPr>
            <w:r>
              <w:rPr>
                <w:rFonts w:ascii="宋体" w:hAnsi="宋体" w:cs="宋体" w:eastAsia="宋体" w:hint="default"/>
                <w:sz w:val="18"/>
                <w:szCs w:val="18"/>
              </w:rPr>
              <w:t>募集资金使用及披露中存在的问题或其他情 况</w:t>
            </w:r>
          </w:p>
        </w:tc>
        <w:tc>
          <w:tcPr>
            <w:tcW w:w="1041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日，公司召开第六届董事会第三十二次（临时）会议，同意公司根据项目建设实际需要及市场环境变化情况，对</w:t>
            </w:r>
            <w:r>
              <w:rPr>
                <w:rFonts w:ascii="Times New Roman" w:hAnsi="Times New Roman" w:cs="Times New Roman" w:eastAsia="Times New Roman" w:hint="default"/>
                <w:sz w:val="18"/>
                <w:szCs w:val="18"/>
              </w:rPr>
              <w:t>“</w:t>
            </w:r>
            <w:r>
              <w:rPr>
                <w:rFonts w:ascii="宋体" w:hAnsi="宋体" w:cs="宋体" w:eastAsia="宋体" w:hint="default"/>
                <w:sz w:val="18"/>
                <w:szCs w:val="18"/>
              </w:rPr>
              <w:t>下 一代集团管控平台</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政企大数据平台</w:t>
            </w:r>
            <w:r>
              <w:rPr>
                <w:rFonts w:ascii="Times New Roman" w:hAnsi="Times New Roman" w:cs="Times New Roman" w:eastAsia="Times New Roman" w:hint="default"/>
                <w:sz w:val="18"/>
                <w:szCs w:val="18"/>
              </w:rPr>
              <w:t>”</w:t>
            </w:r>
            <w:r>
              <w:rPr>
                <w:rFonts w:ascii="宋体" w:hAnsi="宋体" w:cs="宋体" w:eastAsia="宋体" w:hint="default"/>
                <w:sz w:val="18"/>
                <w:szCs w:val="18"/>
              </w:rPr>
              <w:t>两个募投项目中部分拟购置软硬件设备的数量及型号进行调整，该次调整事项不存在改变募</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投项目的建设内容及募集资金用途的情形。</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left="120" w:right="10638"/>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120" w:right="1063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after="0" w:line="340" w:lineRule="auto"/>
        <w:jc w:val="left"/>
        <w:sectPr>
          <w:pgSz w:w="16840" w:h="11910" w:orient="landscape"/>
          <w:pgMar w:header="867" w:footer="980" w:top="1060" w:bottom="1160" w:left="1320" w:right="1320"/>
        </w:sectPr>
      </w:pPr>
    </w:p>
    <w:p>
      <w:pPr>
        <w:pStyle w:val="Heading2"/>
        <w:spacing w:line="240" w:lineRule="auto" w:before="28"/>
        <w:ind w:left="140" w:right="0"/>
        <w:jc w:val="left"/>
        <w:rPr>
          <w:b w:val="0"/>
          <w:bCs w:val="0"/>
        </w:rPr>
      </w:pPr>
      <w:r>
        <w:rPr/>
        <w:pict>
          <v:group style="position:absolute;margin-left:70.559998pt;margin-top:2.195603pt;width:700.9pt;height:.1pt;mso-position-horizontal-relative:page;mso-position-vertical-relative:paragraph;z-index:-1185472" coordorigin="1411,44" coordsize="14018,2">
            <v:shape style="position:absolute;left:1411;top:44;width:14018;height:2" coordorigin="1411,44" coordsize="14018,0" path="m1411,44l15429,44e" filled="false" stroked="true" strokeweight=".72pt" strokecolor="#000000">
              <v:path arrowok="t"/>
            </v:shape>
            <w10:wrap type="none"/>
          </v:group>
        </w:pict>
      </w:r>
      <w:bookmarkStart w:name="六、重大资产和股权出售" w:id="54"/>
      <w:bookmarkEnd w:id="54"/>
      <w:r>
        <w:rPr>
          <w:b w:val="0"/>
          <w:bCs w:val="0"/>
        </w:rPr>
      </w: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40" w:right="0"/>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140" w:right="117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7"/>
        <w:rPr>
          <w:rFonts w:ascii="宋体" w:hAnsi="宋体" w:cs="宋体" w:eastAsia="宋体" w:hint="default"/>
          <w:sz w:val="21"/>
          <w:szCs w:val="21"/>
        </w:rPr>
      </w:pPr>
    </w:p>
    <w:p>
      <w:pPr>
        <w:pStyle w:val="Heading3"/>
        <w:spacing w:line="240" w:lineRule="auto"/>
        <w:ind w:left="140" w:right="0"/>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476"/>
        <w:gridCol w:w="612"/>
        <w:gridCol w:w="552"/>
        <w:gridCol w:w="665"/>
        <w:gridCol w:w="847"/>
        <w:gridCol w:w="2837"/>
        <w:gridCol w:w="850"/>
        <w:gridCol w:w="566"/>
        <w:gridCol w:w="473"/>
        <w:gridCol w:w="521"/>
        <w:gridCol w:w="708"/>
        <w:gridCol w:w="1702"/>
        <w:gridCol w:w="992"/>
        <w:gridCol w:w="2189"/>
      </w:tblGrid>
      <w:tr>
        <w:trPr>
          <w:trHeight w:val="2274" w:hRule="exact"/>
        </w:trPr>
        <w:tc>
          <w:tcPr>
            <w:tcW w:w="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52" w:right="51"/>
              <w:jc w:val="left"/>
              <w:rPr>
                <w:rFonts w:ascii="宋体" w:hAnsi="宋体" w:cs="宋体" w:eastAsia="宋体" w:hint="default"/>
                <w:sz w:val="18"/>
                <w:szCs w:val="18"/>
              </w:rPr>
            </w:pPr>
            <w:r>
              <w:rPr>
                <w:rFonts w:ascii="宋体" w:hAnsi="宋体" w:cs="宋体" w:eastAsia="宋体" w:hint="default"/>
                <w:sz w:val="18"/>
                <w:szCs w:val="18"/>
              </w:rPr>
              <w:t>交易 对方</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119" w:right="31" w:hanging="92"/>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180" w:right="91" w:hanging="92"/>
              <w:jc w:val="left"/>
              <w:rPr>
                <w:rFonts w:ascii="宋体" w:hAnsi="宋体" w:cs="宋体" w:eastAsia="宋体" w:hint="default"/>
                <w:sz w:val="18"/>
                <w:szCs w:val="18"/>
              </w:rPr>
            </w:pPr>
            <w:r>
              <w:rPr>
                <w:rFonts w:ascii="宋体" w:hAnsi="宋体" w:cs="宋体" w:eastAsia="宋体" w:hint="default"/>
                <w:sz w:val="18"/>
                <w:szCs w:val="18"/>
              </w:rPr>
              <w:t>出售 日</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55" w:right="59"/>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7" w:right="59"/>
              <w:jc w:val="center"/>
              <w:rPr>
                <w:rFonts w:ascii="宋体" w:hAnsi="宋体" w:cs="宋体" w:eastAsia="宋体" w:hint="default"/>
                <w:sz w:val="18"/>
                <w:szCs w:val="18"/>
              </w:rPr>
            </w:pPr>
            <w:r>
              <w:rPr>
                <w:rFonts w:ascii="宋体" w:hAnsi="宋体" w:cs="宋体" w:eastAsia="宋体" w:hint="default"/>
                <w:sz w:val="18"/>
                <w:szCs w:val="18"/>
              </w:rPr>
              <w:t>本期初起 至出售日 该股权为 上市公司 贡献的净 利润（万 元）</w:t>
            </w:r>
          </w:p>
        </w:tc>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693" w:right="0"/>
              <w:jc w:val="left"/>
              <w:rPr>
                <w:rFonts w:ascii="宋体" w:hAnsi="宋体" w:cs="宋体" w:eastAsia="宋体" w:hint="default"/>
                <w:sz w:val="18"/>
                <w:szCs w:val="18"/>
              </w:rPr>
            </w:pPr>
            <w:r>
              <w:rPr>
                <w:rFonts w:ascii="宋体" w:hAnsi="宋体" w:cs="宋体" w:eastAsia="宋体" w:hint="default"/>
                <w:sz w:val="18"/>
                <w:szCs w:val="18"/>
              </w:rPr>
              <w:t>出售对公司的影响</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7" w:right="60"/>
              <w:jc w:val="both"/>
              <w:rPr>
                <w:rFonts w:ascii="宋体" w:hAnsi="宋体" w:cs="宋体" w:eastAsia="宋体" w:hint="default"/>
                <w:sz w:val="18"/>
                <w:szCs w:val="18"/>
              </w:rPr>
            </w:pPr>
            <w:r>
              <w:rPr>
                <w:rFonts w:ascii="宋体" w:hAnsi="宋体" w:cs="宋体" w:eastAsia="宋体" w:hint="default"/>
                <w:sz w:val="18"/>
                <w:szCs w:val="18"/>
              </w:rPr>
              <w:t>股权出售 为上市公 司贡献的 净利润占 净利润总 额的比例</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96" w:right="98"/>
              <w:jc w:val="both"/>
              <w:rPr>
                <w:rFonts w:ascii="宋体" w:hAnsi="宋体" w:cs="宋体" w:eastAsia="宋体" w:hint="default"/>
                <w:sz w:val="18"/>
                <w:szCs w:val="18"/>
              </w:rPr>
            </w:pPr>
            <w:r>
              <w:rPr>
                <w:rFonts w:ascii="宋体" w:hAnsi="宋体" w:cs="宋体" w:eastAsia="宋体" w:hint="default"/>
                <w:sz w:val="18"/>
                <w:szCs w:val="18"/>
              </w:rPr>
              <w:t>股权 出售 定价 原则</w:t>
            </w:r>
          </w:p>
        </w:tc>
        <w:tc>
          <w:tcPr>
            <w:tcW w:w="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50" w:right="51"/>
              <w:jc w:val="both"/>
              <w:rPr>
                <w:rFonts w:ascii="宋体" w:hAnsi="宋体" w:cs="宋体" w:eastAsia="宋体" w:hint="default"/>
                <w:sz w:val="18"/>
                <w:szCs w:val="18"/>
              </w:rPr>
            </w:pPr>
            <w:r>
              <w:rPr>
                <w:rFonts w:ascii="宋体" w:hAnsi="宋体" w:cs="宋体" w:eastAsia="宋体" w:hint="default"/>
                <w:sz w:val="18"/>
                <w:szCs w:val="18"/>
              </w:rPr>
              <w:t>是否 为关 联交 易</w:t>
            </w:r>
          </w:p>
        </w:tc>
        <w:tc>
          <w:tcPr>
            <w:tcW w:w="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74" w:right="74"/>
              <w:jc w:val="both"/>
              <w:rPr>
                <w:rFonts w:ascii="宋体" w:hAnsi="宋体" w:cs="宋体" w:eastAsia="宋体" w:hint="default"/>
                <w:sz w:val="18"/>
                <w:szCs w:val="18"/>
              </w:rPr>
            </w:pPr>
            <w:r>
              <w:rPr>
                <w:rFonts w:ascii="宋体" w:hAnsi="宋体" w:cs="宋体" w:eastAsia="宋体" w:hint="default"/>
                <w:sz w:val="18"/>
                <w:szCs w:val="18"/>
              </w:rPr>
              <w:t>与交 易对 方的 关联 关系</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76" w:right="79"/>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1" w:right="36" w:firstLine="9"/>
              <w:jc w:val="center"/>
              <w:rPr>
                <w:rFonts w:ascii="宋体" w:hAnsi="宋体" w:cs="宋体" w:eastAsia="宋体" w:hint="default"/>
                <w:sz w:val="18"/>
                <w:szCs w:val="18"/>
              </w:rPr>
            </w:pPr>
            <w:r>
              <w:rPr>
                <w:rFonts w:ascii="宋体" w:hAnsi="宋体" w:cs="宋体" w:eastAsia="宋体" w:hint="default"/>
                <w:sz w:val="18"/>
                <w:szCs w:val="18"/>
              </w:rPr>
              <w:t>是否按计划如期实 </w:t>
            </w:r>
            <w:r>
              <w:rPr>
                <w:rFonts w:ascii="宋体" w:hAnsi="宋体" w:cs="宋体" w:eastAsia="宋体" w:hint="default"/>
                <w:spacing w:val="-8"/>
                <w:sz w:val="18"/>
                <w:szCs w:val="18"/>
              </w:rPr>
              <w:t>施，如未按计划实施</w:t>
            </w:r>
            <w:r>
              <w:rPr>
                <w:rFonts w:ascii="宋体" w:hAnsi="宋体" w:cs="宋体" w:eastAsia="宋体" w:hint="default"/>
                <w:sz w:val="18"/>
                <w:szCs w:val="18"/>
              </w:rPr>
              <w:t> 应当说明原因及公司 已采取的措施</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197" w:lineRule="exact" w:before="121"/>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7" w:lineRule="exact"/>
              <w:ind w:left="129"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2900" w:hRule="exact"/>
        </w:trPr>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3" w:right="80"/>
              <w:jc w:val="both"/>
              <w:rPr>
                <w:rFonts w:ascii="宋体" w:hAnsi="宋体" w:cs="宋体" w:eastAsia="宋体" w:hint="default"/>
                <w:sz w:val="18"/>
                <w:szCs w:val="18"/>
              </w:rPr>
            </w:pPr>
            <w:r>
              <w:rPr>
                <w:rFonts w:ascii="宋体" w:hAnsi="宋体" w:cs="宋体" w:eastAsia="宋体" w:hint="default"/>
                <w:sz w:val="18"/>
                <w:szCs w:val="18"/>
              </w:rPr>
              <w:t>北京 启顺 通达 科技 有限 公司</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22"/>
              <w:ind w:left="21"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上海移 通 </w:t>
            </w:r>
            <w:r>
              <w:rPr>
                <w:rFonts w:ascii="Times New Roman" w:hAnsi="Times New Roman" w:cs="Times New Roman" w:eastAsia="Times New Roman" w:hint="default"/>
                <w:sz w:val="18"/>
                <w:szCs w:val="18"/>
              </w:rPr>
              <w:t>100%</w:t>
            </w:r>
          </w:p>
          <w:p>
            <w:pPr>
              <w:pStyle w:val="TableParagraph"/>
              <w:spacing w:line="217" w:lineRule="exact"/>
              <w:ind w:left="21"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36" w:right="0"/>
              <w:jc w:val="left"/>
              <w:rPr>
                <w:rFonts w:ascii="Times New Roman" w:hAnsi="Times New Roman" w:cs="Times New Roman" w:eastAsia="Times New Roman" w:hint="default"/>
                <w:sz w:val="18"/>
                <w:szCs w:val="18"/>
              </w:rPr>
            </w:pPr>
            <w:r>
              <w:rPr>
                <w:rFonts w:ascii="Times New Roman"/>
                <w:sz w:val="18"/>
              </w:rPr>
              <w:t>30,300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319" w:right="0"/>
              <w:jc w:val="left"/>
              <w:rPr>
                <w:rFonts w:ascii="Times New Roman" w:hAnsi="Times New Roman" w:cs="Times New Roman" w:eastAsia="Times New Roman" w:hint="default"/>
                <w:sz w:val="18"/>
                <w:szCs w:val="18"/>
              </w:rPr>
            </w:pPr>
            <w:r>
              <w:rPr>
                <w:rFonts w:ascii="Times New Roman"/>
                <w:sz w:val="18"/>
              </w:rPr>
              <w:t>474.05</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对公司生产经营和当期损益不构成 重大影响，且本次交易有利于消除 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年度保留意见事项的不利 影响，同时公司接受关联方启顺通 达与控股股东久其科技在特定情形 下的补偿安排，有利于减少上市公 司损失并保护中小股东利益。本次 股权转让完成后，上海移通不再纳 入公司合并报表范围。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90" w:right="0"/>
              <w:jc w:val="left"/>
              <w:rPr>
                <w:rFonts w:ascii="Times New Roman" w:hAnsi="Times New Roman" w:cs="Times New Roman" w:eastAsia="Times New Roman" w:hint="default"/>
                <w:sz w:val="18"/>
                <w:szCs w:val="18"/>
              </w:rPr>
            </w:pPr>
            <w:r>
              <w:rPr>
                <w:rFonts w:ascii="Times New Roman"/>
                <w:sz w:val="18"/>
              </w:rPr>
              <w:t>-1.24%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1" w:right="173"/>
              <w:jc w:val="left"/>
              <w:rPr>
                <w:rFonts w:ascii="宋体" w:hAnsi="宋体" w:cs="宋体" w:eastAsia="宋体" w:hint="default"/>
                <w:sz w:val="18"/>
                <w:szCs w:val="18"/>
              </w:rPr>
            </w:pPr>
            <w:r>
              <w:rPr>
                <w:rFonts w:ascii="宋体" w:hAnsi="宋体" w:cs="宋体" w:eastAsia="宋体" w:hint="default"/>
                <w:sz w:val="18"/>
                <w:szCs w:val="18"/>
              </w:rPr>
              <w:t>市场 价值</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 w:right="127"/>
              <w:jc w:val="both"/>
              <w:rPr>
                <w:rFonts w:ascii="宋体" w:hAnsi="宋体" w:cs="宋体" w:eastAsia="宋体" w:hint="default"/>
                <w:sz w:val="18"/>
                <w:szCs w:val="18"/>
              </w:rPr>
            </w:pPr>
            <w:r>
              <w:rPr>
                <w:rFonts w:ascii="宋体" w:hAnsi="宋体" w:cs="宋体" w:eastAsia="宋体" w:hint="default"/>
                <w:sz w:val="18"/>
                <w:szCs w:val="18"/>
              </w:rPr>
              <w:t>公司 实际 控制 人控 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21" w:right="48"/>
              <w:jc w:val="left"/>
              <w:rPr>
                <w:rFonts w:ascii="宋体" w:hAnsi="宋体" w:cs="宋体" w:eastAsia="宋体" w:hint="default"/>
                <w:sz w:val="18"/>
                <w:szCs w:val="18"/>
              </w:rPr>
            </w:pPr>
            <w:r>
              <w:rPr>
                <w:rFonts w:ascii="宋体" w:hAnsi="宋体" w:cs="宋体" w:eastAsia="宋体" w:hint="default"/>
                <w:sz w:val="18"/>
                <w:szCs w:val="18"/>
              </w:rPr>
              <w:t>上海移通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 资产交割已完成，但 因公司并购贷款尚未 全部偿还，截至本报 告披露日，上海移通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股权尚处于质 押状态，未办理完成 工商变更登记手续。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9" w:lineRule="auto"/>
              <w:ind w:left="24" w:right="65"/>
              <w:jc w:val="left"/>
              <w:rPr>
                <w:rFonts w:ascii="宋体" w:hAnsi="宋体" w:cs="宋体" w:eastAsia="宋体" w:hint="default"/>
                <w:sz w:val="18"/>
                <w:szCs w:val="18"/>
              </w:rPr>
            </w:pPr>
            <w:r>
              <w:rPr>
                <w:rFonts w:ascii="宋体" w:hAnsi="宋体" w:cs="宋体" w:eastAsia="宋体" w:hint="default"/>
                <w:sz w:val="18"/>
                <w:szCs w:val="18"/>
              </w:rPr>
              <w:t>《关于向关联方转让上海 移通网络有限公司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权及关联方补偿安排的公 </w:t>
            </w:r>
            <w:r>
              <w:rPr>
                <w:rFonts w:ascii="宋体" w:hAnsi="宋体" w:cs="宋体" w:eastAsia="宋体" w:hint="default"/>
                <w:spacing w:val="-14"/>
                <w:sz w:val="18"/>
                <w:szCs w:val="18"/>
              </w:rPr>
              <w:t>告》（公告编号</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2019-099</w:t>
            </w:r>
            <w:r>
              <w:rPr>
                <w:rFonts w:ascii="宋体" w:hAnsi="宋体" w:cs="宋体" w:eastAsia="宋体" w:hint="default"/>
                <w:sz w:val="18"/>
                <w:szCs w:val="18"/>
              </w:rPr>
              <w:t>） 详见巨潮资讯网</w:t>
            </w:r>
          </w:p>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line="240" w:lineRule="auto" w:before="1"/>
        <w:rPr>
          <w:rFonts w:ascii="宋体" w:hAnsi="宋体" w:cs="宋体" w:eastAsia="宋体" w:hint="default"/>
          <w:sz w:val="18"/>
          <w:szCs w:val="18"/>
        </w:rPr>
      </w:pPr>
    </w:p>
    <w:p>
      <w:pPr>
        <w:pStyle w:val="Heading2"/>
        <w:spacing w:line="240" w:lineRule="auto" w:before="26"/>
        <w:ind w:left="140" w:right="0"/>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6840" w:h="11910" w:orient="landscape"/>
          <w:pgMar w:header="867" w:footer="980" w:top="1060" w:bottom="1160" w:left="1300" w:right="128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17"/>
        <w:ind w:left="140" w:right="0"/>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pStyle w:val="BodyText"/>
        <w:spacing w:line="240" w:lineRule="auto" w:before="103"/>
        <w:ind w:left="0" w:right="157"/>
        <w:jc w:val="right"/>
      </w:pPr>
      <w:r>
        <w:rPr/>
        <w:t>单位：元</w:t>
      </w:r>
    </w:p>
    <w:p>
      <w:pPr>
        <w:spacing w:line="240" w:lineRule="auto" w:before="4"/>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2945"/>
        <w:gridCol w:w="852"/>
        <w:gridCol w:w="2693"/>
        <w:gridCol w:w="1133"/>
        <w:gridCol w:w="1277"/>
        <w:gridCol w:w="1181"/>
        <w:gridCol w:w="1369"/>
        <w:gridCol w:w="1277"/>
        <w:gridCol w:w="1195"/>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4"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北京华夏电通科技有限公司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40"/>
              <w:jc w:val="left"/>
              <w:rPr>
                <w:rFonts w:ascii="宋体" w:hAnsi="宋体" w:cs="宋体" w:eastAsia="宋体" w:hint="default"/>
                <w:sz w:val="18"/>
                <w:szCs w:val="18"/>
              </w:rPr>
            </w:pPr>
            <w:r>
              <w:rPr>
                <w:rFonts w:ascii="宋体" w:hAnsi="宋体" w:cs="宋体" w:eastAsia="宋体" w:hint="default"/>
                <w:sz w:val="18"/>
                <w:szCs w:val="18"/>
              </w:rPr>
              <w:t>提供科技法庭与智慧庭审产品及 解决方案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91,300,000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356,122,679.73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298,542,510.56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198,164,675.42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35,674,119.94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32,320,004.81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北京亿起联科技有限公司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提供国内外移动互联网营销服务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570,235,030.10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242,465,044.86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1,453,718,988.94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22,952,895.82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25,173,192.56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北京瑞意恒动科技有限公司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提供社会化营销服务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21,049,979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141,560,098.38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123,080,501.63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159,495,827.26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23,825,140.53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21,384,079.91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北京久其金建科技有限公司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提供建筑行业信息化解决方案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63,098,283.02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52,078,768.19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63,254,769.76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9,786,588.62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11,961,907.48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北京久其政务软件股份有限公司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提供政府信息化产品与服务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358,460,873.16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353,999,178.75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40,105,518.52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5,697,952.23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6,491,710.34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北京蜂语网络科技有限公司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2"/>
              <w:jc w:val="left"/>
              <w:rPr>
                <w:rFonts w:ascii="宋体" w:hAnsi="宋体" w:cs="宋体" w:eastAsia="宋体" w:hint="default"/>
                <w:sz w:val="18"/>
                <w:szCs w:val="18"/>
              </w:rPr>
            </w:pPr>
            <w:r>
              <w:rPr>
                <w:rFonts w:ascii="宋体" w:hAnsi="宋体" w:cs="宋体" w:eastAsia="宋体" w:hint="default"/>
                <w:spacing w:val="-5"/>
                <w:sz w:val="18"/>
                <w:szCs w:val="18"/>
              </w:rPr>
              <w:t>提供产业园区、写字楼的智慧运营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管理服务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2,042,151.84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-2,920,050.26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7,127,737.05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-5,412,995.15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-5,376,753.67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西安久其软件有限公司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提供管理软件信息化解决方案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5,997,072.45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-7,971,570.89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8,446,843.42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-6,264,216.42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-6,236,151.42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海南久其互联网产业研究院有限公司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产业孵化与对外投资平台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25,685,864.34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21,499,268.11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-8,480,784.10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-8,366,076.27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久其数字传播有限公司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提供一站式数字营销服务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195,893,539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233,670,820.85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93,147,240.67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218,070,346.82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-26,248,153.72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-26,221,150.89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深圳市久金保商业保理有限公司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商业保理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126,033,451.69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75,827,651.28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7,586,933.36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-45,759,188.22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-52,048,463.04</w:t>
            </w:r>
          </w:p>
        </w:tc>
      </w:tr>
    </w:tbl>
    <w:p>
      <w:pPr>
        <w:pStyle w:val="BodyText"/>
        <w:spacing w:line="240" w:lineRule="auto" w:before="49"/>
        <w:ind w:left="140" w:right="0"/>
        <w:jc w:val="left"/>
      </w:pPr>
      <w:r>
        <w:rPr/>
        <w:t>报告期内取得和处置子公司的情况</w:t>
      </w:r>
    </w:p>
    <w:p>
      <w:pPr>
        <w:pStyle w:val="BodyText"/>
        <w:spacing w:line="240" w:lineRule="auto" w:before="117"/>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3444"/>
        <w:gridCol w:w="3478"/>
        <w:gridCol w:w="7095"/>
      </w:tblGrid>
      <w:tr>
        <w:trPr>
          <w:trHeight w:val="402" w:hRule="exact"/>
        </w:trPr>
        <w:tc>
          <w:tcPr>
            <w:tcW w:w="3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7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
              <w:jc w:val="center"/>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1025" w:hRule="exact"/>
        </w:trPr>
        <w:tc>
          <w:tcPr>
            <w:tcW w:w="3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48"/>
              <w:jc w:val="left"/>
              <w:rPr>
                <w:rFonts w:ascii="宋体" w:hAnsi="宋体" w:cs="宋体" w:eastAsia="宋体" w:hint="default"/>
                <w:sz w:val="18"/>
                <w:szCs w:val="18"/>
              </w:rPr>
            </w:pPr>
            <w:r>
              <w:rPr>
                <w:rFonts w:ascii="宋体" w:hAnsi="宋体" w:cs="宋体" w:eastAsia="宋体" w:hint="default"/>
                <w:sz w:val="18"/>
                <w:szCs w:val="18"/>
              </w:rPr>
              <w:t>上海移通网络有限公司 上海恒瑞网络信息有限公司</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股权出售</w:t>
            </w:r>
          </w:p>
        </w:tc>
        <w:tc>
          <w:tcPr>
            <w:tcW w:w="70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1" w:right="22"/>
              <w:jc w:val="both"/>
              <w:rPr>
                <w:rFonts w:ascii="宋体" w:hAnsi="宋体" w:cs="宋体" w:eastAsia="宋体" w:hint="default"/>
                <w:sz w:val="18"/>
                <w:szCs w:val="18"/>
              </w:rPr>
            </w:pPr>
            <w:r>
              <w:rPr>
                <w:rFonts w:ascii="宋体" w:hAnsi="宋体" w:cs="宋体" w:eastAsia="宋体" w:hint="default"/>
                <w:sz w:val="18"/>
                <w:szCs w:val="18"/>
              </w:rPr>
              <w:t>有利于消除公司</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年度保留意见事项的不利影响，对公司生产经营和当期损益不构成重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大影响；同时，公司接受关联方启顺通达与控股股东久其科技在特定情形下的补偿安排， 有利于减少上市公司损失并保护中小股东利益。</w:t>
            </w:r>
          </w:p>
        </w:tc>
      </w:tr>
      <w:tr>
        <w:trPr>
          <w:trHeight w:val="1027" w:hRule="exact"/>
        </w:trPr>
        <w:tc>
          <w:tcPr>
            <w:tcW w:w="34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48"/>
              <w:jc w:val="both"/>
              <w:rPr>
                <w:rFonts w:ascii="宋体" w:hAnsi="宋体" w:cs="宋体" w:eastAsia="宋体" w:hint="default"/>
                <w:sz w:val="18"/>
                <w:szCs w:val="18"/>
              </w:rPr>
            </w:pPr>
            <w:r>
              <w:rPr>
                <w:rFonts w:ascii="宋体" w:hAnsi="宋体" w:cs="宋体" w:eastAsia="宋体" w:hint="default"/>
                <w:sz w:val="18"/>
                <w:szCs w:val="18"/>
              </w:rPr>
              <w:t>小驿科技（海南）有限公司 霍尔果斯玩否科技有限公司 上海缘点网络科技有限公司</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清算注销</w:t>
            </w:r>
          </w:p>
        </w:tc>
        <w:tc>
          <w:tcPr>
            <w:tcW w:w="7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1" w:right="41"/>
              <w:jc w:val="left"/>
              <w:rPr>
                <w:rFonts w:ascii="宋体" w:hAnsi="宋体" w:cs="宋体" w:eastAsia="宋体" w:hint="default"/>
                <w:sz w:val="18"/>
                <w:szCs w:val="18"/>
              </w:rPr>
            </w:pPr>
            <w:r>
              <w:rPr>
                <w:rFonts w:ascii="宋体" w:hAnsi="宋体" w:cs="宋体" w:eastAsia="宋体" w:hint="default"/>
                <w:sz w:val="18"/>
                <w:szCs w:val="18"/>
              </w:rPr>
              <w:t>公司根据经营需要，对三级子公司股权进行清理，有利于优化对外投资，聚焦主营业务发 展。</w:t>
            </w:r>
          </w:p>
        </w:tc>
      </w:tr>
    </w:tbl>
    <w:p>
      <w:pPr>
        <w:spacing w:after="0" w:line="314" w:lineRule="auto"/>
        <w:jc w:val="left"/>
        <w:rPr>
          <w:rFonts w:ascii="宋体" w:hAnsi="宋体" w:cs="宋体" w:eastAsia="宋体" w:hint="default"/>
          <w:sz w:val="18"/>
          <w:szCs w:val="18"/>
        </w:rPr>
        <w:sectPr>
          <w:pgSz w:w="16840" w:h="11910" w:orient="landscape"/>
          <w:pgMar w:header="867" w:footer="980" w:top="1060" w:bottom="1160" w:left="1300" w:right="1280"/>
        </w:sectPr>
      </w:pPr>
    </w:p>
    <w:p>
      <w:pPr>
        <w:spacing w:line="240" w:lineRule="auto" w:before="11"/>
        <w:rPr>
          <w:rFonts w:ascii="宋体" w:hAnsi="宋体" w:cs="宋体" w:eastAsia="宋体" w:hint="default"/>
          <w:sz w:val="21"/>
          <w:szCs w:val="21"/>
        </w:rPr>
      </w:pPr>
    </w:p>
    <w:p>
      <w:pPr>
        <w:pStyle w:val="BodyText"/>
        <w:spacing w:line="240" w:lineRule="auto" w:before="44"/>
        <w:ind w:right="0"/>
        <w:jc w:val="both"/>
      </w:pPr>
      <w:r>
        <w:rPr/>
        <w:t>主要控股参股公司情况说明</w:t>
      </w:r>
    </w:p>
    <w:p>
      <w:pPr>
        <w:pStyle w:val="BodyText"/>
        <w:spacing w:line="300" w:lineRule="auto" w:before="117"/>
        <w:ind w:left="513" w:right="1115"/>
        <w:jc w:val="left"/>
      </w:pPr>
      <w:r>
        <w:rPr>
          <w:rFonts w:ascii="Times New Roman" w:hAnsi="Times New Roman" w:cs="Times New Roman" w:eastAsia="Times New Roman" w:hint="default"/>
          <w:b/>
          <w:bCs/>
        </w:rPr>
        <w:t>1</w:t>
      </w:r>
      <w:r>
        <w:rPr>
          <w:rFonts w:ascii="宋体" w:hAnsi="宋体" w:cs="宋体" w:eastAsia="宋体" w:hint="default"/>
          <w:b/>
          <w:bCs/>
        </w:rPr>
        <w:t>、华夏电通</w:t>
      </w:r>
      <w:r>
        <w:rPr>
          <w:rFonts w:ascii="宋体" w:hAnsi="宋体" w:cs="宋体" w:eastAsia="宋体" w:hint="default"/>
          <w:b/>
          <w:bCs/>
          <w:w w:val="99"/>
        </w:rPr>
        <w:t> </w:t>
      </w:r>
      <w:r>
        <w:rPr>
          <w:spacing w:val="-2"/>
        </w:rPr>
        <w:t>报告期，华夏电通积极推进业务升级，但智慧法院等新业务的实施交付周期较传统业务长，对本期收入和利润造成一定</w:t>
      </w:r>
    </w:p>
    <w:p>
      <w:pPr>
        <w:pStyle w:val="BodyText"/>
        <w:spacing w:line="300" w:lineRule="auto" w:before="31"/>
        <w:ind w:right="1115"/>
        <w:jc w:val="left"/>
      </w:pPr>
      <w:r>
        <w:rPr>
          <w:spacing w:val="-1"/>
        </w:rPr>
        <w:t>影响，实现营业收入</w:t>
      </w:r>
      <w:r>
        <w:rPr>
          <w:rFonts w:ascii="Times New Roman" w:hAnsi="Times New Roman" w:cs="Times New Roman" w:eastAsia="Times New Roman" w:hint="default"/>
          <w:spacing w:val="-1"/>
        </w:rPr>
        <w:t>19,816.47</w:t>
      </w:r>
      <w:r>
        <w:rPr>
          <w:spacing w:val="-1"/>
        </w:rPr>
        <w:t>万元，同比下降</w:t>
      </w:r>
      <w:r>
        <w:rPr>
          <w:rFonts w:ascii="Times New Roman" w:hAnsi="Times New Roman" w:cs="Times New Roman" w:eastAsia="Times New Roman" w:hint="default"/>
          <w:spacing w:val="-1"/>
        </w:rPr>
        <w:t>32.70%</w:t>
      </w:r>
      <w:r>
        <w:rPr>
          <w:spacing w:val="-1"/>
        </w:rPr>
        <w:t>，同时加大新业务研发投入力度，导致实现净利润</w:t>
      </w:r>
      <w:r>
        <w:rPr>
          <w:rFonts w:ascii="Times New Roman" w:hAnsi="Times New Roman" w:cs="Times New Roman" w:eastAsia="Times New Roman" w:hint="default"/>
          <w:spacing w:val="-1"/>
        </w:rPr>
        <w:t>3,232.00</w:t>
      </w:r>
      <w:r>
        <w:rPr>
          <w:spacing w:val="-1"/>
        </w:rPr>
        <w:t>万元，同比</w:t>
      </w:r>
      <w:r>
        <w:rPr>
          <w:spacing w:val="-45"/>
        </w:rPr>
        <w:t> </w:t>
      </w:r>
      <w:r>
        <w:rPr>
          <w:spacing w:val="-45"/>
        </w:rPr>
      </w:r>
      <w:r>
        <w:rPr/>
        <w:t>下降</w:t>
      </w:r>
      <w:r>
        <w:rPr>
          <w:rFonts w:ascii="Times New Roman" w:hAnsi="Times New Roman" w:cs="Times New Roman" w:eastAsia="Times New Roman" w:hint="default"/>
        </w:rPr>
        <w:t>65.13%</w:t>
      </w:r>
      <w:r>
        <w:rPr/>
        <w:t>。</w:t>
      </w:r>
    </w:p>
    <w:p>
      <w:pPr>
        <w:pStyle w:val="BodyText"/>
        <w:spacing w:line="300" w:lineRule="auto" w:before="13"/>
        <w:ind w:left="513" w:right="1115" w:firstLine="45"/>
        <w:jc w:val="left"/>
      </w:pPr>
      <w:r>
        <w:rPr>
          <w:rFonts w:ascii="Times New Roman" w:hAnsi="Times New Roman" w:cs="Times New Roman" w:eastAsia="Times New Roman" w:hint="default"/>
          <w:b/>
          <w:bCs/>
        </w:rPr>
        <w:t>2</w:t>
      </w:r>
      <w:r>
        <w:rPr>
          <w:rFonts w:ascii="宋体" w:hAnsi="宋体" w:cs="宋体" w:eastAsia="宋体" w:hint="default"/>
          <w:b/>
          <w:bCs/>
        </w:rPr>
        <w:t>、亿起联科技</w:t>
      </w:r>
      <w:r>
        <w:rPr>
          <w:rFonts w:ascii="宋体" w:hAnsi="宋体" w:cs="宋体" w:eastAsia="宋体" w:hint="default"/>
          <w:b/>
          <w:bCs/>
          <w:w w:val="99"/>
        </w:rPr>
        <w:t> </w:t>
      </w:r>
      <w:r>
        <w:rPr>
          <w:spacing w:val="2"/>
        </w:rPr>
        <w:t>报告期，亿起联科技实现营业收入</w:t>
      </w:r>
      <w:r>
        <w:rPr>
          <w:rFonts w:ascii="Times New Roman" w:hAnsi="Times New Roman" w:cs="Times New Roman" w:eastAsia="Times New Roman" w:hint="default"/>
          <w:spacing w:val="2"/>
        </w:rPr>
        <w:t>145,371.90</w:t>
      </w:r>
      <w:r>
        <w:rPr>
          <w:spacing w:val="2"/>
        </w:rPr>
        <w:t>万元，同比增幅</w:t>
      </w:r>
      <w:r>
        <w:rPr>
          <w:rFonts w:ascii="Times New Roman" w:hAnsi="Times New Roman" w:cs="Times New Roman" w:eastAsia="Times New Roman" w:hint="default"/>
          <w:spacing w:val="2"/>
        </w:rPr>
        <w:t>81.71%</w:t>
      </w:r>
      <w:r>
        <w:rPr>
          <w:spacing w:val="2"/>
        </w:rPr>
        <w:t>，主要系</w:t>
      </w:r>
      <w:r>
        <w:rPr>
          <w:rFonts w:ascii="Times New Roman" w:hAnsi="Times New Roman" w:cs="Times New Roman" w:eastAsia="Times New Roman" w:hint="default"/>
          <w:spacing w:val="2"/>
        </w:rPr>
        <w:t>PandaMobo</w:t>
      </w:r>
      <w:r>
        <w:rPr>
          <w:spacing w:val="2"/>
        </w:rPr>
        <w:t>海外业务平台实现营业收入</w:t>
      </w:r>
      <w:r>
        <w:rPr/>
      </w:r>
    </w:p>
    <w:p>
      <w:pPr>
        <w:pStyle w:val="BodyText"/>
        <w:spacing w:line="300" w:lineRule="auto" w:before="13"/>
        <w:ind w:right="1115"/>
        <w:jc w:val="left"/>
      </w:pPr>
      <w:r>
        <w:rPr>
          <w:rFonts w:ascii="Times New Roman" w:hAnsi="Times New Roman" w:cs="Times New Roman" w:eastAsia="Times New Roman" w:hint="default"/>
        </w:rPr>
        <w:t>140,299.90</w:t>
      </w:r>
      <w:r>
        <w:rPr/>
        <w:t>万元，同比增幅</w:t>
      </w:r>
      <w:r>
        <w:rPr>
          <w:rFonts w:ascii="Times New Roman" w:hAnsi="Times New Roman" w:cs="Times New Roman" w:eastAsia="Times New Roman" w:hint="default"/>
        </w:rPr>
        <w:t>139.75%</w:t>
      </w:r>
      <w:r>
        <w:rPr/>
        <w:t>。但由于市场竞争日益加剧、业务模式创新不达预期，收入增长主要来自于毛利较低的</w:t>
      </w:r>
      <w:r>
        <w:rPr>
          <w:spacing w:val="-22"/>
        </w:rPr>
        <w:t> </w:t>
      </w:r>
      <w:r>
        <w:rPr>
          <w:spacing w:val="-22"/>
        </w:rPr>
      </w:r>
      <w:r>
        <w:rPr/>
        <w:t>媒介代理业务，因此实现净利润</w:t>
      </w:r>
      <w:r>
        <w:rPr>
          <w:rFonts w:ascii="Times New Roman" w:hAnsi="Times New Roman" w:cs="Times New Roman" w:eastAsia="Times New Roman" w:hint="default"/>
        </w:rPr>
        <w:t>2,517.32</w:t>
      </w:r>
      <w:r>
        <w:rPr/>
        <w:t>万元，同比增幅</w:t>
      </w:r>
      <w:r>
        <w:rPr>
          <w:rFonts w:ascii="Times New Roman" w:hAnsi="Times New Roman" w:cs="Times New Roman" w:eastAsia="Times New Roman" w:hint="default"/>
        </w:rPr>
        <w:t>30.80%</w:t>
      </w:r>
      <w:r>
        <w:rPr/>
        <w:t>，小于收入增速。</w:t>
      </w:r>
    </w:p>
    <w:p>
      <w:pPr>
        <w:pStyle w:val="BodyText"/>
        <w:spacing w:line="300" w:lineRule="auto" w:before="13"/>
        <w:ind w:left="513" w:right="1115" w:firstLine="45"/>
        <w:jc w:val="left"/>
      </w:pPr>
      <w:r>
        <w:rPr>
          <w:rFonts w:ascii="Times New Roman" w:hAnsi="Times New Roman" w:cs="Times New Roman" w:eastAsia="Times New Roman" w:hint="default"/>
          <w:b/>
          <w:bCs/>
        </w:rPr>
        <w:t>3</w:t>
      </w:r>
      <w:r>
        <w:rPr>
          <w:rFonts w:ascii="宋体" w:hAnsi="宋体" w:cs="宋体" w:eastAsia="宋体" w:hint="default"/>
          <w:b/>
          <w:bCs/>
        </w:rPr>
        <w:t>、瑞意恒动</w:t>
      </w:r>
      <w:r>
        <w:rPr>
          <w:rFonts w:ascii="宋体" w:hAnsi="宋体" w:cs="宋体" w:eastAsia="宋体" w:hint="default"/>
          <w:b/>
          <w:bCs/>
          <w:w w:val="99"/>
        </w:rPr>
        <w:t> </w:t>
      </w:r>
      <w:r>
        <w:rPr>
          <w:spacing w:val="-1"/>
        </w:rPr>
        <w:t>报告期，瑞意恒动受市场竞争加剧影响，实现营业收入</w:t>
      </w:r>
      <w:r>
        <w:rPr>
          <w:rFonts w:ascii="Times New Roman" w:hAnsi="Times New Roman" w:cs="Times New Roman" w:eastAsia="Times New Roman" w:hint="default"/>
          <w:spacing w:val="-1"/>
        </w:rPr>
        <w:t>15,949.58</w:t>
      </w:r>
      <w:r>
        <w:rPr>
          <w:spacing w:val="-1"/>
        </w:rPr>
        <w:t>万元，同比下降</w:t>
      </w:r>
      <w:r>
        <w:rPr>
          <w:rFonts w:ascii="Times New Roman" w:hAnsi="Times New Roman" w:cs="Times New Roman" w:eastAsia="Times New Roman" w:hint="default"/>
          <w:spacing w:val="-1"/>
        </w:rPr>
        <w:t>21.72%</w:t>
      </w:r>
      <w:r>
        <w:rPr>
          <w:spacing w:val="-1"/>
        </w:rPr>
        <w:t>，实现净利润</w:t>
      </w:r>
      <w:r>
        <w:rPr>
          <w:rFonts w:ascii="Times New Roman" w:hAnsi="Times New Roman" w:cs="Times New Roman" w:eastAsia="Times New Roman" w:hint="default"/>
          <w:spacing w:val="-1"/>
        </w:rPr>
        <w:t>2,138.41</w:t>
      </w:r>
      <w:r>
        <w:rPr>
          <w:spacing w:val="-1"/>
        </w:rPr>
        <w:t>万元，同</w:t>
      </w:r>
    </w:p>
    <w:p>
      <w:pPr>
        <w:pStyle w:val="BodyText"/>
        <w:spacing w:line="240" w:lineRule="auto" w:before="13"/>
        <w:ind w:right="0"/>
        <w:jc w:val="both"/>
      </w:pPr>
      <w:r>
        <w:rPr/>
        <w:t>比下降</w:t>
      </w:r>
      <w:r>
        <w:rPr>
          <w:rFonts w:ascii="Times New Roman" w:hAnsi="Times New Roman" w:cs="Times New Roman" w:eastAsia="Times New Roman" w:hint="default"/>
        </w:rPr>
        <w:t>21.30%</w:t>
      </w:r>
      <w:r>
        <w:rPr/>
        <w:t>。报告期公司对收购瑞意恒动形成的商誉计提减值准备</w:t>
      </w:r>
      <w:r>
        <w:rPr>
          <w:rFonts w:ascii="Times New Roman" w:hAnsi="Times New Roman" w:cs="Times New Roman" w:eastAsia="Times New Roman" w:hint="default"/>
        </w:rPr>
        <w:t>2,633.72</w:t>
      </w:r>
      <w:r>
        <w:rPr/>
        <w:t>万元。</w:t>
      </w:r>
    </w:p>
    <w:p>
      <w:pPr>
        <w:pStyle w:val="BodyText"/>
        <w:spacing w:line="300" w:lineRule="auto" w:before="63"/>
        <w:ind w:left="513" w:right="1042" w:firstLine="45"/>
        <w:jc w:val="left"/>
      </w:pPr>
      <w:r>
        <w:rPr>
          <w:rFonts w:ascii="Times New Roman" w:hAnsi="Times New Roman" w:cs="Times New Roman" w:eastAsia="Times New Roman" w:hint="default"/>
          <w:b/>
          <w:bCs/>
        </w:rPr>
        <w:t>4</w:t>
      </w:r>
      <w:r>
        <w:rPr>
          <w:rFonts w:ascii="宋体" w:hAnsi="宋体" w:cs="宋体" w:eastAsia="宋体" w:hint="default"/>
          <w:b/>
          <w:bCs/>
        </w:rPr>
        <w:t>、久其数字</w:t>
      </w:r>
      <w:r>
        <w:rPr>
          <w:rFonts w:ascii="宋体" w:hAnsi="宋体" w:cs="宋体" w:eastAsia="宋体" w:hint="default"/>
          <w:b/>
          <w:bCs/>
          <w:w w:val="99"/>
        </w:rPr>
        <w:t> </w:t>
      </w:r>
      <w:r>
        <w:rPr/>
        <w:t>报告期，因为媒介代理业务量增加，久其数字的业务规模有所扩大，实现营业收入</w:t>
      </w:r>
      <w:r>
        <w:rPr>
          <w:rFonts w:ascii="Times New Roman" w:hAnsi="Times New Roman" w:cs="Times New Roman" w:eastAsia="Times New Roman" w:hint="default"/>
        </w:rPr>
        <w:t>21,807.03</w:t>
      </w:r>
      <w:r>
        <w:rPr/>
        <w:t>万元，同比增幅</w:t>
      </w:r>
      <w:r>
        <w:rPr>
          <w:rFonts w:ascii="Times New Roman" w:hAnsi="Times New Roman" w:cs="Times New Roman" w:eastAsia="Times New Roman" w:hint="default"/>
        </w:rPr>
        <w:t>153.62%</w:t>
      </w:r>
      <w:r>
        <w:rPr/>
        <w:t>，</w:t>
      </w:r>
    </w:p>
    <w:p>
      <w:pPr>
        <w:pStyle w:val="BodyText"/>
        <w:spacing w:line="240" w:lineRule="auto" w:before="13"/>
        <w:ind w:right="0"/>
        <w:jc w:val="both"/>
      </w:pPr>
      <w:r>
        <w:rPr/>
        <w:t>同时因持续加大业务投入导致成本费用增加，报告期净利润亏损</w:t>
      </w:r>
      <w:r>
        <w:rPr>
          <w:rFonts w:ascii="Times New Roman" w:hAnsi="Times New Roman" w:cs="Times New Roman" w:eastAsia="Times New Roman" w:hint="default"/>
        </w:rPr>
        <w:t>2,622.12</w:t>
      </w:r>
      <w:r>
        <w:rPr/>
        <w:t>万元。</w:t>
      </w:r>
    </w:p>
    <w:p>
      <w:pPr>
        <w:pStyle w:val="BodyText"/>
        <w:spacing w:line="300" w:lineRule="auto" w:before="63"/>
        <w:ind w:left="513" w:right="1121" w:firstLine="45"/>
        <w:jc w:val="left"/>
      </w:pPr>
      <w:r>
        <w:rPr>
          <w:rFonts w:ascii="Times New Roman" w:hAnsi="Times New Roman" w:cs="Times New Roman" w:eastAsia="Times New Roman" w:hint="default"/>
          <w:b/>
          <w:bCs/>
        </w:rPr>
        <w:t>5</w:t>
      </w:r>
      <w:r>
        <w:rPr>
          <w:rFonts w:ascii="宋体" w:hAnsi="宋体" w:cs="宋体" w:eastAsia="宋体" w:hint="default"/>
          <w:b/>
          <w:bCs/>
        </w:rPr>
        <w:t>、久金保</w:t>
      </w:r>
      <w:r>
        <w:rPr>
          <w:rFonts w:ascii="宋体" w:hAnsi="宋体" w:cs="宋体" w:eastAsia="宋体" w:hint="default"/>
          <w:b/>
          <w:bCs/>
          <w:w w:val="99"/>
        </w:rPr>
        <w:t> </w:t>
      </w:r>
      <w:r>
        <w:rPr>
          <w:spacing w:val="-1"/>
        </w:rPr>
        <w:t>报告期，久金保通过逐步收缩业务规模，控制应收保理款坏账风险，实现营业收入</w:t>
      </w:r>
      <w:r>
        <w:rPr>
          <w:rFonts w:ascii="Times New Roman" w:hAnsi="Times New Roman" w:cs="Times New Roman" w:eastAsia="Times New Roman" w:hint="default"/>
          <w:spacing w:val="-1"/>
        </w:rPr>
        <w:t>758.69</w:t>
      </w:r>
      <w:r>
        <w:rPr>
          <w:spacing w:val="-1"/>
        </w:rPr>
        <w:t>万元，同比下降</w:t>
      </w:r>
      <w:r>
        <w:rPr>
          <w:rFonts w:ascii="Times New Roman" w:hAnsi="Times New Roman" w:cs="Times New Roman" w:eastAsia="Times New Roman" w:hint="default"/>
          <w:spacing w:val="-1"/>
        </w:rPr>
        <w:t>73.03%</w:t>
      </w:r>
      <w:r>
        <w:rPr>
          <w:spacing w:val="-1"/>
        </w:rPr>
        <w:t>。由于</w:t>
      </w:r>
    </w:p>
    <w:p>
      <w:pPr>
        <w:pStyle w:val="BodyText"/>
        <w:spacing w:line="300" w:lineRule="auto" w:before="13"/>
        <w:ind w:right="1128"/>
        <w:jc w:val="both"/>
      </w:pPr>
      <w:r>
        <w:rPr>
          <w:spacing w:val="-2"/>
        </w:rPr>
        <w:t>部分被抵押的应收账款债务人和债权人未能及时履约还款，报告期计提坏账准备</w:t>
      </w:r>
      <w:r>
        <w:rPr>
          <w:rFonts w:ascii="Times New Roman" w:hAnsi="Times New Roman" w:cs="Times New Roman" w:eastAsia="Times New Roman" w:hint="default"/>
          <w:spacing w:val="-2"/>
        </w:rPr>
        <w:t>4,590.89</w:t>
      </w:r>
      <w:r>
        <w:rPr>
          <w:spacing w:val="-2"/>
        </w:rPr>
        <w:t>万元，导致亏损</w:t>
      </w:r>
      <w:r>
        <w:rPr>
          <w:rFonts w:ascii="Times New Roman" w:hAnsi="Times New Roman" w:cs="Times New Roman" w:eastAsia="Times New Roman" w:hint="default"/>
          <w:spacing w:val="-2"/>
        </w:rPr>
        <w:t>5,204.85</w:t>
      </w:r>
      <w:r>
        <w:rPr>
          <w:spacing w:val="-2"/>
        </w:rPr>
        <w:t>万元。截至</w:t>
      </w:r>
      <w:r>
        <w:rPr>
          <w:spacing w:val="-51"/>
        </w:rPr>
        <w:t> </w:t>
      </w:r>
      <w:r>
        <w:rPr>
          <w:spacing w:val="-51"/>
        </w:rPr>
      </w:r>
      <w:r>
        <w:rPr>
          <w:spacing w:val="-1"/>
        </w:rPr>
        <w:t>报告期末，久金保的应收保理款原值为</w:t>
      </w:r>
      <w:r>
        <w:rPr>
          <w:rFonts w:ascii="Times New Roman" w:hAnsi="Times New Roman" w:cs="Times New Roman" w:eastAsia="Times New Roman" w:hint="default"/>
          <w:spacing w:val="-1"/>
        </w:rPr>
        <w:t>13,274.13</w:t>
      </w:r>
      <w:r>
        <w:rPr>
          <w:spacing w:val="-1"/>
        </w:rPr>
        <w:t>万元，其中逾期金额</w:t>
      </w:r>
      <w:r>
        <w:rPr>
          <w:rFonts w:ascii="Times New Roman" w:hAnsi="Times New Roman" w:cs="Times New Roman" w:eastAsia="Times New Roman" w:hint="default"/>
          <w:spacing w:val="-1"/>
        </w:rPr>
        <w:t>11,110</w:t>
      </w:r>
      <w:r>
        <w:rPr>
          <w:spacing w:val="-1"/>
        </w:rPr>
        <w:t>万元，久金保已采取法律手段对逾期应收保理款</w:t>
      </w:r>
      <w:r>
        <w:rPr>
          <w:spacing w:val="-72"/>
        </w:rPr>
        <w:t> </w:t>
      </w:r>
      <w:r>
        <w:rPr>
          <w:spacing w:val="-72"/>
        </w:rPr>
      </w:r>
      <w:r>
        <w:rPr/>
        <w:t>进行追偿。</w:t>
      </w:r>
    </w:p>
    <w:p>
      <w:pPr>
        <w:spacing w:line="240" w:lineRule="auto" w:before="11"/>
        <w:rPr>
          <w:rFonts w:ascii="宋体" w:hAnsi="宋体" w:cs="宋体" w:eastAsia="宋体" w:hint="default"/>
          <w:sz w:val="21"/>
          <w:szCs w:val="21"/>
        </w:rPr>
      </w:pPr>
    </w:p>
    <w:p>
      <w:pPr>
        <w:pStyle w:val="Heading2"/>
        <w:spacing w:line="240" w:lineRule="auto"/>
        <w:ind w:right="0"/>
        <w:jc w:val="both"/>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bookmarkStart w:name="九、公司未来发展的展望" w:id="59"/>
      <w:bookmarkEnd w:id="59"/>
      <w:r>
        <w:rPr>
          <w:b w:val="0"/>
          <w:bCs w:val="0"/>
        </w:rPr>
      </w: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13" w:right="1115"/>
        <w:jc w:val="left"/>
      </w:pPr>
      <w:r>
        <w:rPr>
          <w:rFonts w:ascii="宋体" w:hAnsi="宋体" w:cs="宋体" w:eastAsia="宋体" w:hint="default"/>
          <w:b/>
          <w:bCs/>
        </w:rPr>
        <w:t>（一）行业前景</w:t>
      </w:r>
      <w:r>
        <w:rPr>
          <w:rFonts w:ascii="宋体" w:hAnsi="宋体" w:cs="宋体" w:eastAsia="宋体" w:hint="default"/>
          <w:b/>
          <w:bCs/>
          <w:w w:val="99"/>
        </w:rPr>
        <w:t> </w:t>
      </w:r>
      <w:r>
        <w:rPr/>
        <w:t>据工业和信息化部发布的统计公报显示，</w:t>
      </w:r>
      <w:r>
        <w:rPr>
          <w:rFonts w:ascii="Times New Roman" w:hAnsi="Times New Roman" w:cs="Times New Roman" w:eastAsia="Times New Roman" w:hint="default"/>
        </w:rPr>
        <w:t>2019</w:t>
      </w:r>
      <w:r>
        <w:rPr/>
        <w:t>年我国软件和信息技术服务业实现收入</w:t>
      </w:r>
      <w:r>
        <w:rPr>
          <w:rFonts w:ascii="Times New Roman" w:hAnsi="Times New Roman" w:cs="Times New Roman" w:eastAsia="Times New Roman" w:hint="default"/>
        </w:rPr>
        <w:t>7.18</w:t>
      </w:r>
      <w:r>
        <w:rPr/>
        <w:t>万亿元，同比增长</w:t>
      </w:r>
      <w:r>
        <w:rPr>
          <w:rFonts w:ascii="Times New Roman" w:hAnsi="Times New Roman" w:cs="Times New Roman" w:eastAsia="Times New Roman" w:hint="default"/>
        </w:rPr>
        <w:t>15.4%</w:t>
      </w:r>
      <w:r>
        <w:rPr/>
        <w:t>，呈</w:t>
      </w:r>
    </w:p>
    <w:p>
      <w:pPr>
        <w:pStyle w:val="BodyText"/>
        <w:spacing w:line="312" w:lineRule="auto"/>
        <w:ind w:right="0"/>
        <w:jc w:val="left"/>
      </w:pPr>
      <w:r>
        <w:rPr>
          <w:spacing w:val="-2"/>
        </w:rPr>
        <w:t>现平稳向好发展态势，信息技术服务加快云化发展，软件应用服务化、平台化趋势明显。近年来，大数据应用市场规模迅速</w:t>
      </w:r>
      <w:r>
        <w:rPr>
          <w:spacing w:val="-67"/>
        </w:rPr>
        <w:t> </w:t>
      </w:r>
      <w:r>
        <w:rPr>
          <w:spacing w:val="-67"/>
        </w:rPr>
      </w:r>
      <w:r>
        <w:rPr>
          <w:spacing w:val="-2"/>
        </w:rPr>
        <w:t>扩大，数据治理已经渗透至经济发展、社会治理和人民生活的各个场景。在</w:t>
      </w:r>
      <w:r>
        <w:rPr>
          <w:rFonts w:ascii="Times New Roman" w:hAnsi="Times New Roman" w:cs="Times New Roman" w:eastAsia="Times New Roman" w:hint="default"/>
          <w:spacing w:val="-2"/>
        </w:rPr>
        <w:t>2020</w:t>
      </w:r>
      <w:r>
        <w:rPr>
          <w:spacing w:val="-2"/>
        </w:rPr>
        <w:t>年初我国新冠疫情爆发期间，大数据技术对</w:t>
      </w:r>
      <w:r>
        <w:rPr>
          <w:spacing w:val="-61"/>
        </w:rPr>
        <w:t> </w:t>
      </w:r>
      <w:r>
        <w:rPr>
          <w:spacing w:val="-61"/>
        </w:rPr>
      </w:r>
      <w:r>
        <w:rPr>
          <w:rFonts w:ascii="Times New Roman" w:hAnsi="Times New Roman" w:cs="Times New Roman" w:eastAsia="Times New Roman" w:hint="default"/>
          <w:color w:val="333333"/>
          <w:spacing w:val="-3"/>
        </w:rPr>
        <w:t>“</w:t>
      </w:r>
      <w:r>
        <w:rPr>
          <w:color w:val="333333"/>
          <w:spacing w:val="-3"/>
        </w:rPr>
        <w:t>群防群治，联防联治</w:t>
      </w:r>
      <w:r>
        <w:rPr>
          <w:rFonts w:ascii="Times New Roman" w:hAnsi="Times New Roman" w:cs="Times New Roman" w:eastAsia="Times New Roman" w:hint="default"/>
          <w:color w:val="333333"/>
          <w:spacing w:val="-3"/>
        </w:rPr>
        <w:t>”</w:t>
      </w:r>
      <w:r>
        <w:rPr>
          <w:spacing w:val="-3"/>
        </w:rPr>
        <w:t>起到了关键支撑的作用，也表明了我国正在稳步向</w:t>
      </w:r>
      <w:r>
        <w:rPr>
          <w:rFonts w:ascii="Times New Roman" w:hAnsi="Times New Roman" w:cs="Times New Roman" w:eastAsia="Times New Roman" w:hint="default"/>
          <w:spacing w:val="-3"/>
        </w:rPr>
        <w:t>“</w:t>
      </w:r>
      <w:r>
        <w:rPr>
          <w:spacing w:val="-3"/>
        </w:rPr>
        <w:t>以大数据促进国家治理现代化水平</w:t>
      </w:r>
      <w:r>
        <w:rPr>
          <w:rFonts w:ascii="Times New Roman" w:hAnsi="Times New Roman" w:cs="Times New Roman" w:eastAsia="Times New Roman" w:hint="default"/>
          <w:spacing w:val="-3"/>
        </w:rPr>
        <w:t>”</w:t>
      </w:r>
      <w:r>
        <w:rPr>
          <w:spacing w:val="-3"/>
        </w:rPr>
        <w:t>这一目标迈进。</w:t>
      </w:r>
      <w:r>
        <w:rPr>
          <w:spacing w:val="-52"/>
        </w:rPr>
        <w:t> </w:t>
      </w:r>
      <w:r>
        <w:rPr>
          <w:spacing w:val="-2"/>
        </w:rPr>
        <w:t>此外，产业应用也成为大数据应用重点，是实体经济数字化转型的关键动力，并向智能化、平台化、生态化发展。面对广阔</w:t>
      </w:r>
      <w:r>
        <w:rPr>
          <w:spacing w:val="-70"/>
        </w:rPr>
        <w:t> </w:t>
      </w:r>
      <w:r>
        <w:rPr>
          <w:spacing w:val="-70"/>
        </w:rPr>
      </w:r>
      <w:r>
        <w:rPr>
          <w:spacing w:val="-2"/>
        </w:rPr>
        <w:t>的行业前景，公司服务政府，将数据价值转化为决策价值，协助政府精准治理，提升公共服务水平；同时服务企业，用数据</w:t>
      </w:r>
      <w:r>
        <w:rPr>
          <w:spacing w:val="-68"/>
        </w:rPr>
        <w:t> </w:t>
      </w:r>
      <w:r>
        <w:rPr>
          <w:spacing w:val="-68"/>
        </w:rPr>
      </w:r>
      <w:r>
        <w:rPr/>
        <w:t>推动企业智能化变革，将数据价值转化为业务价值，助力企业挖掘新的商业模式，降低经营风险，提高运营效率。</w:t>
      </w:r>
    </w:p>
    <w:p>
      <w:pPr>
        <w:spacing w:line="240" w:lineRule="auto" w:before="8"/>
        <w:rPr>
          <w:rFonts w:ascii="宋体" w:hAnsi="宋体" w:cs="宋体" w:eastAsia="宋体" w:hint="default"/>
          <w:sz w:val="25"/>
          <w:szCs w:val="25"/>
        </w:rPr>
      </w:pPr>
    </w:p>
    <w:p>
      <w:pPr>
        <w:pStyle w:val="BodyText"/>
        <w:spacing w:line="316" w:lineRule="auto"/>
        <w:ind w:left="513" w:right="1115"/>
        <w:jc w:val="left"/>
      </w:pPr>
      <w:r>
        <w:rPr>
          <w:rFonts w:ascii="宋体" w:hAnsi="宋体" w:cs="宋体" w:eastAsia="宋体" w:hint="default"/>
          <w:b/>
          <w:bCs/>
        </w:rPr>
        <w:t>（二）发展战略</w:t>
      </w:r>
      <w:r>
        <w:rPr>
          <w:rFonts w:ascii="宋体" w:hAnsi="宋体" w:cs="宋体" w:eastAsia="宋体" w:hint="default"/>
          <w:b/>
          <w:bCs/>
          <w:w w:val="99"/>
        </w:rPr>
        <w:t> </w:t>
      </w:r>
      <w:r>
        <w:rPr>
          <w:spacing w:val="-2"/>
        </w:rPr>
        <w:t>公司将继续践行大数据发展理念，不断深入各行业领域大数据应用，致力于成为国内专业的</w:t>
      </w:r>
      <w:r>
        <w:rPr>
          <w:rFonts w:ascii="Times New Roman" w:hAnsi="Times New Roman" w:cs="Times New Roman" w:eastAsia="Times New Roman" w:hint="default"/>
          <w:spacing w:val="-2"/>
        </w:rPr>
        <w:t>B2B2C</w:t>
      </w:r>
      <w:r>
        <w:rPr>
          <w:spacing w:val="-2"/>
        </w:rPr>
        <w:t>的大数据综合服务提</w:t>
      </w:r>
    </w:p>
    <w:p>
      <w:pPr>
        <w:pStyle w:val="BodyText"/>
        <w:spacing w:line="309" w:lineRule="auto"/>
        <w:ind w:right="1129"/>
        <w:jc w:val="both"/>
      </w:pPr>
      <w:r>
        <w:rPr>
          <w:spacing w:val="-2"/>
        </w:rPr>
        <w:t>供商。同时不忘初心，以</w:t>
      </w:r>
      <w:r>
        <w:rPr>
          <w:rFonts w:ascii="Times New Roman" w:hAnsi="Times New Roman" w:cs="Times New Roman" w:eastAsia="Times New Roman" w:hint="default"/>
          <w:spacing w:val="-2"/>
        </w:rPr>
        <w:t>“</w:t>
      </w:r>
      <w:r>
        <w:rPr>
          <w:spacing w:val="-2"/>
        </w:rPr>
        <w:t>软件报国</w:t>
      </w:r>
      <w:r>
        <w:rPr>
          <w:rFonts w:ascii="Times New Roman" w:hAnsi="Times New Roman" w:cs="Times New Roman" w:eastAsia="Times New Roman" w:hint="default"/>
          <w:spacing w:val="-2"/>
        </w:rPr>
        <w:t>”</w:t>
      </w:r>
      <w:r>
        <w:rPr>
          <w:spacing w:val="-2"/>
        </w:rPr>
        <w:t>为使命，紧跟云计算、物联网、大数据及人工智能等新兴技术的快速发展，赋能公司现</w:t>
      </w:r>
      <w:r>
        <w:rPr>
          <w:spacing w:val="-42"/>
        </w:rPr>
        <w:t> </w:t>
      </w:r>
      <w:r>
        <w:rPr>
          <w:spacing w:val="-42"/>
        </w:rPr>
      </w:r>
      <w:r>
        <w:rPr>
          <w:spacing w:val="-5"/>
        </w:rPr>
        <w:t>有业务，整合产业资源、建立产业生态，在咨询、规划、研发、实施、运维、服务等价值链的各个环节，充分发挥公司技术、</w:t>
      </w:r>
      <w:r>
        <w:rPr>
          <w:spacing w:val="-76"/>
        </w:rPr>
        <w:t> </w:t>
      </w:r>
      <w:r>
        <w:rPr>
          <w:spacing w:val="-76"/>
        </w:rPr>
      </w:r>
      <w:r>
        <w:rPr/>
        <w:t>平台和人才优势，为客户提供有竞争优势的大数据产品与解决方案。</w:t>
      </w:r>
    </w:p>
    <w:p>
      <w:pPr>
        <w:spacing w:line="240" w:lineRule="auto" w:before="9"/>
        <w:rPr>
          <w:rFonts w:ascii="宋体" w:hAnsi="宋体" w:cs="宋体" w:eastAsia="宋体" w:hint="default"/>
          <w:sz w:val="25"/>
          <w:szCs w:val="25"/>
        </w:rPr>
      </w:pPr>
    </w:p>
    <w:p>
      <w:pPr>
        <w:pStyle w:val="Heading4"/>
        <w:spacing w:line="240" w:lineRule="auto"/>
        <w:ind w:right="1115"/>
        <w:jc w:val="left"/>
        <w:rPr>
          <w:b w:val="0"/>
          <w:bCs w:val="0"/>
        </w:rPr>
      </w:pPr>
      <w:r>
        <w:rPr/>
        <w:t>（三）经营计划</w:t>
      </w:r>
      <w:r>
        <w:rPr>
          <w:b w:val="0"/>
          <w:bCs w:val="0"/>
        </w:rPr>
      </w:r>
    </w:p>
    <w:p>
      <w:pPr>
        <w:pStyle w:val="Heading4"/>
        <w:spacing w:line="240" w:lineRule="auto" w:before="76"/>
        <w:ind w:right="1115"/>
        <w:jc w:val="left"/>
        <w:rPr>
          <w:b w:val="0"/>
          <w:bCs w:val="0"/>
        </w:rPr>
      </w:pPr>
      <w:r>
        <w:rPr>
          <w:rFonts w:ascii="Times New Roman" w:hAnsi="Times New Roman" w:cs="Times New Roman" w:eastAsia="Times New Roman" w:hint="default"/>
        </w:rPr>
        <w:t>1</w:t>
      </w:r>
      <w:r>
        <w:rPr/>
        <w:t>、统筹全局资源，聚焦管理软件主业</w:t>
      </w:r>
      <w:r>
        <w:rPr>
          <w:b w:val="0"/>
          <w:bCs w:val="0"/>
        </w:rPr>
      </w:r>
    </w:p>
    <w:p>
      <w:pPr>
        <w:spacing w:after="0" w:line="240" w:lineRule="auto"/>
        <w:jc w:val="left"/>
        <w:sectPr>
          <w:headerReference w:type="default" r:id="rId16"/>
          <w:footerReference w:type="default" r:id="rId17"/>
          <w:pgSz w:w="11910" w:h="16840"/>
          <w:pgMar w:header="877" w:footer="980" w:top="1100" w:bottom="1160" w:left="980" w:right="0"/>
          <w:pgNumType w:start="34"/>
        </w:sectPr>
      </w:pPr>
    </w:p>
    <w:p>
      <w:pPr>
        <w:spacing w:line="240" w:lineRule="auto" w:before="11"/>
        <w:rPr>
          <w:rFonts w:ascii="宋体" w:hAnsi="宋体" w:cs="宋体" w:eastAsia="宋体" w:hint="default"/>
          <w:b/>
          <w:bCs/>
          <w:sz w:val="21"/>
          <w:szCs w:val="21"/>
        </w:rPr>
      </w:pPr>
    </w:p>
    <w:p>
      <w:pPr>
        <w:pStyle w:val="BodyText"/>
        <w:spacing w:line="319" w:lineRule="auto" w:before="44"/>
        <w:ind w:right="1034" w:firstLine="360"/>
        <w:jc w:val="left"/>
      </w:pPr>
      <w:r>
        <w:rPr>
          <w:spacing w:val="-2"/>
        </w:rPr>
        <w:t>在宏观经济形势日益严峻、公司经营环境面临一定压力的背景下，公司将加强内部协同与资源整合，进一步落实统一管</w:t>
      </w:r>
      <w:r>
        <w:rPr/>
        <w:t> </w:t>
      </w:r>
      <w:r>
        <w:rPr>
          <w:spacing w:val="-2"/>
        </w:rPr>
        <w:t>控、统一绩效、统一分配和统一成长，以管理软件主业为发展的重点方向。在业务拓展方面，坚持行业化道路，深度聚焦财</w:t>
      </w:r>
      <w:r>
        <w:rPr>
          <w:spacing w:val="-68"/>
        </w:rPr>
        <w:t> </w:t>
      </w:r>
      <w:r>
        <w:rPr>
          <w:spacing w:val="-68"/>
        </w:rPr>
      </w:r>
      <w:r>
        <w:rPr/>
        <w:t>政、交通、司法、建筑、通信等优势领域，在保障区域业务延续性的同时，大力开拓地方市场，以点带面，扩大规模效益。</w:t>
      </w:r>
      <w:r>
        <w:rPr>
          <w:spacing w:val="-83"/>
        </w:rPr>
        <w:t> </w:t>
      </w:r>
      <w:r>
        <w:rPr>
          <w:spacing w:val="-83"/>
        </w:rPr>
      </w:r>
      <w:r>
        <w:rPr>
          <w:spacing w:val="-2"/>
        </w:rPr>
        <w:t>同时不断积累大数据应用场景，以客户和市场需求为导向，发展政府大数据、企业大数据、司法大数据、交通大数据和民生</w:t>
      </w:r>
      <w:r>
        <w:rPr>
          <w:spacing w:val="-67"/>
        </w:rPr>
        <w:t> </w:t>
      </w:r>
      <w:r>
        <w:rPr>
          <w:spacing w:val="-67"/>
        </w:rPr>
      </w:r>
      <w:r>
        <w:rPr/>
        <w:t>大数据的核心业务。</w:t>
      </w:r>
    </w:p>
    <w:p>
      <w:pPr>
        <w:spacing w:line="240" w:lineRule="auto" w:before="2"/>
        <w:rPr>
          <w:rFonts w:ascii="宋体" w:hAnsi="宋体" w:cs="宋体" w:eastAsia="宋体" w:hint="default"/>
          <w:sz w:val="25"/>
          <w:szCs w:val="25"/>
        </w:rPr>
      </w:pPr>
    </w:p>
    <w:p>
      <w:pPr>
        <w:spacing w:line="300" w:lineRule="auto" w:before="0"/>
        <w:ind w:left="513" w:right="103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、深化技术融合，增强产品核心竞争力</w:t>
      </w:r>
      <w:r>
        <w:rPr>
          <w:rFonts w:ascii="宋体" w:hAnsi="宋体" w:cs="宋体" w:eastAsia="宋体" w:hint="default"/>
          <w:b/>
          <w:bCs/>
          <w:w w:val="99"/>
          <w:sz w:val="18"/>
          <w:szCs w:val="18"/>
        </w:rPr>
        <w:t> </w:t>
      </w:r>
      <w:r>
        <w:rPr>
          <w:rFonts w:ascii="宋体" w:hAnsi="宋体" w:cs="宋体" w:eastAsia="宋体" w:hint="default"/>
          <w:sz w:val="18"/>
          <w:szCs w:val="18"/>
        </w:rPr>
        <w:t>技术平台和产品是公司价值的核心，产品的可复用性强、易用性好、标准化程度高，可以大幅度降低成本、提高效益。</w:t>
      </w:r>
    </w:p>
    <w:p>
      <w:pPr>
        <w:pStyle w:val="BodyText"/>
        <w:spacing w:line="316" w:lineRule="auto" w:before="31"/>
        <w:ind w:right="1131"/>
        <w:jc w:val="both"/>
      </w:pPr>
      <w:r>
        <w:rPr>
          <w:spacing w:val="-2"/>
        </w:rPr>
        <w:t>因此公司将设立研发专项资金，助力攻克重大项目和技术难点，保障公司长期核心竞争力；合理分配技术资源，促进研发人</w:t>
      </w:r>
      <w:r>
        <w:rPr>
          <w:spacing w:val="-64"/>
        </w:rPr>
        <w:t> </w:t>
      </w:r>
      <w:r>
        <w:rPr>
          <w:spacing w:val="-64"/>
        </w:rPr>
      </w:r>
      <w:r>
        <w:rPr>
          <w:spacing w:val="-2"/>
        </w:rPr>
        <w:t>员的思维同步、资源共享以及技术分享，加快技术支撑响应，提升客户满意度；不断完善产品规划，通过开放、协同、高效</w:t>
      </w:r>
      <w:r>
        <w:rPr>
          <w:spacing w:val="-73"/>
        </w:rPr>
        <w:t> </w:t>
      </w:r>
      <w:r>
        <w:rPr>
          <w:spacing w:val="-73"/>
        </w:rPr>
      </w:r>
      <w:r>
        <w:rPr/>
        <w:t>的技术研发平台，提高产品质量、效率和稳定性。</w:t>
      </w:r>
    </w:p>
    <w:p>
      <w:pPr>
        <w:spacing w:line="240" w:lineRule="auto" w:before="4"/>
        <w:rPr>
          <w:rFonts w:ascii="宋体" w:hAnsi="宋体" w:cs="宋体" w:eastAsia="宋体" w:hint="default"/>
          <w:sz w:val="25"/>
          <w:szCs w:val="25"/>
        </w:rPr>
      </w:pPr>
    </w:p>
    <w:p>
      <w:pPr>
        <w:spacing w:line="300" w:lineRule="auto" w:before="0"/>
        <w:ind w:left="513" w:right="1115"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、优化人员结构，持续提高人均效能</w:t>
      </w:r>
      <w:r>
        <w:rPr>
          <w:rFonts w:ascii="宋体" w:hAnsi="宋体" w:cs="宋体" w:eastAsia="宋体" w:hint="default"/>
          <w:b/>
          <w:bCs/>
          <w:w w:val="99"/>
          <w:sz w:val="18"/>
          <w:szCs w:val="18"/>
        </w:rPr>
        <w:t> </w:t>
      </w:r>
      <w:r>
        <w:rPr>
          <w:rFonts w:ascii="宋体" w:hAnsi="宋体" w:cs="宋体" w:eastAsia="宋体" w:hint="default"/>
          <w:spacing w:val="-5"/>
          <w:sz w:val="18"/>
          <w:szCs w:val="18"/>
        </w:rPr>
        <w:t>报告期，公司营业收入和现金流同比均有较大幅度增长，但人工成本的快速增加很大程度上削减了当期利润。</w:t>
      </w:r>
      <w:r>
        <w:rPr>
          <w:rFonts w:ascii="Times New Roman" w:hAnsi="Times New Roman" w:cs="Times New Roman" w:eastAsia="Times New Roman" w:hint="default"/>
          <w:spacing w:val="-5"/>
          <w:sz w:val="18"/>
          <w:szCs w:val="18"/>
        </w:rPr>
        <w:t>2020</w:t>
      </w:r>
      <w:r>
        <w:rPr>
          <w:rFonts w:ascii="宋体" w:hAnsi="宋体" w:cs="宋体" w:eastAsia="宋体" w:hint="default"/>
          <w:spacing w:val="-5"/>
          <w:sz w:val="18"/>
          <w:szCs w:val="18"/>
        </w:rPr>
        <w:t>年初，</w:t>
      </w:r>
    </w:p>
    <w:p>
      <w:pPr>
        <w:pStyle w:val="BodyText"/>
        <w:spacing w:line="316" w:lineRule="auto" w:before="13"/>
        <w:ind w:right="0"/>
        <w:jc w:val="left"/>
      </w:pPr>
      <w:r>
        <w:rPr>
          <w:spacing w:val="-4"/>
        </w:rPr>
        <w:t>公司对部门和岗位设置的合理性进行评估，并通过调整组织机构保障有序经营和管控落地。公司将推行内部调整优化的举措：</w:t>
      </w:r>
      <w:r>
        <w:rPr>
          <w:spacing w:val="-44"/>
        </w:rPr>
        <w:t> </w:t>
      </w:r>
      <w:r>
        <w:rPr>
          <w:spacing w:val="-44"/>
        </w:rPr>
      </w:r>
      <w:r>
        <w:rPr>
          <w:spacing w:val="-2"/>
        </w:rPr>
        <w:t>一方面优化人员结构，并合理利用激励机制，调动员工积极性；另一方面，通过开源节流，提升产品质量，加快项目交付进</w:t>
      </w:r>
      <w:r>
        <w:rPr>
          <w:spacing w:val="-68"/>
        </w:rPr>
        <w:t> </w:t>
      </w:r>
      <w:r>
        <w:rPr>
          <w:spacing w:val="-68"/>
        </w:rPr>
      </w:r>
      <w:r>
        <w:rPr>
          <w:spacing w:val="-2"/>
        </w:rPr>
        <w:t>度，提高人均效能；此外，进一步强化管理人才培养，提升管理人员的全局意识、危机意识、客户意识和红线意识，同时细</w:t>
      </w:r>
      <w:r>
        <w:rPr>
          <w:spacing w:val="-73"/>
        </w:rPr>
        <w:t> </w:t>
      </w:r>
      <w:r>
        <w:rPr>
          <w:spacing w:val="-73"/>
        </w:rPr>
      </w:r>
      <w:r>
        <w:rPr/>
        <w:t>化管理人员绩效考核机制，科学考察管理人员的领导能力、执行能力、团队能力和人才培养能力。</w:t>
      </w:r>
    </w:p>
    <w:p>
      <w:pPr>
        <w:spacing w:line="240" w:lineRule="auto" w:before="4"/>
        <w:rPr>
          <w:rFonts w:ascii="宋体" w:hAnsi="宋体" w:cs="宋体" w:eastAsia="宋体" w:hint="default"/>
          <w:sz w:val="25"/>
          <w:szCs w:val="25"/>
        </w:rPr>
      </w:pPr>
    </w:p>
    <w:p>
      <w:pPr>
        <w:spacing w:line="300" w:lineRule="auto" w:before="0"/>
        <w:ind w:left="513" w:right="1115"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、加强风险控制，促进业务健康发展</w:t>
      </w:r>
      <w:r>
        <w:rPr>
          <w:rFonts w:ascii="宋体" w:hAnsi="宋体" w:cs="宋体" w:eastAsia="宋体" w:hint="default"/>
          <w:b/>
          <w:bCs/>
          <w:w w:val="99"/>
          <w:sz w:val="18"/>
          <w:szCs w:val="18"/>
        </w:rPr>
        <w:t> </w:t>
      </w:r>
      <w:r>
        <w:rPr>
          <w:rFonts w:ascii="宋体" w:hAnsi="宋体" w:cs="宋体" w:eastAsia="宋体" w:hint="default"/>
          <w:sz w:val="18"/>
          <w:szCs w:val="18"/>
        </w:rPr>
        <w:t>自</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年度公司发生子公司管理相关的内部控制缺陷以来，公司加强了对日常经营管理的内部控制举措。公司将</w:t>
      </w:r>
      <w:r>
        <w:rPr>
          <w:rFonts w:ascii="Times New Roman" w:hAnsi="Times New Roman" w:cs="Times New Roman" w:eastAsia="Times New Roman" w:hint="default"/>
          <w:sz w:val="18"/>
          <w:szCs w:val="18"/>
        </w:rPr>
        <w:t>2020</w:t>
      </w:r>
    </w:p>
    <w:p>
      <w:pPr>
        <w:pStyle w:val="BodyText"/>
        <w:spacing w:line="309" w:lineRule="auto" w:before="13"/>
        <w:ind w:right="1135"/>
        <w:jc w:val="both"/>
      </w:pPr>
      <w:r>
        <w:rPr>
          <w:spacing w:val="-5"/>
          <w:w w:val="100"/>
        </w:rPr>
        <w:t>年视为</w:t>
      </w:r>
      <w:r>
        <w:rPr>
          <w:rFonts w:ascii="Times New Roman" w:hAnsi="Times New Roman" w:cs="Times New Roman" w:eastAsia="Times New Roman" w:hint="default"/>
          <w:spacing w:val="-5"/>
          <w:w w:val="100"/>
        </w:rPr>
        <w:t>“</w:t>
      </w:r>
      <w:r>
        <w:rPr>
          <w:spacing w:val="-5"/>
          <w:w w:val="100"/>
        </w:rPr>
        <w:t>风控年</w:t>
      </w:r>
      <w:r>
        <w:rPr>
          <w:rFonts w:ascii="Times New Roman" w:hAnsi="Times New Roman" w:cs="Times New Roman" w:eastAsia="Times New Roman" w:hint="default"/>
          <w:spacing w:val="-5"/>
          <w:w w:val="100"/>
        </w:rPr>
        <w:t>”</w:t>
      </w:r>
      <w:r>
        <w:rPr>
          <w:spacing w:val="-5"/>
          <w:w w:val="100"/>
        </w:rPr>
        <w:t>，年初将审计部更名为审计风控部，进一步完善以风险控制为导向的内审工作体系。公司将继续从法人治理、</w:t>
      </w:r>
      <w:r>
        <w:rPr>
          <w:spacing w:val="-58"/>
          <w:w w:val="100"/>
        </w:rPr>
        <w:t> </w:t>
      </w:r>
      <w:r>
        <w:rPr>
          <w:spacing w:val="-58"/>
          <w:w w:val="100"/>
        </w:rPr>
      </w:r>
      <w:r>
        <w:rPr>
          <w:spacing w:val="-2"/>
        </w:rPr>
        <w:t>经营规划、业务融合、财务管控等方面，持续优化集团管控架构与管理职能，建立健全各项内控制度，规范公司及子公司的</w:t>
      </w:r>
      <w:r>
        <w:rPr>
          <w:spacing w:val="-67"/>
        </w:rPr>
        <w:t> </w:t>
      </w:r>
      <w:r>
        <w:rPr>
          <w:spacing w:val="-67"/>
        </w:rPr>
      </w:r>
      <w:r>
        <w:rPr/>
        <w:t>日常经营和管理决策程序，防范风险于未然，并促进各项业务持续、稳定、健康发展。</w:t>
      </w:r>
    </w:p>
    <w:p>
      <w:pPr>
        <w:spacing w:line="240" w:lineRule="auto" w:before="10"/>
        <w:rPr>
          <w:rFonts w:ascii="宋体" w:hAnsi="宋体" w:cs="宋体" w:eastAsia="宋体" w:hint="default"/>
          <w:sz w:val="25"/>
          <w:szCs w:val="25"/>
        </w:rPr>
      </w:pPr>
    </w:p>
    <w:p>
      <w:pPr>
        <w:pStyle w:val="BodyText"/>
        <w:spacing w:line="316" w:lineRule="auto"/>
        <w:ind w:left="513" w:right="1115"/>
        <w:jc w:val="left"/>
      </w:pPr>
      <w:r>
        <w:rPr>
          <w:rFonts w:ascii="宋体" w:hAnsi="宋体" w:cs="宋体" w:eastAsia="宋体" w:hint="default"/>
          <w:b/>
          <w:bCs/>
        </w:rPr>
        <w:t>（四）风险提示</w:t>
      </w:r>
      <w:r>
        <w:rPr>
          <w:rFonts w:ascii="宋体" w:hAnsi="宋体" w:cs="宋体" w:eastAsia="宋体" w:hint="default"/>
          <w:b/>
          <w:bCs/>
          <w:w w:val="99"/>
        </w:rPr>
        <w:t> </w:t>
      </w:r>
      <w:r>
        <w:rPr>
          <w:spacing w:val="-2"/>
        </w:rPr>
        <w:t>公司经营过程中可能面临宏观经济与政策风险、行业竞争风险、业绩季节波动风险、业务发展风险、流动性风险、应收</w:t>
      </w:r>
    </w:p>
    <w:p>
      <w:pPr>
        <w:pStyle w:val="BodyText"/>
        <w:spacing w:line="309" w:lineRule="auto" w:before="19"/>
        <w:ind w:right="1129"/>
        <w:jc w:val="both"/>
      </w:pPr>
      <w:r>
        <w:rPr>
          <w:spacing w:val="-2"/>
        </w:rPr>
        <w:t>保理款坏账风险、商誉减值风险、上海移通案件与相关补偿风险，其中上海移通案件与相关补偿风险系本报告期新增的风险</w:t>
      </w:r>
      <w:r>
        <w:rPr>
          <w:spacing w:val="-62"/>
        </w:rPr>
        <w:t> </w:t>
      </w:r>
      <w:r>
        <w:rPr>
          <w:spacing w:val="-62"/>
        </w:rPr>
      </w:r>
      <w:r>
        <w:rPr/>
        <w:t>因素。针对前述风险计划采取的应对措施已在本报告</w:t>
      </w:r>
      <w:r>
        <w:rPr>
          <w:rFonts w:ascii="Times New Roman" w:hAnsi="Times New Roman" w:cs="Times New Roman" w:eastAsia="Times New Roman" w:hint="default"/>
        </w:rPr>
        <w:t>“</w:t>
      </w:r>
      <w:r>
        <w:rPr/>
        <w:t>第一节</w:t>
      </w:r>
      <w:r>
        <w:rPr>
          <w:spacing w:val="-48"/>
        </w:rPr>
        <w:t> </w:t>
      </w:r>
      <w:r>
        <w:rPr/>
        <w:t>重要提示、目录和释义</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对年度报告涉及未来计划等前瞻性 陈述的风险提示</w:t>
      </w:r>
      <w:r>
        <w:rPr>
          <w:rFonts w:ascii="Times New Roman" w:hAnsi="Times New Roman" w:cs="Times New Roman" w:eastAsia="Times New Roman" w:hint="default"/>
        </w:rPr>
        <w:t>”</w:t>
      </w:r>
      <w:r>
        <w:rPr/>
        <w:t>中进行了阐述。</w:t>
      </w:r>
    </w:p>
    <w:p>
      <w:pPr>
        <w:spacing w:line="240" w:lineRule="auto" w:before="10"/>
        <w:rPr>
          <w:rFonts w:ascii="宋体" w:hAnsi="宋体" w:cs="宋体" w:eastAsia="宋体" w:hint="default"/>
          <w:sz w:val="19"/>
          <w:szCs w:val="19"/>
        </w:rPr>
      </w:pPr>
    </w:p>
    <w:p>
      <w:pPr>
        <w:pStyle w:val="Heading2"/>
        <w:spacing w:line="240" w:lineRule="auto"/>
        <w:ind w:right="0"/>
        <w:jc w:val="both"/>
        <w:rPr>
          <w:b w:val="0"/>
          <w:bCs w:val="0"/>
        </w:rPr>
      </w:pPr>
      <w:bookmarkStart w:name="十、接待调研、沟通、采访等活动" w:id="60"/>
      <w:bookmarkEnd w:id="60"/>
      <w:r>
        <w:rPr>
          <w:b w:val="0"/>
          <w:bCs w:val="0"/>
        </w:rPr>
      </w:r>
      <w:r>
        <w:rPr/>
        <w:t>十、接待调研、沟通、采访等活动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bookmarkStart w:name="1、报告期内接待调研、沟通、采访等活动登记表" w:id="61"/>
      <w:bookmarkEnd w:id="61"/>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79"/>
              <w:jc w:val="left"/>
              <w:rPr>
                <w:rFonts w:ascii="Times New Roman" w:hAnsi="Times New Roman" w:cs="Times New Roman" w:eastAsia="Times New Roman" w:hint="default"/>
                <w:sz w:val="18"/>
                <w:szCs w:val="18"/>
              </w:rPr>
            </w:pPr>
            <w:hyperlink r:id="rId18">
              <w:r>
                <w:rPr>
                  <w:rFonts w:ascii="Times New Roman"/>
                  <w:sz w:val="18"/>
                </w:rPr>
                <w:t>http://static.cninfo.com.cn/finalpage/201</w:t>
              </w:r>
            </w:hyperlink>
            <w:r>
              <w:rPr>
                <w:rFonts w:ascii="Times New Roman"/>
                <w:sz w:val="18"/>
              </w:rPr>
              <w:t> 9-03-08/1205887712.pdf</w:t>
            </w:r>
          </w:p>
        </w:tc>
      </w:tr>
      <w:tr>
        <w:trPr>
          <w:trHeight w:val="71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79"/>
              <w:jc w:val="left"/>
              <w:rPr>
                <w:rFonts w:ascii="Times New Roman" w:hAnsi="Times New Roman" w:cs="Times New Roman" w:eastAsia="Times New Roman" w:hint="default"/>
                <w:sz w:val="18"/>
                <w:szCs w:val="18"/>
              </w:rPr>
            </w:pPr>
            <w:hyperlink r:id="rId18">
              <w:r>
                <w:rPr>
                  <w:rFonts w:ascii="Times New Roman"/>
                  <w:sz w:val="18"/>
                </w:rPr>
                <w:t>http://static.cninfo.com.cn/finalpage/201</w:t>
              </w:r>
            </w:hyperlink>
            <w:r>
              <w:rPr>
                <w:rFonts w:ascii="Times New Roman"/>
                <w:sz w:val="18"/>
              </w:rPr>
              <w:t> 9-06-17/1206359973.pdf</w:t>
            </w:r>
          </w:p>
        </w:tc>
      </w:tr>
    </w:tbl>
    <w:p>
      <w:pPr>
        <w:spacing w:after="0" w:line="362"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976"/>
        <w:jc w:val="center"/>
        <w:rPr>
          <w:b w:val="0"/>
          <w:bCs w:val="0"/>
        </w:rPr>
      </w:pPr>
      <w:bookmarkStart w:name="第五节 重要事项" w:id="62"/>
      <w:bookmarkEnd w:id="62"/>
      <w:r>
        <w:rPr>
          <w:b w:val="0"/>
          <w:bCs w:val="0"/>
        </w:rPr>
      </w:r>
      <w:bookmarkStart w:name="_bookmark4" w:id="63"/>
      <w:bookmarkEnd w:id="63"/>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15"/>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报告期内普通股利润分配政策，特别是现金分红政策的制定、执行或调整情况</w:t>
      </w:r>
    </w:p>
    <w:p>
      <w:pPr>
        <w:pStyle w:val="BodyText"/>
        <w:spacing w:line="338" w:lineRule="auto" w:before="117"/>
        <w:ind w:left="513" w:right="1118"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5"/>
        </w:rPr>
        <w:t>公司重视对社会公众股东的合理投资回报，根据公司盈利状况和生产经营发展需要，建立了稳定、持续的股东回报机制。</w:t>
      </w:r>
    </w:p>
    <w:p>
      <w:pPr>
        <w:pStyle w:val="BodyText"/>
        <w:spacing w:line="316" w:lineRule="auto" w:before="2"/>
        <w:ind w:right="1115"/>
        <w:jc w:val="left"/>
      </w:pPr>
      <w:r>
        <w:rPr>
          <w:spacing w:val="-2"/>
        </w:rPr>
        <w:t>公司现行《公司章程》明确规定了利润分配政策的基本原则、具体政策、实施计划、审议和调整程序等。报告期，公司不存</w:t>
      </w:r>
      <w:r>
        <w:rPr>
          <w:spacing w:val="-73"/>
        </w:rPr>
        <w:t> </w:t>
      </w:r>
      <w:r>
        <w:rPr>
          <w:spacing w:val="-73"/>
        </w:rPr>
      </w:r>
      <w:r>
        <w:rPr/>
        <w:t>在调整现金分红政策的情形。</w:t>
      </w:r>
    </w:p>
    <w:p>
      <w:pPr>
        <w:pStyle w:val="BodyText"/>
        <w:spacing w:line="309" w:lineRule="auto" w:before="19"/>
        <w:ind w:right="1133" w:firstLine="36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21</w:t>
      </w:r>
      <w:r>
        <w:rPr>
          <w:spacing w:val="-2"/>
        </w:rPr>
        <w:t>日，公司</w:t>
      </w:r>
      <w:r>
        <w:rPr>
          <w:rFonts w:ascii="Times New Roman" w:hAnsi="Times New Roman" w:cs="Times New Roman" w:eastAsia="Times New Roman" w:hint="default"/>
          <w:spacing w:val="-2"/>
        </w:rPr>
        <w:t>2018</w:t>
      </w:r>
      <w:r>
        <w:rPr>
          <w:spacing w:val="-2"/>
        </w:rPr>
        <w:t>年度股东大会审议通过了《未来三年股东回报规划（</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-2021</w:t>
      </w:r>
      <w:r>
        <w:rPr>
          <w:spacing w:val="-2"/>
        </w:rPr>
        <w:t>年）》，独立董事对该规划</w:t>
      </w:r>
      <w:r>
        <w:rPr/>
        <w:t> </w:t>
      </w:r>
      <w:r>
        <w:rPr>
          <w:spacing w:val="-2"/>
        </w:rPr>
        <w:t>发表了独立意见，该规划符合《公司章程》及相关法律法规的规定，相关审议程序合法、合规，不存在损害公司及中小股东</w:t>
      </w:r>
      <w:r>
        <w:rPr>
          <w:spacing w:val="-68"/>
        </w:rPr>
        <w:t> </w:t>
      </w:r>
      <w:r>
        <w:rPr>
          <w:spacing w:val="-68"/>
        </w:rPr>
      </w:r>
      <w:r>
        <w:rPr/>
        <w:t>利益的情形。</w:t>
      </w:r>
    </w:p>
    <w:p>
      <w:pPr>
        <w:spacing w:line="240" w:lineRule="auto" w:before="2"/>
        <w:rPr>
          <w:rFonts w:ascii="宋体" w:hAnsi="宋体" w:cs="宋体" w:eastAsia="宋体" w:hint="default"/>
          <w:sz w:val="25"/>
          <w:szCs w:val="25"/>
        </w:rPr>
      </w:pPr>
    </w:p>
    <w:tbl>
      <w:tblPr>
        <w:tblW w:w="0" w:type="auto"/>
        <w:jc w:val="left"/>
        <w:tblInd w:w="160" w:type="dxa"/>
        <w:tblLayout w:type="fixed"/>
        <w:tblCellMar>
          <w:top w:w="0" w:type="dxa"/>
          <w:left w:w="0" w:type="dxa"/>
          <w:bottom w:w="0" w:type="dxa"/>
          <w:right w:w="0" w:type="dxa"/>
        </w:tblCellMar>
        <w:tblLook w:val="01E0"/>
      </w:tblPr>
      <w:tblGrid>
        <w:gridCol w:w="7176"/>
        <w:gridCol w:w="2383"/>
      </w:tblGrid>
      <w:tr>
        <w:trPr>
          <w:trHeight w:val="40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7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238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238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238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238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238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238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27"/>
          <w:szCs w:val="27"/>
        </w:rPr>
      </w:pPr>
    </w:p>
    <w:p>
      <w:pPr>
        <w:pStyle w:val="BodyText"/>
        <w:spacing w:line="240" w:lineRule="auto" w:before="44"/>
        <w:ind w:right="1115"/>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300" w:lineRule="auto" w:before="103"/>
        <w:ind w:right="1128"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年度利润分配及资本公积金转增股本方案：公司以截至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w:t>
      </w:r>
      <w:r>
        <w:rPr/>
        <w:t>日的总股本</w:t>
      </w:r>
      <w:r>
        <w:rPr>
          <w:rFonts w:ascii="Times New Roman" w:hAnsi="Times New Roman" w:cs="Times New Roman" w:eastAsia="Times New Roman" w:hint="default"/>
        </w:rPr>
        <w:t>710,436,578</w:t>
      </w:r>
      <w:r>
        <w:rPr/>
        <w:t>股为基数，向全体股 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0.30</w:t>
      </w:r>
      <w:r>
        <w:rPr/>
        <w:t>元（含税），共计派发现金股利</w:t>
      </w:r>
      <w:r>
        <w:rPr>
          <w:rFonts w:ascii="Times New Roman" w:hAnsi="Times New Roman" w:cs="Times New Roman" w:eastAsia="Times New Roman" w:hint="default"/>
        </w:rPr>
        <w:t>21,313,097.34</w:t>
      </w:r>
      <w:r>
        <w:rPr/>
        <w:t>元；此外，公司不送红股、不以资本公积金转增股 本。</w:t>
      </w:r>
    </w:p>
    <w:p>
      <w:pPr>
        <w:pStyle w:val="BodyText"/>
        <w:spacing w:line="300" w:lineRule="auto" w:before="31"/>
        <w:ind w:right="1134"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年度利润分配方案：由于公司</w:t>
      </w:r>
      <w:r>
        <w:rPr>
          <w:rFonts w:ascii="Times New Roman" w:hAnsi="Times New Roman" w:cs="Times New Roman" w:eastAsia="Times New Roman" w:hint="default"/>
        </w:rPr>
        <w:t>2018</w:t>
      </w:r>
      <w:r>
        <w:rPr/>
        <w:t>年度亏损，且</w:t>
      </w:r>
      <w:r>
        <w:rPr>
          <w:rFonts w:ascii="Times New Roman" w:hAnsi="Times New Roman" w:cs="Times New Roman" w:eastAsia="Times New Roman" w:hint="default"/>
        </w:rPr>
        <w:t>2018</w:t>
      </w:r>
      <w:r>
        <w:rPr/>
        <w:t>年末母公司报表可供普通股股东分配利润为负数，因此， 为保障公司正常生产经营和未来发展，公司不派发现金红利、不送红股、不以公积金转增股本。</w:t>
      </w:r>
    </w:p>
    <w:p>
      <w:pPr>
        <w:pStyle w:val="BodyText"/>
        <w:spacing w:line="304" w:lineRule="auto" w:before="31"/>
        <w:ind w:right="1128" w:firstLine="360"/>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2019</w:t>
      </w:r>
      <w:r>
        <w:rPr>
          <w:spacing w:val="-2"/>
        </w:rPr>
        <w:t>年度利润分配预案：根据《深圳证券交易所上市公司回购股份实施细则》的规定，</w:t>
      </w:r>
      <w:r>
        <w:rPr>
          <w:rFonts w:ascii="Times New Roman" w:hAnsi="Times New Roman" w:cs="Times New Roman" w:eastAsia="Times New Roman" w:hint="default"/>
          <w:spacing w:val="-2"/>
        </w:rPr>
        <w:t>“</w:t>
      </w:r>
      <w:r>
        <w:rPr>
          <w:spacing w:val="-2"/>
        </w:rPr>
        <w:t>上市公司以现金为对价，采</w:t>
      </w:r>
      <w:r>
        <w:rPr/>
        <w:t> </w:t>
      </w:r>
      <w:r>
        <w:rPr>
          <w:spacing w:val="-2"/>
        </w:rPr>
        <w:t>用要约方式、集中竞价方式回购股份的，当年已实施的回购股份金额视同现金分红金额，纳入该年度现金分红的相关比例计</w:t>
      </w:r>
      <w:r>
        <w:rPr>
          <w:spacing w:val="-63"/>
        </w:rPr>
        <w:t> </w:t>
      </w:r>
      <w:r>
        <w:rPr>
          <w:spacing w:val="-63"/>
        </w:rPr>
      </w:r>
      <w:r>
        <w:rPr>
          <w:spacing w:val="-2"/>
        </w:rPr>
        <w:t>算</w:t>
      </w:r>
      <w:r>
        <w:rPr>
          <w:rFonts w:ascii="Times New Roman" w:hAnsi="Times New Roman" w:cs="Times New Roman" w:eastAsia="Times New Roman" w:hint="default"/>
          <w:spacing w:val="-2"/>
        </w:rPr>
        <w:t>”</w:t>
      </w: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日，公司已通过集中竞价方式回购股份</w:t>
      </w:r>
      <w:r>
        <w:rPr>
          <w:rFonts w:ascii="Times New Roman" w:hAnsi="Times New Roman" w:cs="Times New Roman" w:eastAsia="Times New Roman" w:hint="default"/>
          <w:spacing w:val="-2"/>
        </w:rPr>
        <w:t>6,566,733</w:t>
      </w:r>
      <w:r>
        <w:rPr>
          <w:spacing w:val="-2"/>
        </w:rPr>
        <w:t>股，支付总金额</w:t>
      </w:r>
      <w:r>
        <w:rPr>
          <w:rFonts w:ascii="Times New Roman" w:hAnsi="Times New Roman" w:cs="Times New Roman" w:eastAsia="Times New Roman" w:hint="default"/>
          <w:spacing w:val="-2"/>
        </w:rPr>
        <w:t>47,993,683.04</w:t>
      </w:r>
      <w:r>
        <w:rPr>
          <w:spacing w:val="-2"/>
        </w:rPr>
        <w:t>元（不含交易费用）；</w:t>
      </w:r>
      <w:r>
        <w:rPr>
          <w:spacing w:val="-74"/>
        </w:rPr>
        <w:t> </w:t>
      </w:r>
      <w:r>
        <w:rPr>
          <w:spacing w:val="-74"/>
        </w:rPr>
      </w:r>
      <w:r>
        <w:rPr>
          <w:spacing w:val="-2"/>
        </w:rPr>
        <w:t>此外，尽管公司</w:t>
      </w:r>
      <w:r>
        <w:rPr>
          <w:rFonts w:ascii="Times New Roman" w:hAnsi="Times New Roman" w:cs="Times New Roman" w:eastAsia="Times New Roman" w:hint="default"/>
          <w:spacing w:val="-2"/>
        </w:rPr>
        <w:t>2019</w:t>
      </w:r>
      <w:r>
        <w:rPr>
          <w:spacing w:val="-2"/>
        </w:rPr>
        <w:t>年度实现扭亏为盈，但</w:t>
      </w:r>
      <w:r>
        <w:rPr>
          <w:rFonts w:ascii="Times New Roman" w:hAnsi="Times New Roman" w:cs="Times New Roman" w:eastAsia="Times New Roman" w:hint="default"/>
          <w:spacing w:val="-2"/>
        </w:rPr>
        <w:t>2019</w:t>
      </w:r>
      <w:r>
        <w:rPr>
          <w:spacing w:val="-2"/>
        </w:rPr>
        <w:t>年末母公司报表可供普通股股东分配利润为负数，为保障公司正常生产经营</w:t>
      </w:r>
      <w:r>
        <w:rPr>
          <w:spacing w:val="-59"/>
        </w:rPr>
        <w:t> </w:t>
      </w:r>
      <w:r>
        <w:rPr>
          <w:spacing w:val="-59"/>
        </w:rPr>
      </w:r>
      <w:r>
        <w:rPr/>
        <w:t>和未来发展，公司不派发现金红利、不送红股、不以公积金转增股本。</w:t>
      </w:r>
    </w:p>
    <w:p>
      <w:pPr>
        <w:spacing w:after="0" w:line="304" w:lineRule="auto"/>
        <w:jc w:val="both"/>
        <w:sectPr>
          <w:pgSz w:w="11910" w:h="16840"/>
          <w:pgMar w:header="877" w:footer="980" w:top="1100" w:bottom="1160" w:left="980" w:right="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17"/>
        <w:ind w:left="140" w:right="0"/>
        <w:jc w:val="left"/>
      </w:pPr>
      <w:r>
        <w:rPr/>
        <w:t>公司近三年（包括本报告期）普通股现金分红情况表</w:t>
      </w:r>
    </w:p>
    <w:p>
      <w:pPr>
        <w:pStyle w:val="BodyText"/>
        <w:spacing w:line="240" w:lineRule="auto" w:before="117"/>
        <w:ind w:left="0" w:right="157"/>
        <w:jc w:val="right"/>
      </w:pPr>
      <w:r>
        <w:rPr/>
        <w:t>单位：元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196"/>
        <w:gridCol w:w="1656"/>
        <w:gridCol w:w="1865"/>
        <w:gridCol w:w="2069"/>
        <w:gridCol w:w="1652"/>
        <w:gridCol w:w="1858"/>
        <w:gridCol w:w="1664"/>
        <w:gridCol w:w="2059"/>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656" w:type="dxa"/>
            <w:vMerge w:val="restart"/>
            <w:tcBorders>
              <w:top w:val="single" w:sz="4" w:space="0" w:color="000000"/>
              <w:left w:val="single" w:sz="4" w:space="0" w:color="000000"/>
              <w:right w:val="single" w:sz="4" w:space="0" w:color="000000"/>
            </w:tcBorders>
            <w:shd w:val="clear" w:color="auto" w:fill="D2D2D2"/>
          </w:tcPr>
          <w:p>
            <w:pPr/>
          </w:p>
        </w:tc>
        <w:tc>
          <w:tcPr>
            <w:tcW w:w="1865" w:type="dxa"/>
            <w:tcBorders>
              <w:top w:val="single" w:sz="4" w:space="0" w:color="000000"/>
              <w:left w:val="single" w:sz="4" w:space="0" w:color="000000"/>
              <w:bottom w:val="nil" w:sz="6" w:space="0" w:color="auto"/>
              <w:right w:val="single" w:sz="4" w:space="0" w:color="000000"/>
            </w:tcBorders>
            <w:shd w:val="clear" w:color="auto" w:fill="D2D2D2"/>
          </w:tcPr>
          <w:p>
            <w:pPr/>
          </w:p>
        </w:tc>
        <w:tc>
          <w:tcPr>
            <w:tcW w:w="2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6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85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 w:right="24"/>
              <w:jc w:val="center"/>
              <w:rPr>
                <w:rFonts w:ascii="宋体" w:hAnsi="宋体" w:cs="宋体" w:eastAsia="宋体" w:hint="default"/>
                <w:sz w:val="18"/>
                <w:szCs w:val="18"/>
              </w:rPr>
            </w:pPr>
            <w:r>
              <w:rPr>
                <w:rFonts w:ascii="宋体" w:hAnsi="宋体" w:cs="宋体" w:eastAsia="宋体" w:hint="default"/>
                <w:sz w:val="18"/>
                <w:szCs w:val="18"/>
              </w:rPr>
              <w:t>以其他方式现金分红金 额占合并报表中归属于 上市公司普通股股东的 净利润的比例</w:t>
            </w:r>
          </w:p>
        </w:tc>
        <w:tc>
          <w:tcPr>
            <w:tcW w:w="1664" w:type="dxa"/>
            <w:vMerge w:val="restart"/>
            <w:tcBorders>
              <w:top w:val="single" w:sz="4" w:space="0" w:color="000000"/>
              <w:left w:val="single" w:sz="4" w:space="0" w:color="000000"/>
              <w:right w:val="single" w:sz="4" w:space="0" w:color="000000"/>
            </w:tcBorders>
            <w:shd w:val="clear" w:color="auto" w:fill="D2D2D2"/>
          </w:tcPr>
          <w:p>
            <w:pPr/>
          </w:p>
        </w:tc>
        <w:tc>
          <w:tcPr>
            <w:tcW w:w="20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现金分红总额（含其他方 式）占合并报表中归属于 上市公司普通股股东的净 利润的比率</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656" w:type="dxa"/>
            <w:vMerge/>
            <w:tcBorders>
              <w:left w:val="single" w:sz="4" w:space="0" w:color="000000"/>
              <w:bottom w:val="nil" w:sz="6" w:space="0" w:color="auto"/>
              <w:right w:val="single" w:sz="4" w:space="0" w:color="000000"/>
            </w:tcBorders>
            <w:shd w:val="clear" w:color="auto" w:fill="D2D2D2"/>
          </w:tcPr>
          <w:p>
            <w:pPr/>
          </w:p>
        </w:tc>
        <w:tc>
          <w:tcPr>
            <w:tcW w:w="18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6" w:right="27"/>
              <w:jc w:val="center"/>
              <w:rPr>
                <w:rFonts w:ascii="宋体" w:hAnsi="宋体" w:cs="宋体" w:eastAsia="宋体" w:hint="default"/>
                <w:sz w:val="18"/>
                <w:szCs w:val="18"/>
              </w:rPr>
            </w:pPr>
            <w:r>
              <w:rPr>
                <w:rFonts w:ascii="宋体" w:hAnsi="宋体" w:cs="宋体" w:eastAsia="宋体" w:hint="default"/>
                <w:sz w:val="18"/>
                <w:szCs w:val="18"/>
              </w:rPr>
              <w:t>分红年度合并报表中归 属于上市公司普通股股 东的净利润</w:t>
            </w:r>
          </w:p>
        </w:tc>
        <w:tc>
          <w:tcPr>
            <w:tcW w:w="206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8" w:right="38"/>
              <w:jc w:val="center"/>
              <w:rPr>
                <w:rFonts w:ascii="宋体" w:hAnsi="宋体" w:cs="宋体" w:eastAsia="宋体" w:hint="default"/>
                <w:sz w:val="18"/>
                <w:szCs w:val="18"/>
              </w:rPr>
            </w:pPr>
            <w:r>
              <w:rPr>
                <w:rFonts w:ascii="宋体" w:hAnsi="宋体" w:cs="宋体" w:eastAsia="宋体" w:hint="default"/>
                <w:sz w:val="18"/>
                <w:szCs w:val="18"/>
              </w:rPr>
              <w:t>现金分红金额占合并报表 中归属于上市公司普通股 股东的净利润的比率</w:t>
            </w:r>
          </w:p>
        </w:tc>
        <w:tc>
          <w:tcPr>
            <w:tcW w:w="1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1" w:right="22"/>
              <w:jc w:val="center"/>
              <w:rPr>
                <w:rFonts w:ascii="宋体" w:hAnsi="宋体" w:cs="宋体" w:eastAsia="宋体" w:hint="default"/>
                <w:sz w:val="18"/>
                <w:szCs w:val="18"/>
              </w:rPr>
            </w:pPr>
            <w:r>
              <w:rPr>
                <w:rFonts w:ascii="宋体" w:hAnsi="宋体" w:cs="宋体" w:eastAsia="宋体" w:hint="default"/>
                <w:spacing w:val="-3"/>
                <w:sz w:val="18"/>
                <w:szCs w:val="18"/>
              </w:rPr>
              <w:t>以其他方式（如回购</w:t>
            </w:r>
            <w:r>
              <w:rPr>
                <w:rFonts w:ascii="宋体" w:hAnsi="宋体" w:cs="宋体" w:eastAsia="宋体" w:hint="default"/>
                <w:sz w:val="18"/>
                <w:szCs w:val="18"/>
              </w:rPr>
              <w:t> </w:t>
            </w:r>
            <w:r>
              <w:rPr>
                <w:rFonts w:ascii="宋体" w:hAnsi="宋体" w:cs="宋体" w:eastAsia="宋体" w:hint="default"/>
                <w:spacing w:val="-3"/>
                <w:sz w:val="18"/>
                <w:szCs w:val="18"/>
              </w:rPr>
              <w:t>股份）现金分红的金</w:t>
            </w:r>
            <w:r>
              <w:rPr>
                <w:rFonts w:ascii="宋体" w:hAnsi="宋体" w:cs="宋体" w:eastAsia="宋体" w:hint="default"/>
                <w:sz w:val="18"/>
                <w:szCs w:val="18"/>
              </w:rPr>
              <w:t> 额</w:t>
            </w:r>
          </w:p>
        </w:tc>
        <w:tc>
          <w:tcPr>
            <w:tcW w:w="1858" w:type="dxa"/>
            <w:vMerge/>
            <w:tcBorders>
              <w:left w:val="single" w:sz="4" w:space="0" w:color="000000"/>
              <w:right w:val="single" w:sz="4" w:space="0" w:color="000000"/>
            </w:tcBorders>
            <w:shd w:val="clear" w:color="auto" w:fill="D2D2D2"/>
          </w:tcPr>
          <w:p>
            <w:pPr/>
          </w:p>
        </w:tc>
        <w:tc>
          <w:tcPr>
            <w:tcW w:w="1664" w:type="dxa"/>
            <w:vMerge/>
            <w:tcBorders>
              <w:left w:val="single" w:sz="4" w:space="0" w:color="000000"/>
              <w:bottom w:val="nil" w:sz="6" w:space="0" w:color="auto"/>
              <w:right w:val="single" w:sz="4" w:space="0" w:color="000000"/>
            </w:tcBorders>
            <w:shd w:val="clear" w:color="auto" w:fill="D2D2D2"/>
          </w:tcPr>
          <w:p>
            <w:pPr/>
          </w:p>
        </w:tc>
        <w:tc>
          <w:tcPr>
            <w:tcW w:w="2059" w:type="dxa"/>
            <w:vMerge/>
            <w:tcBorders>
              <w:left w:val="single" w:sz="4" w:space="0" w:color="000000"/>
              <w:right w:val="single" w:sz="4" w:space="0" w:color="000000"/>
            </w:tcBorders>
            <w:shd w:val="clear" w:color="auto" w:fill="D2D2D2"/>
          </w:tcPr>
          <w:p>
            <w:pPr/>
          </w:p>
        </w:tc>
      </w:tr>
      <w:tr>
        <w:trPr>
          <w:trHeight w:val="156"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65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43" w:right="10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865" w:type="dxa"/>
            <w:vMerge/>
            <w:tcBorders>
              <w:left w:val="single" w:sz="4" w:space="0" w:color="000000"/>
              <w:right w:val="single" w:sz="4" w:space="0" w:color="000000"/>
            </w:tcBorders>
            <w:shd w:val="clear" w:color="auto" w:fill="D2D2D2"/>
          </w:tcPr>
          <w:p>
            <w:pPr/>
          </w:p>
        </w:tc>
        <w:tc>
          <w:tcPr>
            <w:tcW w:w="2069" w:type="dxa"/>
            <w:vMerge/>
            <w:tcBorders>
              <w:left w:val="single" w:sz="4" w:space="0" w:color="000000"/>
              <w:right w:val="single" w:sz="4" w:space="0" w:color="000000"/>
            </w:tcBorders>
            <w:shd w:val="clear" w:color="auto" w:fill="D2D2D2"/>
          </w:tcPr>
          <w:p>
            <w:pPr/>
          </w:p>
        </w:tc>
        <w:tc>
          <w:tcPr>
            <w:tcW w:w="1652" w:type="dxa"/>
            <w:vMerge/>
            <w:tcBorders>
              <w:left w:val="single" w:sz="4" w:space="0" w:color="000000"/>
              <w:right w:val="single" w:sz="4" w:space="0" w:color="000000"/>
            </w:tcBorders>
            <w:shd w:val="clear" w:color="auto" w:fill="D2D2D2"/>
          </w:tcPr>
          <w:p>
            <w:pPr/>
          </w:p>
        </w:tc>
        <w:tc>
          <w:tcPr>
            <w:tcW w:w="1858" w:type="dxa"/>
            <w:vMerge/>
            <w:tcBorders>
              <w:left w:val="single" w:sz="4" w:space="0" w:color="000000"/>
              <w:right w:val="single" w:sz="4" w:space="0" w:color="000000"/>
            </w:tcBorders>
            <w:shd w:val="clear" w:color="auto" w:fill="D2D2D2"/>
          </w:tcPr>
          <w:p>
            <w:pPr/>
          </w:p>
        </w:tc>
        <w:tc>
          <w:tcPr>
            <w:tcW w:w="1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65" w:right="22" w:hanging="444"/>
              <w:jc w:val="left"/>
              <w:rPr>
                <w:rFonts w:ascii="宋体" w:hAnsi="宋体" w:cs="宋体" w:eastAsia="宋体" w:hint="default"/>
                <w:sz w:val="18"/>
                <w:szCs w:val="18"/>
              </w:rPr>
            </w:pPr>
            <w:r>
              <w:rPr>
                <w:rFonts w:ascii="宋体" w:hAnsi="宋体" w:cs="宋体" w:eastAsia="宋体" w:hint="default"/>
                <w:spacing w:val="-2"/>
                <w:sz w:val="18"/>
                <w:szCs w:val="18"/>
              </w:rPr>
              <w:t>现金分红总额（含其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他方式）</w:t>
            </w:r>
          </w:p>
        </w:tc>
        <w:tc>
          <w:tcPr>
            <w:tcW w:w="2059" w:type="dxa"/>
            <w:vMerge/>
            <w:tcBorders>
              <w:left w:val="single" w:sz="4" w:space="0" w:color="000000"/>
              <w:right w:val="single" w:sz="4" w:space="0" w:color="000000"/>
            </w:tcBorders>
            <w:shd w:val="clear" w:color="auto" w:fill="D2D2D2"/>
          </w:tcPr>
          <w:p>
            <w:pPr/>
          </w:p>
        </w:tc>
      </w:tr>
      <w:tr>
        <w:trPr>
          <w:trHeight w:val="391"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1656" w:type="dxa"/>
            <w:vMerge/>
            <w:tcBorders>
              <w:left w:val="single" w:sz="4" w:space="0" w:color="000000"/>
              <w:right w:val="single" w:sz="4" w:space="0" w:color="000000"/>
            </w:tcBorders>
            <w:shd w:val="clear" w:color="auto" w:fill="D2D2D2"/>
          </w:tcPr>
          <w:p>
            <w:pPr/>
          </w:p>
        </w:tc>
        <w:tc>
          <w:tcPr>
            <w:tcW w:w="1865" w:type="dxa"/>
            <w:vMerge/>
            <w:tcBorders>
              <w:left w:val="single" w:sz="4" w:space="0" w:color="000000"/>
              <w:right w:val="single" w:sz="4" w:space="0" w:color="000000"/>
            </w:tcBorders>
            <w:shd w:val="clear" w:color="auto" w:fill="D2D2D2"/>
          </w:tcPr>
          <w:p>
            <w:pPr/>
          </w:p>
        </w:tc>
        <w:tc>
          <w:tcPr>
            <w:tcW w:w="2069" w:type="dxa"/>
            <w:vMerge/>
            <w:tcBorders>
              <w:left w:val="single" w:sz="4" w:space="0" w:color="000000"/>
              <w:right w:val="single" w:sz="4" w:space="0" w:color="000000"/>
            </w:tcBorders>
            <w:shd w:val="clear" w:color="auto" w:fill="D2D2D2"/>
          </w:tcPr>
          <w:p>
            <w:pPr/>
          </w:p>
        </w:tc>
        <w:tc>
          <w:tcPr>
            <w:tcW w:w="1652" w:type="dxa"/>
            <w:vMerge/>
            <w:tcBorders>
              <w:left w:val="single" w:sz="4" w:space="0" w:color="000000"/>
              <w:right w:val="single" w:sz="4" w:space="0" w:color="000000"/>
            </w:tcBorders>
            <w:shd w:val="clear" w:color="auto" w:fill="D2D2D2"/>
          </w:tcPr>
          <w:p>
            <w:pPr/>
          </w:p>
        </w:tc>
        <w:tc>
          <w:tcPr>
            <w:tcW w:w="1858" w:type="dxa"/>
            <w:vMerge/>
            <w:tcBorders>
              <w:left w:val="single" w:sz="4" w:space="0" w:color="000000"/>
              <w:right w:val="single" w:sz="4" w:space="0" w:color="000000"/>
            </w:tcBorders>
            <w:shd w:val="clear" w:color="auto" w:fill="D2D2D2"/>
          </w:tcPr>
          <w:p>
            <w:pPr/>
          </w:p>
        </w:tc>
        <w:tc>
          <w:tcPr>
            <w:tcW w:w="1664" w:type="dxa"/>
            <w:vMerge/>
            <w:tcBorders>
              <w:left w:val="single" w:sz="4" w:space="0" w:color="000000"/>
              <w:right w:val="single" w:sz="4" w:space="0" w:color="000000"/>
            </w:tcBorders>
            <w:shd w:val="clear" w:color="auto" w:fill="D2D2D2"/>
          </w:tcPr>
          <w:p>
            <w:pPr/>
          </w:p>
        </w:tc>
        <w:tc>
          <w:tcPr>
            <w:tcW w:w="2059" w:type="dxa"/>
            <w:vMerge/>
            <w:tcBorders>
              <w:left w:val="single" w:sz="4" w:space="0" w:color="000000"/>
              <w:right w:val="single" w:sz="4" w:space="0" w:color="000000"/>
            </w:tcBorders>
            <w:shd w:val="clear" w:color="auto" w:fill="D2D2D2"/>
          </w:tcPr>
          <w:p>
            <w:pPr/>
          </w:p>
        </w:tc>
      </w:tr>
      <w:tr>
        <w:trPr>
          <w:trHeight w:val="156"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656" w:type="dxa"/>
            <w:vMerge/>
            <w:tcBorders>
              <w:left w:val="single" w:sz="4" w:space="0" w:color="000000"/>
              <w:bottom w:val="nil" w:sz="6" w:space="0" w:color="auto"/>
              <w:right w:val="single" w:sz="4" w:space="0" w:color="000000"/>
            </w:tcBorders>
            <w:shd w:val="clear" w:color="auto" w:fill="D2D2D2"/>
          </w:tcPr>
          <w:p>
            <w:pPr/>
          </w:p>
        </w:tc>
        <w:tc>
          <w:tcPr>
            <w:tcW w:w="1865" w:type="dxa"/>
            <w:vMerge/>
            <w:tcBorders>
              <w:left w:val="single" w:sz="4" w:space="0" w:color="000000"/>
              <w:right w:val="single" w:sz="4" w:space="0" w:color="000000"/>
            </w:tcBorders>
            <w:shd w:val="clear" w:color="auto" w:fill="D2D2D2"/>
          </w:tcPr>
          <w:p>
            <w:pPr/>
          </w:p>
        </w:tc>
        <w:tc>
          <w:tcPr>
            <w:tcW w:w="2069" w:type="dxa"/>
            <w:vMerge/>
            <w:tcBorders>
              <w:left w:val="single" w:sz="4" w:space="0" w:color="000000"/>
              <w:right w:val="single" w:sz="4" w:space="0" w:color="000000"/>
            </w:tcBorders>
            <w:shd w:val="clear" w:color="auto" w:fill="D2D2D2"/>
          </w:tcPr>
          <w:p>
            <w:pPr/>
          </w:p>
        </w:tc>
        <w:tc>
          <w:tcPr>
            <w:tcW w:w="1652" w:type="dxa"/>
            <w:vMerge/>
            <w:tcBorders>
              <w:left w:val="single" w:sz="4" w:space="0" w:color="000000"/>
              <w:right w:val="single" w:sz="4" w:space="0" w:color="000000"/>
            </w:tcBorders>
            <w:shd w:val="clear" w:color="auto" w:fill="D2D2D2"/>
          </w:tcPr>
          <w:p>
            <w:pPr/>
          </w:p>
        </w:tc>
        <w:tc>
          <w:tcPr>
            <w:tcW w:w="1858" w:type="dxa"/>
            <w:vMerge/>
            <w:tcBorders>
              <w:left w:val="single" w:sz="4" w:space="0" w:color="000000"/>
              <w:right w:val="single" w:sz="4" w:space="0" w:color="000000"/>
            </w:tcBorders>
            <w:shd w:val="clear" w:color="auto" w:fill="D2D2D2"/>
          </w:tcPr>
          <w:p>
            <w:pPr/>
          </w:p>
        </w:tc>
        <w:tc>
          <w:tcPr>
            <w:tcW w:w="1664" w:type="dxa"/>
            <w:vMerge/>
            <w:tcBorders>
              <w:left w:val="single" w:sz="4" w:space="0" w:color="000000"/>
              <w:bottom w:val="nil" w:sz="6" w:space="0" w:color="auto"/>
              <w:right w:val="single" w:sz="4" w:space="0" w:color="000000"/>
            </w:tcBorders>
            <w:shd w:val="clear" w:color="auto" w:fill="D2D2D2"/>
          </w:tcPr>
          <w:p>
            <w:pPr/>
          </w:p>
        </w:tc>
        <w:tc>
          <w:tcPr>
            <w:tcW w:w="2059" w:type="dxa"/>
            <w:vMerge/>
            <w:tcBorders>
              <w:left w:val="single" w:sz="4" w:space="0" w:color="000000"/>
              <w:right w:val="single" w:sz="4" w:space="0" w:color="000000"/>
            </w:tcBorders>
            <w:shd w:val="clear" w:color="auto" w:fill="D2D2D2"/>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656" w:type="dxa"/>
            <w:vMerge w:val="restart"/>
            <w:tcBorders>
              <w:top w:val="nil" w:sz="6" w:space="0" w:color="auto"/>
              <w:left w:val="single" w:sz="4" w:space="0" w:color="000000"/>
              <w:right w:val="single" w:sz="4" w:space="0" w:color="000000"/>
            </w:tcBorders>
            <w:shd w:val="clear" w:color="auto" w:fill="D2D2D2"/>
          </w:tcPr>
          <w:p>
            <w:pPr/>
          </w:p>
        </w:tc>
        <w:tc>
          <w:tcPr>
            <w:tcW w:w="1865" w:type="dxa"/>
            <w:vMerge/>
            <w:tcBorders>
              <w:left w:val="single" w:sz="4" w:space="0" w:color="000000"/>
              <w:bottom w:val="nil" w:sz="6" w:space="0" w:color="auto"/>
              <w:right w:val="single" w:sz="4" w:space="0" w:color="000000"/>
            </w:tcBorders>
            <w:shd w:val="clear" w:color="auto" w:fill="D2D2D2"/>
          </w:tcPr>
          <w:p>
            <w:pPr/>
          </w:p>
        </w:tc>
        <w:tc>
          <w:tcPr>
            <w:tcW w:w="2069" w:type="dxa"/>
            <w:vMerge/>
            <w:tcBorders>
              <w:left w:val="single" w:sz="4" w:space="0" w:color="000000"/>
              <w:bottom w:val="nil" w:sz="6" w:space="0" w:color="auto"/>
              <w:right w:val="single" w:sz="4" w:space="0" w:color="000000"/>
            </w:tcBorders>
            <w:shd w:val="clear" w:color="auto" w:fill="D2D2D2"/>
          </w:tcPr>
          <w:p>
            <w:pPr/>
          </w:p>
        </w:tc>
        <w:tc>
          <w:tcPr>
            <w:tcW w:w="1652" w:type="dxa"/>
            <w:vMerge/>
            <w:tcBorders>
              <w:left w:val="single" w:sz="4" w:space="0" w:color="000000"/>
              <w:bottom w:val="nil" w:sz="6" w:space="0" w:color="auto"/>
              <w:right w:val="single" w:sz="4" w:space="0" w:color="000000"/>
            </w:tcBorders>
            <w:shd w:val="clear" w:color="auto" w:fill="D2D2D2"/>
          </w:tcPr>
          <w:p>
            <w:pPr/>
          </w:p>
        </w:tc>
        <w:tc>
          <w:tcPr>
            <w:tcW w:w="1858" w:type="dxa"/>
            <w:vMerge/>
            <w:tcBorders>
              <w:left w:val="single" w:sz="4" w:space="0" w:color="000000"/>
              <w:right w:val="single" w:sz="4" w:space="0" w:color="000000"/>
            </w:tcBorders>
            <w:shd w:val="clear" w:color="auto" w:fill="D2D2D2"/>
          </w:tcPr>
          <w:p>
            <w:pPr/>
          </w:p>
        </w:tc>
        <w:tc>
          <w:tcPr>
            <w:tcW w:w="1664" w:type="dxa"/>
            <w:vMerge w:val="restart"/>
            <w:tcBorders>
              <w:top w:val="nil" w:sz="6" w:space="0" w:color="auto"/>
              <w:left w:val="single" w:sz="4" w:space="0" w:color="000000"/>
              <w:right w:val="single" w:sz="4" w:space="0" w:color="000000"/>
            </w:tcBorders>
            <w:shd w:val="clear" w:color="auto" w:fill="D2D2D2"/>
          </w:tcPr>
          <w:p>
            <w:pPr/>
          </w:p>
        </w:tc>
        <w:tc>
          <w:tcPr>
            <w:tcW w:w="2059" w:type="dxa"/>
            <w:vMerge/>
            <w:tcBorders>
              <w:left w:val="single" w:sz="4" w:space="0" w:color="000000"/>
              <w:right w:val="single" w:sz="4" w:space="0" w:color="000000"/>
            </w:tcBorders>
            <w:shd w:val="clear" w:color="auto" w:fill="D2D2D2"/>
          </w:tcPr>
          <w:p>
            <w:pPr/>
          </w:p>
        </w:tc>
      </w:tr>
      <w:tr>
        <w:trPr>
          <w:trHeight w:val="161"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656" w:type="dxa"/>
            <w:vMerge/>
            <w:tcBorders>
              <w:left w:val="single" w:sz="4" w:space="0" w:color="000000"/>
              <w:bottom w:val="single" w:sz="4" w:space="0" w:color="000000"/>
              <w:right w:val="single" w:sz="4" w:space="0" w:color="000000"/>
            </w:tcBorders>
            <w:shd w:val="clear" w:color="auto" w:fill="D2D2D2"/>
          </w:tcPr>
          <w:p>
            <w:pPr/>
          </w:p>
        </w:tc>
        <w:tc>
          <w:tcPr>
            <w:tcW w:w="1865" w:type="dxa"/>
            <w:tcBorders>
              <w:top w:val="nil" w:sz="6" w:space="0" w:color="auto"/>
              <w:left w:val="single" w:sz="4" w:space="0" w:color="000000"/>
              <w:bottom w:val="single" w:sz="4" w:space="0" w:color="000000"/>
              <w:right w:val="single" w:sz="4" w:space="0" w:color="000000"/>
            </w:tcBorders>
            <w:shd w:val="clear" w:color="auto" w:fill="D2D2D2"/>
          </w:tcPr>
          <w:p>
            <w:pPr/>
          </w:p>
        </w:tc>
        <w:tc>
          <w:tcPr>
            <w:tcW w:w="2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6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8" w:type="dxa"/>
            <w:vMerge/>
            <w:tcBorders>
              <w:left w:val="single" w:sz="4" w:space="0" w:color="000000"/>
              <w:bottom w:val="single" w:sz="4" w:space="0" w:color="000000"/>
              <w:right w:val="single" w:sz="4" w:space="0" w:color="000000"/>
            </w:tcBorders>
            <w:shd w:val="clear" w:color="auto" w:fill="D2D2D2"/>
          </w:tcPr>
          <w:p>
            <w:pPr/>
          </w:p>
        </w:tc>
        <w:tc>
          <w:tcPr>
            <w:tcW w:w="1664" w:type="dxa"/>
            <w:vMerge/>
            <w:tcBorders>
              <w:left w:val="single" w:sz="4" w:space="0" w:color="000000"/>
              <w:bottom w:val="single" w:sz="4" w:space="0" w:color="000000"/>
              <w:right w:val="single" w:sz="4" w:space="0" w:color="000000"/>
            </w:tcBorders>
            <w:shd w:val="clear" w:color="auto" w:fill="D2D2D2"/>
          </w:tcPr>
          <w:p>
            <w:pPr/>
          </w:p>
        </w:tc>
        <w:tc>
          <w:tcPr>
            <w:tcW w:w="205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52,264,905.34</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47,993,683.04</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91.83%</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47,993,683.04</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90.26%</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-841,464,317.58</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21,313,097.34</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306,943,384.51</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6.94%</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21,313,097.34</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6.94%</w:t>
            </w:r>
          </w:p>
        </w:tc>
      </w:tr>
    </w:tbl>
    <w:p>
      <w:pPr>
        <w:pStyle w:val="BodyText"/>
        <w:spacing w:line="240" w:lineRule="auto" w:before="49"/>
        <w:ind w:left="140" w:right="0"/>
        <w:jc w:val="left"/>
      </w:pPr>
      <w:r>
        <w:rPr/>
        <w:t>公司报告期内盈利且母公司可供普通股股东分配利润为正但未提出普通股现金红利分配预案</w:t>
      </w:r>
    </w:p>
    <w:p>
      <w:pPr>
        <w:pStyle w:val="BodyText"/>
        <w:spacing w:line="240" w:lineRule="auto" w:before="115"/>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140" w:right="0"/>
        <w:jc w:val="left"/>
        <w:rPr>
          <w:b w:val="0"/>
          <w:bCs w:val="0"/>
        </w:rPr>
      </w:pPr>
      <w:bookmarkStart w:name="二、本报告期利润分配及资本公积金转增股本情况" w:id="65"/>
      <w:bookmarkEnd w:id="65"/>
      <w:r>
        <w:rPr>
          <w:b w:val="0"/>
          <w:bCs w:val="0"/>
        </w:rPr>
      </w:r>
      <w:r>
        <w:rPr/>
        <w:t>二、本报告期利润分配及资本公积金转增股本情况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140" w:right="88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公司计划年度不派发现金红利，不送红股，不以公积金转增股本。</w:t>
      </w:r>
    </w:p>
    <w:p>
      <w:pPr>
        <w:spacing w:line="240" w:lineRule="auto" w:before="4"/>
        <w:rPr>
          <w:rFonts w:ascii="宋体" w:hAnsi="宋体" w:cs="宋体" w:eastAsia="宋体" w:hint="default"/>
          <w:sz w:val="19"/>
          <w:szCs w:val="19"/>
        </w:rPr>
      </w:pPr>
    </w:p>
    <w:p>
      <w:pPr>
        <w:pStyle w:val="Heading2"/>
        <w:spacing w:line="240" w:lineRule="auto"/>
        <w:ind w:left="140" w:right="0"/>
        <w:jc w:val="left"/>
        <w:rPr>
          <w:b w:val="0"/>
          <w:bCs w:val="0"/>
        </w:rPr>
      </w:pPr>
      <w:bookmarkStart w:name="三、承诺事项履行情况" w:id="66"/>
      <w:bookmarkEnd w:id="66"/>
      <w:r>
        <w:rPr>
          <w:b w:val="0"/>
          <w:bCs w:val="0"/>
        </w:rPr>
      </w:r>
      <w:r>
        <w:rPr/>
        <w:t>三、承诺事项履行情况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40" w:right="0"/>
        <w:jc w:val="left"/>
        <w:rPr>
          <w:b w:val="0"/>
          <w:bCs w:val="0"/>
        </w:rPr>
      </w:pPr>
      <w:bookmarkStart w:name="1、公司实际控制人、股东、关联方、收购人以及公司等承诺相关方在报告期内履行完毕及" w:id="67"/>
      <w:bookmarkEnd w:id="67"/>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7" w:type="dxa"/>
        <w:tblLayout w:type="fixed"/>
        <w:tblCellMar>
          <w:top w:w="0" w:type="dxa"/>
          <w:left w:w="0" w:type="dxa"/>
          <w:bottom w:w="0" w:type="dxa"/>
          <w:right w:w="0" w:type="dxa"/>
        </w:tblCellMar>
        <w:tblLook w:val="01E0"/>
      </w:tblPr>
      <w:tblGrid>
        <w:gridCol w:w="777"/>
        <w:gridCol w:w="1799"/>
        <w:gridCol w:w="847"/>
        <w:gridCol w:w="7515"/>
        <w:gridCol w:w="850"/>
        <w:gridCol w:w="850"/>
        <w:gridCol w:w="1339"/>
      </w:tblGrid>
      <w:tr>
        <w:trPr>
          <w:trHeight w:val="404" w:hRule="exact"/>
        </w:trPr>
        <w:tc>
          <w:tcPr>
            <w:tcW w:w="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7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298" w:hRule="exact"/>
        </w:trPr>
        <w:tc>
          <w:tcPr>
            <w:tcW w:w="7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799" w:type="dxa"/>
            <w:vMerge w:val="restart"/>
            <w:tcBorders>
              <w:top w:val="single" w:sz="4" w:space="0" w:color="000000"/>
              <w:left w:val="single" w:sz="9" w:space="0" w:color="D2D2D2"/>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28" w:right="24"/>
              <w:jc w:val="left"/>
              <w:rPr>
                <w:rFonts w:ascii="宋体" w:hAnsi="宋体" w:cs="宋体" w:eastAsia="宋体" w:hint="default"/>
                <w:sz w:val="18"/>
                <w:szCs w:val="18"/>
              </w:rPr>
            </w:pPr>
            <w:r>
              <w:rPr>
                <w:rFonts w:ascii="宋体" w:hAnsi="宋体" w:cs="宋体" w:eastAsia="宋体" w:hint="default"/>
                <w:sz w:val="18"/>
                <w:szCs w:val="18"/>
              </w:rPr>
              <w:t>北京久其科技投资有 </w:t>
            </w:r>
            <w:r>
              <w:rPr>
                <w:rFonts w:ascii="宋体" w:hAnsi="宋体" w:cs="宋体" w:eastAsia="宋体" w:hint="default"/>
                <w:spacing w:val="-8"/>
                <w:sz w:val="18"/>
                <w:szCs w:val="18"/>
              </w:rPr>
              <w:t>限公司、董泰湘、赵福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君、王新、李勇</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21" w:right="95"/>
              <w:jc w:val="both"/>
              <w:rPr>
                <w:rFonts w:ascii="宋体" w:hAnsi="宋体" w:cs="宋体" w:eastAsia="宋体" w:hint="default"/>
                <w:sz w:val="18"/>
                <w:szCs w:val="18"/>
              </w:rPr>
            </w:pPr>
            <w:r>
              <w:rPr>
                <w:rFonts w:ascii="宋体" w:hAnsi="宋体" w:cs="宋体" w:eastAsia="宋体" w:hint="default"/>
                <w:sz w:val="18"/>
                <w:szCs w:val="18"/>
              </w:rPr>
              <w:t>关于规范 关联交易 的承诺</w:t>
            </w:r>
          </w:p>
        </w:tc>
        <w:tc>
          <w:tcPr>
            <w:tcW w:w="7515" w:type="dxa"/>
            <w:vMerge w:val="restart"/>
            <w:tcBorders>
              <w:top w:val="single" w:sz="4" w:space="0" w:color="000000"/>
              <w:left w:val="single" w:sz="4" w:space="0" w:color="000000"/>
              <w:right w:val="single" w:sz="4" w:space="0" w:color="000000"/>
            </w:tcBorders>
          </w:tcPr>
          <w:p>
            <w:pPr>
              <w:pStyle w:val="TableParagraph"/>
              <w:spacing w:line="309" w:lineRule="auto" w:before="49"/>
              <w:ind w:left="23" w:right="22"/>
              <w:jc w:val="both"/>
              <w:rPr>
                <w:rFonts w:ascii="宋体" w:hAnsi="宋体" w:cs="宋体" w:eastAsia="宋体" w:hint="default"/>
                <w:sz w:val="18"/>
                <w:szCs w:val="18"/>
              </w:rPr>
            </w:pPr>
            <w:r>
              <w:rPr>
                <w:rFonts w:ascii="宋体" w:hAnsi="宋体" w:cs="宋体" w:eastAsia="宋体" w:hint="default"/>
                <w:sz w:val="18"/>
                <w:szCs w:val="18"/>
              </w:rPr>
              <w:t>①本公司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本人承诺将尽量避免或减少与久其软件及其子公司、亿起联科技及其子公司之间的关 联交易。对于久其软件及其控股子公司、亿起联科技及其子公司能够通过市场与第三方之间发 生的交易，将由久其软件及其控股子公司、亿起联科技及其子公司独立与第三方进行；对于本 </w:t>
            </w:r>
            <w:r>
              <w:rPr>
                <w:rFonts w:ascii="宋体" w:hAnsi="宋体" w:cs="宋体" w:eastAsia="宋体" w:hint="default"/>
                <w:spacing w:val="-1"/>
                <w:sz w:val="18"/>
                <w:szCs w:val="18"/>
              </w:rPr>
              <w:t>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本人及本公司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本人控制的其他企业与久其软件及其控股子公司、亿起联科技及其子公司之</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间无法避免的关联交易，均将严格遵守市场化原则，本着平等互利、等价有偿的一般原则，公</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33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1" w:right="47"/>
              <w:jc w:val="both"/>
              <w:rPr>
                <w:rFonts w:ascii="宋体" w:hAnsi="宋体" w:cs="宋体" w:eastAsia="宋体" w:hint="default"/>
                <w:sz w:val="18"/>
                <w:szCs w:val="18"/>
              </w:rPr>
            </w:pPr>
            <w:r>
              <w:rPr>
                <w:rFonts w:ascii="宋体" w:hAnsi="宋体" w:cs="宋体" w:eastAsia="宋体" w:hint="default"/>
                <w:sz w:val="18"/>
                <w:szCs w:val="18"/>
              </w:rPr>
              <w:t>截至报告期末， 承诺方严格遵守 该承诺，未有违 反该承诺的情况</w:t>
            </w:r>
          </w:p>
        </w:tc>
      </w:tr>
      <w:tr>
        <w:trPr>
          <w:trHeight w:val="1015" w:hRule="exact"/>
        </w:trPr>
        <w:tc>
          <w:tcPr>
            <w:tcW w:w="7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1" w:right="33"/>
              <w:jc w:val="both"/>
              <w:rPr>
                <w:rFonts w:ascii="宋体" w:hAnsi="宋体" w:cs="宋体" w:eastAsia="宋体" w:hint="default"/>
                <w:sz w:val="18"/>
                <w:szCs w:val="18"/>
              </w:rPr>
            </w:pPr>
            <w:r>
              <w:rPr>
                <w:rFonts w:ascii="宋体" w:hAnsi="宋体" w:cs="宋体" w:eastAsia="宋体" w:hint="default"/>
                <w:sz w:val="18"/>
                <w:szCs w:val="18"/>
              </w:rPr>
              <w:t>资产重组 时所作承 诺</w:t>
            </w:r>
          </w:p>
        </w:tc>
        <w:tc>
          <w:tcPr>
            <w:tcW w:w="1799" w:type="dxa"/>
            <w:vMerge/>
            <w:tcBorders>
              <w:left w:val="single" w:sz="9" w:space="0" w:color="D2D2D2"/>
              <w:right w:val="single" w:sz="4" w:space="0" w:color="000000"/>
            </w:tcBorders>
          </w:tcPr>
          <w:p>
            <w:pPr/>
          </w:p>
        </w:tc>
        <w:tc>
          <w:tcPr>
            <w:tcW w:w="847" w:type="dxa"/>
            <w:vMerge/>
            <w:tcBorders>
              <w:left w:val="single" w:sz="4" w:space="0" w:color="000000"/>
              <w:right w:val="single" w:sz="4" w:space="0" w:color="000000"/>
            </w:tcBorders>
          </w:tcPr>
          <w:p>
            <w:pPr/>
          </w:p>
        </w:tc>
        <w:tc>
          <w:tcPr>
            <w:tcW w:w="7515"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339" w:type="dxa"/>
            <w:vMerge/>
            <w:tcBorders>
              <w:left w:val="single" w:sz="4" w:space="0" w:color="000000"/>
              <w:right w:val="single" w:sz="4" w:space="0" w:color="000000"/>
            </w:tcBorders>
          </w:tcPr>
          <w:p>
            <w:pPr/>
          </w:p>
        </w:tc>
      </w:tr>
      <w:tr>
        <w:trPr>
          <w:trHeight w:val="298" w:hRule="exact"/>
        </w:trPr>
        <w:tc>
          <w:tcPr>
            <w:tcW w:w="7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799" w:type="dxa"/>
            <w:vMerge/>
            <w:tcBorders>
              <w:left w:val="single" w:sz="9" w:space="0" w:color="D2D2D2"/>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7515"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339" w:type="dxa"/>
            <w:vMerge/>
            <w:tcBorders>
              <w:left w:val="single" w:sz="4" w:space="0" w:color="000000"/>
              <w:bottom w:val="single" w:sz="4" w:space="0" w:color="000000"/>
              <w:right w:val="single" w:sz="4" w:space="0" w:color="000000"/>
            </w:tcBorders>
          </w:tcPr>
          <w:p>
            <w:pPr/>
          </w:p>
        </w:tc>
      </w:tr>
    </w:tbl>
    <w:p>
      <w:pPr>
        <w:spacing w:after="0"/>
        <w:sectPr>
          <w:headerReference w:type="default" r:id="rId19"/>
          <w:footerReference w:type="default" r:id="rId20"/>
          <w:pgSz w:w="16840" w:h="11910" w:orient="landscape"/>
          <w:pgMar w:header="867" w:footer="980" w:top="1060" w:bottom="1160" w:left="1300" w:right="1280"/>
          <w:pgNumType w:start="37"/>
        </w:sectPr>
      </w:pPr>
    </w:p>
    <w:p>
      <w:pPr>
        <w:spacing w:line="240" w:lineRule="auto" w:before="2"/>
        <w:rPr>
          <w:rFonts w:ascii="Times New Roman" w:hAnsi="Times New Roman" w:cs="Times New Roman" w:eastAsia="Times New Roman" w:hint="default"/>
          <w:sz w:val="3"/>
          <w:szCs w:val="3"/>
        </w:rPr>
      </w:pPr>
      <w:r>
        <w:rPr/>
        <w:pict>
          <v:shape style="position:absolute;margin-left:478.577026pt;margin-top:251.446014pt;width:183.2pt;height:85.85pt;mso-position-horizontal-relative:page;mso-position-vertical-relative:page;z-index:-11853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7"/>
                    <w:ind w:left="0" w:right="0"/>
                    <w:jc w:val="left"/>
                  </w:pPr>
                  <w:r>
                    <w:rPr/>
                    <w:t>或以其他任何形式取得该经济实体、</w:t>
                  </w:r>
                </w:p>
                <w:p>
                  <w:pPr>
                    <w:pStyle w:val="BodyText"/>
                    <w:spacing w:line="240" w:lineRule="auto" w:before="77"/>
                    <w:ind w:left="2338" w:right="0"/>
                    <w:jc w:val="left"/>
                  </w:pPr>
                  <w:r>
                    <w:rPr/>
                    <w:t>劳务、</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800"/>
        <w:gridCol w:w="1788"/>
        <w:gridCol w:w="847"/>
        <w:gridCol w:w="7515"/>
        <w:gridCol w:w="850"/>
        <w:gridCol w:w="850"/>
        <w:gridCol w:w="1339"/>
      </w:tblGrid>
      <w:tr>
        <w:trPr>
          <w:trHeight w:val="418" w:hRule="exact"/>
        </w:trPr>
        <w:tc>
          <w:tcPr>
            <w:tcW w:w="80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78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84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承诺类型</w:t>
            </w:r>
          </w:p>
        </w:tc>
        <w:tc>
          <w:tcPr>
            <w:tcW w:w="751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339"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3483" w:hRule="exact"/>
        </w:trPr>
        <w:tc>
          <w:tcPr>
            <w:tcW w:w="800" w:type="dxa"/>
            <w:vMerge w:val="restart"/>
            <w:tcBorders>
              <w:top w:val="single" w:sz="4" w:space="0" w:color="000000"/>
              <w:left w:val="single" w:sz="4" w:space="0" w:color="000000"/>
              <w:right w:val="single" w:sz="4" w:space="0" w:color="000000"/>
            </w:tcBorders>
            <w:shd w:val="clear" w:color="auto" w:fill="D2D2D2"/>
          </w:tcPr>
          <w:p>
            <w:pPr/>
          </w:p>
        </w:tc>
        <w:tc>
          <w:tcPr>
            <w:tcW w:w="178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51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3" w:right="-1"/>
              <w:jc w:val="left"/>
              <w:rPr>
                <w:rFonts w:ascii="宋体" w:hAnsi="宋体" w:cs="宋体" w:eastAsia="宋体" w:hint="default"/>
                <w:sz w:val="18"/>
                <w:szCs w:val="18"/>
              </w:rPr>
            </w:pPr>
            <w:r>
              <w:rPr>
                <w:rFonts w:ascii="宋体" w:hAnsi="宋体" w:cs="宋体" w:eastAsia="宋体" w:hint="default"/>
                <w:sz w:val="18"/>
                <w:szCs w:val="18"/>
              </w:rPr>
              <w:t>平合理地进行。②本公司特此承诺，本次交易过程中及交易完成后，不会以任何方式占用或使 用久其软件及其子公司、亿起联科技及其子公司的资金、资产或其他资源，也不会要求久其软 件及其子公司、亿起联科技及其子公司为本公司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本人及本公司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本人控制的其他企业代垫款项、 代偿债务，本公司不会不以任何直接或间接的方式从事损害或可能损害久其软件及其子公司、 </w:t>
            </w:r>
            <w:r>
              <w:rPr>
                <w:rFonts w:ascii="宋体" w:hAnsi="宋体" w:cs="宋体" w:eastAsia="宋体" w:hint="default"/>
                <w:spacing w:val="-2"/>
                <w:sz w:val="18"/>
                <w:szCs w:val="18"/>
              </w:rPr>
              <w:t>亿起联科技及其子公司利益的行为。③本公司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本人承诺，本公司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本人及本公司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本人控制的其他</w:t>
            </w:r>
            <w:r>
              <w:rPr>
                <w:rFonts w:ascii="宋体" w:hAnsi="宋体" w:cs="宋体" w:eastAsia="宋体" w:hint="default"/>
                <w:spacing w:val="-77"/>
                <w:sz w:val="18"/>
                <w:szCs w:val="18"/>
              </w:rPr>
              <w:t> </w:t>
            </w:r>
            <w:r>
              <w:rPr>
                <w:rFonts w:ascii="宋体" w:hAnsi="宋体" w:cs="宋体" w:eastAsia="宋体" w:hint="default"/>
                <w:sz w:val="18"/>
                <w:szCs w:val="18"/>
              </w:rPr>
              <w:t>企业与久其软件及其子公司、亿起联科技及其子公司发生关联交易时，将严格按照有关法律、 法规、规范性文件及久其软件《公司章程》等公司治理制度的有关规定履行审批程序和信息披 露义务，保证不通过关联交易损害久其软件及其子公司、亿起联科技及其子公司及广大中小股 东的合法权益。本公司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本人在股东大会审议该等关联交易事项时，主动依法履行回避义务，并 在议案通过后方可实施。④如果因违反上述承诺导致久其软件及其子公司、亿起联科技及其子 公司利益损失的，该等损失由本公司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本人承担</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4146" w:hRule="exact"/>
        </w:trPr>
        <w:tc>
          <w:tcPr>
            <w:tcW w:w="800" w:type="dxa"/>
            <w:vMerge/>
            <w:tcBorders>
              <w:left w:val="single" w:sz="4" w:space="0" w:color="000000"/>
              <w:right w:val="single" w:sz="4" w:space="0" w:color="000000"/>
            </w:tcBorders>
            <w:shd w:val="clear" w:color="auto" w:fill="D2D2D2"/>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4" w:right="24"/>
              <w:jc w:val="left"/>
              <w:rPr>
                <w:rFonts w:ascii="宋体" w:hAnsi="宋体" w:cs="宋体" w:eastAsia="宋体" w:hint="default"/>
                <w:sz w:val="18"/>
                <w:szCs w:val="18"/>
              </w:rPr>
            </w:pPr>
            <w:r>
              <w:rPr>
                <w:rFonts w:ascii="宋体" w:hAnsi="宋体" w:cs="宋体" w:eastAsia="宋体" w:hint="default"/>
                <w:sz w:val="18"/>
                <w:szCs w:val="18"/>
              </w:rPr>
              <w:t>北京久其科技投资有 </w:t>
            </w:r>
            <w:r>
              <w:rPr>
                <w:rFonts w:ascii="宋体" w:hAnsi="宋体" w:cs="宋体" w:eastAsia="宋体" w:hint="default"/>
                <w:spacing w:val="-8"/>
                <w:sz w:val="18"/>
                <w:szCs w:val="18"/>
              </w:rPr>
              <w:t>限公司、董泰湘、赵福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君、王新、李勇</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1" w:right="95"/>
              <w:jc w:val="both"/>
              <w:rPr>
                <w:rFonts w:ascii="宋体" w:hAnsi="宋体" w:cs="宋体" w:eastAsia="宋体" w:hint="default"/>
                <w:sz w:val="18"/>
                <w:szCs w:val="18"/>
              </w:rPr>
            </w:pPr>
            <w:r>
              <w:rPr>
                <w:rFonts w:ascii="宋体" w:hAnsi="宋体" w:cs="宋体" w:eastAsia="宋体" w:hint="default"/>
                <w:sz w:val="18"/>
                <w:szCs w:val="18"/>
              </w:rPr>
              <w:t>关于避免 同业竞争 的承诺</w:t>
            </w:r>
          </w:p>
        </w:tc>
        <w:tc>
          <w:tcPr>
            <w:tcW w:w="751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①截至本承诺函签署之日，本人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本公司未在，将来也不会在中国境内外以任何方式直接或间接 从事或参与任何与久其软件及其下属子公司、亿起联科技及其下属子公司相同、相似或在商业 上构成任何竞争的业务及活动，或拥有与久其软件及其下属子公司、亿起联科技及其下属子公 司存在竞争关系的任何经济实体、机构、经济组织的权益， 机构、经济组织的控制权，或者为该等构成同业竞争关系的经济实体、机构、经济组织以 </w:t>
            </w:r>
            <w:r>
              <w:rPr>
                <w:rFonts w:ascii="宋体" w:hAnsi="宋体" w:cs="宋体" w:eastAsia="宋体" w:hint="default"/>
                <w:spacing w:val="-1"/>
                <w:sz w:val="18"/>
                <w:szCs w:val="18"/>
              </w:rPr>
              <w:t>顾问或咨询等方式提供服务。②若发现本人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本公司及本人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本公司控制的其他企业在以后任何时</w:t>
            </w:r>
            <w:r>
              <w:rPr>
                <w:rFonts w:ascii="宋体" w:hAnsi="宋体" w:cs="宋体" w:eastAsia="宋体" w:hint="default"/>
                <w:spacing w:val="-71"/>
                <w:sz w:val="18"/>
                <w:szCs w:val="18"/>
              </w:rPr>
              <w:t> </w:t>
            </w:r>
            <w:r>
              <w:rPr>
                <w:rFonts w:ascii="宋体" w:hAnsi="宋体" w:cs="宋体" w:eastAsia="宋体" w:hint="default"/>
                <w:sz w:val="18"/>
                <w:szCs w:val="18"/>
              </w:rPr>
              <w:t>间从事与久其软件及其下属子公司、亿起联科技及其下属子公司的产品或业务存在竞争的业务</w:t>
            </w:r>
            <w:r>
              <w:rPr>
                <w:rFonts w:ascii="宋体" w:hAnsi="宋体" w:cs="宋体" w:eastAsia="宋体" w:hint="default"/>
                <w:sz w:val="18"/>
                <w:szCs w:val="18"/>
              </w:rPr>
              <w:t> 则本人及本人控制的其他企业承诺将以停止生产经营相竞争的业务或产品的方式，或者将相竞 争的业务无偿转让给久其软件的方式，或者将相竞争的业务转让给无关联关系的第三方的方式 避免同业竞争。③在本人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本公司持有久其软件及其下属子公司、亿起联科技及其下属子公司股 权或者本人在久其软件及其下属子公司、亿起联科技及其下属子公司任职期间，本承诺函持续 </w:t>
            </w:r>
            <w:r>
              <w:rPr>
                <w:rFonts w:ascii="宋体" w:hAnsi="宋体" w:cs="宋体" w:eastAsia="宋体" w:hint="default"/>
                <w:spacing w:val="-1"/>
                <w:sz w:val="18"/>
                <w:szCs w:val="18"/>
              </w:rPr>
              <w:t>有效。④如上述承诺被证明是不真实的或未被遵守</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本公司愿意承担因违反上述承诺而给久</w:t>
            </w:r>
            <w:r>
              <w:rPr>
                <w:rFonts w:ascii="宋体" w:hAnsi="宋体" w:cs="宋体" w:eastAsia="宋体" w:hint="default"/>
                <w:spacing w:val="-64"/>
                <w:sz w:val="18"/>
                <w:szCs w:val="18"/>
              </w:rPr>
              <w:t> </w:t>
            </w:r>
            <w:r>
              <w:rPr>
                <w:rFonts w:ascii="宋体" w:hAnsi="宋体" w:cs="宋体" w:eastAsia="宋体" w:hint="default"/>
                <w:sz w:val="18"/>
                <w:szCs w:val="18"/>
              </w:rPr>
              <w:t>其软件造成的全部经济损失</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03" w:lineRule="exact" w:before="10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02</w:t>
            </w:r>
          </w:p>
          <w:p>
            <w:pPr>
              <w:pStyle w:val="TableParagraph"/>
              <w:spacing w:line="149"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30" w:lineRule="exact"/>
              <w:ind w:right="-3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8"/>
                <w:sz w:val="20"/>
                <w:szCs w:val="20"/>
              </w:rPr>
              <w:pict>
                <v:group style="width:42.05pt;height:121.55pt;mso-position-horizontal-relative:char;mso-position-vertical-relative:line" coordorigin="0,0" coordsize="841,2431">
                  <v:group style="position:absolute;left:0;top:0;width:841;height:1717" coordorigin="0,0" coordsize="841,1717">
                    <v:shape style="position:absolute;left:0;top:0;width:841;height:1717" coordorigin="0,0" coordsize="841,1717" path="m0,1716l840,1716,840,0,0,0,0,1716xe" filled="true" fillcolor="#ffffff" stroked="false">
                      <v:path arrowok="t"/>
                      <v:fill type="solid"/>
                    </v:shape>
                  </v:group>
                  <v:group style="position:absolute;left:11;top:1716;width:2;height:704" coordorigin="11,1716" coordsize="2,704">
                    <v:shape style="position:absolute;left:11;top:1716;width:2;height:704" coordorigin="11,1716" coordsize="0,704" path="m11,1716l11,2420e" filled="false" stroked="true" strokeweight="1.08pt" strokecolor="#ffffff">
                      <v:path arrowok="t"/>
                    </v:shape>
                  </v:group>
                  <v:group style="position:absolute;left:22;top:1716;width:798;height:353" coordorigin="22,1716" coordsize="798,353">
                    <v:shape style="position:absolute;left:22;top:1716;width:798;height:353" coordorigin="22,1716" coordsize="798,353" path="m22,2069l819,2069,819,1716,22,1716,22,2069xe" filled="true" fillcolor="#ffffff" stroked="false">
                      <v:path arrowok="t"/>
                      <v:fill type="solid"/>
                    </v:shape>
                  </v:group>
                  <v:group style="position:absolute;left:22;top:2069;width:798;height:351" coordorigin="22,2069" coordsize="798,351">
                    <v:shape style="position:absolute;left:22;top:2069;width:798;height:351" coordorigin="22,2069" coordsize="798,351" path="m22,2420l819,2420,819,2069,22,2069,22,2420xe" filled="true" fillcolor="#ffffff" stroked="false">
                      <v:path arrowok="t"/>
                      <v:fill type="solid"/>
                    </v:shape>
                  </v:group>
                </v:group>
              </w:pict>
            </w:r>
            <w:r>
              <w:rPr>
                <w:rFonts w:ascii="Times New Roman" w:hAnsi="Times New Roman" w:cs="Times New Roman" w:eastAsia="Times New Roman" w:hint="default"/>
                <w:position w:val="-48"/>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1" w:right="47"/>
              <w:jc w:val="both"/>
              <w:rPr>
                <w:rFonts w:ascii="宋体" w:hAnsi="宋体" w:cs="宋体" w:eastAsia="宋体" w:hint="default"/>
                <w:sz w:val="18"/>
                <w:szCs w:val="18"/>
              </w:rPr>
            </w:pPr>
            <w:r>
              <w:rPr>
                <w:rFonts w:ascii="宋体" w:hAnsi="宋体" w:cs="宋体" w:eastAsia="宋体" w:hint="default"/>
                <w:sz w:val="18"/>
                <w:szCs w:val="18"/>
              </w:rPr>
              <w:t>截至报告期末， 承诺方严格遵守 该承诺，未有违 反该承诺的情况</w:t>
            </w:r>
          </w:p>
        </w:tc>
      </w:tr>
      <w:tr>
        <w:trPr>
          <w:trHeight w:val="1027" w:hRule="exact"/>
        </w:trPr>
        <w:tc>
          <w:tcPr>
            <w:tcW w:w="800" w:type="dxa"/>
            <w:vMerge/>
            <w:tcBorders>
              <w:left w:val="single" w:sz="4" w:space="0" w:color="000000"/>
              <w:right w:val="single" w:sz="4" w:space="0" w:color="000000"/>
            </w:tcBorders>
            <w:shd w:val="clear" w:color="auto" w:fill="D2D2D2"/>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王新、李勇</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1" w:right="95"/>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751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交易对方王新、李勇承诺，上市公司向王新、李勇发行的股份，自本次发行上市之日起</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个月 内不转让。</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个月后，交易对方在本次交易所取得的上市公司定向发行的股份分五期按照交易 协议的约定解除限售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日</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1" w:right="47"/>
              <w:jc w:val="left"/>
              <w:rPr>
                <w:rFonts w:ascii="宋体" w:hAnsi="宋体" w:cs="宋体" w:eastAsia="宋体" w:hint="default"/>
                <w:sz w:val="18"/>
                <w:szCs w:val="18"/>
              </w:rPr>
            </w:pPr>
            <w:r>
              <w:rPr>
                <w:rFonts w:ascii="宋体" w:hAnsi="宋体" w:cs="宋体" w:eastAsia="宋体" w:hint="default"/>
                <w:sz w:val="18"/>
                <w:szCs w:val="18"/>
              </w:rPr>
              <w:t>报告期内，承诺 方已履行完毕</w:t>
            </w:r>
          </w:p>
        </w:tc>
      </w:tr>
      <w:tr>
        <w:trPr>
          <w:trHeight w:val="401" w:hRule="exact"/>
        </w:trPr>
        <w:tc>
          <w:tcPr>
            <w:tcW w:w="800" w:type="dxa"/>
            <w:vMerge/>
            <w:tcBorders>
              <w:left w:val="single" w:sz="4" w:space="0" w:color="000000"/>
              <w:bottom w:val="single" w:sz="4" w:space="0" w:color="000000"/>
              <w:right w:val="single" w:sz="4" w:space="0" w:color="000000"/>
            </w:tcBorders>
            <w:shd w:val="clear" w:color="auto" w:fill="D2D2D2"/>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北京久其科技投资有</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2"/>
              <w:jc w:val="center"/>
              <w:rPr>
                <w:rFonts w:ascii="宋体" w:hAnsi="宋体" w:cs="宋体" w:eastAsia="宋体" w:hint="default"/>
                <w:sz w:val="18"/>
                <w:szCs w:val="18"/>
              </w:rPr>
            </w:pPr>
            <w:r>
              <w:rPr>
                <w:rFonts w:ascii="宋体" w:hAnsi="宋体" w:cs="宋体" w:eastAsia="宋体" w:hint="default"/>
                <w:sz w:val="18"/>
                <w:szCs w:val="18"/>
              </w:rPr>
              <w:t>关于规范</w:t>
            </w:r>
          </w:p>
        </w:tc>
        <w:tc>
          <w:tcPr>
            <w:tcW w:w="7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4"/>
              <w:jc w:val="center"/>
              <w:rPr>
                <w:rFonts w:ascii="宋体" w:hAnsi="宋体" w:cs="宋体" w:eastAsia="宋体" w:hint="default"/>
                <w:sz w:val="18"/>
                <w:szCs w:val="18"/>
              </w:rPr>
            </w:pPr>
            <w:r>
              <w:rPr>
                <w:rFonts w:ascii="宋体" w:hAnsi="宋体" w:cs="宋体" w:eastAsia="宋体" w:hint="default"/>
                <w:sz w:val="18"/>
                <w:szCs w:val="18"/>
              </w:rPr>
              <w:t>①本公司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本人承诺将尽量避免或减少与久其软件及其子公司、华夏电通及其子公司之间的关联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4"/>
              <w:jc w:val="center"/>
              <w:rPr>
                <w:rFonts w:ascii="宋体" w:hAnsi="宋体" w:cs="宋体" w:eastAsia="宋体" w:hint="default"/>
                <w:sz w:val="18"/>
                <w:szCs w:val="18"/>
              </w:rPr>
            </w:pPr>
            <w:r>
              <w:rPr>
                <w:rFonts w:ascii="宋体" w:hAnsi="宋体" w:cs="宋体" w:eastAsia="宋体" w:hint="default"/>
                <w:sz w:val="18"/>
                <w:szCs w:val="18"/>
              </w:rPr>
              <w:t>截至报告期末，</w:t>
            </w:r>
          </w:p>
        </w:tc>
      </w:tr>
    </w:tbl>
    <w:p>
      <w:pPr>
        <w:spacing w:after="0" w:line="240" w:lineRule="auto"/>
        <w:jc w:val="center"/>
        <w:rPr>
          <w:rFonts w:ascii="宋体" w:hAnsi="宋体" w:cs="宋体" w:eastAsia="宋体" w:hint="default"/>
          <w:sz w:val="18"/>
          <w:szCs w:val="18"/>
        </w:rPr>
        <w:sectPr>
          <w:pgSz w:w="16840" w:h="11910" w:orient="landscape"/>
          <w:pgMar w:header="867" w:footer="980" w:top="1060" w:bottom="1160" w:left="1320" w:right="1280"/>
        </w:sectPr>
      </w:pPr>
    </w:p>
    <w:p>
      <w:pPr>
        <w:spacing w:line="240" w:lineRule="auto" w:before="2"/>
        <w:rPr>
          <w:rFonts w:ascii="Times New Roman" w:hAnsi="Times New Roman" w:cs="Times New Roman" w:eastAsia="Times New Roman" w:hint="default"/>
          <w:sz w:val="3"/>
          <w:szCs w:val="3"/>
        </w:rPr>
      </w:pPr>
      <w:r>
        <w:rPr/>
        <w:pict>
          <v:shape style="position:absolute;margin-left:469.613007pt;margin-top:94.950005pt;width:192.2pt;height:218.45pt;mso-position-horizontal-relative:page;mso-position-vertical-relative:page;z-index:-11853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4"/>
                      <w:szCs w:val="24"/>
                    </w:rPr>
                  </w:pPr>
                </w:p>
                <w:p>
                  <w:pPr>
                    <w:pStyle w:val="BodyText"/>
                    <w:spacing w:line="240" w:lineRule="auto"/>
                    <w:ind w:left="0" w:right="0" w:firstLine="537"/>
                    <w:jc w:val="left"/>
                  </w:pPr>
                  <w:r>
                    <w:rPr/>
                    <w:t>除开展正常业务所需备用金外，</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6"/>
                      <w:szCs w:val="16"/>
                    </w:rPr>
                  </w:pPr>
                </w:p>
                <w:p>
                  <w:pPr>
                    <w:pStyle w:val="BodyText"/>
                    <w:spacing w:line="240" w:lineRule="auto"/>
                    <w:ind w:left="0" w:right="0"/>
                    <w:jc w:val="left"/>
                  </w:pPr>
                  <w:r>
                    <w:rPr/>
                    <w:t>或股东大会审议该等关联交易事项时，</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800"/>
        <w:gridCol w:w="1788"/>
        <w:gridCol w:w="847"/>
        <w:gridCol w:w="7515"/>
        <w:gridCol w:w="850"/>
        <w:gridCol w:w="850"/>
        <w:gridCol w:w="1339"/>
      </w:tblGrid>
      <w:tr>
        <w:trPr>
          <w:trHeight w:val="418" w:hRule="exact"/>
        </w:trPr>
        <w:tc>
          <w:tcPr>
            <w:tcW w:w="80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78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84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751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339"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731" w:hRule="exact"/>
        </w:trPr>
        <w:tc>
          <w:tcPr>
            <w:tcW w:w="800" w:type="dxa"/>
            <w:vMerge w:val="restart"/>
            <w:tcBorders>
              <w:top w:val="single" w:sz="4" w:space="0" w:color="000000"/>
              <w:left w:val="single" w:sz="4" w:space="0" w:color="000000"/>
              <w:right w:val="single" w:sz="4" w:space="0" w:color="000000"/>
            </w:tcBorders>
            <w:shd w:val="clear" w:color="auto" w:fill="D2D2D2"/>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4"/>
              <w:jc w:val="left"/>
              <w:rPr>
                <w:rFonts w:ascii="宋体" w:hAnsi="宋体" w:cs="宋体" w:eastAsia="宋体" w:hint="default"/>
                <w:sz w:val="18"/>
                <w:szCs w:val="18"/>
              </w:rPr>
            </w:pPr>
            <w:r>
              <w:rPr>
                <w:rFonts w:ascii="宋体" w:hAnsi="宋体" w:cs="宋体" w:eastAsia="宋体" w:hint="default"/>
                <w:spacing w:val="-8"/>
                <w:sz w:val="18"/>
                <w:szCs w:val="18"/>
              </w:rPr>
              <w:t>限公司、董泰湘、赵福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君</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 w:right="95"/>
              <w:jc w:val="left"/>
              <w:rPr>
                <w:rFonts w:ascii="宋体" w:hAnsi="宋体" w:cs="宋体" w:eastAsia="宋体" w:hint="default"/>
                <w:sz w:val="18"/>
                <w:szCs w:val="18"/>
              </w:rPr>
            </w:pPr>
            <w:r>
              <w:rPr>
                <w:rFonts w:ascii="宋体" w:hAnsi="宋体" w:cs="宋体" w:eastAsia="宋体" w:hint="default"/>
                <w:sz w:val="18"/>
                <w:szCs w:val="18"/>
              </w:rPr>
              <w:t>关联交易 的承诺</w:t>
            </w:r>
          </w:p>
        </w:tc>
        <w:tc>
          <w:tcPr>
            <w:tcW w:w="751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交易。对于久其软件及其控股子公司、华夏电通及其子公司能够通过市场与第三方之间发生的 交易，将由久其软件及其控股子公司、华夏电通及其子公司独立与第三方进行；对于本公司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 人及本公司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本人控制的其他企业与久其软件及其控股子公司、华夏电通及其子公司之间无法避 免的关联交易，均将严格遵守市场化原则，本着平等互利、等价有偿的一般原则，公平合理地 进行。②本公司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本人特此承诺，本次交易过程中及交易完成后， 不会以任何方式占用或使用久其软件及其子公司、华夏电通及其子公司的资金、资产或其他资 </w:t>
            </w:r>
            <w:r>
              <w:rPr>
                <w:rFonts w:ascii="宋体" w:hAnsi="宋体" w:cs="宋体" w:eastAsia="宋体" w:hint="default"/>
                <w:spacing w:val="-1"/>
                <w:sz w:val="18"/>
                <w:szCs w:val="18"/>
              </w:rPr>
              <w:t>源，也不会要求久其软件及其子公司、华夏电通及其子公司为本公司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本人及本公司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本人控制的</w:t>
            </w:r>
            <w:r>
              <w:rPr>
                <w:rFonts w:ascii="宋体" w:hAnsi="宋体" w:cs="宋体" w:eastAsia="宋体" w:hint="default"/>
                <w:spacing w:val="-72"/>
                <w:sz w:val="18"/>
                <w:szCs w:val="18"/>
              </w:rPr>
              <w:t> </w:t>
            </w:r>
            <w:r>
              <w:rPr>
                <w:rFonts w:ascii="宋体" w:hAnsi="宋体" w:cs="宋体" w:eastAsia="宋体" w:hint="default"/>
                <w:sz w:val="18"/>
                <w:szCs w:val="18"/>
              </w:rPr>
              <w:t>其他企业代垫款项、代偿债务，本公司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本人不会不以任何直接或间接的方式从事损害或可能损 </w:t>
            </w:r>
            <w:r>
              <w:rPr>
                <w:rFonts w:ascii="宋体" w:hAnsi="宋体" w:cs="宋体" w:eastAsia="宋体" w:hint="default"/>
                <w:spacing w:val="-1"/>
                <w:sz w:val="18"/>
                <w:szCs w:val="18"/>
              </w:rPr>
              <w:t>害久其软件及其子公司、华夏电通及其子公司利益的行为。③本公司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本人承诺，本公司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本人及</w:t>
            </w:r>
            <w:r>
              <w:rPr>
                <w:rFonts w:ascii="宋体" w:hAnsi="宋体" w:cs="宋体" w:eastAsia="宋体" w:hint="default"/>
                <w:spacing w:val="-70"/>
                <w:sz w:val="18"/>
                <w:szCs w:val="18"/>
              </w:rPr>
              <w:t> </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本人控制的其他企业与久其软件及其子公司、华夏电通及其子公司发生关联交易时，将 严格按照有关法律、法规、规范性文件及久其软件《公司章程》等公司治理制度的有关规定履 行审批程序和信息披露义务，保证不通过关联交易损害久其软件及其子公司、华夏电通及其子 公司及广大中小股东的合法权益。本公司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本人在董事会、 主动依法履行回避义务，并在议案通过后方可实施。④如果因违反上述承诺导致久其软件及其 子公司、华夏电通及其子公司利益损失的，该等损失由本公司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本人承担</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0"/>
                <w:szCs w:val="10"/>
              </w:rPr>
            </w:pPr>
          </w:p>
          <w:p>
            <w:pPr>
              <w:pStyle w:val="TableParagraph"/>
              <w:spacing w:line="43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6"/>
                <w:sz w:val="20"/>
                <w:szCs w:val="20"/>
              </w:rPr>
              <w:pict>
                <v:group style="width:42.05pt;height:218.45pt;mso-position-horizontal-relative:char;mso-position-vertical-relative:line" coordorigin="0,0" coordsize="841,4369">
                  <v:group style="position:absolute;left:0;top:0;width:841;height:4369" coordorigin="0,0" coordsize="841,4369">
                    <v:shape style="position:absolute;left:0;top:0;width:841;height:4369" coordorigin="0,0" coordsize="841,4369" path="m0,4368l840,4368,840,0,0,0,0,4368xe" filled="true" fillcolor="#ffffff" stroked="false">
                      <v:path arrowok="t"/>
                      <v:fill type="solid"/>
                    </v:shape>
                  </v:group>
                </v:group>
              </w:pict>
            </w:r>
            <w:r>
              <w:rPr>
                <w:rFonts w:ascii="Times New Roman" w:hAnsi="Times New Roman" w:cs="Times New Roman" w:eastAsia="Times New Roman" w:hint="default"/>
                <w:position w:val="-86"/>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 w:right="47"/>
              <w:jc w:val="both"/>
              <w:rPr>
                <w:rFonts w:ascii="宋体" w:hAnsi="宋体" w:cs="宋体" w:eastAsia="宋体" w:hint="default"/>
                <w:sz w:val="18"/>
                <w:szCs w:val="18"/>
              </w:rPr>
            </w:pPr>
            <w:r>
              <w:rPr>
                <w:rFonts w:ascii="宋体" w:hAnsi="宋体" w:cs="宋体" w:eastAsia="宋体" w:hint="default"/>
                <w:sz w:val="18"/>
                <w:szCs w:val="18"/>
              </w:rPr>
              <w:t>承诺方严格遵守 该承诺，未有违 反该承诺的情况</w:t>
            </w:r>
          </w:p>
        </w:tc>
      </w:tr>
      <w:tr>
        <w:trPr>
          <w:trHeight w:val="4419" w:hRule="exact"/>
        </w:trPr>
        <w:tc>
          <w:tcPr>
            <w:tcW w:w="800" w:type="dxa"/>
            <w:vMerge/>
            <w:tcBorders>
              <w:left w:val="single" w:sz="4" w:space="0" w:color="000000"/>
              <w:bottom w:val="single" w:sz="4" w:space="0" w:color="000000"/>
              <w:right w:val="single" w:sz="4" w:space="0" w:color="000000"/>
            </w:tcBorders>
            <w:shd w:val="clear" w:color="auto" w:fill="D2D2D2"/>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07" w:lineRule="auto"/>
              <w:ind w:left="24" w:right="26"/>
              <w:jc w:val="left"/>
              <w:rPr>
                <w:rFonts w:ascii="宋体" w:hAnsi="宋体" w:cs="宋体" w:eastAsia="宋体" w:hint="default"/>
                <w:sz w:val="18"/>
                <w:szCs w:val="18"/>
              </w:rPr>
            </w:pPr>
            <w:r>
              <w:rPr>
                <w:rFonts w:ascii="宋体" w:hAnsi="宋体" w:cs="宋体" w:eastAsia="宋体" w:hint="default"/>
                <w:sz w:val="18"/>
                <w:szCs w:val="18"/>
              </w:rPr>
              <w:t>公司发行股份购买华 夏电通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股权之栗 军等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名交易对方</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21" w:right="95"/>
              <w:jc w:val="both"/>
              <w:rPr>
                <w:rFonts w:ascii="宋体" w:hAnsi="宋体" w:cs="宋体" w:eastAsia="宋体" w:hint="default"/>
                <w:sz w:val="18"/>
                <w:szCs w:val="18"/>
              </w:rPr>
            </w:pPr>
            <w:r>
              <w:rPr>
                <w:rFonts w:ascii="宋体" w:hAnsi="宋体" w:cs="宋体" w:eastAsia="宋体" w:hint="default"/>
                <w:sz w:val="18"/>
                <w:szCs w:val="18"/>
              </w:rPr>
              <w:t>关于规范 关联交易 的承诺</w:t>
            </w:r>
          </w:p>
        </w:tc>
        <w:tc>
          <w:tcPr>
            <w:tcW w:w="751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
              <w:jc w:val="left"/>
              <w:rPr>
                <w:rFonts w:ascii="宋体" w:hAnsi="宋体" w:cs="宋体" w:eastAsia="宋体" w:hint="default"/>
                <w:sz w:val="18"/>
                <w:szCs w:val="18"/>
              </w:rPr>
            </w:pPr>
            <w:r>
              <w:rPr>
                <w:rFonts w:ascii="宋体" w:hAnsi="宋体" w:cs="宋体" w:eastAsia="宋体" w:hint="default"/>
                <w:sz w:val="18"/>
                <w:szCs w:val="18"/>
              </w:rPr>
              <w:t>①本人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本机构承诺将尽量避免或减少与久其软件及其子公司之间的关联交易。对于久其软件及 其控股子公司、华夏电通及其子公司能够通过市场与第三方之间发生的交易，将由久其软件及 其控股子公司、华夏电通及其子公司独立与第三方进行；对于本人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本机构及本人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本机构控制的 其他企业与久其软件及其控股子公司、华夏电通及其子公司之间无法避免的关联交易，均将严 格遵守市场化原则，本着平等互利、等价有偿的一般原则，公平合理地进行。②本人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本机构特 此承诺，本次交易过程中及交易完成后，除开展正常业务所需备用金外，不会以任何方式占用 或使用久其软件及其子公司、华夏电通及其子公司的资金、资产或其他资源，也不会要求久其 软件及其子公司、华夏电通及其子公司为本人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本机构及本人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本机构控制的其他企业代垫款项、 代偿债务，本人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本机构不以任何直接或间接的方式从事损害或可能损害久其软件及其子公司、 </w:t>
            </w:r>
            <w:r>
              <w:rPr>
                <w:rFonts w:ascii="宋体" w:hAnsi="宋体" w:cs="宋体" w:eastAsia="宋体" w:hint="default"/>
                <w:spacing w:val="-2"/>
                <w:sz w:val="18"/>
                <w:szCs w:val="18"/>
              </w:rPr>
              <w:t>华夏电通及其子公司利益的行为；③本人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本机构承诺，本人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本机构及本人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本机构控制的其他企</w:t>
            </w:r>
            <w:r>
              <w:rPr>
                <w:rFonts w:ascii="宋体" w:hAnsi="宋体" w:cs="宋体" w:eastAsia="宋体" w:hint="default"/>
                <w:spacing w:val="-76"/>
                <w:sz w:val="18"/>
                <w:szCs w:val="18"/>
              </w:rPr>
              <w:t> </w:t>
            </w:r>
            <w:r>
              <w:rPr>
                <w:rFonts w:ascii="宋体" w:hAnsi="宋体" w:cs="宋体" w:eastAsia="宋体" w:hint="default"/>
                <w:sz w:val="18"/>
                <w:szCs w:val="18"/>
              </w:rPr>
              <w:t>业与久其软件及其子公司、华夏电通及其子公司发生关联交易时，将严格按照有关规定履行审 批程序和信息披露义务，保证不通过关联交易损害久其公司及其子公司、华夏电通及其子公司 及广大中小股东的合法权益。本人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本机构在董事会、或股东大会审议该等关联交易事项时，主 动依法履行回避义务，并在议案通过后方可实施。④如果因违反上述承诺导致久其软件及其子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1"/>
              <w:ind w:left="21" w:right="47"/>
              <w:jc w:val="both"/>
              <w:rPr>
                <w:rFonts w:ascii="宋体" w:hAnsi="宋体" w:cs="宋体" w:eastAsia="宋体" w:hint="default"/>
                <w:sz w:val="18"/>
                <w:szCs w:val="18"/>
              </w:rPr>
            </w:pPr>
            <w:r>
              <w:rPr>
                <w:rFonts w:ascii="宋体" w:hAnsi="宋体" w:cs="宋体" w:eastAsia="宋体" w:hint="default"/>
                <w:sz w:val="18"/>
                <w:szCs w:val="18"/>
              </w:rPr>
              <w:t>截至报告期末， 承诺方严格遵守 该承诺，未有违 反该承诺的情况</w:t>
            </w:r>
          </w:p>
        </w:tc>
      </w:tr>
    </w:tbl>
    <w:p>
      <w:pPr>
        <w:spacing w:after="0" w:line="316" w:lineRule="auto"/>
        <w:jc w:val="both"/>
        <w:rPr>
          <w:rFonts w:ascii="宋体" w:hAnsi="宋体" w:cs="宋体" w:eastAsia="宋体" w:hint="default"/>
          <w:sz w:val="18"/>
          <w:szCs w:val="18"/>
        </w:rPr>
        <w:sectPr>
          <w:pgSz w:w="16840" w:h="11910" w:orient="landscape"/>
          <w:pgMar w:header="867" w:footer="980" w:top="1060" w:bottom="1200" w:left="1320" w:right="1280"/>
        </w:sectPr>
      </w:pPr>
    </w:p>
    <w:p>
      <w:pPr>
        <w:spacing w:line="240" w:lineRule="auto" w:before="2"/>
        <w:rPr>
          <w:rFonts w:ascii="Times New Roman" w:hAnsi="Times New Roman" w:cs="Times New Roman" w:eastAsia="Times New Roman" w:hint="default"/>
          <w:sz w:val="3"/>
          <w:szCs w:val="3"/>
        </w:rPr>
      </w:pPr>
      <w:r>
        <w:rPr/>
        <w:pict>
          <v:shape style="position:absolute;margin-left:478.577026pt;margin-top:318.309998pt;width:183.2pt;height:78pt;mso-position-horizontal-relative:page;mso-position-vertical-relative:page;z-index:-11852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7"/>
                    <w:ind w:left="0" w:right="0"/>
                    <w:jc w:val="left"/>
                  </w:pPr>
                  <w:r>
                    <w:rPr/>
                    <w:t>或以其他任何形式取得该经济实体、</w:t>
                  </w:r>
                </w:p>
                <w:p>
                  <w:pPr>
                    <w:pStyle w:val="BodyText"/>
                    <w:spacing w:line="240" w:lineRule="auto" w:before="76"/>
                    <w:ind w:left="2338" w:right="0"/>
                    <w:jc w:val="left"/>
                  </w:pPr>
                  <w:r>
                    <w:rPr/>
                    <w:t>劳务、</w:t>
                  </w:r>
                </w:p>
              </w:txbxContent>
            </v:textbox>
            <w10:wrap type="none"/>
          </v:shape>
        </w:pict>
      </w:r>
      <w:r>
        <w:rPr/>
        <w:pict>
          <v:shape style="position:absolute;margin-left:343.576996pt;margin-top:431.59201pt;width:318.2pt;height:78.05pt;mso-position-horizontal-relative:page;mso-position-vertical-relative:page;z-index:-1185256" type="#_x0000_t202" filled="false" stroked="false">
            <v:textbox inset="0,0,0,0">
              <w:txbxContent>
                <w:p>
                  <w:pPr>
                    <w:spacing w:line="240" w:lineRule="auto" w:before="4"/>
                    <w:rPr>
                      <w:rFonts w:ascii="Times New Roman" w:hAnsi="Times New Roman" w:cs="Times New Roman" w:eastAsia="Times New Roman" w:hint="default"/>
                      <w:sz w:val="24"/>
                      <w:szCs w:val="24"/>
                    </w:rPr>
                  </w:pPr>
                </w:p>
                <w:p>
                  <w:pPr>
                    <w:pStyle w:val="BodyText"/>
                    <w:spacing w:line="240" w:lineRule="auto"/>
                    <w:ind w:left="0" w:right="0"/>
                    <w:jc w:val="left"/>
                  </w:pPr>
                  <w:r>
                    <w:rPr/>
                    <w:t>或者将相竞争的业务转让给无关联关系的第三方的方式避免同业竞争。</w:t>
                  </w:r>
                </w:p>
              </w:txbxContent>
            </v:textbox>
            <w10:wrap type="none"/>
          </v:shape>
        </w:pict>
      </w:r>
      <w:r>
        <w:rPr/>
        <w:pict>
          <v:group style="position:absolute;margin-left:619.75pt;margin-top:431.59201pt;width:42.05pt;height:97.65pt;mso-position-horizontal-relative:page;mso-position-vertical-relative:page;z-index:-1185232" coordorigin="12395,8632" coordsize="841,1953">
            <v:group style="position:absolute;left:12395;top:8632;width:841;height:1561" coordorigin="12395,8632" coordsize="841,1561">
              <v:shape style="position:absolute;left:12395;top:8632;width:841;height:1561" coordorigin="12395,8632" coordsize="841,1561" path="m12395,10192l13235,10192,13235,8632,12395,8632,12395,10192xe" filled="true" fillcolor="#ffffff" stroked="false">
                <v:path arrowok="t"/>
                <v:fill type="solid"/>
              </v:shape>
            </v:group>
            <v:group style="position:absolute;left:12406;top:10221;width:2;height:353" coordorigin="12406,10221" coordsize="2,353">
              <v:shape style="position:absolute;left:12406;top:10221;width:2;height:353" coordorigin="12406,10221" coordsize="0,353" path="m12406,10221l12406,10574e" filled="false" stroked="true" strokeweight="1.08pt" strokecolor="#ffffff">
                <v:path arrowok="t"/>
              </v:shape>
            </v:group>
            <v:group style="position:absolute;left:12417;top:10221;width:798;height:353" coordorigin="12417,10221" coordsize="798,353">
              <v:shape style="position:absolute;left:12417;top:10221;width:798;height:353" coordorigin="12417,10221" coordsize="798,353" path="m12417,10574l13214,10574,13214,10221,12417,10221,12417,10574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800"/>
        <w:gridCol w:w="1788"/>
        <w:gridCol w:w="847"/>
        <w:gridCol w:w="7515"/>
        <w:gridCol w:w="850"/>
        <w:gridCol w:w="850"/>
        <w:gridCol w:w="1339"/>
      </w:tblGrid>
      <w:tr>
        <w:trPr>
          <w:trHeight w:val="418" w:hRule="exact"/>
        </w:trPr>
        <w:tc>
          <w:tcPr>
            <w:tcW w:w="80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78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84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承诺类型</w:t>
            </w:r>
          </w:p>
        </w:tc>
        <w:tc>
          <w:tcPr>
            <w:tcW w:w="751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339"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674" w:hRule="exact"/>
        </w:trPr>
        <w:tc>
          <w:tcPr>
            <w:tcW w:w="800" w:type="dxa"/>
            <w:vMerge w:val="restart"/>
            <w:tcBorders>
              <w:top w:val="single" w:sz="4" w:space="0" w:color="000000"/>
              <w:left w:val="single" w:sz="4" w:space="0" w:color="000000"/>
              <w:right w:val="single" w:sz="4" w:space="0" w:color="000000"/>
            </w:tcBorders>
            <w:shd w:val="clear" w:color="auto" w:fill="D2D2D2"/>
          </w:tcPr>
          <w:p>
            <w:pPr/>
          </w:p>
        </w:tc>
        <w:tc>
          <w:tcPr>
            <w:tcW w:w="178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51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48"/>
              <w:jc w:val="left"/>
              <w:rPr>
                <w:rFonts w:ascii="宋体" w:hAnsi="宋体" w:cs="宋体" w:eastAsia="宋体" w:hint="default"/>
                <w:sz w:val="18"/>
                <w:szCs w:val="18"/>
              </w:rPr>
            </w:pPr>
            <w:r>
              <w:rPr>
                <w:rFonts w:ascii="宋体" w:hAnsi="宋体" w:cs="宋体" w:eastAsia="宋体" w:hint="default"/>
                <w:sz w:val="18"/>
                <w:szCs w:val="18"/>
              </w:rPr>
              <w:t>公司、华夏电通及其子公司或者久其软件广大中小股东利益损失的，该等损失由本人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本机构承 担</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4146" w:hRule="exact"/>
        </w:trPr>
        <w:tc>
          <w:tcPr>
            <w:tcW w:w="800" w:type="dxa"/>
            <w:vMerge/>
            <w:tcBorders>
              <w:left w:val="single" w:sz="4" w:space="0" w:color="000000"/>
              <w:right w:val="single" w:sz="4" w:space="0" w:color="000000"/>
            </w:tcBorders>
            <w:shd w:val="clear" w:color="auto" w:fill="D2D2D2"/>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4" w:right="24"/>
              <w:jc w:val="left"/>
              <w:rPr>
                <w:rFonts w:ascii="宋体" w:hAnsi="宋体" w:cs="宋体" w:eastAsia="宋体" w:hint="default"/>
                <w:sz w:val="18"/>
                <w:szCs w:val="18"/>
              </w:rPr>
            </w:pPr>
            <w:r>
              <w:rPr>
                <w:rFonts w:ascii="宋体" w:hAnsi="宋体" w:cs="宋体" w:eastAsia="宋体" w:hint="default"/>
                <w:sz w:val="18"/>
                <w:szCs w:val="18"/>
              </w:rPr>
              <w:t>北京久其科技投资有 </w:t>
            </w:r>
            <w:r>
              <w:rPr>
                <w:rFonts w:ascii="宋体" w:hAnsi="宋体" w:cs="宋体" w:eastAsia="宋体" w:hint="default"/>
                <w:spacing w:val="-8"/>
                <w:sz w:val="18"/>
                <w:szCs w:val="18"/>
              </w:rPr>
              <w:t>限公司、董泰湘、赵福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君</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1" w:right="95"/>
              <w:jc w:val="both"/>
              <w:rPr>
                <w:rFonts w:ascii="宋体" w:hAnsi="宋体" w:cs="宋体" w:eastAsia="宋体" w:hint="default"/>
                <w:sz w:val="18"/>
                <w:szCs w:val="18"/>
              </w:rPr>
            </w:pPr>
            <w:r>
              <w:rPr>
                <w:rFonts w:ascii="宋体" w:hAnsi="宋体" w:cs="宋体" w:eastAsia="宋体" w:hint="default"/>
                <w:sz w:val="18"/>
                <w:szCs w:val="18"/>
              </w:rPr>
              <w:t>关于避免 同业竞争 的承诺</w:t>
            </w:r>
          </w:p>
        </w:tc>
        <w:tc>
          <w:tcPr>
            <w:tcW w:w="751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①截至本承诺函签署之日，本公司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本人未在，将来也不会在中国境内外以任何方式直接或间接 从事或参与任何与久其软件及其下属子公司、华夏电通及其下属子公司相同、相似或在商业上 构成任何竞争的业务及活动，或拥有与久其软件及其下属子公司、华夏电通及其下属子公司存 在竞争关系的任何经济实体、机构、经济组织的权益，或以其他任何形式取得该经济实体、机 构、经济组织的控制权，或者为该等构成同业竞争关系的经济实体、机构、经济组织以劳务、 </w:t>
            </w:r>
            <w:r>
              <w:rPr>
                <w:rFonts w:ascii="宋体" w:hAnsi="宋体" w:cs="宋体" w:eastAsia="宋体" w:hint="default"/>
                <w:spacing w:val="-1"/>
                <w:sz w:val="18"/>
                <w:szCs w:val="18"/>
              </w:rPr>
              <w:t>顾问或咨询等方式提供服务。②若发现本公司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本人及本公司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本人控制的其他企业在以后任何时</w:t>
            </w:r>
            <w:r>
              <w:rPr>
                <w:rFonts w:ascii="宋体" w:hAnsi="宋体" w:cs="宋体" w:eastAsia="宋体" w:hint="default"/>
                <w:spacing w:val="-71"/>
                <w:sz w:val="18"/>
                <w:szCs w:val="18"/>
              </w:rPr>
              <w:t> </w:t>
            </w:r>
            <w:r>
              <w:rPr>
                <w:rFonts w:ascii="宋体" w:hAnsi="宋体" w:cs="宋体" w:eastAsia="宋体" w:hint="default"/>
                <w:sz w:val="18"/>
                <w:szCs w:val="18"/>
              </w:rPr>
              <w:t>间从事与久其软件及其下属子公司、华夏电通及其下属子公司的产品或业务存在竞争的业务， 则本公司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本人及本公司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本人控制的其他企业承诺将以停止生产经营相竞争的业务或产品的方 式，或者将相竞争的业务无偿转让给久其软件的方式，或者将相竞争的业务转让给无关联关系 的第三方的方式避免同业竞争。③在本公司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本人持有久其软件及其下属子公司、华夏电通及其 下属子公司股权（股份）或者本人在久其软件及其下属子公司、华夏电通及其下属子公司任职 </w:t>
            </w:r>
            <w:r>
              <w:rPr>
                <w:rFonts w:ascii="宋体" w:hAnsi="宋体" w:cs="宋体" w:eastAsia="宋体" w:hint="default"/>
                <w:spacing w:val="-1"/>
                <w:sz w:val="18"/>
                <w:szCs w:val="18"/>
              </w:rPr>
              <w:t>期间，本承诺函持续有效。④如上述承诺被证明是不真实的或未被遵守</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本人愿意承担因</w:t>
            </w:r>
            <w:r>
              <w:rPr>
                <w:rFonts w:ascii="宋体" w:hAnsi="宋体" w:cs="宋体" w:eastAsia="宋体" w:hint="default"/>
                <w:spacing w:val="-65"/>
                <w:sz w:val="18"/>
                <w:szCs w:val="18"/>
              </w:rPr>
              <w:t> </w:t>
            </w:r>
            <w:r>
              <w:rPr>
                <w:rFonts w:ascii="宋体" w:hAnsi="宋体" w:cs="宋体" w:eastAsia="宋体" w:hint="default"/>
                <w:sz w:val="18"/>
                <w:szCs w:val="18"/>
              </w:rPr>
              <w:t>违反上述承诺而给久其软件造成的全部经济损失</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1" w:right="47"/>
              <w:jc w:val="both"/>
              <w:rPr>
                <w:rFonts w:ascii="宋体" w:hAnsi="宋体" w:cs="宋体" w:eastAsia="宋体" w:hint="default"/>
                <w:sz w:val="18"/>
                <w:szCs w:val="18"/>
              </w:rPr>
            </w:pPr>
            <w:r>
              <w:rPr>
                <w:rFonts w:ascii="宋体" w:hAnsi="宋体" w:cs="宋体" w:eastAsia="宋体" w:hint="default"/>
                <w:sz w:val="18"/>
                <w:szCs w:val="18"/>
              </w:rPr>
              <w:t>截至报告期末， 承诺方严格遵守 该承诺，未有违 反该承诺的情况</w:t>
            </w:r>
          </w:p>
        </w:tc>
      </w:tr>
      <w:tr>
        <w:trPr>
          <w:trHeight w:val="3836" w:hRule="exact"/>
        </w:trPr>
        <w:tc>
          <w:tcPr>
            <w:tcW w:w="800" w:type="dxa"/>
            <w:vMerge/>
            <w:tcBorders>
              <w:left w:val="single" w:sz="4" w:space="0" w:color="000000"/>
              <w:right w:val="single" w:sz="4" w:space="0" w:color="000000"/>
            </w:tcBorders>
            <w:shd w:val="clear" w:color="auto" w:fill="D2D2D2"/>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09" w:lineRule="auto"/>
              <w:ind w:left="24" w:right="26"/>
              <w:jc w:val="left"/>
              <w:rPr>
                <w:rFonts w:ascii="宋体" w:hAnsi="宋体" w:cs="宋体" w:eastAsia="宋体" w:hint="default"/>
                <w:sz w:val="18"/>
                <w:szCs w:val="18"/>
              </w:rPr>
            </w:pPr>
            <w:r>
              <w:rPr>
                <w:rFonts w:ascii="宋体" w:hAnsi="宋体" w:cs="宋体" w:eastAsia="宋体" w:hint="default"/>
                <w:sz w:val="18"/>
                <w:szCs w:val="18"/>
              </w:rPr>
              <w:t>公司发行股份购买华 夏电通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股权之栗 军及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类交易对手方</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1" w:right="95"/>
              <w:jc w:val="both"/>
              <w:rPr>
                <w:rFonts w:ascii="宋体" w:hAnsi="宋体" w:cs="宋体" w:eastAsia="宋体" w:hint="default"/>
                <w:sz w:val="18"/>
                <w:szCs w:val="18"/>
              </w:rPr>
            </w:pPr>
            <w:r>
              <w:rPr>
                <w:rFonts w:ascii="宋体" w:hAnsi="宋体" w:cs="宋体" w:eastAsia="宋体" w:hint="default"/>
                <w:sz w:val="18"/>
                <w:szCs w:val="18"/>
              </w:rPr>
              <w:t>关于避免 同业竞争 的承诺</w:t>
            </w:r>
          </w:p>
        </w:tc>
        <w:tc>
          <w:tcPr>
            <w:tcW w:w="75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9"/>
              <w:jc w:val="left"/>
              <w:rPr>
                <w:rFonts w:ascii="宋体" w:hAnsi="宋体" w:cs="宋体" w:eastAsia="宋体" w:hint="default"/>
                <w:sz w:val="18"/>
                <w:szCs w:val="18"/>
              </w:rPr>
            </w:pPr>
            <w:r>
              <w:rPr>
                <w:rFonts w:ascii="宋体" w:hAnsi="宋体" w:cs="宋体" w:eastAsia="宋体" w:hint="default"/>
                <w:sz w:val="18"/>
                <w:szCs w:val="18"/>
              </w:rPr>
              <w:t>①截至本承诺函签署之日，本人未在，在本函有效期内也不会在中国境内外以任何方式直接或 间接从事或参与任何与久其软件及其下属子公司、华夏电通及其下属子公司相同、相似或在商 业上构成任何竞争的业务及活动，或拥有与久其软件及其下属子公司、华夏电通及其下属子公 司存在竞争关系的任何经济实体、机构、经济组织的权益， 机构、经济组织的控制权，或者为该等构成同业竞争关系的经济实体、机构、经济组织以 顾问或咨询等方式提供服务。②若发现本人及本人控制的其他企业在本函有效期内从事与久其 软件及其下属子公司、华夏电通及其下属子公司的产品或业务存在竞争的业务，则本人及本人 控制的其他企业承诺将以停止生产经营相竞争的业务或产品的方式，或者将相竞争的业务无偿 转让给久其软件的方式，</w:t>
            </w:r>
          </w:p>
          <w:p>
            <w:pPr>
              <w:pStyle w:val="TableParagraph"/>
              <w:spacing w:line="309" w:lineRule="auto" w:before="19"/>
              <w:ind w:left="23" w:right="53"/>
              <w:jc w:val="both"/>
              <w:rPr>
                <w:rFonts w:ascii="宋体" w:hAnsi="宋体" w:cs="宋体" w:eastAsia="宋体" w:hint="default"/>
                <w:sz w:val="18"/>
                <w:szCs w:val="18"/>
              </w:rPr>
            </w:pPr>
            <w:r>
              <w:rPr>
                <w:rFonts w:ascii="宋体" w:hAnsi="宋体" w:cs="宋体" w:eastAsia="宋体" w:hint="default"/>
                <w:sz w:val="18"/>
                <w:szCs w:val="18"/>
              </w:rPr>
              <w:t>③上述承诺在本人在久其软件及其下属子公司、华夏电通及其下属子公司任职期间以及离职后 两年内，持续有效。④如上述承诺被证明是不真实的或未被遵守</w:t>
            </w:r>
            <w:r>
              <w:rPr>
                <w:rFonts w:ascii="Times New Roman" w:hAnsi="Times New Roman" w:cs="Times New Roman" w:eastAsia="Times New Roman" w:hint="default"/>
                <w:sz w:val="18"/>
                <w:szCs w:val="18"/>
              </w:rPr>
              <w:t>,</w:t>
            </w:r>
            <w:r>
              <w:rPr>
                <w:rFonts w:ascii="宋体" w:hAnsi="宋体" w:cs="宋体" w:eastAsia="宋体" w:hint="default"/>
                <w:sz w:val="18"/>
                <w:szCs w:val="18"/>
              </w:rPr>
              <w:t>本人愿意承担因违反上述承诺 而给久其软件造成的全部经济损失</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56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0"/>
                <w:sz w:val="20"/>
                <w:szCs w:val="20"/>
              </w:rPr>
              <w:pict>
                <v:group style="width:42.05pt;height:78pt;mso-position-horizontal-relative:char;mso-position-vertical-relative:line" coordorigin="0,0" coordsize="841,1560">
                  <v:group style="position:absolute;left:0;top:0;width:841;height:1560" coordorigin="0,0" coordsize="841,1560">
                    <v:shape style="position:absolute;left:0;top:0;width:841;height:1560" coordorigin="0,0" coordsize="841,1560" path="m0,1560l840,1560,840,0,0,0,0,1560xe" filled="true" fillcolor="#ffffff" stroked="false">
                      <v:path arrowok="t"/>
                      <v:fill type="solid"/>
                    </v:shape>
                  </v:group>
                </v:group>
              </w:pict>
            </w:r>
            <w:r>
              <w:rPr>
                <w:rFonts w:ascii="Times New Roman" w:hAnsi="Times New Roman" w:cs="Times New Roman" w:eastAsia="Times New Roman" w:hint="default"/>
                <w:position w:val="-30"/>
                <w:sz w:val="20"/>
                <w:szCs w:val="20"/>
              </w:rPr>
            </w:r>
          </w:p>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1" w:right="47"/>
              <w:jc w:val="both"/>
              <w:rPr>
                <w:rFonts w:ascii="宋体" w:hAnsi="宋体" w:cs="宋体" w:eastAsia="宋体" w:hint="default"/>
                <w:sz w:val="18"/>
                <w:szCs w:val="18"/>
              </w:rPr>
            </w:pPr>
            <w:r>
              <w:rPr>
                <w:rFonts w:ascii="宋体" w:hAnsi="宋体" w:cs="宋体" w:eastAsia="宋体" w:hint="default"/>
                <w:sz w:val="18"/>
                <w:szCs w:val="18"/>
              </w:rPr>
              <w:t>截至报告期末， 承诺方严格遵守 该承诺，未有违 反该承诺的情况</w:t>
            </w:r>
          </w:p>
        </w:tc>
      </w:tr>
      <w:tr>
        <w:trPr>
          <w:trHeight w:val="401" w:hRule="exact"/>
        </w:trPr>
        <w:tc>
          <w:tcPr>
            <w:tcW w:w="800" w:type="dxa"/>
            <w:vMerge/>
            <w:tcBorders>
              <w:left w:val="single" w:sz="4" w:space="0" w:color="000000"/>
              <w:bottom w:val="single" w:sz="4" w:space="0" w:color="000000"/>
              <w:right w:val="single" w:sz="4" w:space="0" w:color="000000"/>
            </w:tcBorders>
            <w:shd w:val="clear" w:color="auto" w:fill="D2D2D2"/>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pacing w:val="-8"/>
                <w:sz w:val="18"/>
                <w:szCs w:val="18"/>
              </w:rPr>
              <w:t>沈栋梁、郝欣诚、顾瀚</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2"/>
              <w:jc w:val="center"/>
              <w:rPr>
                <w:rFonts w:ascii="宋体" w:hAnsi="宋体" w:cs="宋体" w:eastAsia="宋体" w:hint="default"/>
                <w:sz w:val="18"/>
                <w:szCs w:val="18"/>
              </w:rPr>
            </w:pPr>
            <w:r>
              <w:rPr>
                <w:rFonts w:ascii="宋体" w:hAnsi="宋体" w:cs="宋体" w:eastAsia="宋体" w:hint="default"/>
                <w:sz w:val="18"/>
                <w:szCs w:val="18"/>
              </w:rPr>
              <w:t>关于规范</w:t>
            </w:r>
          </w:p>
        </w:tc>
        <w:tc>
          <w:tcPr>
            <w:tcW w:w="7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32"/>
              <w:jc w:val="center"/>
              <w:rPr>
                <w:rFonts w:ascii="宋体" w:hAnsi="宋体" w:cs="宋体" w:eastAsia="宋体" w:hint="default"/>
                <w:sz w:val="18"/>
                <w:szCs w:val="18"/>
              </w:rPr>
            </w:pPr>
            <w:r>
              <w:rPr>
                <w:rFonts w:ascii="宋体" w:hAnsi="宋体" w:cs="宋体" w:eastAsia="宋体" w:hint="default"/>
                <w:spacing w:val="-2"/>
                <w:sz w:val="18"/>
                <w:szCs w:val="18"/>
              </w:rPr>
              <w:t>①本人及本人的近亲属、控制的企业，在本次交易完成前，与久其软件、久其软件的控股股东、</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4"/>
              <w:jc w:val="center"/>
              <w:rPr>
                <w:rFonts w:ascii="宋体" w:hAnsi="宋体" w:cs="宋体" w:eastAsia="宋体" w:hint="default"/>
                <w:sz w:val="18"/>
                <w:szCs w:val="18"/>
              </w:rPr>
            </w:pPr>
            <w:r>
              <w:rPr>
                <w:rFonts w:ascii="宋体" w:hAnsi="宋体" w:cs="宋体" w:eastAsia="宋体" w:hint="default"/>
                <w:sz w:val="18"/>
                <w:szCs w:val="18"/>
              </w:rPr>
              <w:t>截至报告期末，</w:t>
            </w:r>
          </w:p>
        </w:tc>
      </w:tr>
    </w:tbl>
    <w:p>
      <w:pPr>
        <w:spacing w:after="0" w:line="240" w:lineRule="auto"/>
        <w:jc w:val="center"/>
        <w:rPr>
          <w:rFonts w:ascii="宋体" w:hAnsi="宋体" w:cs="宋体" w:eastAsia="宋体" w:hint="default"/>
          <w:sz w:val="18"/>
          <w:szCs w:val="18"/>
        </w:rPr>
        <w:sectPr>
          <w:pgSz w:w="16840" w:h="11910" w:orient="landscape"/>
          <w:pgMar w:header="867" w:footer="980" w:top="1060" w:bottom="1160" w:left="1320" w:right="1280"/>
        </w:sectPr>
      </w:pPr>
    </w:p>
    <w:p>
      <w:pPr>
        <w:spacing w:line="240" w:lineRule="auto" w:before="2"/>
        <w:rPr>
          <w:rFonts w:ascii="Times New Roman" w:hAnsi="Times New Roman" w:cs="Times New Roman" w:eastAsia="Times New Roman" w:hint="default"/>
          <w:sz w:val="3"/>
          <w:szCs w:val="3"/>
        </w:rPr>
      </w:pPr>
      <w:r>
        <w:rPr/>
        <w:pict>
          <v:shape style="position:absolute;margin-left:568.51001pt;margin-top:94.950005pt;width:93.3pt;height:218.45pt;mso-position-horizontal-relative:page;mso-position-vertical-relative:page;z-index:-11851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5"/>
                      <w:szCs w:val="15"/>
                    </w:rPr>
                  </w:pPr>
                </w:p>
                <w:p>
                  <w:pPr>
                    <w:pStyle w:val="BodyText"/>
                    <w:spacing w:line="240" w:lineRule="auto"/>
                    <w:ind w:left="0" w:right="0"/>
                    <w:jc w:val="left"/>
                  </w:pPr>
                  <w:r>
                    <w:rPr/>
                    <w:t>控股子公司、</w:t>
                  </w:r>
                </w:p>
              </w:txbxContent>
            </v:textbox>
            <w10:wrap type="none"/>
          </v:shape>
        </w:pict>
      </w:r>
      <w:r>
        <w:rPr/>
        <w:pict>
          <v:shape style="position:absolute;margin-left:478.577026pt;margin-top:313.846008pt;width:183.2pt;height:78.05pt;mso-position-horizontal-relative:page;mso-position-vertical-relative:page;z-index:-11851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7"/>
                    <w:ind w:left="0" w:right="0"/>
                    <w:jc w:val="left"/>
                  </w:pPr>
                  <w:r>
                    <w:rPr/>
                    <w:t>或以其他任何形式取得该经济实体、</w:t>
                  </w:r>
                </w:p>
                <w:p>
                  <w:pPr>
                    <w:pStyle w:val="BodyText"/>
                    <w:spacing w:line="240" w:lineRule="auto" w:before="76"/>
                    <w:ind w:left="2338" w:right="0"/>
                    <w:jc w:val="left"/>
                  </w:pPr>
                  <w:r>
                    <w:rPr/>
                    <w:t>劳务、</w:t>
                  </w:r>
                </w:p>
              </w:txbxContent>
            </v:textbox>
            <w10:wrap type="none"/>
          </v:shape>
        </w:pict>
      </w:r>
      <w:r>
        <w:rPr/>
        <w:pict>
          <v:shape style="position:absolute;margin-left:343.576996pt;margin-top:427.032013pt;width:318.2pt;height:78.05pt;mso-position-horizontal-relative:page;mso-position-vertical-relative:page;z-index:-1185136" type="#_x0000_t202" filled="false" stroked="false">
            <v:textbox inset="0,0,0,0">
              <w:txbxContent>
                <w:p>
                  <w:pPr>
                    <w:spacing w:line="240" w:lineRule="auto" w:before="6"/>
                    <w:rPr>
                      <w:rFonts w:ascii="Times New Roman" w:hAnsi="Times New Roman" w:cs="Times New Roman" w:eastAsia="Times New Roman" w:hint="default"/>
                      <w:sz w:val="24"/>
                      <w:szCs w:val="24"/>
                    </w:rPr>
                  </w:pPr>
                </w:p>
                <w:p>
                  <w:pPr>
                    <w:pStyle w:val="BodyText"/>
                    <w:spacing w:line="240" w:lineRule="auto"/>
                    <w:ind w:left="0" w:right="0"/>
                    <w:jc w:val="left"/>
                  </w:pPr>
                  <w:r>
                    <w:rPr/>
                    <w:t>或者将相竞争的业务转让给无关联关系的第三方的方式避免同业竞争。</w:t>
                  </w:r>
                </w:p>
              </w:txbxContent>
            </v:textbox>
            <w10:wrap type="none"/>
          </v:shape>
        </w:pict>
      </w:r>
      <w:r>
        <w:rPr/>
        <w:pict>
          <v:group style="position:absolute;margin-left:619.75pt;margin-top:94.950005pt;width:42.05pt;height:296.95pt;mso-position-horizontal-relative:page;mso-position-vertical-relative:page;z-index:-1185112" coordorigin="12395,1899" coordsize="841,5939">
            <v:group style="position:absolute;left:12395;top:1899;width:841;height:4369" coordorigin="12395,1899" coordsize="841,4369">
              <v:shape style="position:absolute;left:12395;top:1899;width:841;height:4369" coordorigin="12395,1899" coordsize="841,4369" path="m12395,6267l13235,6267,13235,1899,12395,1899,12395,6267xe" filled="true" fillcolor="#ffffff" stroked="false">
                <v:path arrowok="t"/>
                <v:fill type="solid"/>
              </v:shape>
            </v:group>
            <v:group style="position:absolute;left:12395;top:6277;width:841;height:1561" coordorigin="12395,6277" coordsize="841,1561">
              <v:shape style="position:absolute;left:12395;top:6277;width:841;height:1561" coordorigin="12395,6277" coordsize="841,1561" path="m12395,7837l13235,7837,13235,6277,12395,6277,12395,7837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800"/>
        <w:gridCol w:w="1788"/>
        <w:gridCol w:w="847"/>
        <w:gridCol w:w="7515"/>
        <w:gridCol w:w="850"/>
        <w:gridCol w:w="850"/>
        <w:gridCol w:w="1339"/>
      </w:tblGrid>
      <w:tr>
        <w:trPr>
          <w:trHeight w:val="418" w:hRule="exact"/>
        </w:trPr>
        <w:tc>
          <w:tcPr>
            <w:tcW w:w="80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78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84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承诺类型</w:t>
            </w:r>
          </w:p>
        </w:tc>
        <w:tc>
          <w:tcPr>
            <w:tcW w:w="751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339"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4731" w:hRule="exact"/>
        </w:trPr>
        <w:tc>
          <w:tcPr>
            <w:tcW w:w="800" w:type="dxa"/>
            <w:vMerge w:val="restart"/>
            <w:tcBorders>
              <w:top w:val="single" w:sz="4" w:space="0" w:color="000000"/>
              <w:left w:val="single" w:sz="4" w:space="0" w:color="000000"/>
              <w:right w:val="single" w:sz="4" w:space="0" w:color="000000"/>
            </w:tcBorders>
            <w:shd w:val="clear" w:color="auto" w:fill="D2D2D2"/>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博</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 w:right="95"/>
              <w:jc w:val="left"/>
              <w:rPr>
                <w:rFonts w:ascii="宋体" w:hAnsi="宋体" w:cs="宋体" w:eastAsia="宋体" w:hint="default"/>
                <w:sz w:val="18"/>
                <w:szCs w:val="18"/>
              </w:rPr>
            </w:pPr>
            <w:r>
              <w:rPr>
                <w:rFonts w:ascii="宋体" w:hAnsi="宋体" w:cs="宋体" w:eastAsia="宋体" w:hint="default"/>
                <w:sz w:val="18"/>
                <w:szCs w:val="18"/>
              </w:rPr>
              <w:t>关联交易 的承诺</w:t>
            </w:r>
          </w:p>
        </w:tc>
        <w:tc>
          <w:tcPr>
            <w:tcW w:w="75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8"/>
              <w:jc w:val="left"/>
              <w:rPr>
                <w:rFonts w:ascii="宋体" w:hAnsi="宋体" w:cs="宋体" w:eastAsia="宋体" w:hint="default"/>
                <w:sz w:val="18"/>
                <w:szCs w:val="18"/>
              </w:rPr>
            </w:pPr>
            <w:r>
              <w:rPr>
                <w:rFonts w:ascii="宋体" w:hAnsi="宋体" w:cs="宋体" w:eastAsia="宋体" w:hint="default"/>
                <w:sz w:val="18"/>
                <w:szCs w:val="18"/>
              </w:rPr>
              <w:t>实际控制人之间不存在任何关联关系、未向久其软件推荐董事或高级管理人员。②本人承诺将 尽量避免或减少与久其软件及其子公司、瑞意恒动之间可能发生的关联交易。对于久其软件及 其控股子公司、瑞意恒动能够通过市场与第三方之间发生的交易，将由久其软件及其控股子公 司、瑞意恒动独立与第三方进行；对于本人及本人控制的其他企业与久其软件及其 瑞意恒动之间无法避免的关联交易，均将严格遵守市场化原则，本着平等互利、等价有偿的一 般原则，公平合理地进行。③本人特此承诺，本次交易过程中及交易完成后，除开展正常业务 所需备用金外，不会以任何方式占用或使用久其软件及其子公司、瑞意恒动的资金、资产或其 他资源，也不会要求久其软件及其子公司、瑞意恒动为本人及本人控制的其他企业代垫款项、 代偿债务，本人不会以任何直接或间接的方式从事损害或可能损害久其软件及其子公司、瑞意 恒动利益的行为。④本人承诺，本人及本人控制的其他企业与久其软件及其子公司、瑞意恒动 发生关联交易时，将严格按照有关法律、法规、规范性文件及久其软件《公司章程》等公司治 理制度的有关规定履行审批程序和信息披露义务，保证不通过关联交易损害久其软件及其子公 司、瑞意恒动及广大中小股东的合法权益。本人在董事会、或股东大会审议该等关联交易事项 时，主动依法履行回避义务，并在议案通过后方可实施。⑤如果因违反上述承诺导致久其软件 及其子公司、瑞意恒动利益损失的，该等损失由本人承担</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 w:right="47"/>
              <w:jc w:val="both"/>
              <w:rPr>
                <w:rFonts w:ascii="宋体" w:hAnsi="宋体" w:cs="宋体" w:eastAsia="宋体" w:hint="default"/>
                <w:sz w:val="18"/>
                <w:szCs w:val="18"/>
              </w:rPr>
            </w:pPr>
            <w:r>
              <w:rPr>
                <w:rFonts w:ascii="宋体" w:hAnsi="宋体" w:cs="宋体" w:eastAsia="宋体" w:hint="default"/>
                <w:sz w:val="18"/>
                <w:szCs w:val="18"/>
              </w:rPr>
              <w:t>承诺方严格遵守 该承诺，未有违 反该承诺的情况</w:t>
            </w:r>
          </w:p>
        </w:tc>
      </w:tr>
      <w:tr>
        <w:trPr>
          <w:trHeight w:val="3834" w:hRule="exact"/>
        </w:trPr>
        <w:tc>
          <w:tcPr>
            <w:tcW w:w="800" w:type="dxa"/>
            <w:vMerge/>
            <w:tcBorders>
              <w:left w:val="single" w:sz="4" w:space="0" w:color="000000"/>
              <w:right w:val="single" w:sz="4" w:space="0" w:color="000000"/>
            </w:tcBorders>
            <w:shd w:val="clear" w:color="auto" w:fill="D2D2D2"/>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4" w:right="24"/>
              <w:jc w:val="left"/>
              <w:rPr>
                <w:rFonts w:ascii="宋体" w:hAnsi="宋体" w:cs="宋体" w:eastAsia="宋体" w:hint="default"/>
                <w:sz w:val="18"/>
                <w:szCs w:val="18"/>
              </w:rPr>
            </w:pPr>
            <w:r>
              <w:rPr>
                <w:rFonts w:ascii="宋体" w:hAnsi="宋体" w:cs="宋体" w:eastAsia="宋体" w:hint="default"/>
                <w:spacing w:val="-8"/>
                <w:sz w:val="18"/>
                <w:szCs w:val="18"/>
              </w:rPr>
              <w:t>沈栋梁、郝欣诚、顾瀚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博</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1" w:right="95"/>
              <w:jc w:val="both"/>
              <w:rPr>
                <w:rFonts w:ascii="宋体" w:hAnsi="宋体" w:cs="宋体" w:eastAsia="宋体" w:hint="default"/>
                <w:sz w:val="18"/>
                <w:szCs w:val="18"/>
              </w:rPr>
            </w:pPr>
            <w:r>
              <w:rPr>
                <w:rFonts w:ascii="宋体" w:hAnsi="宋体" w:cs="宋体" w:eastAsia="宋体" w:hint="default"/>
                <w:sz w:val="18"/>
                <w:szCs w:val="18"/>
              </w:rPr>
              <w:t>关于避免 同业竞争 的承诺</w:t>
            </w:r>
          </w:p>
        </w:tc>
        <w:tc>
          <w:tcPr>
            <w:tcW w:w="75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①截至本承诺函签署之日，本人未在、在本函有效期内也不会在中国境内外以任何方式直接或 间接从事或参与任何与久其软件及其下属子公司、瑞意恒动及其下属子公司相同、相似或在商 业上构成任何竞争的业务及活动，或拥有与久其软件及其下属子公司、瑞意恒动及其下属子公 司存在竞争关系的任何经济实体、机构、经济组织的权益， 机构、经济组织的控制权，或者为该等构成同业竞争关系的经济实体、机构、经济组织以 顾问或咨询等方式提供服务。②若发现本人及本人控制的其他企业在本函有效期内从事与久其 软件及其下属子公司、瑞意恒动及其下属子公司的产品或业务存在竞争的业务，则本人及本人 控制的其他企业承诺将以停止生产经营相竞争的业务或产品的方式，或者将相竞争的业务无偿 转让给久其软件的方式，</w:t>
            </w:r>
          </w:p>
          <w:p>
            <w:pPr>
              <w:pStyle w:val="TableParagraph"/>
              <w:spacing w:line="309" w:lineRule="auto" w:before="19"/>
              <w:ind w:left="23" w:right="53"/>
              <w:jc w:val="both"/>
              <w:rPr>
                <w:rFonts w:ascii="宋体" w:hAnsi="宋体" w:cs="宋体" w:eastAsia="宋体" w:hint="default"/>
                <w:sz w:val="18"/>
                <w:szCs w:val="18"/>
              </w:rPr>
            </w:pPr>
            <w:r>
              <w:rPr>
                <w:rFonts w:ascii="宋体" w:hAnsi="宋体" w:cs="宋体" w:eastAsia="宋体" w:hint="default"/>
                <w:sz w:val="18"/>
                <w:szCs w:val="18"/>
              </w:rPr>
              <w:t>③本人在久其软件及其下属子公司、瑞意恒动及其下属子公司任职期间以及离职后两年内，本 承诺函持续有效。④如上述承诺被证明是不真实的或未被遵守</w:t>
            </w:r>
            <w:r>
              <w:rPr>
                <w:rFonts w:ascii="Times New Roman" w:hAnsi="Times New Roman" w:cs="Times New Roman" w:eastAsia="Times New Roman" w:hint="default"/>
                <w:sz w:val="18"/>
                <w:szCs w:val="18"/>
              </w:rPr>
              <w:t>,</w:t>
            </w:r>
            <w:r>
              <w:rPr>
                <w:rFonts w:ascii="宋体" w:hAnsi="宋体" w:cs="宋体" w:eastAsia="宋体" w:hint="default"/>
                <w:sz w:val="18"/>
                <w:szCs w:val="18"/>
              </w:rPr>
              <w:t>本人愿意承担因违反上述承诺而 给久其软件造成的全部经济损失</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156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0"/>
                <w:sz w:val="20"/>
                <w:szCs w:val="20"/>
              </w:rPr>
              <w:pict>
                <v:group style="width:42.05pt;height:78.05pt;mso-position-horizontal-relative:char;mso-position-vertical-relative:line" coordorigin="0,0" coordsize="841,1561">
                  <v:group style="position:absolute;left:0;top:0;width:841;height:1561" coordorigin="0,0" coordsize="841,1561">
                    <v:shape style="position:absolute;left:0;top:0;width:841;height:1561" coordorigin="0,0" coordsize="841,1561" path="m0,1560l840,1560,840,0,0,0,0,1560xe" filled="true" fillcolor="#ffffff" stroked="false">
                      <v:path arrowok="t"/>
                      <v:fill type="solid"/>
                    </v:shape>
                  </v:group>
                </v:group>
              </w:pict>
            </w:r>
            <w:r>
              <w:rPr>
                <w:rFonts w:ascii="Times New Roman" w:hAnsi="Times New Roman" w:cs="Times New Roman" w:eastAsia="Times New Roman" w:hint="default"/>
                <w:position w:val="-30"/>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1" w:right="47"/>
              <w:jc w:val="both"/>
              <w:rPr>
                <w:rFonts w:ascii="宋体" w:hAnsi="宋体" w:cs="宋体" w:eastAsia="宋体" w:hint="default"/>
                <w:sz w:val="18"/>
                <w:szCs w:val="18"/>
              </w:rPr>
            </w:pPr>
            <w:r>
              <w:rPr>
                <w:rFonts w:ascii="宋体" w:hAnsi="宋体" w:cs="宋体" w:eastAsia="宋体" w:hint="default"/>
                <w:sz w:val="18"/>
                <w:szCs w:val="18"/>
              </w:rPr>
              <w:t>截至报告期末， 承诺方严格遵守 该承诺，未有违 反该承诺的情况</w:t>
            </w:r>
          </w:p>
        </w:tc>
      </w:tr>
      <w:tr>
        <w:trPr>
          <w:trHeight w:val="362" w:hRule="exact"/>
        </w:trPr>
        <w:tc>
          <w:tcPr>
            <w:tcW w:w="800" w:type="dxa"/>
            <w:vMerge/>
            <w:tcBorders>
              <w:left w:val="single" w:sz="4" w:space="0" w:color="000000"/>
              <w:bottom w:val="single" w:sz="4" w:space="0" w:color="000000"/>
              <w:right w:val="single" w:sz="4" w:space="0" w:color="000000"/>
            </w:tcBorders>
            <w:shd w:val="clear" w:color="auto" w:fill="D2D2D2"/>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8"/>
                <w:sz w:val="18"/>
                <w:szCs w:val="18"/>
              </w:rPr>
              <w:t>沈栋梁、郝欣诚、顾瀚</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宋体" w:hAnsi="宋体" w:cs="宋体" w:eastAsia="宋体" w:hint="default"/>
                <w:sz w:val="18"/>
                <w:szCs w:val="18"/>
              </w:rPr>
              <w:t>业绩承诺</w:t>
            </w:r>
          </w:p>
        </w:tc>
        <w:tc>
          <w:tcPr>
            <w:tcW w:w="7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5"/>
              <w:jc w:val="center"/>
              <w:rPr>
                <w:rFonts w:ascii="宋体" w:hAnsi="宋体" w:cs="宋体" w:eastAsia="宋体" w:hint="default"/>
                <w:sz w:val="18"/>
                <w:szCs w:val="18"/>
              </w:rPr>
            </w:pPr>
            <w:r>
              <w:rPr>
                <w:rFonts w:ascii="宋体" w:hAnsi="宋体" w:cs="宋体" w:eastAsia="宋体" w:hint="default"/>
                <w:sz w:val="18"/>
                <w:szCs w:val="18"/>
              </w:rPr>
              <w:t>①业绩补偿期内，瑞意恒动每年度实现的经审计的合并报表口径下归属于母公司股东的净利润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center"/>
              <w:rPr>
                <w:rFonts w:ascii="宋体" w:hAnsi="宋体" w:cs="宋体" w:eastAsia="宋体" w:hint="default"/>
                <w:sz w:val="18"/>
                <w:szCs w:val="18"/>
              </w:rPr>
            </w:pPr>
            <w:r>
              <w:rPr>
                <w:rFonts w:ascii="宋体" w:hAnsi="宋体" w:cs="宋体" w:eastAsia="宋体" w:hint="default"/>
                <w:sz w:val="18"/>
                <w:szCs w:val="18"/>
              </w:rPr>
              <w:t>截至报告期末，</w:t>
            </w:r>
          </w:p>
        </w:tc>
      </w:tr>
    </w:tbl>
    <w:p>
      <w:pPr>
        <w:spacing w:after="0" w:line="240" w:lineRule="auto"/>
        <w:jc w:val="center"/>
        <w:rPr>
          <w:rFonts w:ascii="宋体" w:hAnsi="宋体" w:cs="宋体" w:eastAsia="宋体" w:hint="default"/>
          <w:sz w:val="18"/>
          <w:szCs w:val="18"/>
        </w:rPr>
        <w:sectPr>
          <w:pgSz w:w="16840" w:h="11910" w:orient="landscape"/>
          <w:pgMar w:header="867" w:footer="980" w:top="1060" w:bottom="1160" w:left="132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800"/>
        <w:gridCol w:w="1788"/>
        <w:gridCol w:w="847"/>
        <w:gridCol w:w="7515"/>
        <w:gridCol w:w="850"/>
        <w:gridCol w:w="850"/>
        <w:gridCol w:w="1339"/>
      </w:tblGrid>
      <w:tr>
        <w:trPr>
          <w:trHeight w:val="418" w:hRule="exact"/>
        </w:trPr>
        <w:tc>
          <w:tcPr>
            <w:tcW w:w="80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78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84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承诺类型</w:t>
            </w:r>
          </w:p>
        </w:tc>
        <w:tc>
          <w:tcPr>
            <w:tcW w:w="751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339"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483" w:hRule="exact"/>
        </w:trPr>
        <w:tc>
          <w:tcPr>
            <w:tcW w:w="800" w:type="dxa"/>
            <w:vMerge w:val="restart"/>
            <w:tcBorders>
              <w:top w:val="single" w:sz="4" w:space="0" w:color="000000"/>
              <w:left w:val="single" w:sz="4" w:space="0" w:color="000000"/>
              <w:right w:val="single" w:sz="4" w:space="0" w:color="000000"/>
            </w:tcBorders>
            <w:shd w:val="clear" w:color="auto" w:fill="D2D2D2"/>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博（即补偿义务人）</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 w:right="95"/>
              <w:jc w:val="left"/>
              <w:rPr>
                <w:rFonts w:ascii="宋体" w:hAnsi="宋体" w:cs="宋体" w:eastAsia="宋体" w:hint="default"/>
                <w:sz w:val="18"/>
                <w:szCs w:val="18"/>
              </w:rPr>
            </w:pPr>
            <w:r>
              <w:rPr>
                <w:rFonts w:ascii="宋体" w:hAnsi="宋体" w:cs="宋体" w:eastAsia="宋体" w:hint="default"/>
                <w:sz w:val="18"/>
                <w:szCs w:val="18"/>
              </w:rPr>
              <w:t>及补偿安 排</w:t>
            </w:r>
          </w:p>
        </w:tc>
        <w:tc>
          <w:tcPr>
            <w:tcW w:w="751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8"/>
              <w:ind w:left="23" w:right="21"/>
              <w:jc w:val="left"/>
              <w:rPr>
                <w:rFonts w:ascii="宋体" w:hAnsi="宋体" w:cs="宋体" w:eastAsia="宋体" w:hint="default"/>
                <w:sz w:val="18"/>
                <w:szCs w:val="18"/>
              </w:rPr>
            </w:pPr>
            <w:r>
              <w:rPr>
                <w:rFonts w:ascii="宋体" w:hAnsi="宋体" w:cs="宋体" w:eastAsia="宋体" w:hint="default"/>
                <w:sz w:val="18"/>
                <w:szCs w:val="18"/>
              </w:rPr>
              <w:t>（以扣除非经常性损益前后孰低者为准）</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年度分别不低于人民币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万元、</w:t>
            </w:r>
            <w:r>
              <w:rPr>
                <w:rFonts w:ascii="Times New Roman" w:hAnsi="Times New Roman" w:cs="Times New Roman" w:eastAsia="Times New Roman" w:hint="default"/>
                <w:spacing w:val="-5"/>
                <w:sz w:val="18"/>
                <w:szCs w:val="18"/>
              </w:rPr>
              <w:t>1,950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万元和</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2,535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万元。如瑞意恒动在业绩承诺期间经审计的累计实际实现净利润 数不足承诺净利润的，则由补偿义务人以现金方式补偿。②补偿义务人承诺，瑞意恒动截至基 准日的所有应收账款（以《审计报告》中载明的合并报表为准）应在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日前全部</w:t>
            </w:r>
          </w:p>
          <w:p>
            <w:pPr>
              <w:pStyle w:val="TableParagraph"/>
              <w:spacing w:line="240" w:lineRule="auto" w:before="7"/>
              <w:ind w:left="23" w:right="0"/>
              <w:jc w:val="left"/>
              <w:rPr>
                <w:rFonts w:ascii="宋体" w:hAnsi="宋体" w:cs="宋体" w:eastAsia="宋体" w:hint="default"/>
                <w:sz w:val="18"/>
                <w:szCs w:val="18"/>
              </w:rPr>
            </w:pPr>
            <w:r>
              <w:rPr>
                <w:rFonts w:ascii="宋体" w:hAnsi="宋体" w:cs="宋体" w:eastAsia="宋体" w:hint="default"/>
                <w:sz w:val="18"/>
                <w:szCs w:val="18"/>
              </w:rPr>
              <w:t>收回。若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年度瑞意恒动实际净利润不低于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1,400 </w:t>
            </w:r>
            <w:r>
              <w:rPr>
                <w:rFonts w:ascii="宋体" w:hAnsi="宋体" w:cs="宋体" w:eastAsia="宋体" w:hint="default"/>
                <w:sz w:val="18"/>
                <w:szCs w:val="18"/>
              </w:rPr>
              <w:t>万元的，瑞意恒动应于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12"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前收回截至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日的所有应收账款。③补偿义务人承诺，瑞意恒动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年每年度经营性活动产生的现金流量净额应为正数（以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 </w:t>
            </w:r>
            <w:r>
              <w:rPr>
                <w:rFonts w:ascii="宋体" w:hAnsi="宋体" w:cs="宋体" w:eastAsia="宋体" w:hint="default"/>
                <w:spacing w:val="-3"/>
                <w:sz w:val="18"/>
                <w:szCs w:val="18"/>
              </w:rPr>
              <w:t>的《专项审核报告》为准）。④补偿义务人承诺，如瑞意恒动累计实现的净利润低于瑞意恒动累</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计承诺净利润，瑞意恒动商誉减值额不应大于补偿义务人业绩承诺补偿累计金额。⑤补偿义务 人向上市公司支付的补偿总额（包括业绩承诺补偿、应收账款补偿、经营性现金流补偿、商誉 减值补偿）不超过交易对价（扣除实缴个人所得税后的剩余部分）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 w:right="47"/>
              <w:jc w:val="both"/>
              <w:rPr>
                <w:rFonts w:ascii="宋体" w:hAnsi="宋体" w:cs="宋体" w:eastAsia="宋体" w:hint="default"/>
                <w:sz w:val="18"/>
                <w:szCs w:val="18"/>
              </w:rPr>
            </w:pPr>
            <w:r>
              <w:rPr>
                <w:rFonts w:ascii="宋体" w:hAnsi="宋体" w:cs="宋体" w:eastAsia="宋体" w:hint="default"/>
                <w:sz w:val="18"/>
                <w:szCs w:val="18"/>
              </w:rPr>
              <w:t>承诺方严格遵守 该承诺，未有违 反该承诺的情况</w:t>
            </w:r>
          </w:p>
        </w:tc>
      </w:tr>
      <w:tr>
        <w:trPr>
          <w:trHeight w:val="1961" w:hRule="exact"/>
        </w:trPr>
        <w:tc>
          <w:tcPr>
            <w:tcW w:w="800" w:type="dxa"/>
            <w:vMerge/>
            <w:tcBorders>
              <w:left w:val="single" w:sz="4" w:space="0" w:color="000000"/>
              <w:right w:val="single" w:sz="4" w:space="0" w:color="000000"/>
            </w:tcBorders>
            <w:shd w:val="clear" w:color="auto" w:fill="D2D2D2"/>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沈栋梁</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1" w:right="95"/>
              <w:jc w:val="both"/>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751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①瑞意恒动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年度净利润应不低于</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2,600</w:t>
            </w:r>
            <w:r>
              <w:rPr>
                <w:rFonts w:ascii="Times New Roman" w:hAnsi="Times New Roman" w:cs="Times New Roman" w:eastAsia="Times New Roman" w:hint="default"/>
                <w:spacing w:val="6"/>
                <w:sz w:val="18"/>
                <w:szCs w:val="18"/>
              </w:rPr>
              <w:t> </w:t>
            </w:r>
            <w:r>
              <w:rPr>
                <w:rFonts w:ascii="宋体" w:hAnsi="宋体" w:cs="宋体" w:eastAsia="宋体" w:hint="default"/>
                <w:spacing w:val="-1"/>
                <w:w w:val="100"/>
                <w:sz w:val="18"/>
                <w:szCs w:val="18"/>
              </w:rPr>
              <w:t>万元（下称</w:t>
            </w:r>
            <w:r>
              <w:rPr>
                <w:rFonts w:ascii="Times New Roman" w:hAnsi="Times New Roman" w:cs="Times New Roman" w:eastAsia="Times New Roman" w:hint="default"/>
                <w:spacing w:val="-1"/>
                <w:w w:val="100"/>
                <w:sz w:val="18"/>
                <w:szCs w:val="18"/>
              </w:rPr>
              <w:t>“2019</w:t>
            </w:r>
            <w:r>
              <w:rPr>
                <w:rFonts w:ascii="Times New Roman" w:hAnsi="Times New Roman" w:cs="Times New Roman" w:eastAsia="Times New Roman" w:hint="default"/>
                <w:spacing w:val="2"/>
                <w:w w:val="100"/>
                <w:sz w:val="18"/>
                <w:szCs w:val="18"/>
              </w:rPr>
              <w:t> </w:t>
            </w:r>
            <w:r>
              <w:rPr>
                <w:rFonts w:ascii="宋体" w:hAnsi="宋体" w:cs="宋体" w:eastAsia="宋体" w:hint="default"/>
                <w:spacing w:val="-12"/>
                <w:w w:val="100"/>
                <w:sz w:val="18"/>
                <w:szCs w:val="18"/>
              </w:rPr>
              <w:t>年承诺净利润</w:t>
            </w:r>
            <w:r>
              <w:rPr>
                <w:rFonts w:ascii="Times New Roman" w:hAnsi="Times New Roman" w:cs="Times New Roman" w:eastAsia="Times New Roman" w:hint="default"/>
                <w:spacing w:val="-12"/>
                <w:w w:val="100"/>
                <w:sz w:val="18"/>
                <w:szCs w:val="18"/>
              </w:rPr>
              <w:t>”</w:t>
            </w:r>
            <w:r>
              <w:rPr>
                <w:rFonts w:ascii="宋体" w:hAnsi="宋体" w:cs="宋体" w:eastAsia="宋体" w:hint="default"/>
                <w:spacing w:val="-12"/>
                <w:w w:val="100"/>
                <w:sz w:val="18"/>
                <w:szCs w:val="18"/>
              </w:rPr>
              <w:t>），（前述净利润，</w:t>
            </w:r>
            <w:r>
              <w:rPr>
                <w:rFonts w:ascii="宋体" w:hAnsi="宋体" w:cs="宋体" w:eastAsia="宋体" w:hint="default"/>
                <w:spacing w:val="-88"/>
                <w:w w:val="100"/>
                <w:sz w:val="18"/>
                <w:szCs w:val="18"/>
              </w:rPr>
              <w:t> </w:t>
            </w:r>
            <w:r>
              <w:rPr>
                <w:rFonts w:ascii="宋体" w:hAnsi="宋体" w:cs="宋体" w:eastAsia="宋体" w:hint="default"/>
                <w:spacing w:val="-88"/>
                <w:w w:val="100"/>
                <w:sz w:val="18"/>
                <w:szCs w:val="18"/>
              </w:rPr>
            </w:r>
            <w:r>
              <w:rPr>
                <w:rFonts w:ascii="宋体" w:hAnsi="宋体" w:cs="宋体" w:eastAsia="宋体" w:hint="default"/>
                <w:sz w:val="18"/>
                <w:szCs w:val="18"/>
              </w:rPr>
              <w:t>是指经公司聘请的审计机构审计的瑞意恒动扣除非经常性损益后归属于母公司的净利润与归属 于母公司的净利润轨低者；除经久其软件认可外，不考虑因瑞意恒动于业绩承诺期内新增的对 </w:t>
            </w:r>
            <w:r>
              <w:rPr>
                <w:rFonts w:ascii="宋体" w:hAnsi="宋体" w:cs="宋体" w:eastAsia="宋体" w:hint="default"/>
                <w:spacing w:val="-6"/>
                <w:sz w:val="18"/>
                <w:szCs w:val="18"/>
              </w:rPr>
              <w:t>外投资而增加的目标公司净利润）。②若</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年度的瑞意恒动实现的实际净利润（以</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的《专项审核报告》为准）低于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年承诺净利润，则本人应于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年度《专项审核报告》</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出具后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个工作日内，以现金方式一次性向久其软件支付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年度业绩承诺补偿金。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1" w:right="47"/>
              <w:jc w:val="both"/>
              <w:rPr>
                <w:rFonts w:ascii="宋体" w:hAnsi="宋体" w:cs="宋体" w:eastAsia="宋体" w:hint="default"/>
                <w:sz w:val="18"/>
                <w:szCs w:val="18"/>
              </w:rPr>
            </w:pPr>
            <w:r>
              <w:rPr>
                <w:rFonts w:ascii="宋体" w:hAnsi="宋体" w:cs="宋体" w:eastAsia="宋体" w:hint="default"/>
                <w:sz w:val="18"/>
                <w:szCs w:val="18"/>
              </w:rPr>
              <w:t>截至报告期末， 承诺方严格遵守 该承诺，未有违 反该承诺的情况</w:t>
            </w:r>
          </w:p>
        </w:tc>
      </w:tr>
      <w:tr>
        <w:trPr>
          <w:trHeight w:val="1964" w:hRule="exact"/>
        </w:trPr>
        <w:tc>
          <w:tcPr>
            <w:tcW w:w="800" w:type="dxa"/>
            <w:vMerge/>
            <w:tcBorders>
              <w:left w:val="single" w:sz="4" w:space="0" w:color="000000"/>
              <w:right w:val="single" w:sz="4" w:space="0" w:color="000000"/>
            </w:tcBorders>
            <w:shd w:val="clear" w:color="auto" w:fill="D2D2D2"/>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黄家骁（即转让方）</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1" w:right="95"/>
              <w:jc w:val="both"/>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751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①上海移通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年度、</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年度、</w:t>
            </w: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年度实现的合并税后净利润分别不低于人民币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r>
              <w:rPr>
                <w:rFonts w:ascii="Times New Roman" w:hAnsi="Times New Roman" w:cs="Times New Roman" w:eastAsia="Times New Roman" w:hint="default"/>
                <w:sz w:val="18"/>
                <w:szCs w:val="18"/>
              </w:rPr>
              <w:t>10,400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万元和</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13,500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万元，即三年承诺实现税后净利润总额不低于人民币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31,900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万元（前 述税后净利润以会计师事务所出具的《专项审核报告》中上海移通合并报表归属于母公司股东 的净利润与扣除非经常性损益后归属于母公司股东的净利润中孰低者为计算依据。②上海移通 业绩承诺期限内任何年度截至当年期末，累计实际实现税后净利润少于截至当年期末累计承诺 金额，则转让方应于该年度上海移通专项审计报告出具后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个月内向受让方支付业绩补偿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1" w:right="47"/>
              <w:jc w:val="both"/>
              <w:rPr>
                <w:rFonts w:ascii="宋体" w:hAnsi="宋体" w:cs="宋体" w:eastAsia="宋体" w:hint="default"/>
                <w:sz w:val="18"/>
                <w:szCs w:val="18"/>
              </w:rPr>
            </w:pPr>
            <w:r>
              <w:rPr>
                <w:rFonts w:ascii="宋体" w:hAnsi="宋体" w:cs="宋体" w:eastAsia="宋体" w:hint="default"/>
                <w:sz w:val="18"/>
                <w:szCs w:val="18"/>
              </w:rPr>
              <w:t>截止报告期末， 承诺方超期未履 行完毕</w:t>
            </w:r>
          </w:p>
        </w:tc>
      </w:tr>
      <w:tr>
        <w:trPr>
          <w:trHeight w:val="1649" w:hRule="exact"/>
        </w:trPr>
        <w:tc>
          <w:tcPr>
            <w:tcW w:w="800" w:type="dxa"/>
            <w:vMerge/>
            <w:tcBorders>
              <w:left w:val="single" w:sz="4" w:space="0" w:color="000000"/>
              <w:bottom w:val="single" w:sz="4" w:space="0" w:color="000000"/>
              <w:right w:val="single" w:sz="4" w:space="0" w:color="000000"/>
            </w:tcBorders>
            <w:shd w:val="clear" w:color="auto" w:fill="D2D2D2"/>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32"/>
              <w:jc w:val="left"/>
              <w:rPr>
                <w:rFonts w:ascii="宋体" w:hAnsi="宋体" w:cs="宋体" w:eastAsia="宋体" w:hint="default"/>
                <w:sz w:val="18"/>
                <w:szCs w:val="18"/>
              </w:rPr>
            </w:pPr>
            <w:r>
              <w:rPr>
                <w:rFonts w:ascii="宋体" w:hAnsi="宋体" w:cs="宋体" w:eastAsia="宋体" w:hint="default"/>
                <w:sz w:val="18"/>
                <w:szCs w:val="18"/>
              </w:rPr>
              <w:t>北京启顺通达科技有 限公司</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751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5"/>
              <w:jc w:val="left"/>
              <w:rPr>
                <w:rFonts w:ascii="宋体" w:hAnsi="宋体" w:cs="宋体" w:eastAsia="宋体" w:hint="default"/>
                <w:sz w:val="18"/>
                <w:szCs w:val="18"/>
              </w:rPr>
            </w:pPr>
            <w:r>
              <w:rPr>
                <w:rFonts w:ascii="宋体" w:hAnsi="宋体" w:cs="宋体" w:eastAsia="宋体" w:hint="default"/>
                <w:sz w:val="18"/>
                <w:szCs w:val="18"/>
              </w:rPr>
              <w:t>上海移通原出售方在向久其软件、久其科技出售上海移通</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股权并签署原收购协议时，若存 在合同诈骗或其他违法行为犯罪行为情形，或存在原收购协议被认定为无效、被撤销或被解除 情形的，导致上海移通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股权于收购基准日时的真实价值低于原收购协议中认定的价值的， 启顺通达承诺于以上情形成就之日起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个月内，按《关于上海移通网络有限公司的诉讼及赔偿 款分配安排协议》约定向久其软件支付补偿金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09</w:t>
            </w:r>
          </w:p>
          <w:p>
            <w:pPr>
              <w:pStyle w:val="TableParagraph"/>
              <w:spacing w:line="240" w:lineRule="auto" w:before="62"/>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1" w:right="47"/>
              <w:jc w:val="left"/>
              <w:rPr>
                <w:rFonts w:ascii="宋体" w:hAnsi="宋体" w:cs="宋体" w:eastAsia="宋体" w:hint="default"/>
                <w:sz w:val="18"/>
                <w:szCs w:val="18"/>
              </w:rPr>
            </w:pPr>
            <w:r>
              <w:rPr>
                <w:rFonts w:ascii="宋体" w:hAnsi="宋体" w:cs="宋体" w:eastAsia="宋体" w:hint="default"/>
                <w:sz w:val="18"/>
                <w:szCs w:val="18"/>
              </w:rPr>
              <w:t>报告期内，未触 发承诺履行条 件。</w:t>
            </w:r>
          </w:p>
        </w:tc>
      </w:tr>
    </w:tbl>
    <w:p>
      <w:pPr>
        <w:spacing w:after="0" w:line="316" w:lineRule="auto"/>
        <w:jc w:val="left"/>
        <w:rPr>
          <w:rFonts w:ascii="宋体" w:hAnsi="宋体" w:cs="宋体" w:eastAsia="宋体" w:hint="default"/>
          <w:sz w:val="18"/>
          <w:szCs w:val="18"/>
        </w:rPr>
        <w:sectPr>
          <w:pgSz w:w="16840" w:h="11910" w:orient="landscape"/>
          <w:pgMar w:header="867" w:footer="980" w:top="1060" w:bottom="1160" w:left="1320" w:right="1280"/>
        </w:sectPr>
      </w:pPr>
    </w:p>
    <w:p>
      <w:pPr>
        <w:spacing w:line="240" w:lineRule="auto" w:before="2"/>
        <w:rPr>
          <w:rFonts w:ascii="Times New Roman" w:hAnsi="Times New Roman" w:cs="Times New Roman" w:eastAsia="Times New Roman" w:hint="default"/>
          <w:sz w:val="3"/>
          <w:szCs w:val="3"/>
        </w:rPr>
      </w:pPr>
      <w:r>
        <w:rPr/>
        <w:pict>
          <v:group style="position:absolute;margin-left:201.619995pt;margin-top:262.490021pt;width:41.9pt;height:25.35pt;mso-position-horizontal-relative:page;mso-position-vertical-relative:page;z-index:-1185088" coordorigin="4032,5250" coordsize="838,507">
            <v:group style="position:absolute;left:4032;top:5250;width:838;height:156" coordorigin="4032,5250" coordsize="838,156">
              <v:shape style="position:absolute;left:4032;top:5250;width:838;height:156" coordorigin="4032,5250" coordsize="838,156" path="m4032,5406l4870,5406,4870,5250,4032,5250,4032,5406xe" filled="true" fillcolor="#ffffff" stroked="false">
                <v:path arrowok="t"/>
                <v:fill type="solid"/>
              </v:shape>
            </v:group>
            <v:group style="position:absolute;left:4054;top:5406;width:795;height:351" coordorigin="4054,5406" coordsize="795,351">
              <v:shape style="position:absolute;left:4054;top:5406;width:795;height:351" coordorigin="4054,5406" coordsize="795,351" path="m4054,5756l4848,5756,4848,5406,4054,5406,4054,5756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800"/>
        <w:gridCol w:w="1788"/>
        <w:gridCol w:w="847"/>
        <w:gridCol w:w="7515"/>
        <w:gridCol w:w="850"/>
        <w:gridCol w:w="850"/>
        <w:gridCol w:w="1339"/>
      </w:tblGrid>
      <w:tr>
        <w:trPr>
          <w:trHeight w:val="418" w:hRule="exact"/>
        </w:trPr>
        <w:tc>
          <w:tcPr>
            <w:tcW w:w="80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78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84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承诺类型</w:t>
            </w:r>
          </w:p>
        </w:tc>
        <w:tc>
          <w:tcPr>
            <w:tcW w:w="751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339"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32"/>
              <w:jc w:val="left"/>
              <w:rPr>
                <w:rFonts w:ascii="宋体" w:hAnsi="宋体" w:cs="宋体" w:eastAsia="宋体" w:hint="default"/>
                <w:sz w:val="18"/>
                <w:szCs w:val="18"/>
              </w:rPr>
            </w:pPr>
            <w:r>
              <w:rPr>
                <w:rFonts w:ascii="宋体" w:hAnsi="宋体" w:cs="宋体" w:eastAsia="宋体" w:hint="default"/>
                <w:sz w:val="18"/>
                <w:szCs w:val="18"/>
              </w:rPr>
              <w:t>北京久其科技投资有 限公司</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72"/>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751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98"/>
              <w:jc w:val="both"/>
              <w:rPr>
                <w:rFonts w:ascii="宋体" w:hAnsi="宋体" w:cs="宋体" w:eastAsia="宋体" w:hint="default"/>
                <w:sz w:val="18"/>
                <w:szCs w:val="18"/>
              </w:rPr>
            </w:pPr>
            <w:r>
              <w:rPr>
                <w:rFonts w:ascii="宋体" w:hAnsi="宋体" w:cs="宋体" w:eastAsia="宋体" w:hint="default"/>
                <w:sz w:val="18"/>
                <w:szCs w:val="18"/>
              </w:rPr>
              <w:t>启顺通达未按照《关于上海移通网络有限公司的诉讼及赔偿款分配安排协议》的约定足额向久 其软件支付补偿金的，久其科技承诺于启顺通达补偿金的最后付款日起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个工作日内，就未足 额支付的部分代启顺通达向久其软件支付</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47"/>
              <w:jc w:val="left"/>
              <w:rPr>
                <w:rFonts w:ascii="宋体" w:hAnsi="宋体" w:cs="宋体" w:eastAsia="宋体" w:hint="default"/>
                <w:sz w:val="18"/>
                <w:szCs w:val="18"/>
              </w:rPr>
            </w:pPr>
            <w:r>
              <w:rPr>
                <w:rFonts w:ascii="宋体" w:hAnsi="宋体" w:cs="宋体" w:eastAsia="宋体" w:hint="default"/>
                <w:sz w:val="18"/>
                <w:szCs w:val="18"/>
              </w:rPr>
              <w:t>报告期内，未触 发承诺履行条 件。</w:t>
            </w:r>
          </w:p>
        </w:tc>
      </w:tr>
      <w:tr>
        <w:trPr>
          <w:trHeight w:val="1340" w:hRule="exact"/>
        </w:trPr>
        <w:tc>
          <w:tcPr>
            <w:tcW w:w="800" w:type="dxa"/>
            <w:vMerge w:val="restart"/>
            <w:tcBorders>
              <w:top w:val="single" w:sz="4" w:space="0" w:color="000000"/>
              <w:left w:val="single" w:sz="4" w:space="0" w:color="000000"/>
              <w:right w:val="single" w:sz="4" w:space="0" w:color="000000"/>
            </w:tcBorders>
            <w:shd w:val="clear" w:color="auto" w:fill="D2D2D2"/>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4" w:right="132"/>
              <w:jc w:val="left"/>
              <w:rPr>
                <w:rFonts w:ascii="宋体" w:hAnsi="宋体" w:cs="宋体" w:eastAsia="宋体" w:hint="default"/>
                <w:sz w:val="18"/>
                <w:szCs w:val="18"/>
              </w:rPr>
            </w:pPr>
            <w:r>
              <w:rPr>
                <w:rFonts w:ascii="宋体" w:hAnsi="宋体" w:cs="宋体" w:eastAsia="宋体" w:hint="default"/>
                <w:sz w:val="18"/>
                <w:szCs w:val="18"/>
              </w:rPr>
              <w:t>北京久其科技投资有 限公司</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1" w:right="95"/>
              <w:jc w:val="both"/>
              <w:rPr>
                <w:rFonts w:ascii="宋体" w:hAnsi="宋体" w:cs="宋体" w:eastAsia="宋体" w:hint="default"/>
                <w:sz w:val="18"/>
                <w:szCs w:val="18"/>
              </w:rPr>
            </w:pPr>
            <w:r>
              <w:rPr>
                <w:rFonts w:ascii="宋体" w:hAnsi="宋体" w:cs="宋体" w:eastAsia="宋体" w:hint="default"/>
                <w:sz w:val="18"/>
                <w:szCs w:val="18"/>
              </w:rPr>
              <w:t>关于避免 同业竞争 的承诺</w:t>
            </w:r>
          </w:p>
        </w:tc>
        <w:tc>
          <w:tcPr>
            <w:tcW w:w="7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99"/>
              <w:jc w:val="both"/>
              <w:rPr>
                <w:rFonts w:ascii="宋体" w:hAnsi="宋体" w:cs="宋体" w:eastAsia="宋体" w:hint="default"/>
                <w:sz w:val="18"/>
                <w:szCs w:val="18"/>
              </w:rPr>
            </w:pPr>
            <w:r>
              <w:rPr>
                <w:rFonts w:ascii="宋体" w:hAnsi="宋体" w:cs="宋体" w:eastAsia="宋体" w:hint="default"/>
                <w:sz w:val="18"/>
                <w:szCs w:val="18"/>
              </w:rPr>
              <w:t>将不在中国境内外以任何方式直接或间接从事或参与任何与发行人相同、相似或在商业上构成 任何竞争的业务及活动，或拥有与发行人存在竞争关系的任何经济实体、机构、经济组织的权 益，或以其他任何形式取得该经济实体、机构、经济组织的控制权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47"/>
              <w:jc w:val="both"/>
              <w:rPr>
                <w:rFonts w:ascii="宋体" w:hAnsi="宋体" w:cs="宋体" w:eastAsia="宋体" w:hint="default"/>
                <w:sz w:val="18"/>
                <w:szCs w:val="18"/>
              </w:rPr>
            </w:pPr>
            <w:r>
              <w:rPr>
                <w:rFonts w:ascii="宋体" w:hAnsi="宋体" w:cs="宋体" w:eastAsia="宋体" w:hint="default"/>
                <w:sz w:val="18"/>
                <w:szCs w:val="18"/>
              </w:rPr>
              <w:t>截至报告期末， 承诺方严格遵守 该承诺，未有违 反该承诺的情况</w:t>
            </w:r>
          </w:p>
        </w:tc>
      </w:tr>
      <w:tr>
        <w:trPr>
          <w:trHeight w:val="1337" w:hRule="exact"/>
        </w:trPr>
        <w:tc>
          <w:tcPr>
            <w:tcW w:w="800" w:type="dxa"/>
            <w:vMerge/>
            <w:tcBorders>
              <w:left w:val="single" w:sz="4" w:space="0" w:color="000000"/>
              <w:right w:val="single" w:sz="4" w:space="0" w:color="000000"/>
            </w:tcBorders>
            <w:shd w:val="clear" w:color="auto" w:fill="D2D2D2"/>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董泰湘、赵福君</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1" w:right="95"/>
              <w:jc w:val="both"/>
              <w:rPr>
                <w:rFonts w:ascii="宋体" w:hAnsi="宋体" w:cs="宋体" w:eastAsia="宋体" w:hint="default"/>
                <w:sz w:val="18"/>
                <w:szCs w:val="18"/>
              </w:rPr>
            </w:pPr>
            <w:r>
              <w:rPr>
                <w:rFonts w:ascii="宋体" w:hAnsi="宋体" w:cs="宋体" w:eastAsia="宋体" w:hint="default"/>
                <w:sz w:val="18"/>
                <w:szCs w:val="18"/>
              </w:rPr>
              <w:t>关于避免 同业竞争 的承诺</w:t>
            </w:r>
          </w:p>
        </w:tc>
        <w:tc>
          <w:tcPr>
            <w:tcW w:w="75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9"/>
              <w:jc w:val="both"/>
              <w:rPr>
                <w:rFonts w:ascii="宋体" w:hAnsi="宋体" w:cs="宋体" w:eastAsia="宋体" w:hint="default"/>
                <w:sz w:val="18"/>
                <w:szCs w:val="18"/>
              </w:rPr>
            </w:pPr>
            <w:r>
              <w:rPr>
                <w:rFonts w:ascii="宋体" w:hAnsi="宋体" w:cs="宋体" w:eastAsia="宋体" w:hint="default"/>
                <w:sz w:val="18"/>
                <w:szCs w:val="18"/>
              </w:rPr>
              <w:t>将不在中国境内外以任何方式直接或间接从事或参与任何与发行人相同、相似或在商业上构成 任何竞争的业务及活动，或拥有与发行人存在竞争关系的任何经济实体、机构、经济组织的权 益，或以其他任何形式取得该经济实体、机构、经济组织的控制权，或在该经济实体、机构、 经济组织中担任高级管理人员或核心技术人员</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47"/>
              <w:jc w:val="both"/>
              <w:rPr>
                <w:rFonts w:ascii="宋体" w:hAnsi="宋体" w:cs="宋体" w:eastAsia="宋体" w:hint="default"/>
                <w:sz w:val="18"/>
                <w:szCs w:val="18"/>
              </w:rPr>
            </w:pPr>
            <w:r>
              <w:rPr>
                <w:rFonts w:ascii="宋体" w:hAnsi="宋体" w:cs="宋体" w:eastAsia="宋体" w:hint="default"/>
                <w:sz w:val="18"/>
                <w:szCs w:val="18"/>
              </w:rPr>
              <w:t>截至报告期末， 承诺方严格遵守 该承诺，未有违 反该承诺的情况</w:t>
            </w:r>
          </w:p>
        </w:tc>
      </w:tr>
      <w:tr>
        <w:trPr>
          <w:trHeight w:val="631" w:hRule="exact"/>
        </w:trPr>
        <w:tc>
          <w:tcPr>
            <w:tcW w:w="800" w:type="dxa"/>
            <w:vMerge/>
            <w:tcBorders>
              <w:left w:val="single" w:sz="4" w:space="0" w:color="000000"/>
              <w:bottom w:val="nil" w:sz="6" w:space="0" w:color="auto"/>
              <w:right w:val="single" w:sz="4" w:space="0" w:color="000000"/>
            </w:tcBorders>
            <w:shd w:val="clear" w:color="auto" w:fill="D2D2D2"/>
          </w:tcPr>
          <w:p>
            <w:pPr/>
          </w:p>
        </w:tc>
        <w:tc>
          <w:tcPr>
            <w:tcW w:w="1788" w:type="dxa"/>
            <w:vMerge w:val="restart"/>
            <w:tcBorders>
              <w:top w:val="single" w:sz="4" w:space="0" w:color="000000"/>
              <w:left w:val="single" w:sz="9" w:space="0" w:color="D2D2D2"/>
              <w:right w:val="single" w:sz="9" w:space="0" w:color="FFFFFF"/>
            </w:tcBorders>
          </w:tcPr>
          <w:p>
            <w:pPr>
              <w:pStyle w:val="TableParagraph"/>
              <w:spacing w:line="316" w:lineRule="auto" w:before="51"/>
              <w:ind w:left="18" w:right="-52"/>
              <w:jc w:val="left"/>
              <w:rPr>
                <w:rFonts w:ascii="宋体" w:hAnsi="宋体" w:cs="宋体" w:eastAsia="宋体" w:hint="default"/>
                <w:sz w:val="18"/>
                <w:szCs w:val="18"/>
              </w:rPr>
            </w:pPr>
            <w:r>
              <w:rPr>
                <w:rFonts w:ascii="宋体" w:hAnsi="宋体" w:cs="宋体" w:eastAsia="宋体" w:hint="default"/>
                <w:spacing w:val="-16"/>
                <w:sz w:val="18"/>
                <w:szCs w:val="18"/>
              </w:rPr>
              <w:t>赵福君、蒋硕、刘文圣</w:t>
            </w:r>
            <w:r>
              <w:rPr>
                <w:rFonts w:ascii="宋体" w:hAnsi="宋体" w:cs="宋体" w:eastAsia="宋体" w:hint="default"/>
                <w:sz w:val="18"/>
                <w:szCs w:val="18"/>
              </w:rPr>
              <w:t> </w:t>
            </w:r>
            <w:r>
              <w:rPr>
                <w:rFonts w:ascii="宋体" w:hAnsi="宋体" w:cs="宋体" w:eastAsia="宋体" w:hint="default"/>
                <w:spacing w:val="-8"/>
                <w:sz w:val="18"/>
                <w:szCs w:val="18"/>
              </w:rPr>
              <w:t>欧阳曜、邱安超、施瑞</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丰、王海霞、王劲岩、 曾超、朱晓钧</w:t>
            </w:r>
          </w:p>
        </w:tc>
        <w:tc>
          <w:tcPr>
            <w:tcW w:w="847" w:type="dxa"/>
            <w:vMerge w:val="restart"/>
            <w:tcBorders>
              <w:top w:val="single" w:sz="4" w:space="0" w:color="000000"/>
              <w:left w:val="single" w:sz="9" w:space="0" w:color="FFFFFF"/>
              <w:right w:val="single" w:sz="4" w:space="0" w:color="000000"/>
            </w:tcBorders>
          </w:tcPr>
          <w:p>
            <w:pPr>
              <w:pStyle w:val="TableParagraph"/>
              <w:spacing w:line="196" w:lineRule="exact"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5" w:right="0"/>
              <w:jc w:val="left"/>
              <w:rPr>
                <w:rFonts w:ascii="宋体" w:hAnsi="宋体" w:cs="宋体" w:eastAsia="宋体" w:hint="default"/>
                <w:sz w:val="18"/>
                <w:szCs w:val="18"/>
              </w:rPr>
            </w:pPr>
            <w:r>
              <w:rPr>
                <w:rFonts w:ascii="宋体" w:hAnsi="宋体" w:cs="宋体" w:eastAsia="宋体" w:hint="default"/>
                <w:sz w:val="18"/>
                <w:szCs w:val="18"/>
              </w:rPr>
              <w:t>关于避免</w:t>
            </w:r>
          </w:p>
          <w:p>
            <w:pPr>
              <w:pStyle w:val="TableParagraph"/>
              <w:spacing w:line="316" w:lineRule="auto" w:before="74"/>
              <w:ind w:left="15" w:right="95"/>
              <w:jc w:val="left"/>
              <w:rPr>
                <w:rFonts w:ascii="宋体" w:hAnsi="宋体" w:cs="宋体" w:eastAsia="宋体" w:hint="default"/>
                <w:sz w:val="18"/>
                <w:szCs w:val="18"/>
              </w:rPr>
            </w:pPr>
            <w:r>
              <w:rPr>
                <w:rFonts w:ascii="宋体" w:hAnsi="宋体" w:cs="宋体" w:eastAsia="宋体" w:hint="default"/>
                <w:sz w:val="18"/>
                <w:szCs w:val="18"/>
              </w:rPr>
              <w:t>同业竞争 的承诺</w:t>
            </w:r>
          </w:p>
        </w:tc>
        <w:tc>
          <w:tcPr>
            <w:tcW w:w="751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99"/>
              <w:jc w:val="left"/>
              <w:rPr>
                <w:rFonts w:ascii="宋体" w:hAnsi="宋体" w:cs="宋体" w:eastAsia="宋体" w:hint="default"/>
                <w:sz w:val="18"/>
                <w:szCs w:val="18"/>
              </w:rPr>
            </w:pPr>
            <w:r>
              <w:rPr>
                <w:rFonts w:ascii="宋体" w:hAnsi="宋体" w:cs="宋体" w:eastAsia="宋体" w:hint="default"/>
                <w:sz w:val="18"/>
                <w:szCs w:val="18"/>
              </w:rPr>
              <w:t>本人及近亲属在本人任职期间及离职后半年内，不从事自营或为他人经营与公司同类的业务， 也不从事与公司利益发生冲突的对外投资</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339" w:type="dxa"/>
            <w:vMerge w:val="restart"/>
            <w:tcBorders>
              <w:top w:val="single" w:sz="4" w:space="0" w:color="000000"/>
              <w:left w:val="single" w:sz="4" w:space="0" w:color="000000"/>
              <w:right w:val="single" w:sz="4" w:space="0" w:color="000000"/>
            </w:tcBorders>
          </w:tcPr>
          <w:p>
            <w:pPr>
              <w:pStyle w:val="TableParagraph"/>
              <w:spacing w:line="316" w:lineRule="auto" w:before="51"/>
              <w:ind w:left="21" w:right="47"/>
              <w:jc w:val="both"/>
              <w:rPr>
                <w:rFonts w:ascii="宋体" w:hAnsi="宋体" w:cs="宋体" w:eastAsia="宋体" w:hint="default"/>
                <w:sz w:val="18"/>
                <w:szCs w:val="18"/>
              </w:rPr>
            </w:pPr>
            <w:r>
              <w:rPr>
                <w:rFonts w:ascii="宋体" w:hAnsi="宋体" w:cs="宋体" w:eastAsia="宋体" w:hint="default"/>
                <w:sz w:val="18"/>
                <w:szCs w:val="18"/>
              </w:rPr>
              <w:t>截至报告期末， 承诺方严格遵守 该承诺，未有违 反该承诺的情况</w:t>
            </w:r>
          </w:p>
        </w:tc>
      </w:tr>
      <w:tr>
        <w:trPr>
          <w:trHeight w:val="708" w:hRule="exact"/>
        </w:trPr>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45"/>
              <w:jc w:val="both"/>
              <w:rPr>
                <w:rFonts w:ascii="宋体" w:hAnsi="宋体" w:cs="宋体" w:eastAsia="宋体" w:hint="default"/>
                <w:sz w:val="18"/>
                <w:szCs w:val="18"/>
              </w:rPr>
            </w:pPr>
            <w:r>
              <w:rPr>
                <w:rFonts w:ascii="宋体" w:hAnsi="宋体" w:cs="宋体" w:eastAsia="宋体" w:hint="default"/>
                <w:sz w:val="18"/>
                <w:szCs w:val="18"/>
              </w:rPr>
              <w:t>首次公开 发行或再 融资时所 作承诺</w:t>
            </w:r>
          </w:p>
        </w:tc>
        <w:tc>
          <w:tcPr>
            <w:tcW w:w="1788" w:type="dxa"/>
            <w:vMerge/>
            <w:tcBorders>
              <w:left w:val="single" w:sz="9" w:space="0" w:color="D2D2D2"/>
              <w:bottom w:val="single" w:sz="4" w:space="0" w:color="000000"/>
              <w:right w:val="single" w:sz="9" w:space="0" w:color="FFFFFF"/>
            </w:tcBorders>
          </w:tcPr>
          <w:p>
            <w:pPr/>
          </w:p>
        </w:tc>
        <w:tc>
          <w:tcPr>
            <w:tcW w:w="847" w:type="dxa"/>
            <w:vMerge/>
            <w:tcBorders>
              <w:left w:val="single" w:sz="9" w:space="0" w:color="FFFFFF"/>
              <w:bottom w:val="single" w:sz="4" w:space="0" w:color="000000"/>
              <w:right w:val="single" w:sz="4" w:space="0" w:color="000000"/>
            </w:tcBorders>
          </w:tcPr>
          <w:p>
            <w:pPr/>
          </w:p>
        </w:tc>
        <w:tc>
          <w:tcPr>
            <w:tcW w:w="7515"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339" w:type="dxa"/>
            <w:vMerge/>
            <w:tcBorders>
              <w:left w:val="single" w:sz="4" w:space="0" w:color="000000"/>
              <w:bottom w:val="single" w:sz="4" w:space="0" w:color="000000"/>
              <w:right w:val="single" w:sz="4" w:space="0" w:color="000000"/>
            </w:tcBorders>
          </w:tcPr>
          <w:p>
            <w:pPr/>
          </w:p>
        </w:tc>
      </w:tr>
      <w:tr>
        <w:trPr>
          <w:trHeight w:val="619" w:hRule="exact"/>
        </w:trPr>
        <w:tc>
          <w:tcPr>
            <w:tcW w:w="800" w:type="dxa"/>
            <w:vMerge/>
            <w:tcBorders>
              <w:left w:val="single" w:sz="4" w:space="0" w:color="000000"/>
              <w:bottom w:val="nil" w:sz="6" w:space="0" w:color="auto"/>
              <w:right w:val="single" w:sz="4" w:space="0" w:color="000000"/>
            </w:tcBorders>
            <w:shd w:val="clear" w:color="auto" w:fill="D2D2D2"/>
          </w:tcPr>
          <w:p>
            <w:pPr/>
          </w:p>
        </w:tc>
        <w:tc>
          <w:tcPr>
            <w:tcW w:w="178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8" w:right="24"/>
              <w:jc w:val="left"/>
              <w:rPr>
                <w:rFonts w:ascii="宋体" w:hAnsi="宋体" w:cs="宋体" w:eastAsia="宋体" w:hint="default"/>
                <w:sz w:val="18"/>
                <w:szCs w:val="18"/>
              </w:rPr>
            </w:pPr>
            <w:r>
              <w:rPr>
                <w:rFonts w:ascii="宋体" w:hAnsi="宋体" w:cs="宋体" w:eastAsia="宋体" w:hint="default"/>
                <w:sz w:val="18"/>
                <w:szCs w:val="18"/>
              </w:rPr>
              <w:t>北京久其科技投资有 </w:t>
            </w:r>
            <w:r>
              <w:rPr>
                <w:rFonts w:ascii="宋体" w:hAnsi="宋体" w:cs="宋体" w:eastAsia="宋体" w:hint="default"/>
                <w:spacing w:val="-8"/>
                <w:sz w:val="18"/>
                <w:szCs w:val="18"/>
              </w:rPr>
              <w:t>限公司、董泰湘、赵福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君</w:t>
            </w:r>
          </w:p>
        </w:tc>
        <w:tc>
          <w:tcPr>
            <w:tcW w:w="847" w:type="dxa"/>
            <w:vMerge w:val="restart"/>
            <w:tcBorders>
              <w:top w:val="single" w:sz="4" w:space="0" w:color="000000"/>
              <w:left w:val="single" w:sz="4" w:space="0" w:color="000000"/>
              <w:right w:val="single" w:sz="4" w:space="0" w:color="000000"/>
            </w:tcBorders>
          </w:tcPr>
          <w:p>
            <w:pPr>
              <w:pStyle w:val="TableParagraph"/>
              <w:spacing w:line="316" w:lineRule="auto" w:before="49"/>
              <w:ind w:left="21" w:right="95"/>
              <w:jc w:val="both"/>
              <w:rPr>
                <w:rFonts w:ascii="宋体" w:hAnsi="宋体" w:cs="宋体" w:eastAsia="宋体" w:hint="default"/>
                <w:sz w:val="18"/>
                <w:szCs w:val="18"/>
              </w:rPr>
            </w:pPr>
            <w:r>
              <w:rPr>
                <w:rFonts w:ascii="宋体" w:hAnsi="宋体" w:cs="宋体" w:eastAsia="宋体" w:hint="default"/>
                <w:sz w:val="18"/>
                <w:szCs w:val="18"/>
              </w:rPr>
              <w:t>关于填补 即期回报 措施能够 得到切实 履行的承 诺</w:t>
            </w:r>
          </w:p>
        </w:tc>
        <w:tc>
          <w:tcPr>
            <w:tcW w:w="751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本人不越权干预公司经营管理活动，不侵占公司利益</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3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1" w:right="47"/>
              <w:jc w:val="both"/>
              <w:rPr>
                <w:rFonts w:ascii="宋体" w:hAnsi="宋体" w:cs="宋体" w:eastAsia="宋体" w:hint="default"/>
                <w:sz w:val="18"/>
                <w:szCs w:val="18"/>
              </w:rPr>
            </w:pPr>
            <w:r>
              <w:rPr>
                <w:rFonts w:ascii="宋体" w:hAnsi="宋体" w:cs="宋体" w:eastAsia="宋体" w:hint="default"/>
                <w:sz w:val="18"/>
                <w:szCs w:val="18"/>
              </w:rPr>
              <w:t>截至报告期末， 承诺方严格遵守 该承诺，未有违 反该承诺的情况</w:t>
            </w:r>
          </w:p>
        </w:tc>
      </w:tr>
      <w:tr>
        <w:trPr>
          <w:trHeight w:val="1342" w:hRule="exact"/>
        </w:trPr>
        <w:tc>
          <w:tcPr>
            <w:tcW w:w="800" w:type="dxa"/>
            <w:vMerge w:val="restart"/>
            <w:tcBorders>
              <w:top w:val="nil" w:sz="6" w:space="0" w:color="auto"/>
              <w:left w:val="single" w:sz="4" w:space="0" w:color="000000"/>
              <w:right w:val="single" w:sz="4" w:space="0" w:color="000000"/>
            </w:tcBorders>
            <w:shd w:val="clear" w:color="auto" w:fill="D2D2D2"/>
          </w:tcPr>
          <w:p>
            <w:pPr/>
          </w:p>
        </w:tc>
        <w:tc>
          <w:tcPr>
            <w:tcW w:w="1788" w:type="dxa"/>
            <w:vMerge/>
            <w:tcBorders>
              <w:left w:val="single" w:sz="9" w:space="0" w:color="D2D2D2"/>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7515"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339" w:type="dxa"/>
            <w:vMerge/>
            <w:tcBorders>
              <w:left w:val="single" w:sz="4" w:space="0" w:color="000000"/>
              <w:bottom w:val="single" w:sz="4" w:space="0" w:color="000000"/>
              <w:right w:val="single" w:sz="4" w:space="0" w:color="000000"/>
            </w:tcBorders>
          </w:tcPr>
          <w:p>
            <w:pPr/>
          </w:p>
        </w:tc>
      </w:tr>
      <w:tr>
        <w:trPr>
          <w:trHeight w:val="1964" w:hRule="exact"/>
        </w:trPr>
        <w:tc>
          <w:tcPr>
            <w:tcW w:w="800" w:type="dxa"/>
            <w:vMerge/>
            <w:tcBorders>
              <w:left w:val="single" w:sz="4" w:space="0" w:color="000000"/>
              <w:bottom w:val="single" w:sz="4" w:space="0" w:color="000000"/>
              <w:right w:val="single" w:sz="4" w:space="0" w:color="000000"/>
            </w:tcBorders>
            <w:shd w:val="clear" w:color="auto" w:fill="D2D2D2"/>
          </w:tcPr>
          <w:p>
            <w:pPr/>
          </w:p>
        </w:tc>
        <w:tc>
          <w:tcPr>
            <w:tcW w:w="1788"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52"/>
              <w:jc w:val="left"/>
              <w:rPr>
                <w:rFonts w:ascii="宋体" w:hAnsi="宋体" w:cs="宋体" w:eastAsia="宋体" w:hint="default"/>
                <w:sz w:val="18"/>
                <w:szCs w:val="18"/>
              </w:rPr>
            </w:pPr>
            <w:r>
              <w:rPr>
                <w:rFonts w:ascii="宋体" w:hAnsi="宋体" w:cs="宋体" w:eastAsia="宋体" w:hint="default"/>
                <w:spacing w:val="-8"/>
                <w:sz w:val="18"/>
                <w:szCs w:val="18"/>
              </w:rPr>
              <w:t>赵福君、施瑞丰、欧阳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8"/>
                <w:sz w:val="18"/>
                <w:szCs w:val="18"/>
              </w:rPr>
              <w:t>曜、邱安超、栗军、王</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新、韩凤岐、王元京、 </w:t>
            </w:r>
            <w:r>
              <w:rPr>
                <w:rFonts w:ascii="宋体" w:hAnsi="宋体" w:cs="宋体" w:eastAsia="宋体" w:hint="default"/>
                <w:spacing w:val="-8"/>
                <w:sz w:val="18"/>
                <w:szCs w:val="18"/>
              </w:rPr>
              <w:t>戴金平、刘文圣、朱晓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钧、王海霞</w:t>
            </w:r>
          </w:p>
        </w:tc>
        <w:tc>
          <w:tcPr>
            <w:tcW w:w="847" w:type="dxa"/>
            <w:tcBorders>
              <w:top w:val="single" w:sz="4" w:space="0" w:color="000000"/>
              <w:left w:val="single" w:sz="9" w:space="0" w:color="FFFFFF"/>
              <w:bottom w:val="single" w:sz="4" w:space="0" w:color="000000"/>
              <w:right w:val="single" w:sz="4" w:space="0" w:color="000000"/>
            </w:tcBorders>
          </w:tcPr>
          <w:p>
            <w:pPr>
              <w:pStyle w:val="TableParagraph"/>
              <w:spacing w:line="316" w:lineRule="auto" w:before="51"/>
              <w:ind w:left="15" w:right="95"/>
              <w:jc w:val="both"/>
              <w:rPr>
                <w:rFonts w:ascii="宋体" w:hAnsi="宋体" w:cs="宋体" w:eastAsia="宋体" w:hint="default"/>
                <w:sz w:val="18"/>
                <w:szCs w:val="18"/>
              </w:rPr>
            </w:pPr>
            <w:r>
              <w:rPr>
                <w:rFonts w:ascii="宋体" w:hAnsi="宋体" w:cs="宋体" w:eastAsia="宋体" w:hint="default"/>
                <w:sz w:val="18"/>
                <w:szCs w:val="18"/>
              </w:rPr>
              <w:t>关于填补 即期回报 措施能够 得到切实 履行的承 诺</w:t>
            </w:r>
          </w:p>
        </w:tc>
        <w:tc>
          <w:tcPr>
            <w:tcW w:w="75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98"/>
              <w:jc w:val="both"/>
              <w:rPr>
                <w:rFonts w:ascii="宋体" w:hAnsi="宋体" w:cs="宋体" w:eastAsia="宋体" w:hint="default"/>
                <w:sz w:val="18"/>
                <w:szCs w:val="18"/>
              </w:rPr>
            </w:pPr>
            <w:r>
              <w:rPr>
                <w:rFonts w:ascii="宋体" w:hAnsi="宋体" w:cs="宋体" w:eastAsia="宋体" w:hint="default"/>
                <w:sz w:val="18"/>
                <w:szCs w:val="18"/>
              </w:rPr>
              <w:t>①本人承诺不无偿或以不公平条件向其他单位或者个人输送利益，也不采用其他方式损害公司 利益。②本人承诺对本人的职务消费行为进行约束。③本人承诺不动用公司资产从事与其履行 职责无关的投资、消费活动。④本人承诺由董事会或薪酬委员会制定的薪酬制度与公司填补回 报措施的执行情况相挂钩。⑤若公司后续推出公司股权激励政策，本人承诺拟公布的公司股权 激励的行权条件与公司填补回报措施的执行情况相挂钩。⑥本承诺出具日后至公司本次公开发 行可转换公司债券实施完毕前，若中国证监会作出关于填补回报措施及其承诺的其他新的监管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1" w:right="47"/>
              <w:jc w:val="both"/>
              <w:rPr>
                <w:rFonts w:ascii="宋体" w:hAnsi="宋体" w:cs="宋体" w:eastAsia="宋体" w:hint="default"/>
                <w:sz w:val="18"/>
                <w:szCs w:val="18"/>
              </w:rPr>
            </w:pPr>
            <w:r>
              <w:rPr>
                <w:rFonts w:ascii="宋体" w:hAnsi="宋体" w:cs="宋体" w:eastAsia="宋体" w:hint="default"/>
                <w:sz w:val="18"/>
                <w:szCs w:val="18"/>
              </w:rPr>
              <w:t>截至报告期末， 承诺方严格遵守 该承诺，未有违 反该承诺的情况</w:t>
            </w:r>
          </w:p>
        </w:tc>
      </w:tr>
    </w:tbl>
    <w:p>
      <w:pPr>
        <w:spacing w:after="0" w:line="316" w:lineRule="auto"/>
        <w:jc w:val="both"/>
        <w:rPr>
          <w:rFonts w:ascii="宋体" w:hAnsi="宋体" w:cs="宋体" w:eastAsia="宋体" w:hint="default"/>
          <w:sz w:val="18"/>
          <w:szCs w:val="18"/>
        </w:rPr>
        <w:sectPr>
          <w:pgSz w:w="16840" w:h="11910" w:orient="landscape"/>
          <w:pgMar w:header="867" w:footer="980" w:top="1060" w:bottom="1160" w:left="132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800"/>
        <w:gridCol w:w="1788"/>
        <w:gridCol w:w="847"/>
        <w:gridCol w:w="7515"/>
        <w:gridCol w:w="850"/>
        <w:gridCol w:w="850"/>
        <w:gridCol w:w="1339"/>
      </w:tblGrid>
      <w:tr>
        <w:trPr>
          <w:trHeight w:val="418" w:hRule="exact"/>
        </w:trPr>
        <w:tc>
          <w:tcPr>
            <w:tcW w:w="80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78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84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751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339"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922"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8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5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8"/>
              <w:jc w:val="both"/>
              <w:rPr>
                <w:rFonts w:ascii="宋体" w:hAnsi="宋体" w:cs="宋体" w:eastAsia="宋体" w:hint="default"/>
                <w:sz w:val="18"/>
                <w:szCs w:val="18"/>
              </w:rPr>
            </w:pPr>
            <w:r>
              <w:rPr>
                <w:rFonts w:ascii="宋体" w:hAnsi="宋体" w:cs="宋体" w:eastAsia="宋体" w:hint="default"/>
                <w:sz w:val="18"/>
                <w:szCs w:val="18"/>
              </w:rPr>
              <w:t>规定的，且上述承诺不能满足中国证监会该等规定时，本人承诺届时将按照中国证监会的最新 规定出具补充承诺。⑦本人承诺切实履行公司制定的有关填补回报措施以及本人对此作出的任 何有关填补回报措施的承诺，若本人违反该等承诺并给公司或者投资者造成损失的，本人愿意 依法承担对公司或者投资者的补偿责任。本人若违反上述承诺或拒不履行上述承诺，本人同意 按照中国证监会和深圳证券交易所等证券监管机构按照其制定或发布的有关规定、规则，对本 人作出相关处罚或采取相关管理措施</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3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0554" w:type="dxa"/>
            <w:gridSpan w:val="4"/>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3435"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0554" w:type="dxa"/>
            <w:gridSpan w:val="4"/>
            <w:vMerge w:val="restart"/>
            <w:tcBorders>
              <w:top w:val="single" w:sz="4" w:space="0" w:color="000000"/>
              <w:left w:val="single" w:sz="9" w:space="0" w:color="D2D2D2"/>
              <w:right w:val="single" w:sz="4" w:space="0" w:color="000000"/>
            </w:tcBorders>
          </w:tcPr>
          <w:p>
            <w:pPr>
              <w:pStyle w:val="TableParagraph"/>
              <w:spacing w:line="316" w:lineRule="auto" w:before="49"/>
              <w:ind w:left="17" w:right="78"/>
              <w:jc w:val="both"/>
              <w:rPr>
                <w:rFonts w:ascii="宋体" w:hAnsi="宋体" w:cs="宋体" w:eastAsia="宋体" w:hint="default"/>
                <w:sz w:val="18"/>
                <w:szCs w:val="18"/>
              </w:rPr>
            </w:pPr>
            <w:r>
              <w:rPr>
                <w:rFonts w:ascii="宋体" w:hAnsi="宋体" w:cs="宋体" w:eastAsia="宋体" w:hint="default"/>
                <w:sz w:val="18"/>
                <w:szCs w:val="18"/>
              </w:rPr>
              <w:t>报告期，上海移通原股东涉嫌合同诈骗及其个别员工涉嫌公章造假案件已获立案，截至报告期末有关案件仍在调查阶段，因此关于上 海移通涉及的业绩承诺与补偿，可能受案件侦查、债权债务纠纷、业绩补偿承诺方履约能力等的影响，不排除有关业绩补偿款项不能 按期足额获得的风险。公司将积极采取法律途径维护自身合法权益，并按照相关要求，履行信息披露义务。</w:t>
            </w:r>
          </w:p>
        </w:tc>
      </w:tr>
      <w:tr>
        <w:trPr>
          <w:trHeight w:val="706" w:hRule="exact"/>
        </w:trPr>
        <w:tc>
          <w:tcPr>
            <w:tcW w:w="3435"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3"/>
                <w:sz w:val="18"/>
                <w:szCs w:val="18"/>
              </w:rPr>
              <w:t>如承诺超期未履行完毕的，应当详细说明未</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完成履行的具体原因及下一步的工作计划</w:t>
            </w:r>
          </w:p>
        </w:tc>
        <w:tc>
          <w:tcPr>
            <w:tcW w:w="10554" w:type="dxa"/>
            <w:gridSpan w:val="4"/>
            <w:vMerge/>
            <w:tcBorders>
              <w:left w:val="single" w:sz="9" w:space="0" w:color="D2D2D2"/>
              <w:right w:val="single" w:sz="4" w:space="0" w:color="000000"/>
            </w:tcBorders>
          </w:tcPr>
          <w:p>
            <w:pPr/>
          </w:p>
        </w:tc>
      </w:tr>
      <w:tr>
        <w:trPr>
          <w:trHeight w:val="161" w:hRule="exact"/>
        </w:trPr>
        <w:tc>
          <w:tcPr>
            <w:tcW w:w="3435"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0554" w:type="dxa"/>
            <w:gridSpan w:val="4"/>
            <w:vMerge/>
            <w:tcBorders>
              <w:left w:val="single" w:sz="9" w:space="0" w:color="D2D2D2"/>
              <w:bottom w:val="single" w:sz="4" w:space="0" w:color="000000"/>
              <w:right w:val="single" w:sz="4" w:space="0" w:color="000000"/>
            </w:tcBorders>
          </w:tcPr>
          <w:p>
            <w:pPr/>
          </w:p>
        </w:tc>
      </w:tr>
    </w:tbl>
    <w:p>
      <w:pPr>
        <w:spacing w:after="0"/>
        <w:sectPr>
          <w:pgSz w:w="16840" w:h="11910" w:orient="landscape"/>
          <w:pgMar w:header="867" w:footer="980" w:top="1060" w:bottom="1160" w:left="1320" w:right="1280"/>
        </w:sectPr>
      </w:pPr>
    </w:p>
    <w:p>
      <w:pPr>
        <w:spacing w:line="240" w:lineRule="auto" w:before="8"/>
        <w:rPr>
          <w:rFonts w:ascii="Times New Roman" w:hAnsi="Times New Roman" w:cs="Times New Roman" w:eastAsia="Times New Roman" w:hint="default"/>
          <w:sz w:val="23"/>
          <w:szCs w:val="23"/>
        </w:rPr>
      </w:pPr>
    </w:p>
    <w:p>
      <w:pPr>
        <w:pStyle w:val="Heading3"/>
        <w:spacing w:line="259" w:lineRule="auto" w:before="36"/>
        <w:ind w:right="1115"/>
        <w:jc w:val="left"/>
        <w:rPr>
          <w:b w:val="0"/>
          <w:bCs w:val="0"/>
        </w:rPr>
      </w:pPr>
      <w:bookmarkStart w:name="2、公司资产或项目存在盈利预测，且报告期仍处在盈利预测期间，公司就资产或项目达到" w:id="68"/>
      <w:bookmarkEnd w:id="68"/>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696"/>
        <w:gridCol w:w="679"/>
        <w:gridCol w:w="679"/>
        <w:gridCol w:w="788"/>
        <w:gridCol w:w="960"/>
        <w:gridCol w:w="1899"/>
        <w:gridCol w:w="679"/>
        <w:gridCol w:w="3289"/>
      </w:tblGrid>
      <w:tr>
        <w:trPr>
          <w:trHeight w:val="1337" w:hRule="exact"/>
        </w:trPr>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4" w:right="70"/>
              <w:jc w:val="both"/>
              <w:rPr>
                <w:rFonts w:ascii="宋体" w:hAnsi="宋体" w:cs="宋体" w:eastAsia="宋体" w:hint="default"/>
                <w:sz w:val="18"/>
                <w:szCs w:val="18"/>
              </w:rPr>
            </w:pPr>
            <w:r>
              <w:rPr>
                <w:rFonts w:ascii="宋体" w:hAnsi="宋体" w:cs="宋体" w:eastAsia="宋体" w:hint="default"/>
                <w:sz w:val="18"/>
                <w:szCs w:val="18"/>
              </w:rPr>
              <w:t>盈利预 测资产 或项目 名称</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7" w:right="60"/>
              <w:jc w:val="left"/>
              <w:rPr>
                <w:rFonts w:ascii="宋体" w:hAnsi="宋体" w:cs="宋体" w:eastAsia="宋体" w:hint="default"/>
                <w:sz w:val="18"/>
                <w:szCs w:val="18"/>
              </w:rPr>
            </w:pPr>
            <w:r>
              <w:rPr>
                <w:rFonts w:ascii="宋体" w:hAnsi="宋体" w:cs="宋体" w:eastAsia="宋体" w:hint="default"/>
                <w:sz w:val="18"/>
                <w:szCs w:val="18"/>
              </w:rPr>
              <w:t>预测起 始时间</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4" w:right="62"/>
              <w:jc w:val="left"/>
              <w:rPr>
                <w:rFonts w:ascii="宋体" w:hAnsi="宋体" w:cs="宋体" w:eastAsia="宋体" w:hint="default"/>
                <w:sz w:val="18"/>
                <w:szCs w:val="18"/>
              </w:rPr>
            </w:pPr>
            <w:r>
              <w:rPr>
                <w:rFonts w:ascii="宋体" w:hAnsi="宋体" w:cs="宋体" w:eastAsia="宋体" w:hint="default"/>
                <w:sz w:val="18"/>
                <w:szCs w:val="18"/>
              </w:rPr>
              <w:t>预测终 止时间</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27"/>
              <w:jc w:val="center"/>
              <w:rPr>
                <w:rFonts w:ascii="宋体" w:hAnsi="宋体" w:cs="宋体" w:eastAsia="宋体" w:hint="default"/>
                <w:sz w:val="18"/>
                <w:szCs w:val="18"/>
              </w:rPr>
            </w:pPr>
            <w:r>
              <w:rPr>
                <w:rFonts w:ascii="宋体" w:hAnsi="宋体" w:cs="宋体" w:eastAsia="宋体" w:hint="default"/>
                <w:sz w:val="18"/>
                <w:szCs w:val="18"/>
              </w:rPr>
              <w:t>当期预测 业绩（万 元）</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4"/>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1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未达预测的原因</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4" w:right="62"/>
              <w:jc w:val="center"/>
              <w:rPr>
                <w:rFonts w:ascii="宋体" w:hAnsi="宋体" w:cs="宋体" w:eastAsia="宋体" w:hint="default"/>
                <w:sz w:val="18"/>
                <w:szCs w:val="18"/>
              </w:rPr>
            </w:pPr>
            <w:r>
              <w:rPr>
                <w:rFonts w:ascii="宋体" w:hAnsi="宋体" w:cs="宋体" w:eastAsia="宋体" w:hint="default"/>
                <w:sz w:val="18"/>
                <w:szCs w:val="18"/>
              </w:rPr>
              <w:t>原预测 披露日 期</w:t>
            </w:r>
          </w:p>
        </w:tc>
        <w:tc>
          <w:tcPr>
            <w:tcW w:w="3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10"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1340" w:hRule="exact"/>
        </w:trPr>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both"/>
              <w:rPr>
                <w:rFonts w:ascii="宋体" w:hAnsi="宋体" w:cs="宋体" w:eastAsia="宋体" w:hint="default"/>
                <w:sz w:val="18"/>
                <w:szCs w:val="18"/>
              </w:rPr>
            </w:pPr>
            <w:r>
              <w:rPr>
                <w:rFonts w:ascii="宋体" w:hAnsi="宋体" w:cs="宋体" w:eastAsia="宋体" w:hint="default"/>
                <w:sz w:val="18"/>
                <w:szCs w:val="18"/>
              </w:rPr>
              <w:t>北京瑞 意恒动 科技有 限公司</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2,600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2,137.97</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7"/>
              <w:jc w:val="both"/>
              <w:rPr>
                <w:rFonts w:ascii="宋体" w:hAnsi="宋体" w:cs="宋体" w:eastAsia="宋体" w:hint="default"/>
                <w:sz w:val="18"/>
                <w:szCs w:val="18"/>
              </w:rPr>
            </w:pPr>
            <w:r>
              <w:rPr>
                <w:rFonts w:ascii="宋体" w:hAnsi="宋体" w:cs="宋体" w:eastAsia="宋体" w:hint="default"/>
                <w:sz w:val="18"/>
                <w:szCs w:val="18"/>
              </w:rPr>
              <w:t>市场竞争加剧，</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度瑞意恒动收入有所下 降，导致其未能达到盈 利预测的业绩。</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《关于瑞意恒动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年度业绩承诺实现 </w:t>
            </w:r>
            <w:r>
              <w:rPr>
                <w:rFonts w:ascii="宋体" w:hAnsi="宋体" w:cs="宋体" w:eastAsia="宋体" w:hint="default"/>
                <w:spacing w:val="-9"/>
                <w:sz w:val="18"/>
                <w:szCs w:val="18"/>
              </w:rPr>
              <w:t>情况的公告》（公告编号</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2020-047</w:t>
            </w:r>
            <w:r>
              <w:rPr>
                <w:rFonts w:ascii="宋体" w:hAnsi="宋体" w:cs="宋体" w:eastAsia="宋体" w:hint="default"/>
                <w:sz w:val="18"/>
                <w:szCs w:val="18"/>
              </w:rPr>
              <w:t>）已披</w:t>
            </w:r>
            <w:r>
              <w:rPr>
                <w:rFonts w:ascii="宋体" w:hAnsi="宋体" w:cs="宋体" w:eastAsia="宋体" w:hint="default"/>
                <w:spacing w:val="-88"/>
                <w:sz w:val="18"/>
                <w:szCs w:val="18"/>
              </w:rPr>
              <w:t> </w:t>
            </w:r>
            <w:r>
              <w:rPr>
                <w:rFonts w:ascii="宋体" w:hAnsi="宋体" w:cs="宋体" w:eastAsia="宋体" w:hint="default"/>
                <w:sz w:val="18"/>
                <w:szCs w:val="18"/>
              </w:rPr>
              <w:t>露于巨潮资讯网</w:t>
            </w:r>
            <w:r>
              <w:rPr>
                <w:rFonts w:ascii="宋体" w:hAnsi="宋体" w:cs="宋体" w:eastAsia="宋体" w:hint="default"/>
                <w:spacing w:val="-67"/>
                <w:sz w:val="18"/>
                <w:szCs w:val="18"/>
              </w:rPr>
              <w:t> </w:t>
            </w:r>
            <w:hyperlink r:id="rId13">
              <w:r>
                <w:rPr>
                  <w:rFonts w:ascii="Times New Roman" w:hAnsi="Times New Roman" w:cs="Times New Roman" w:eastAsia="Times New Roman" w:hint="default"/>
                  <w:sz w:val="18"/>
                  <w:szCs w:val="18"/>
                </w:rPr>
                <w:t>www.cninfo.com.cn</w:t>
              </w:r>
            </w:hyperlink>
          </w:p>
        </w:tc>
      </w:tr>
    </w:tbl>
    <w:p>
      <w:pPr>
        <w:pStyle w:val="BodyText"/>
        <w:spacing w:line="240" w:lineRule="auto" w:before="49"/>
        <w:ind w:right="0"/>
        <w:jc w:val="both"/>
      </w:pPr>
      <w:r>
        <w:rPr/>
        <w:t>公司股东、交易对手方在报告年度经营业绩做出的承诺情况</w:t>
      </w:r>
    </w:p>
    <w:p>
      <w:pPr>
        <w:pStyle w:val="BodyText"/>
        <w:spacing w:line="340" w:lineRule="auto" w:before="115"/>
        <w:ind w:left="513" w:right="1115"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基于对瑞意恒动未来发展的信心，作为瑞意恒动董事长及总经理，交易对手方沈栋梁与公司于</w:t>
      </w:r>
      <w:r>
        <w:rPr>
          <w:rFonts w:ascii="Times New Roman" w:hAnsi="Times New Roman" w:cs="Times New Roman" w:eastAsia="Times New Roman" w:hint="default"/>
          <w:spacing w:val="-2"/>
        </w:rPr>
        <w:t>2019</w:t>
      </w:r>
      <w:r>
        <w:rPr>
          <w:spacing w:val="-2"/>
        </w:rPr>
        <w:t>年初签订协议，愿意</w:t>
      </w:r>
    </w:p>
    <w:p>
      <w:pPr>
        <w:pStyle w:val="BodyText"/>
        <w:spacing w:line="228" w:lineRule="exact"/>
        <w:ind w:right="0"/>
        <w:jc w:val="both"/>
      </w:pPr>
      <w:r>
        <w:rPr/>
        <w:t>延长一年业绩承诺期，即承诺瑞意恒动</w:t>
      </w:r>
      <w:r>
        <w:rPr>
          <w:rFonts w:ascii="Times New Roman" w:hAnsi="Times New Roman" w:cs="Times New Roman" w:eastAsia="Times New Roman" w:hint="default"/>
        </w:rPr>
        <w:t>2019</w:t>
      </w:r>
      <w:r>
        <w:rPr/>
        <w:t>年度净利润（指扣除非经常性损益后归属于母公司所有者的净利润与归属于母公</w:t>
      </w:r>
    </w:p>
    <w:p>
      <w:pPr>
        <w:pStyle w:val="BodyText"/>
        <w:spacing w:line="300" w:lineRule="auto" w:before="63"/>
        <w:ind w:right="1115"/>
        <w:jc w:val="left"/>
      </w:pPr>
      <w:r>
        <w:rPr/>
        <w:t>司所有者的净利润孰低者）不低于</w:t>
      </w:r>
      <w:r>
        <w:rPr>
          <w:rFonts w:ascii="Times New Roman" w:hAnsi="Times New Roman" w:cs="Times New Roman" w:eastAsia="Times New Roman" w:hint="default"/>
        </w:rPr>
        <w:t>2,600</w:t>
      </w:r>
      <w:r>
        <w:rPr/>
        <w:t>万元。若</w:t>
      </w:r>
      <w:r>
        <w:rPr>
          <w:rFonts w:ascii="Times New Roman" w:hAnsi="Times New Roman" w:cs="Times New Roman" w:eastAsia="Times New Roman" w:hint="default"/>
        </w:rPr>
        <w:t>2019</w:t>
      </w:r>
      <w:r>
        <w:rPr/>
        <w:t>年瑞意恒动实现的实际净利润低于承诺净利润，则沈栋梁将以现金方</w:t>
      </w:r>
      <w:r>
        <w:rPr>
          <w:spacing w:val="-43"/>
        </w:rPr>
        <w:t> </w:t>
      </w:r>
      <w:r>
        <w:rPr>
          <w:spacing w:val="-43"/>
        </w:rPr>
      </w:r>
      <w:r>
        <w:rPr/>
        <w:t>式向公司支付净利润差额部分的补偿。</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BodyText"/>
        <w:spacing w:line="240" w:lineRule="auto"/>
        <w:ind w:right="0"/>
        <w:jc w:val="both"/>
      </w:pPr>
      <w:r>
        <w:rPr/>
        <w:t>业绩承诺的完成情况及其对商誉减值测试的影响</w:t>
      </w:r>
    </w:p>
    <w:p>
      <w:pPr>
        <w:pStyle w:val="BodyText"/>
        <w:spacing w:line="240" w:lineRule="auto" w:before="115"/>
        <w:ind w:left="513" w:right="0"/>
        <w:jc w:val="left"/>
      </w:pPr>
      <w:r>
        <w:rPr/>
        <w:t>根据致同会计师事务所（特殊普通合伙）于</w:t>
      </w:r>
      <w:r>
        <w:rPr>
          <w:spacing w:val="-41"/>
        </w:rPr>
        <w:t> </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w:t>
      </w:r>
      <w:r>
        <w:rPr>
          <w:spacing w:val="-43"/>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41"/>
        </w:rPr>
        <w:t> </w:t>
      </w:r>
      <w:r>
        <w:rPr>
          <w:rFonts w:ascii="Times New Roman" w:hAnsi="Times New Roman" w:cs="Times New Roman" w:eastAsia="Times New Roman" w:hint="default"/>
        </w:rPr>
        <w:t>23</w:t>
      </w:r>
      <w:r>
        <w:rPr>
          <w:rFonts w:ascii="Times New Roman" w:hAnsi="Times New Roman" w:cs="Times New Roman" w:eastAsia="Times New Roman" w:hint="default"/>
          <w:spacing w:val="3"/>
        </w:rPr>
        <w:t> </w:t>
      </w:r>
      <w:r>
        <w:rPr/>
        <w:t>日出具的致同专字（</w:t>
      </w:r>
      <w:r>
        <w:rPr>
          <w:rFonts w:ascii="Times New Roman" w:hAnsi="Times New Roman" w:cs="Times New Roman" w:eastAsia="Times New Roman" w:hint="default"/>
        </w:rPr>
        <w:t>2020</w:t>
      </w:r>
      <w:r>
        <w:rPr/>
        <w:t>）第</w:t>
      </w:r>
      <w:r>
        <w:rPr>
          <w:spacing w:val="-43"/>
        </w:rPr>
        <w:t> </w:t>
      </w:r>
      <w:r>
        <w:rPr>
          <w:rFonts w:ascii="Times New Roman" w:hAnsi="Times New Roman" w:cs="Times New Roman" w:eastAsia="Times New Roman" w:hint="default"/>
        </w:rPr>
        <w:t>110ZA5288</w:t>
      </w:r>
      <w:r>
        <w:rPr>
          <w:rFonts w:ascii="Times New Roman" w:hAnsi="Times New Roman" w:cs="Times New Roman" w:eastAsia="Times New Roman" w:hint="default"/>
          <w:spacing w:val="6"/>
        </w:rPr>
        <w:t> </w:t>
      </w:r>
      <w:r>
        <w:rPr/>
        <w:t>号《北京久其软</w:t>
      </w:r>
    </w:p>
    <w:p>
      <w:pPr>
        <w:pStyle w:val="BodyText"/>
        <w:spacing w:line="240" w:lineRule="auto" w:before="63"/>
        <w:ind w:right="0"/>
        <w:jc w:val="both"/>
        <w:rPr>
          <w:rFonts w:ascii="Times New Roman" w:hAnsi="Times New Roman" w:cs="Times New Roman" w:eastAsia="Times New Roman" w:hint="default"/>
        </w:rPr>
      </w:pPr>
      <w:r>
        <w:rPr/>
        <w:t>件股份有限公司关于北京瑞意恒动科技有限公司 </w:t>
      </w:r>
      <w:r>
        <w:rPr>
          <w:rFonts w:ascii="Times New Roman" w:hAnsi="Times New Roman" w:cs="Times New Roman" w:eastAsia="Times New Roman" w:hint="default"/>
        </w:rPr>
        <w:t>2019  </w:t>
      </w:r>
      <w:r>
        <w:rPr/>
        <w:t>年度业绩承诺完成情况的专项审核报告》，瑞意恒动经审计的</w:t>
      </w:r>
      <w:r>
        <w:rPr>
          <w:spacing w:val="6"/>
        </w:rPr>
        <w:t> </w:t>
      </w:r>
      <w:r>
        <w:rPr>
          <w:rFonts w:ascii="Times New Roman" w:hAnsi="Times New Roman" w:cs="Times New Roman" w:eastAsia="Times New Roman" w:hint="default"/>
        </w:rPr>
        <w:t>2019</w:t>
      </w:r>
    </w:p>
    <w:p>
      <w:pPr>
        <w:pStyle w:val="BodyText"/>
        <w:spacing w:line="240" w:lineRule="auto" w:before="63"/>
        <w:ind w:right="0"/>
        <w:jc w:val="both"/>
      </w:pPr>
      <w:r>
        <w:rPr/>
        <w:t>年度净利</w:t>
      </w:r>
      <w:r>
        <w:rPr>
          <w:spacing w:val="-92"/>
        </w:rPr>
        <w:t>润</w:t>
      </w:r>
      <w:r>
        <w:rPr/>
        <w:t>（指扣除非经常性</w:t>
      </w:r>
      <w:r>
        <w:rPr>
          <w:spacing w:val="2"/>
        </w:rPr>
        <w:t>损</w:t>
      </w:r>
      <w:r>
        <w:rPr/>
        <w:t>益后归属于母公司所有者的净利润与归属于母公司所有者的净利润孰低者</w:t>
      </w:r>
      <w:r>
        <w:rPr>
          <w:spacing w:val="-92"/>
        </w:rPr>
        <w:t>）</w:t>
      </w:r>
      <w:r>
        <w:rPr/>
        <w:t>为</w:t>
      </w:r>
      <w:r>
        <w:rPr>
          <w:spacing w:val="-62"/>
        </w:rPr>
        <w:t> </w:t>
      </w:r>
      <w:r>
        <w:rPr>
          <w:rFonts w:ascii="Times New Roman" w:hAnsi="Times New Roman" w:cs="Times New Roman" w:eastAsia="Times New Roman" w:hint="default"/>
          <w:spacing w:val="1"/>
        </w:rPr>
        <w:t>213</w:t>
      </w:r>
      <w:r>
        <w:rPr>
          <w:rFonts w:ascii="Times New Roman" w:hAnsi="Times New Roman" w:cs="Times New Roman" w:eastAsia="Times New Roman" w:hint="default"/>
          <w:spacing w:val="-2"/>
        </w:rPr>
        <w:t>7</w:t>
      </w:r>
      <w:r>
        <w:rPr>
          <w:rFonts w:ascii="Times New Roman" w:hAnsi="Times New Roman" w:cs="Times New Roman" w:eastAsia="Times New Roman" w:hint="default"/>
        </w:rPr>
        <w:t>.</w:t>
      </w:r>
      <w:r>
        <w:rPr>
          <w:rFonts w:ascii="Times New Roman" w:hAnsi="Times New Roman" w:cs="Times New Roman" w:eastAsia="Times New Roman" w:hint="default"/>
          <w:spacing w:val="-2"/>
        </w:rPr>
        <w:t>9</w:t>
      </w:r>
      <w:r>
        <w:rPr>
          <w:rFonts w:ascii="Times New Roman" w:hAnsi="Times New Roman" w:cs="Times New Roman" w:eastAsia="Times New Roman" w:hint="default"/>
        </w:rPr>
        <w:t>7</w:t>
      </w:r>
      <w:r>
        <w:rPr>
          <w:rFonts w:ascii="Times New Roman" w:hAnsi="Times New Roman" w:cs="Times New Roman" w:eastAsia="Times New Roman" w:hint="default"/>
          <w:spacing w:val="-17"/>
        </w:rPr>
        <w:t> </w:t>
      </w:r>
      <w:r>
        <w:rPr/>
        <w:t>万</w:t>
      </w:r>
      <w:r>
        <w:rPr>
          <w:spacing w:val="-3"/>
        </w:rPr>
        <w:t>元</w:t>
      </w:r>
      <w:r>
        <w:rPr/>
        <w:t>，</w:t>
      </w:r>
    </w:p>
    <w:p>
      <w:pPr>
        <w:pStyle w:val="BodyText"/>
        <w:spacing w:line="240" w:lineRule="auto" w:before="63"/>
        <w:ind w:right="0"/>
        <w:jc w:val="both"/>
        <w:rPr>
          <w:rFonts w:ascii="Times New Roman" w:hAnsi="Times New Roman" w:cs="Times New Roman" w:eastAsia="Times New Roman" w:hint="default"/>
        </w:rPr>
      </w:pPr>
      <w:r>
        <w:rPr/>
        <w:t>低于</w:t>
      </w:r>
      <w:r>
        <w:rPr>
          <w:spacing w:val="-3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年度净利润承诺数</w:t>
      </w:r>
      <w:r>
        <w:rPr>
          <w:spacing w:val="-32"/>
        </w:rPr>
        <w:t> </w:t>
      </w:r>
      <w:r>
        <w:rPr>
          <w:rFonts w:ascii="Times New Roman" w:hAnsi="Times New Roman" w:cs="Times New Roman" w:eastAsia="Times New Roman" w:hint="default"/>
        </w:rPr>
        <w:t>2,600</w:t>
      </w:r>
      <w:r>
        <w:rPr>
          <w:rFonts w:ascii="Times New Roman" w:hAnsi="Times New Roman" w:cs="Times New Roman" w:eastAsia="Times New Roman" w:hint="default"/>
          <w:spacing w:val="16"/>
        </w:rPr>
        <w:t> </w:t>
      </w:r>
      <w:r>
        <w:rPr/>
        <w:t>万元，完成率为</w:t>
      </w:r>
      <w:r>
        <w:rPr>
          <w:spacing w:val="-31"/>
        </w:rPr>
        <w:t> </w:t>
      </w:r>
      <w:r>
        <w:rPr>
          <w:rFonts w:ascii="Times New Roman" w:hAnsi="Times New Roman" w:cs="Times New Roman" w:eastAsia="Times New Roman" w:hint="default"/>
        </w:rPr>
        <w:t>82.23%</w:t>
      </w:r>
      <w:r>
        <w:rPr/>
        <w:t>，未完成</w:t>
      </w:r>
      <w:r>
        <w:rPr>
          <w:spacing w:val="-3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年度的业绩承诺。公司根据《企业会计准则第</w:t>
      </w:r>
      <w:r>
        <w:rPr>
          <w:spacing w:val="-31"/>
        </w:rPr>
        <w:t> </w:t>
      </w:r>
      <w:r>
        <w:rPr>
          <w:rFonts w:ascii="Times New Roman" w:hAnsi="Times New Roman" w:cs="Times New Roman" w:eastAsia="Times New Roman" w:hint="default"/>
        </w:rPr>
        <w:t>8</w:t>
      </w:r>
    </w:p>
    <w:p>
      <w:pPr>
        <w:pStyle w:val="BodyText"/>
        <w:spacing w:line="300" w:lineRule="auto" w:before="63"/>
        <w:ind w:right="1129"/>
        <w:jc w:val="both"/>
      </w:pPr>
      <w:r>
        <w:rPr>
          <w:spacing w:val="-6"/>
        </w:rPr>
        <w:t>号</w:t>
      </w:r>
      <w:r>
        <w:rPr>
          <w:rFonts w:ascii="Times New Roman" w:hAnsi="Times New Roman" w:cs="Times New Roman" w:eastAsia="Times New Roman" w:hint="default"/>
          <w:spacing w:val="-6"/>
        </w:rPr>
        <w:t>——</w:t>
      </w:r>
      <w:r>
        <w:rPr>
          <w:spacing w:val="-6"/>
        </w:rPr>
        <w:t>资产减值》和中国证监会《会计监管风险提示第</w:t>
      </w:r>
      <w:r>
        <w:rPr>
          <w:spacing w:val="-27"/>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spacing w:val="-5"/>
        </w:rPr>
        <w:t>号</w:t>
      </w:r>
      <w:r>
        <w:rPr>
          <w:rFonts w:ascii="Times New Roman" w:hAnsi="Times New Roman" w:cs="Times New Roman" w:eastAsia="Times New Roman" w:hint="default"/>
          <w:spacing w:val="-5"/>
        </w:rPr>
        <w:t>——</w:t>
      </w:r>
      <w:r>
        <w:rPr>
          <w:spacing w:val="-5"/>
        </w:rPr>
        <w:t>商誉减值》的相关要求，经财务部门与评估师和会计师计算，</w:t>
      </w:r>
      <w:r>
        <w:rPr>
          <w:spacing w:val="-85"/>
        </w:rPr>
        <w:t> </w:t>
      </w:r>
      <w:r>
        <w:rPr>
          <w:spacing w:val="-85"/>
        </w:rPr>
      </w:r>
      <w:r>
        <w:rPr/>
        <w:t>公司对收购瑞意恒动</w:t>
      </w:r>
      <w:r>
        <w:rPr>
          <w:spacing w:val="-45"/>
        </w:rPr>
        <w:t> </w:t>
      </w:r>
      <w:r>
        <w:rPr>
          <w:rFonts w:ascii="Times New Roman" w:hAnsi="Times New Roman" w:cs="Times New Roman" w:eastAsia="Times New Roman" w:hint="default"/>
        </w:rPr>
        <w:t>100%</w:t>
      </w:r>
      <w:r>
        <w:rPr/>
        <w:t>股权形成的商誉计提减值准备为</w:t>
      </w:r>
      <w:r>
        <w:rPr>
          <w:spacing w:val="-45"/>
        </w:rPr>
        <w:t> </w:t>
      </w:r>
      <w:r>
        <w:rPr>
          <w:rFonts w:ascii="Times New Roman" w:hAnsi="Times New Roman" w:cs="Times New Roman" w:eastAsia="Times New Roman" w:hint="default"/>
        </w:rPr>
        <w:t>2,633.72</w:t>
      </w:r>
      <w:r>
        <w:rPr>
          <w:rFonts w:ascii="Times New Roman" w:hAnsi="Times New Roman" w:cs="Times New Roman" w:eastAsia="Times New Roman" w:hint="default"/>
          <w:spacing w:val="-10"/>
        </w:rPr>
        <w:t> </w:t>
      </w:r>
      <w:r>
        <w:rPr/>
        <w:t>万元。公司将根据有关协议要求，督促交易对方及时履 行补偿义务。</w:t>
      </w:r>
    </w:p>
    <w:p>
      <w:pPr>
        <w:spacing w:line="240" w:lineRule="auto" w:before="11"/>
        <w:rPr>
          <w:rFonts w:ascii="宋体" w:hAnsi="宋体" w:cs="宋体" w:eastAsia="宋体" w:hint="default"/>
          <w:sz w:val="21"/>
          <w:szCs w:val="21"/>
        </w:rPr>
      </w:pPr>
    </w:p>
    <w:p>
      <w:pPr>
        <w:pStyle w:val="Heading2"/>
        <w:spacing w:line="240" w:lineRule="auto"/>
        <w:ind w:right="0"/>
        <w:jc w:val="both"/>
        <w:rPr>
          <w:b w:val="0"/>
          <w:bCs w:val="0"/>
        </w:rPr>
      </w:pPr>
      <w:bookmarkStart w:name="四、控股股东及其关联方对上市公司的非经营性占用资金情况" w:id="69"/>
      <w:bookmarkEnd w:id="69"/>
      <w:r>
        <w:rPr>
          <w:b w:val="0"/>
          <w:bCs w:val="0"/>
        </w:rPr>
      </w:r>
      <w:r>
        <w:rPr/>
        <w:t>四、控股股东及其关联方对上市公司的非经营性占用资金情况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right="1131" w:firstLine="360"/>
        <w:jc w:val="both"/>
      </w:pPr>
      <w:r>
        <w:rPr/>
        <w:t>致同会计师事务所（特殊普通合伙）于</w:t>
      </w:r>
      <w:r>
        <w:rPr>
          <w:spacing w:val="-45"/>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23 </w:t>
      </w:r>
      <w:r>
        <w:rPr/>
        <w:t>日对公司</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年度财务报告出具了带有强调事项段的无保留意 </w:t>
      </w:r>
      <w:r>
        <w:rPr>
          <w:spacing w:val="-2"/>
        </w:rPr>
        <w:t>见的审计报告（致同审字（</w:t>
      </w:r>
      <w:r>
        <w:rPr>
          <w:rFonts w:ascii="Times New Roman" w:hAnsi="Times New Roman" w:cs="Times New Roman" w:eastAsia="Times New Roman" w:hint="default"/>
          <w:spacing w:val="-2"/>
        </w:rPr>
        <w:t>2020</w:t>
      </w:r>
      <w:r>
        <w:rPr>
          <w:spacing w:val="-2"/>
        </w:rPr>
        <w:t>）第</w:t>
      </w:r>
      <w:r>
        <w:rPr>
          <w:spacing w:val="-32"/>
        </w:rPr>
        <w:t> </w:t>
      </w:r>
      <w:r>
        <w:rPr>
          <w:rFonts w:ascii="Times New Roman" w:hAnsi="Times New Roman" w:cs="Times New Roman" w:eastAsia="Times New Roman" w:hint="default"/>
          <w:spacing w:val="-2"/>
          <w:w w:val="99"/>
        </w:rPr>
        <w:t>110ZA7563</w:t>
      </w:r>
      <w:r>
        <w:rPr>
          <w:rFonts w:ascii="Times New Roman" w:hAnsi="Times New Roman" w:cs="Times New Roman" w:eastAsia="Times New Roman" w:hint="default"/>
          <w:spacing w:val="15"/>
          <w:w w:val="99"/>
        </w:rPr>
        <w:t> </w:t>
      </w:r>
      <w:r>
        <w:rPr>
          <w:spacing w:val="-4"/>
        </w:rPr>
        <w:t>号）。根据《深圳证券交易所股票上市规则》和《公开发行证券的公司信息</w:t>
      </w:r>
      <w:r>
        <w:rPr>
          <w:spacing w:val="-85"/>
        </w:rPr>
        <w:t> </w:t>
      </w:r>
      <w:r>
        <w:rPr>
          <w:spacing w:val="-85"/>
        </w:rPr>
      </w:r>
      <w:r>
        <w:rPr/>
        <w:t>披露编报规则第</w:t>
      </w:r>
      <w:r>
        <w:rPr>
          <w:spacing w:val="-42"/>
        </w:rPr>
        <w:t> </w:t>
      </w:r>
      <w:r>
        <w:rPr>
          <w:rFonts w:ascii="Times New Roman" w:hAnsi="Times New Roman" w:cs="Times New Roman" w:eastAsia="Times New Roman" w:hint="default"/>
        </w:rPr>
        <w:t>14</w:t>
      </w:r>
      <w:r>
        <w:rPr>
          <w:rFonts w:ascii="Times New Roman" w:hAnsi="Times New Roman" w:cs="Times New Roman" w:eastAsia="Times New Roman" w:hint="default"/>
          <w:spacing w:val="4"/>
        </w:rPr>
        <w:t> </w:t>
      </w:r>
      <w:r>
        <w:rPr/>
        <w:t>号——非标准审计意见及其涉及事项的处理》等有关规定的要求，公司董事会对该带有强调事项段的无 保留意见审计报告涉及事项作如下说明：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Heading4"/>
        <w:spacing w:line="240" w:lineRule="auto"/>
        <w:ind w:right="1115"/>
        <w:jc w:val="left"/>
        <w:rPr>
          <w:b w:val="0"/>
          <w:bCs w:val="0"/>
        </w:rPr>
      </w:pPr>
      <w:r>
        <w:rPr/>
        <w:t>（一）审计报告中解释性说明的内容</w:t>
      </w:r>
      <w:r>
        <w:rPr>
          <w:b w:val="0"/>
          <w:bCs w:val="0"/>
        </w:rPr>
      </w:r>
    </w:p>
    <w:p>
      <w:pPr>
        <w:spacing w:after="0" w:line="240" w:lineRule="auto"/>
        <w:jc w:val="left"/>
        <w:sectPr>
          <w:headerReference w:type="default" r:id="rId21"/>
          <w:footerReference w:type="default" r:id="rId22"/>
          <w:pgSz w:w="11910" w:h="16840"/>
          <w:pgMar w:header="877" w:footer="980" w:top="1100" w:bottom="1160" w:left="980" w:right="0"/>
          <w:pgNumType w:start="45"/>
        </w:sectPr>
      </w:pPr>
    </w:p>
    <w:p>
      <w:pPr>
        <w:spacing w:line="240" w:lineRule="auto" w:before="11"/>
        <w:rPr>
          <w:rFonts w:ascii="宋体" w:hAnsi="宋体" w:cs="宋体" w:eastAsia="宋体" w:hint="default"/>
          <w:b/>
          <w:bCs/>
          <w:sz w:val="21"/>
          <w:szCs w:val="21"/>
        </w:rPr>
      </w:pPr>
    </w:p>
    <w:p>
      <w:pPr>
        <w:pStyle w:val="BodyText"/>
        <w:spacing w:line="360" w:lineRule="auto" w:before="44"/>
        <w:ind w:left="513" w:right="1121"/>
        <w:jc w:val="left"/>
        <w:rPr>
          <w:rFonts w:ascii="Times New Roman" w:hAnsi="Times New Roman" w:cs="Times New Roman" w:eastAsia="Times New Roman" w:hint="default"/>
        </w:rPr>
      </w:pPr>
      <w:r>
        <w:rPr>
          <w:spacing w:val="-12"/>
        </w:rPr>
        <w:t>强调事项内容：“</w:t>
      </w:r>
      <w:r>
        <w:rPr>
          <w:spacing w:val="-86"/>
        </w:rPr>
        <w:t> </w:t>
      </w:r>
      <w:r>
        <w:rPr>
          <w:spacing w:val="-86"/>
        </w:rPr>
      </w:r>
      <w:r>
        <w:rPr/>
        <w:t>我们提醒财务报表使用者关注，如财务报表附注‘十四、其他重要事项、</w:t>
      </w:r>
      <w:r>
        <w:rPr>
          <w:rFonts w:ascii="Times New Roman" w:hAnsi="Times New Roman" w:cs="Times New Roman" w:eastAsia="Times New Roman" w:hint="default"/>
        </w:rPr>
        <w:t>3</w:t>
      </w:r>
      <w:r>
        <w:rPr/>
        <w:t>、上海移通案件情况’所述，截至</w:t>
      </w:r>
      <w:r>
        <w:rPr>
          <w:spacing w:val="-59"/>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3"/>
        </w:rPr>
        <w:t> </w:t>
      </w:r>
      <w:r>
        <w:rPr/>
        <w:t>年</w:t>
      </w:r>
      <w:r>
        <w:rPr>
          <w:spacing w:val="-61"/>
        </w:rPr>
        <w:t> </w:t>
      </w:r>
      <w:r>
        <w:rPr>
          <w:rFonts w:ascii="Times New Roman" w:hAnsi="Times New Roman" w:cs="Times New Roman" w:eastAsia="Times New Roman" w:hint="default"/>
        </w:rPr>
        <w:t>4</w:t>
      </w:r>
    </w:p>
    <w:p>
      <w:pPr>
        <w:pStyle w:val="BodyText"/>
        <w:spacing w:line="212" w:lineRule="exact"/>
        <w:ind w:right="0"/>
        <w:jc w:val="left"/>
      </w:pPr>
      <w:r>
        <w:rPr/>
        <w:t>月</w:t>
      </w:r>
      <w:r>
        <w:rPr>
          <w:spacing w:val="-41"/>
        </w:rPr>
        <w:t> </w:t>
      </w:r>
      <w:r>
        <w:rPr>
          <w:rFonts w:ascii="Times New Roman" w:hAnsi="Times New Roman" w:cs="Times New Roman" w:eastAsia="Times New Roman" w:hint="default"/>
        </w:rPr>
        <w:t>23</w:t>
      </w:r>
      <w:r>
        <w:rPr>
          <w:rFonts w:ascii="Times New Roman" w:hAnsi="Times New Roman" w:cs="Times New Roman" w:eastAsia="Times New Roman" w:hint="default"/>
          <w:spacing w:val="5"/>
        </w:rPr>
        <w:t> </w:t>
      </w:r>
      <w:r>
        <w:rPr/>
        <w:t>日，公安机关正在对上海移通网络有限公司的刑事案件进行侦查；上海仲裁委员会对久其软件公司及北京久其科技投</w:t>
      </w:r>
    </w:p>
    <w:p>
      <w:pPr>
        <w:pStyle w:val="BodyText"/>
        <w:spacing w:line="316" w:lineRule="auto" w:before="63"/>
        <w:ind w:right="1115"/>
        <w:jc w:val="left"/>
      </w:pPr>
      <w:r>
        <w:rPr>
          <w:spacing w:val="-2"/>
        </w:rPr>
        <w:t>资有限公司提出的民事仲裁程序正在进行中，公安侦查、司法裁决、判决及仲裁进展、结果存在不确定性。本段内容不影响</w:t>
      </w:r>
      <w:r>
        <w:rPr>
          <w:spacing w:val="-67"/>
        </w:rPr>
        <w:t> </w:t>
      </w:r>
      <w:r>
        <w:rPr>
          <w:spacing w:val="-67"/>
        </w:rPr>
      </w:r>
      <w:r>
        <w:rPr>
          <w:spacing w:val="-10"/>
        </w:rPr>
        <w:t>已发表的审计意见。”</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Heading4"/>
        <w:spacing w:line="240" w:lineRule="auto"/>
        <w:ind w:right="1115"/>
        <w:jc w:val="left"/>
        <w:rPr>
          <w:b w:val="0"/>
          <w:bCs w:val="0"/>
        </w:rPr>
      </w:pPr>
      <w:r>
        <w:rPr/>
        <w:t>（二）发表带解释性说明的无保留意见的理由和依据</w:t>
      </w:r>
      <w:r>
        <w:rPr>
          <w:b w:val="0"/>
          <w:bCs w:val="0"/>
        </w:rPr>
      </w:r>
    </w:p>
    <w:p>
      <w:pPr>
        <w:pStyle w:val="BodyText"/>
        <w:spacing w:line="312" w:lineRule="auto" w:before="117"/>
        <w:ind w:right="1128" w:firstLine="360"/>
        <w:jc w:val="both"/>
      </w:pPr>
      <w:r>
        <w:rPr/>
        <w:t>根据《中国注册会计师审计准则第</w:t>
      </w:r>
      <w:r>
        <w:rPr>
          <w:spacing w:val="-42"/>
        </w:rPr>
        <w:t> </w:t>
      </w:r>
      <w:r>
        <w:rPr>
          <w:rFonts w:ascii="Times New Roman" w:hAnsi="Times New Roman" w:cs="Times New Roman" w:eastAsia="Times New Roman" w:hint="default"/>
        </w:rPr>
        <w:t>1503</w:t>
      </w:r>
      <w:r>
        <w:rPr>
          <w:rFonts w:ascii="Times New Roman" w:hAnsi="Times New Roman" w:cs="Times New Roman" w:eastAsia="Times New Roman" w:hint="default"/>
          <w:spacing w:val="4"/>
        </w:rPr>
        <w:t> </w:t>
      </w:r>
      <w:r>
        <w:rPr/>
        <w:t>号——在审计报告中增加强调事项段和其他事项段》第八条规定：如果认为有 </w:t>
      </w:r>
      <w:r>
        <w:rPr>
          <w:spacing w:val="-2"/>
        </w:rPr>
        <w:t>必要提醒财务报表使用者关注已在财务报表中列报或披露，且根据职业判断认为对财务报表使用者理解财务报表至关重要的</w:t>
      </w:r>
      <w:r>
        <w:rPr>
          <w:spacing w:val="-64"/>
        </w:rPr>
        <w:t> </w:t>
      </w:r>
      <w:r>
        <w:rPr>
          <w:spacing w:val="-64"/>
        </w:rPr>
      </w:r>
      <w:r>
        <w:rPr>
          <w:spacing w:val="-2"/>
        </w:rPr>
        <w:t>事项，注册会计师在已获取充分、适当的审计证据证明该事项在财务报表中不存在重大错报的条件下，应当在审计报告中增</w:t>
      </w:r>
      <w:r>
        <w:rPr>
          <w:spacing w:val="-61"/>
        </w:rPr>
        <w:t> </w:t>
      </w:r>
      <w:r>
        <w:rPr>
          <w:spacing w:val="-61"/>
        </w:rPr>
      </w:r>
      <w:r>
        <w:rPr/>
        <w:t>加强调事项段。强调事项段应当仅提及已在财务报表中列报或披露的信息。</w:t>
      </w:r>
    </w:p>
    <w:p>
      <w:pPr>
        <w:pStyle w:val="BodyText"/>
        <w:spacing w:line="309" w:lineRule="auto" w:before="61"/>
        <w:ind w:right="1133" w:firstLine="360"/>
        <w:jc w:val="both"/>
      </w:pPr>
      <w:r>
        <w:rPr/>
        <w:t>《中国注册会计师审计准则第</w:t>
      </w:r>
      <w:r>
        <w:rPr>
          <w:spacing w:val="-44"/>
        </w:rPr>
        <w:t> </w:t>
      </w:r>
      <w:r>
        <w:rPr>
          <w:rFonts w:ascii="Times New Roman" w:hAnsi="Times New Roman" w:cs="Times New Roman" w:eastAsia="Times New Roman" w:hint="default"/>
        </w:rPr>
        <w:t>1503</w:t>
      </w:r>
      <w:r>
        <w:rPr>
          <w:rFonts w:ascii="Times New Roman" w:hAnsi="Times New Roman" w:cs="Times New Roman" w:eastAsia="Times New Roman" w:hint="default"/>
          <w:spacing w:val="2"/>
        </w:rPr>
        <w:t> </w:t>
      </w:r>
      <w:r>
        <w:rPr/>
        <w:t>号——在审计报告中增加强调事项段和其他事项段》应用指南中的“二、审计报告 </w:t>
      </w:r>
      <w:r>
        <w:rPr>
          <w:spacing w:val="-2"/>
        </w:rPr>
        <w:t>中的强调事项段”进一步指出，“注册会计师可能认为需要增加强调事项段的情形举例如下：异常诉讼或监管行动的未来结</w:t>
      </w:r>
      <w:r>
        <w:rPr>
          <w:spacing w:val="-65"/>
        </w:rPr>
        <w:t> </w:t>
      </w:r>
      <w:r>
        <w:rPr>
          <w:spacing w:val="-65"/>
        </w:rPr>
      </w:r>
      <w:r>
        <w:rPr>
          <w:spacing w:val="-8"/>
        </w:rPr>
        <w:t>果存在不确定性；……”。</w:t>
      </w:r>
    </w:p>
    <w:p>
      <w:pPr>
        <w:pStyle w:val="BodyText"/>
        <w:spacing w:line="312" w:lineRule="auto" w:before="65"/>
        <w:ind w:right="1031" w:firstLine="360"/>
        <w:jc w:val="left"/>
      </w:pPr>
      <w:r>
        <w:rPr>
          <w:spacing w:val="-4"/>
        </w:rPr>
        <w:t>上述强调事项段中涉及事项属于《中国注册会计师审计准则第</w:t>
      </w:r>
      <w:r>
        <w:rPr/>
        <w:t> </w:t>
      </w:r>
      <w:r>
        <w:rPr>
          <w:rFonts w:ascii="Times New Roman" w:hAnsi="Times New Roman" w:cs="Times New Roman" w:eastAsia="Times New Roman" w:hint="default"/>
        </w:rPr>
        <w:t>1503</w:t>
      </w:r>
      <w:r>
        <w:rPr>
          <w:rFonts w:ascii="Times New Roman" w:hAnsi="Times New Roman" w:cs="Times New Roman" w:eastAsia="Times New Roman" w:hint="default"/>
          <w:spacing w:val="-1"/>
        </w:rPr>
        <w:t> </w:t>
      </w:r>
      <w:r>
        <w:rPr>
          <w:spacing w:val="-1"/>
        </w:rPr>
        <w:t>号——在审计报告中增加强调事项段和其他事项段》</w:t>
      </w:r>
      <w:r>
        <w:rPr/>
        <w:t> </w:t>
      </w:r>
      <w:r>
        <w:rPr>
          <w:spacing w:val="-2"/>
        </w:rPr>
        <w:t>中所规定的情形。根据我们的职业判断，该事项对财务报表使用者理解财务报表至关重要，认为有必要提醒财务报表使用者</w:t>
      </w:r>
      <w:r>
        <w:rPr>
          <w:spacing w:val="-61"/>
        </w:rPr>
        <w:t> </w:t>
      </w:r>
      <w:r>
        <w:rPr>
          <w:spacing w:val="-61"/>
        </w:rPr>
      </w:r>
      <w:r>
        <w:rPr>
          <w:spacing w:val="-2"/>
        </w:rPr>
        <w:t>关注该事项。因此，我们在审计报告中增加强调事项段，通过明确提供补充信息的方式，提醒财务报表使用者关注已在财务</w:t>
      </w:r>
      <w:r>
        <w:rPr>
          <w:spacing w:val="-64"/>
        </w:rPr>
        <w:t> </w:t>
      </w:r>
      <w:r>
        <w:rPr>
          <w:spacing w:val="-64"/>
        </w:rPr>
      </w:r>
      <w:r>
        <w:rPr/>
        <w:t>报表中披露的事项以及未来进展对财务报表影响的不确定性。</w:t>
      </w:r>
    </w:p>
    <w:p>
      <w:pPr>
        <w:pStyle w:val="BodyText"/>
        <w:spacing w:line="312" w:lineRule="auto" w:before="63"/>
        <w:ind w:right="1131" w:firstLine="360"/>
        <w:jc w:val="both"/>
      </w:pPr>
      <w:r>
        <w:rPr>
          <w:spacing w:val="-2"/>
        </w:rPr>
        <w:t>基于获取的审计证据，我们认为上述强调事项段中涉及事项是对财务报表使用者理解财务报表至关重要的事项，管理层</w:t>
      </w:r>
      <w:r>
        <w:rPr/>
        <w:t> 已在财务报表中恰当列报、披露，财务报表不存在重大错报。按照《中国注册会计师审计准则第</w:t>
      </w:r>
      <w:r>
        <w:rPr>
          <w:spacing w:val="-41"/>
        </w:rPr>
        <w:t> </w:t>
      </w:r>
      <w:r>
        <w:rPr>
          <w:rFonts w:ascii="Times New Roman" w:hAnsi="Times New Roman" w:cs="Times New Roman" w:eastAsia="Times New Roman" w:hint="default"/>
        </w:rPr>
        <w:t>1502</w:t>
      </w:r>
      <w:r>
        <w:rPr>
          <w:rFonts w:ascii="Times New Roman" w:hAnsi="Times New Roman" w:cs="Times New Roman" w:eastAsia="Times New Roman" w:hint="default"/>
          <w:spacing w:val="4"/>
        </w:rPr>
        <w:t> </w:t>
      </w:r>
      <w:r>
        <w:rPr/>
        <w:t>号——在审计报告中 </w:t>
      </w:r>
      <w:r>
        <w:rPr>
          <w:spacing w:val="-2"/>
        </w:rPr>
        <w:t>发表非无保留意见》的规定，该事项不会导致注册会计师发表非无保留意见。因此，我们在审计报告中增加的强调事项段以</w:t>
      </w:r>
      <w:r>
        <w:rPr>
          <w:spacing w:val="-64"/>
        </w:rPr>
        <w:t> </w:t>
      </w:r>
      <w:r>
        <w:rPr>
          <w:spacing w:val="-64"/>
        </w:rPr>
      </w:r>
      <w:r>
        <w:rPr/>
        <w:t>提醒财务报表使用者关注，且发表无保留的审计意见是恰当的。</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Heading4"/>
        <w:spacing w:line="240" w:lineRule="auto"/>
        <w:ind w:right="1115"/>
        <w:jc w:val="left"/>
        <w:rPr>
          <w:b w:val="0"/>
          <w:bCs w:val="0"/>
        </w:rPr>
      </w:pPr>
      <w:r>
        <w:rPr/>
        <w:t>（三）董事会对该强调事项的专项说明</w:t>
      </w:r>
      <w:r>
        <w:rPr>
          <w:b w:val="0"/>
          <w:bCs w:val="0"/>
        </w:rPr>
      </w:r>
    </w:p>
    <w:p>
      <w:pPr>
        <w:pStyle w:val="BodyText"/>
        <w:spacing w:line="240" w:lineRule="auto" w:before="117"/>
        <w:ind w:left="513" w:right="1115"/>
        <w:jc w:val="left"/>
      </w:pPr>
      <w:r>
        <w:rPr>
          <w:rFonts w:ascii="Times New Roman" w:hAnsi="Times New Roman" w:cs="Times New Roman" w:eastAsia="Times New Roman" w:hint="default"/>
        </w:rPr>
        <w:t>1</w:t>
      </w:r>
      <w:r>
        <w:rPr/>
        <w:t>、董事会已知悉该强调事项的说明</w:t>
      </w:r>
    </w:p>
    <w:p>
      <w:pPr>
        <w:pStyle w:val="BodyText"/>
        <w:spacing w:line="240" w:lineRule="auto" w:before="101"/>
        <w:ind w:left="513" w:right="0"/>
        <w:jc w:val="left"/>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日</w:t>
      </w:r>
      <w:r>
        <w:rPr>
          <w:spacing w:val="-92"/>
        </w:rPr>
        <w:t>，</w:t>
      </w:r>
      <w:r>
        <w:rPr/>
        <w:t>上海市公</w:t>
      </w:r>
      <w:r>
        <w:rPr>
          <w:spacing w:val="-3"/>
        </w:rPr>
        <w:t>安</w:t>
      </w:r>
      <w:r>
        <w:rPr/>
        <w:t>局静安分局对上海移通个别员工涉嫌伪造公章案刑事立案</w:t>
      </w:r>
      <w:r>
        <w:rPr>
          <w:spacing w:val="-92"/>
        </w:rPr>
        <w:t>，</w:t>
      </w:r>
      <w:r>
        <w:rPr>
          <w:spacing w:val="2"/>
        </w:rPr>
        <w:t>目</w:t>
      </w:r>
      <w:r>
        <w:rPr/>
        <w:t>前案件还在进一步侦查中。</w:t>
      </w:r>
    </w:p>
    <w:p>
      <w:pPr>
        <w:pStyle w:val="BodyText"/>
        <w:spacing w:line="240" w:lineRule="auto" w:before="63"/>
        <w:ind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w:t>
      </w:r>
      <w:r>
        <w:rPr>
          <w:spacing w:val="-56"/>
        </w:rPr>
        <w:t> </w:t>
      </w:r>
      <w:r>
        <w:rPr>
          <w:rFonts w:ascii="Times New Roman" w:hAnsi="Times New Roman" w:cs="Times New Roman" w:eastAsia="Times New Roman" w:hint="default"/>
        </w:rPr>
        <w:t>19</w:t>
      </w:r>
      <w:r>
        <w:rPr>
          <w:rFonts w:ascii="Times New Roman" w:hAnsi="Times New Roman" w:cs="Times New Roman" w:eastAsia="Times New Roman" w:hint="default"/>
          <w:spacing w:val="-8"/>
        </w:rPr>
        <w:t> </w:t>
      </w:r>
      <w:r>
        <w:rPr/>
        <w:t>日，北京市公安局海淀分局对上海移通原股东涉嫌合同诈骗案刑事立案，目前案件处于审查起诉阶段，部分</w:t>
      </w:r>
    </w:p>
    <w:p>
      <w:pPr>
        <w:pStyle w:val="BodyText"/>
        <w:spacing w:line="240" w:lineRule="auto" w:before="63"/>
        <w:ind w:right="0"/>
        <w:jc w:val="left"/>
      </w:pPr>
      <w:r>
        <w:rPr/>
        <w:t>犯罪嫌疑人已被批准逮捕。</w:t>
      </w:r>
      <w:r>
        <w:rPr>
          <w:rFonts w:ascii="Times New Roman" w:hAnsi="Times New Roman" w:cs="Times New Roman" w:eastAsia="Times New Roman" w:hint="default"/>
        </w:rPr>
        <w:t>2020</w:t>
      </w:r>
      <w:r>
        <w:rPr>
          <w:rFonts w:ascii="Times New Roman" w:hAnsi="Times New Roman" w:cs="Times New Roman" w:eastAsia="Times New Roman" w:hint="default"/>
          <w:spacing w:val="-8"/>
        </w:rPr>
        <w:t> </w:t>
      </w:r>
      <w:r>
        <w:rPr/>
        <w:t>年</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月</w:t>
      </w:r>
      <w:r>
        <w:rPr>
          <w:spacing w:val="-54"/>
        </w:rPr>
        <w:t> </w:t>
      </w:r>
      <w:r>
        <w:rPr>
          <w:rFonts w:ascii="Times New Roman" w:hAnsi="Times New Roman" w:cs="Times New Roman" w:eastAsia="Times New Roman" w:hint="default"/>
        </w:rPr>
        <w:t>24</w:t>
      </w:r>
      <w:r>
        <w:rPr>
          <w:rFonts w:ascii="Times New Roman" w:hAnsi="Times New Roman" w:cs="Times New Roman" w:eastAsia="Times New Roman" w:hint="default"/>
          <w:spacing w:val="-8"/>
        </w:rPr>
        <w:t> </w:t>
      </w:r>
      <w:r>
        <w:rPr/>
        <w:t>日，公司与久其科技向上海市仲裁委员会提交撤销与上海移通原股东收购协议的</w:t>
      </w:r>
    </w:p>
    <w:p>
      <w:pPr>
        <w:pStyle w:val="BodyText"/>
        <w:spacing w:line="240" w:lineRule="auto" w:before="63"/>
        <w:ind w:right="0"/>
        <w:jc w:val="left"/>
      </w:pPr>
      <w:r>
        <w:rPr/>
        <w:t>有关仲裁申请，该申请已于</w:t>
      </w:r>
      <w:r>
        <w:rPr>
          <w:spacing w:val="-43"/>
        </w:rPr>
        <w:t> </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w:t>
      </w:r>
      <w:r>
        <w:rPr>
          <w:spacing w:val="-4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日获得受理。前述事项公司董事会已于</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3"/>
        </w:rPr>
        <w:t> </w:t>
      </w:r>
      <w:r>
        <w:rPr>
          <w:rFonts w:ascii="Times New Roman" w:hAnsi="Times New Roman" w:cs="Times New Roman" w:eastAsia="Times New Roman" w:hint="default"/>
        </w:rPr>
        <w:t>2 </w:t>
      </w:r>
      <w:r>
        <w:rPr/>
        <w:t>月</w:t>
      </w:r>
      <w:r>
        <w:rPr>
          <w:spacing w:val="-43"/>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t>日、</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46"/>
        </w:rPr>
        <w:t> </w:t>
      </w:r>
      <w:r>
        <w:rPr>
          <w:rFonts w:ascii="Times New Roman" w:hAnsi="Times New Roman" w:cs="Times New Roman" w:eastAsia="Times New Roman" w:hint="default"/>
        </w:rPr>
        <w:t>25</w:t>
      </w:r>
      <w:r>
        <w:rPr>
          <w:rFonts w:ascii="Times New Roman" w:hAnsi="Times New Roman" w:cs="Times New Roman" w:eastAsia="Times New Roman" w:hint="default"/>
          <w:spacing w:val="3"/>
        </w:rPr>
        <w:t> </w:t>
      </w:r>
      <w:r>
        <w:rPr/>
        <w:t>日和</w:t>
      </w:r>
    </w:p>
    <w:p>
      <w:pPr>
        <w:pStyle w:val="BodyText"/>
        <w:spacing w:line="240" w:lineRule="auto" w:before="63"/>
        <w:ind w:right="1115"/>
        <w:jc w:val="left"/>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2</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日在信息披</w:t>
      </w:r>
      <w:r>
        <w:rPr>
          <w:spacing w:val="-3"/>
        </w:rPr>
        <w:t>露</w:t>
      </w:r>
      <w:r>
        <w:rPr/>
        <w:t>媒体《中国证券报</w:t>
      </w:r>
      <w:r>
        <w:rPr>
          <w:spacing w:val="-92"/>
        </w:rPr>
        <w:t>》</w:t>
      </w:r>
      <w:r>
        <w:rPr/>
        <w:t>《证券时</w:t>
      </w:r>
      <w:r>
        <w:rPr>
          <w:spacing w:val="2"/>
        </w:rPr>
        <w:t>报</w:t>
      </w:r>
      <w:r>
        <w:rPr/>
        <w:t>》和巨潮资讯网</w:t>
      </w:r>
      <w:r>
        <w:rPr>
          <w:spacing w:val="1"/>
        </w:rPr>
        <w:t>（</w:t>
      </w:r>
      <w:hyperlink r:id="rId13">
        <w:r>
          <w:rPr>
            <w:rFonts w:ascii="Times New Roman" w:hAnsi="Times New Roman" w:cs="Times New Roman" w:eastAsia="Times New Roman" w:hint="default"/>
            <w:w w:val="99"/>
          </w:rPr>
          <w:t>w</w:t>
        </w:r>
        <w:r>
          <w:rPr>
            <w:rFonts w:ascii="Times New Roman" w:hAnsi="Times New Roman" w:cs="Times New Roman" w:eastAsia="Times New Roman" w:hint="default"/>
            <w:spacing w:val="-1"/>
            <w:w w:val="99"/>
          </w:rPr>
          <w:t>w</w:t>
        </w:r>
        <w:r>
          <w:rPr>
            <w:rFonts w:ascii="Times New Roman" w:hAnsi="Times New Roman" w:cs="Times New Roman" w:eastAsia="Times New Roman" w:hint="default"/>
            <w:spacing w:val="-15"/>
            <w:w w:val="99"/>
          </w:rPr>
          <w:t>w</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c</w:t>
        </w:r>
        <w:r>
          <w:rPr>
            <w:rFonts w:ascii="Times New Roman" w:hAnsi="Times New Roman" w:cs="Times New Roman" w:eastAsia="Times New Roman" w:hint="default"/>
            <w:spacing w:val="1"/>
          </w:rPr>
          <w:t>n</w:t>
        </w:r>
        <w:r>
          <w:rPr>
            <w:rFonts w:ascii="Times New Roman" w:hAnsi="Times New Roman" w:cs="Times New Roman" w:eastAsia="Times New Roman" w:hint="default"/>
          </w:rPr>
          <w:t>i</w:t>
        </w:r>
        <w:r>
          <w:rPr>
            <w:rFonts w:ascii="Times New Roman" w:hAnsi="Times New Roman" w:cs="Times New Roman" w:eastAsia="Times New Roman" w:hint="default"/>
            <w:spacing w:val="1"/>
          </w:rPr>
          <w:t>n</w:t>
        </w:r>
        <w:r>
          <w:rPr>
            <w:rFonts w:ascii="Times New Roman" w:hAnsi="Times New Roman" w:cs="Times New Roman" w:eastAsia="Times New Roman" w:hint="default"/>
            <w:spacing w:val="-3"/>
          </w:rPr>
          <w:t>f</w:t>
        </w:r>
        <w:r>
          <w:rPr>
            <w:rFonts w:ascii="Times New Roman" w:hAnsi="Times New Roman" w:cs="Times New Roman" w:eastAsia="Times New Roman" w:hint="default"/>
            <w:spacing w:val="1"/>
          </w:rPr>
          <w:t>o</w:t>
        </w:r>
        <w:r>
          <w:rPr>
            <w:rFonts w:ascii="Times New Roman" w:hAnsi="Times New Roman" w:cs="Times New Roman" w:eastAsia="Times New Roman" w:hint="default"/>
          </w:rPr>
          <w:t>.</w:t>
        </w:r>
        <w:r>
          <w:rPr>
            <w:rFonts w:ascii="Times New Roman" w:hAnsi="Times New Roman" w:cs="Times New Roman" w:eastAsia="Times New Roman" w:hint="default"/>
            <w:spacing w:val="-1"/>
          </w:rPr>
          <w:t>c</w:t>
        </w:r>
        <w:r>
          <w:rPr>
            <w:rFonts w:ascii="Times New Roman" w:hAnsi="Times New Roman" w:cs="Times New Roman" w:eastAsia="Times New Roman" w:hint="default"/>
            <w:spacing w:val="1"/>
          </w:rPr>
          <w:t>o</w:t>
        </w:r>
        <w:r>
          <w:rPr>
            <w:rFonts w:ascii="Times New Roman" w:hAnsi="Times New Roman" w:cs="Times New Roman" w:eastAsia="Times New Roman" w:hint="default"/>
            <w:spacing w:val="-4"/>
          </w:rPr>
          <w:t>m</w:t>
        </w:r>
        <w:r>
          <w:rPr>
            <w:rFonts w:ascii="Times New Roman" w:hAnsi="Times New Roman" w:cs="Times New Roman" w:eastAsia="Times New Roman" w:hint="default"/>
          </w:rPr>
          <w:t>.</w:t>
        </w:r>
        <w:r>
          <w:rPr>
            <w:rFonts w:ascii="Times New Roman" w:hAnsi="Times New Roman" w:cs="Times New Roman" w:eastAsia="Times New Roman" w:hint="default"/>
            <w:spacing w:val="-1"/>
          </w:rPr>
          <w:t>c</w:t>
        </w:r>
        <w:r>
          <w:rPr>
            <w:rFonts w:ascii="Times New Roman" w:hAnsi="Times New Roman" w:cs="Times New Roman" w:eastAsia="Times New Roman" w:hint="default"/>
            <w:spacing w:val="2"/>
          </w:rPr>
          <w:t>n</w:t>
        </w:r>
      </w:hyperlink>
      <w:r>
        <w:rPr/>
        <w:t>）发布了相关公告。</w:t>
      </w:r>
    </w:p>
    <w:p>
      <w:pPr>
        <w:pStyle w:val="BodyText"/>
        <w:spacing w:line="240" w:lineRule="auto" w:before="103"/>
        <w:ind w:left="513" w:right="1115"/>
        <w:jc w:val="left"/>
      </w:pPr>
      <w:r>
        <w:rPr>
          <w:rFonts w:ascii="Times New Roman" w:hAnsi="Times New Roman" w:cs="Times New Roman" w:eastAsia="Times New Roman" w:hint="default"/>
        </w:rPr>
        <w:t>2</w:t>
      </w:r>
      <w:r>
        <w:rPr/>
        <w:t>、董事会对该强调事项的相关说明</w:t>
      </w:r>
    </w:p>
    <w:p>
      <w:pPr>
        <w:pStyle w:val="BodyText"/>
        <w:spacing w:line="300" w:lineRule="auto" w:before="103"/>
        <w:ind w:right="1127" w:firstLine="360"/>
        <w:jc w:val="both"/>
        <w:rPr>
          <w:rFonts w:ascii="Times New Roman" w:hAnsi="Times New Roman" w:cs="Times New Roman" w:eastAsia="Times New Roman" w:hint="default"/>
        </w:rPr>
      </w:pPr>
      <w:r>
        <w:rPr>
          <w:spacing w:val="-5"/>
        </w:rPr>
        <w:t>（</w:t>
      </w:r>
      <w:r>
        <w:rPr>
          <w:rFonts w:ascii="Times New Roman" w:hAnsi="Times New Roman" w:cs="Times New Roman" w:eastAsia="Times New Roman" w:hint="default"/>
          <w:spacing w:val="-5"/>
        </w:rPr>
        <w:t>1</w:t>
      </w:r>
      <w:r>
        <w:rPr>
          <w:spacing w:val="-5"/>
        </w:rPr>
        <w:t>）</w:t>
      </w:r>
      <w:r>
        <w:rPr>
          <w:rFonts w:ascii="Times New Roman" w:hAnsi="Times New Roman" w:cs="Times New Roman" w:eastAsia="Times New Roman" w:hint="default"/>
          <w:spacing w:val="-5"/>
        </w:rPr>
        <w:t>2019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spacing w:val="-3"/>
        </w:rPr>
        <w:t>月，公司已将上海移通全部股权出售给特殊目的主体关联方北京启顺通达科技有限公司（以下简称“启</w:t>
      </w:r>
      <w:r>
        <w:rPr/>
        <w:t> </w:t>
      </w:r>
      <w:r>
        <w:rPr>
          <w:spacing w:val="-7"/>
        </w:rPr>
        <w:t>顺通达”），且启顺通达及控股股东久其科技承诺就上海移通</w:t>
      </w:r>
      <w:r>
        <w:rPr/>
        <w:t> </w:t>
      </w:r>
      <w:r>
        <w:rPr>
          <w:rFonts w:ascii="Times New Roman" w:hAnsi="Times New Roman" w:cs="Times New Roman" w:eastAsia="Times New Roman" w:hint="default"/>
        </w:rPr>
        <w:t>49%</w:t>
      </w:r>
      <w:r>
        <w:rPr/>
        <w:t>股权存在重大问题时对公司造成损失进行补偿。截至</w:t>
      </w:r>
      <w:r>
        <w:rPr>
          <w:spacing w:val="-42"/>
        </w:rPr>
        <w:t> </w:t>
      </w:r>
      <w:r>
        <w:rPr>
          <w:rFonts w:ascii="Times New Roman" w:hAnsi="Times New Roman" w:cs="Times New Roman" w:eastAsia="Times New Roman" w:hint="default"/>
        </w:rPr>
        <w:t>2019</w:t>
      </w:r>
    </w:p>
    <w:p>
      <w:pPr>
        <w:pStyle w:val="BodyText"/>
        <w:spacing w:line="240" w:lineRule="auto" w:before="13"/>
        <w:ind w:right="1115"/>
        <w:jc w:val="left"/>
      </w:pP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31 </w:t>
      </w:r>
      <w:r>
        <w:rPr/>
        <w:t>日，资产交割已完成，上海移通不再纳入公司的合并报表范围。</w:t>
      </w:r>
    </w:p>
    <w:p>
      <w:pPr>
        <w:pStyle w:val="BodyText"/>
        <w:spacing w:line="240" w:lineRule="auto" w:before="101"/>
        <w:ind w:left="513" w:right="0"/>
        <w:jc w:val="left"/>
      </w:pPr>
      <w:r>
        <w:rPr>
          <w:spacing w:val="-3"/>
        </w:rPr>
        <w:t>（</w:t>
      </w:r>
      <w:r>
        <w:rPr>
          <w:rFonts w:ascii="Times New Roman" w:hAnsi="Times New Roman" w:cs="Times New Roman" w:eastAsia="Times New Roman" w:hint="default"/>
          <w:spacing w:val="-3"/>
        </w:rPr>
        <w:t>2</w:t>
      </w:r>
      <w:r>
        <w:rPr>
          <w:spacing w:val="-3"/>
        </w:rPr>
        <w:t>）公司财务报表在所有重大方面按照《企业会计准则》的规定编制，公允反映了公司</w:t>
      </w:r>
      <w:r>
        <w:rPr>
          <w:spacing w:val="-4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日的合并及母</w:t>
      </w:r>
    </w:p>
    <w:p>
      <w:pPr>
        <w:pStyle w:val="BodyText"/>
        <w:spacing w:line="240" w:lineRule="auto" w:before="63"/>
        <w:ind w:right="1115"/>
        <w:jc w:val="left"/>
      </w:pPr>
      <w:r>
        <w:rPr/>
        <w:t>公司财务状况以及</w:t>
      </w:r>
      <w:r>
        <w:rPr>
          <w:spacing w:val="-46"/>
        </w:rPr>
        <w:t> </w:t>
      </w:r>
      <w:r>
        <w:rPr>
          <w:rFonts w:ascii="Times New Roman" w:hAnsi="Times New Roman" w:cs="Times New Roman" w:eastAsia="Times New Roman" w:hint="default"/>
        </w:rPr>
        <w:t>2019 </w:t>
      </w:r>
      <w:r>
        <w:rPr/>
        <w:t>年度的合并及母公司经营成果和现金流量。</w:t>
      </w:r>
    </w:p>
    <w:p>
      <w:pPr>
        <w:pStyle w:val="BodyText"/>
        <w:spacing w:line="240" w:lineRule="auto" w:before="103"/>
        <w:ind w:left="513" w:right="1115"/>
        <w:jc w:val="left"/>
      </w:pPr>
      <w:r>
        <w:rPr/>
        <w:t>（</w:t>
      </w:r>
      <w:r>
        <w:rPr>
          <w:rFonts w:ascii="Times New Roman" w:hAnsi="Times New Roman" w:cs="Times New Roman" w:eastAsia="Times New Roman" w:hint="default"/>
        </w:rPr>
        <w:t>3</w:t>
      </w:r>
      <w:r>
        <w:rPr/>
        <w:t>）上述强调事项段中涉及事项，对公司</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年度财务状况和经营成果无重大影响。</w:t>
      </w:r>
    </w:p>
    <w:p>
      <w:pPr>
        <w:pStyle w:val="BodyText"/>
        <w:spacing w:line="240" w:lineRule="auto" w:before="103"/>
        <w:ind w:left="513" w:right="1115"/>
        <w:jc w:val="left"/>
      </w:pPr>
      <w:r>
        <w:rPr>
          <w:rFonts w:ascii="Times New Roman" w:hAnsi="Times New Roman" w:cs="Times New Roman" w:eastAsia="Times New Roman" w:hint="default"/>
        </w:rPr>
        <w:t>3</w:t>
      </w:r>
      <w:r>
        <w:rPr/>
        <w:t>、董事会和管理层拟采取的措施</w:t>
      </w:r>
    </w:p>
    <w:p>
      <w:pPr>
        <w:pStyle w:val="BodyText"/>
        <w:spacing w:line="309" w:lineRule="auto" w:before="101"/>
        <w:ind w:right="1132" w:firstLine="360"/>
        <w:jc w:val="both"/>
      </w:pPr>
      <w:r>
        <w:rPr/>
        <w:t>（</w:t>
      </w:r>
      <w:r>
        <w:rPr>
          <w:rFonts w:ascii="Times New Roman" w:hAnsi="Times New Roman" w:cs="Times New Roman" w:eastAsia="Times New Roman" w:hint="default"/>
        </w:rPr>
        <w:t>1</w:t>
      </w:r>
      <w:r>
        <w:rPr/>
        <w:t>）上海移通刑事案件侦查，以及公司与久其科技提出的民事仲裁程序正在进程当中，案件调查情况、判决及仲裁进 </w:t>
      </w:r>
      <w:r>
        <w:rPr>
          <w:spacing w:val="-2"/>
        </w:rPr>
        <w:t>展、结果存在不确定性。公司将以维护上市公司及股东利益为目标，持续跟进后续进展，并按照相关法律法规的规定，及时</w:t>
      </w:r>
      <w:r>
        <w:rPr>
          <w:spacing w:val="-67"/>
        </w:rPr>
        <w:t> </w:t>
      </w:r>
      <w:r>
        <w:rPr>
          <w:spacing w:val="-67"/>
        </w:rPr>
      </w:r>
      <w:r>
        <w:rPr/>
        <w:t>履行信息披露义务。</w:t>
      </w:r>
    </w:p>
    <w:p>
      <w:pPr>
        <w:pStyle w:val="BodyText"/>
        <w:spacing w:line="240" w:lineRule="auto" w:before="65"/>
        <w:ind w:left="513" w:right="0"/>
        <w:jc w:val="left"/>
      </w:pPr>
      <w:r>
        <w:rPr/>
        <w:t>（</w:t>
      </w:r>
      <w:r>
        <w:rPr>
          <w:rFonts w:ascii="Times New Roman" w:hAnsi="Times New Roman" w:cs="Times New Roman" w:eastAsia="Times New Roman" w:hint="default"/>
          <w:spacing w:val="1"/>
        </w:rPr>
        <w:t>2</w:t>
      </w:r>
      <w:r>
        <w:rPr/>
        <w:t>）公司董事会和管理层将严格遵守《公司法</w:t>
      </w:r>
      <w:r>
        <w:rPr>
          <w:spacing w:val="-89"/>
        </w:rPr>
        <w:t>》</w:t>
      </w:r>
      <w:r>
        <w:rPr/>
        <w:t>《证券法</w:t>
      </w:r>
      <w:r>
        <w:rPr>
          <w:spacing w:val="-89"/>
        </w:rPr>
        <w:t>》</w:t>
      </w:r>
      <w:r>
        <w:rPr/>
        <w:t>《深圳证券交易所上市公司规</w:t>
      </w:r>
      <w:r>
        <w:rPr>
          <w:spacing w:val="2"/>
        </w:rPr>
        <w:t>范</w:t>
      </w:r>
      <w:r>
        <w:rPr/>
        <w:t>运作指引》等法律法规的规</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4"/>
        <w:ind w:right="1115"/>
        <w:jc w:val="left"/>
      </w:pPr>
      <w:r>
        <w:rPr>
          <w:spacing w:val="-2"/>
        </w:rPr>
        <w:t>定，不断完善法人治理结构，提升内部控制水平，积极化解上述强调事项段所涉及事项可能给公司带来的不利影响，切实维</w:t>
      </w:r>
      <w:r>
        <w:rPr>
          <w:spacing w:val="-64"/>
        </w:rPr>
        <w:t> </w:t>
      </w:r>
      <w:r>
        <w:rPr>
          <w:spacing w:val="-64"/>
        </w:rPr>
      </w:r>
      <w:r>
        <w:rPr/>
        <w:t>护公司及全体股东利益。</w:t>
      </w:r>
    </w:p>
    <w:p>
      <w:pPr>
        <w:pStyle w:val="BodyText"/>
        <w:spacing w:line="300" w:lineRule="auto" w:before="58"/>
        <w:ind w:right="1124" w:firstLine="360"/>
        <w:jc w:val="left"/>
      </w:pPr>
      <w:r>
        <w:rPr/>
        <w:t>（</w:t>
      </w:r>
      <w:r>
        <w:rPr>
          <w:rFonts w:ascii="Times New Roman" w:hAnsi="Times New Roman" w:cs="Times New Roman" w:eastAsia="Times New Roman" w:hint="default"/>
        </w:rPr>
        <w:t>3</w:t>
      </w:r>
      <w:r>
        <w:rPr/>
        <w:t>）鉴于相关案件复杂度较高、司法程序耗时较长，结果存在一定不确定性。公司董事会提醒广大投资者理性、正确 评估该强调事项的后续进展对公司的影响，谨慎投资，注意投资风险。</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360" w:lineRule="auto"/>
        <w:ind w:left="513" w:right="1033"/>
        <w:jc w:val="left"/>
      </w:pPr>
      <w:r>
        <w:rPr>
          <w:rFonts w:ascii="宋体" w:hAnsi="宋体" w:cs="宋体" w:eastAsia="宋体" w:hint="default"/>
          <w:b/>
          <w:bCs/>
        </w:rPr>
        <w:t>四、</w:t>
      </w:r>
      <w:r>
        <w:rPr>
          <w:rFonts w:ascii="宋体" w:hAnsi="宋体" w:cs="宋体" w:eastAsia="宋体" w:hint="default"/>
          <w:b/>
          <w:bCs/>
          <w:spacing w:val="26"/>
        </w:rPr>
        <w:t> </w:t>
      </w:r>
      <w:r>
        <w:rPr>
          <w:rFonts w:ascii="宋体" w:hAnsi="宋体" w:cs="宋体" w:eastAsia="宋体" w:hint="default"/>
          <w:b/>
          <w:bCs/>
        </w:rPr>
        <w:t>独立董事意见</w:t>
      </w:r>
      <w:r>
        <w:rPr>
          <w:rFonts w:ascii="宋体" w:hAnsi="宋体" w:cs="宋体" w:eastAsia="宋体" w:hint="default"/>
          <w:b/>
          <w:bCs/>
          <w:w w:val="99"/>
        </w:rPr>
        <w:t> </w:t>
      </w:r>
      <w:r>
        <w:rPr/>
        <w:t>经过与董事会和年审会计师充分沟通，独立董事认为：致同会计师事务所（特殊普通合伙）依据相关情况，本着严格、</w:t>
      </w:r>
    </w:p>
    <w:p>
      <w:pPr>
        <w:pStyle w:val="BodyText"/>
        <w:spacing w:line="236" w:lineRule="exact"/>
        <w:ind w:right="0"/>
        <w:jc w:val="left"/>
      </w:pPr>
      <w:r>
        <w:rPr/>
        <w:t>谨慎的原则，对公司</w:t>
      </w:r>
      <w:r>
        <w:rPr>
          <w:spacing w:val="-4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年度财务报告出具带有强调事项段的无保留意见的审计报告，符合《企业会计准则》的要求，除</w:t>
      </w:r>
    </w:p>
    <w:p>
      <w:pPr>
        <w:pStyle w:val="BodyText"/>
        <w:spacing w:line="240" w:lineRule="auto" w:before="63"/>
        <w:ind w:right="0"/>
        <w:jc w:val="left"/>
      </w:pPr>
      <w:r>
        <w:rPr/>
        <w:t>此之外，公司财务报表在所有重大方面按照企业会计准则的规定编制，公允反映了公司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 </w:t>
      </w:r>
      <w:r>
        <w:rPr/>
        <w:t>日的合并及母公司</w:t>
      </w:r>
    </w:p>
    <w:p>
      <w:pPr>
        <w:pStyle w:val="BodyText"/>
        <w:spacing w:line="240" w:lineRule="auto" w:before="63"/>
        <w:ind w:right="0"/>
        <w:jc w:val="left"/>
      </w:pPr>
      <w:r>
        <w:rPr/>
        <w:t>财务状况以及</w:t>
      </w:r>
      <w:r>
        <w:rPr>
          <w:spacing w:val="-4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年度的合并及母公司经营成果和现金流量。公司董事会对审计意见所涉及事项的说明客观、真实，符合</w:t>
      </w:r>
    </w:p>
    <w:p>
      <w:pPr>
        <w:pStyle w:val="BodyText"/>
        <w:spacing w:line="240" w:lineRule="auto" w:before="63"/>
        <w:ind w:right="1115"/>
        <w:jc w:val="left"/>
      </w:pPr>
      <w:r>
        <w:rPr/>
        <w:t>公司的实际情况，我们同意公司董事会关于</w:t>
      </w:r>
      <w:r>
        <w:rPr>
          <w:spacing w:val="-46"/>
        </w:rPr>
        <w:t> </w:t>
      </w:r>
      <w:r>
        <w:rPr>
          <w:rFonts w:ascii="Times New Roman" w:hAnsi="Times New Roman" w:cs="Times New Roman" w:eastAsia="Times New Roman" w:hint="default"/>
        </w:rPr>
        <w:t>2019 </w:t>
      </w:r>
      <w:r>
        <w:rPr/>
        <w:t>年度带有强调事项段的无保留意见审计报告涉及事项的专项说明。</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Heading4"/>
        <w:spacing w:line="240" w:lineRule="auto"/>
        <w:ind w:right="1115"/>
        <w:jc w:val="left"/>
        <w:rPr>
          <w:b w:val="0"/>
          <w:bCs w:val="0"/>
        </w:rPr>
      </w:pPr>
      <w:r>
        <w:rPr/>
        <w:t>五、</w:t>
      </w:r>
      <w:r>
        <w:rPr>
          <w:spacing w:val="25"/>
        </w:rPr>
        <w:t> </w:t>
      </w:r>
      <w:r>
        <w:rPr/>
        <w:t>监事会意见</w:t>
      </w:r>
      <w:r>
        <w:rPr>
          <w:b w:val="0"/>
          <w:bCs w:val="0"/>
        </w:rPr>
      </w:r>
    </w:p>
    <w:p>
      <w:pPr>
        <w:pStyle w:val="BodyText"/>
        <w:spacing w:line="312" w:lineRule="auto" w:before="117"/>
        <w:ind w:right="1034" w:firstLine="360"/>
        <w:jc w:val="left"/>
      </w:pPr>
      <w:r>
        <w:rPr/>
        <w:t>监事会对《董事会关于公司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年度保留意见审计报告涉及事项的专项说明》进行了认真审查，认为：公司董事会对 </w:t>
      </w:r>
      <w:r>
        <w:rPr>
          <w:spacing w:val="-2"/>
        </w:rPr>
        <w:t>带有强调事项段的无保留意见审计报告所涉及事项所做出的专项说明符合中国证监会、深圳证券交易所相关规定的要求，客</w:t>
      </w:r>
      <w:r>
        <w:rPr>
          <w:spacing w:val="-64"/>
        </w:rPr>
        <w:t> </w:t>
      </w:r>
      <w:r>
        <w:rPr>
          <w:spacing w:val="-64"/>
        </w:rPr>
      </w:r>
      <w:r>
        <w:rPr/>
        <w:t>观反映了公司截至</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日的财务状况和经营成果，以及该强调事项的进展情况。我们认同公司董事会对审计报 </w:t>
      </w:r>
      <w:r>
        <w:rPr>
          <w:spacing w:val="-2"/>
        </w:rPr>
        <w:t>告中带有强调事项段的事项拟采取的措施，建议公司董事会持续关注该强调事项的后续进展情况，并按照法律法规的相关规</w:t>
      </w:r>
      <w:r>
        <w:rPr>
          <w:spacing w:val="-63"/>
        </w:rPr>
        <w:t> </w:t>
      </w:r>
      <w:r>
        <w:rPr>
          <w:spacing w:val="-63"/>
        </w:rPr>
      </w:r>
      <w:r>
        <w:rPr/>
        <w:t>定履行信息披露义务。同时，公司监事会提醒广大投资者理性、正确评估该强调事项的后续进展对公司的影响，谨慎投资，</w:t>
      </w:r>
      <w:r>
        <w:rPr>
          <w:spacing w:val="-83"/>
        </w:rPr>
        <w:t> </w:t>
      </w:r>
      <w:r>
        <w:rPr>
          <w:spacing w:val="-83"/>
        </w:rPr>
      </w:r>
      <w:r>
        <w:rPr/>
        <w:t>注意投资风险。</w:t>
      </w:r>
    </w:p>
    <w:p>
      <w:pPr>
        <w:spacing w:line="240" w:lineRule="auto" w:before="12"/>
        <w:rPr>
          <w:rFonts w:ascii="宋体" w:hAnsi="宋体" w:cs="宋体" w:eastAsia="宋体" w:hint="default"/>
          <w:sz w:val="20"/>
          <w:szCs w:val="20"/>
        </w:rPr>
      </w:pPr>
    </w:p>
    <w:p>
      <w:pPr>
        <w:pStyle w:val="Heading2"/>
        <w:spacing w:line="240" w:lineRule="auto"/>
        <w:ind w:right="1115"/>
        <w:jc w:val="left"/>
        <w:rPr>
          <w:b w:val="0"/>
          <w:bCs w:val="0"/>
        </w:rPr>
      </w:pPr>
      <w:bookmarkStart w:name="六、与上年度财务报告相比，会计政策、会计估计和核算方法发生变化的情况说明" w:id="71"/>
      <w:bookmarkEnd w:id="71"/>
      <w:r>
        <w:rPr>
          <w:b w:val="0"/>
          <w:bCs w:val="0"/>
        </w:rPr>
      </w: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right="0"/>
        <w:jc w:val="left"/>
      </w:pPr>
      <w:r>
        <w:rPr/>
        <w:t>报告期公司会计政策调整情况详</w:t>
      </w:r>
      <w:r>
        <w:rPr>
          <w:spacing w:val="1"/>
        </w:rPr>
        <w:t>见</w:t>
      </w:r>
      <w:r>
        <w:rPr>
          <w:rFonts w:ascii="Times New Roman" w:hAnsi="Times New Roman" w:cs="Times New Roman" w:eastAsia="Times New Roman" w:hint="default"/>
          <w:spacing w:val="-1"/>
          <w:w w:val="100"/>
        </w:rPr>
        <w:t>“</w:t>
      </w:r>
      <w:r>
        <w:rPr/>
        <w:t>第十二节</w:t>
      </w:r>
      <w:r>
        <w:rPr>
          <w:spacing w:val="-18"/>
        </w:rPr>
        <w:t> </w:t>
      </w:r>
      <w:r>
        <w:rPr/>
        <w:t>财务报告</w:t>
      </w:r>
      <w:r>
        <w:rPr>
          <w:spacing w:val="-18"/>
        </w:rPr>
        <w:t> </w:t>
      </w:r>
      <w:r>
        <w:rPr/>
        <w:t>五</w:t>
      </w:r>
      <w:r>
        <w:rPr>
          <w:spacing w:val="-85"/>
        </w:rPr>
        <w:t>、</w:t>
      </w:r>
      <w:r>
        <w:rPr/>
        <w:t>重要会计政策及会计估计 </w:t>
      </w:r>
      <w:r>
        <w:rPr>
          <w:spacing w:val="-36"/>
        </w:rPr>
        <w:t> </w:t>
      </w:r>
      <w:r>
        <w:rPr>
          <w:rFonts w:ascii="Times New Roman" w:hAnsi="Times New Roman" w:cs="Times New Roman" w:eastAsia="Times New Roman" w:hint="default"/>
          <w:spacing w:val="1"/>
        </w:rPr>
        <w:t>32</w:t>
      </w:r>
      <w:r>
        <w:rPr>
          <w:spacing w:val="-87"/>
        </w:rPr>
        <w:t>、</w:t>
      </w:r>
      <w:r>
        <w:rPr/>
        <w:t>重要会计政策和会计估计变更</w:t>
      </w:r>
      <w:r>
        <w:rPr>
          <w:rFonts w:ascii="Times New Roman" w:hAnsi="Times New Roman" w:cs="Times New Roman" w:eastAsia="Times New Roman" w:hint="default"/>
          <w:spacing w:val="-1"/>
          <w:w w:val="100"/>
        </w:rPr>
        <w:t>”</w:t>
      </w:r>
      <w:r>
        <w:rPr/>
        <w:t>。</w:t>
      </w:r>
    </w:p>
    <w:p>
      <w:pPr>
        <w:spacing w:line="240" w:lineRule="auto" w:before="3"/>
        <w:rPr>
          <w:rFonts w:ascii="宋体" w:hAnsi="宋体" w:cs="宋体" w:eastAsia="宋体" w:hint="default"/>
          <w:sz w:val="24"/>
          <w:szCs w:val="24"/>
        </w:rPr>
      </w:pPr>
    </w:p>
    <w:p>
      <w:pPr>
        <w:pStyle w:val="Heading2"/>
        <w:spacing w:line="240" w:lineRule="auto"/>
        <w:ind w:right="1115"/>
        <w:jc w:val="left"/>
        <w:rPr>
          <w:b w:val="0"/>
          <w:bCs w:val="0"/>
        </w:rPr>
      </w:pPr>
      <w:bookmarkStart w:name="七、报告期内发生重大会计差错更正需追溯重述的情况说明" w:id="72"/>
      <w:bookmarkEnd w:id="72"/>
      <w:r>
        <w:rPr>
          <w:b w:val="0"/>
          <w:bCs w:val="0"/>
        </w:rPr>
      </w:r>
      <w:r>
        <w:rPr/>
        <w:t>七、报告期内发生重大会计差错更正需追溯重述的情况说明</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2"/>
        <w:spacing w:line="240" w:lineRule="auto"/>
        <w:ind w:right="1115"/>
        <w:jc w:val="left"/>
        <w:rPr>
          <w:b w:val="0"/>
          <w:bCs w:val="0"/>
        </w:rPr>
      </w:pPr>
      <w:bookmarkStart w:name="八、与上年度财务报告相比，合并报表范围发生变化的情况说明" w:id="73"/>
      <w:bookmarkEnd w:id="73"/>
      <w:r>
        <w:rPr>
          <w:b w:val="0"/>
          <w:bCs w:val="0"/>
        </w:rPr>
      </w: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513" w:right="1042"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1"/>
        </w:rPr>
        <w:t>经公司</w:t>
      </w:r>
      <w:r>
        <w:rPr>
          <w:rFonts w:ascii="Times New Roman" w:hAnsi="Times New Roman" w:cs="Times New Roman" w:eastAsia="Times New Roman" w:hint="default"/>
          <w:spacing w:val="-1"/>
        </w:rPr>
        <w:t>2019</w:t>
      </w:r>
      <w:r>
        <w:rPr>
          <w:spacing w:val="-1"/>
        </w:rPr>
        <w:t>年第四次临时股东大会审议通过，公司将持有的上海移通</w:t>
      </w:r>
      <w:r>
        <w:rPr>
          <w:rFonts w:ascii="Times New Roman" w:hAnsi="Times New Roman" w:cs="Times New Roman" w:eastAsia="Times New Roman" w:hint="default"/>
          <w:spacing w:val="-1"/>
        </w:rPr>
        <w:t>100%</w:t>
      </w:r>
      <w:r>
        <w:rPr>
          <w:spacing w:val="-1"/>
        </w:rPr>
        <w:t>股权作价</w:t>
      </w:r>
      <w:r>
        <w:rPr>
          <w:rFonts w:ascii="Times New Roman" w:hAnsi="Times New Roman" w:cs="Times New Roman" w:eastAsia="Times New Roman" w:hint="default"/>
          <w:spacing w:val="-1"/>
        </w:rPr>
        <w:t>30,300</w:t>
      </w:r>
      <w:r>
        <w:rPr>
          <w:spacing w:val="-1"/>
        </w:rPr>
        <w:t>万元人民币转让给启顺通达，</w:t>
      </w:r>
    </w:p>
    <w:p>
      <w:pPr>
        <w:pStyle w:val="BodyText"/>
        <w:spacing w:line="231" w:lineRule="exact"/>
        <w:ind w:right="0"/>
        <w:jc w:val="left"/>
      </w:pPr>
      <w:r>
        <w:rPr/>
        <w:t>同时公司接受启顺通达和久其科技因上海移通</w:t>
      </w:r>
      <w:r>
        <w:rPr>
          <w:rFonts w:ascii="Times New Roman" w:hAnsi="Times New Roman" w:cs="Times New Roman" w:eastAsia="Times New Roman" w:hint="default"/>
        </w:rPr>
        <w:t>49%</w:t>
      </w:r>
      <w:r>
        <w:rPr/>
        <w:t>股权存在重大问题时对公司造成损失的补偿安排。截至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w:t>
      </w:r>
    </w:p>
    <w:p>
      <w:pPr>
        <w:pStyle w:val="BodyText"/>
        <w:spacing w:line="316" w:lineRule="auto" w:before="63"/>
        <w:ind w:right="1133"/>
        <w:jc w:val="left"/>
      </w:pPr>
      <w:r>
        <w:rPr>
          <w:spacing w:val="-2"/>
        </w:rPr>
        <w:t>启顺通达已按照股权转让协议的约定向公司支付全部股权转让价款，相关资产交割工作已完成，上海移通不再纳入公司的合</w:t>
      </w:r>
      <w:r>
        <w:rPr>
          <w:spacing w:val="-64"/>
        </w:rPr>
        <w:t> </w:t>
      </w:r>
      <w:r>
        <w:rPr>
          <w:spacing w:val="-64"/>
        </w:rPr>
      </w:r>
      <w:r>
        <w:rPr/>
        <w:t>并报表范围。上海移通</w:t>
      </w:r>
      <w:r>
        <w:rPr>
          <w:rFonts w:ascii="Times New Roman" w:hAnsi="Times New Roman" w:cs="Times New Roman" w:eastAsia="Times New Roman" w:hint="default"/>
        </w:rPr>
        <w:t>2019</w:t>
      </w:r>
      <w:r>
        <w:rPr/>
        <w:t>年度</w:t>
      </w:r>
      <w:r>
        <w:rPr>
          <w:rFonts w:ascii="Times New Roman" w:hAnsi="Times New Roman" w:cs="Times New Roman" w:eastAsia="Times New Roman" w:hint="default"/>
        </w:rPr>
        <w:t>1-10</w:t>
      </w:r>
      <w:r>
        <w:rPr/>
        <w:t>月为公司贡献利润</w:t>
      </w:r>
      <w:r>
        <w:rPr>
          <w:rFonts w:ascii="Times New Roman" w:hAnsi="Times New Roman" w:cs="Times New Roman" w:eastAsia="Times New Roman" w:hint="default"/>
        </w:rPr>
        <w:t>474.05</w:t>
      </w:r>
      <w:r>
        <w:rPr/>
        <w:t>万元，上年度贡献利润</w:t>
      </w:r>
      <w:r>
        <w:rPr>
          <w:rFonts w:ascii="Times New Roman" w:hAnsi="Times New Roman" w:cs="Times New Roman" w:eastAsia="Times New Roman" w:hint="default"/>
        </w:rPr>
        <w:t>4,161.28</w:t>
      </w:r>
      <w:r>
        <w:rPr/>
        <w:t>万元。</w:t>
      </w:r>
    </w:p>
    <w:p>
      <w:pPr>
        <w:spacing w:line="240" w:lineRule="auto" w:before="4"/>
        <w:rPr>
          <w:rFonts w:ascii="宋体" w:hAnsi="宋体" w:cs="宋体" w:eastAsia="宋体" w:hint="default"/>
          <w:sz w:val="19"/>
          <w:szCs w:val="19"/>
        </w:rPr>
      </w:pPr>
    </w:p>
    <w:p>
      <w:pPr>
        <w:pStyle w:val="Heading2"/>
        <w:spacing w:line="240" w:lineRule="auto"/>
        <w:ind w:right="1115"/>
        <w:jc w:val="left"/>
        <w:rPr>
          <w:b w:val="0"/>
          <w:bCs w:val="0"/>
        </w:rPr>
      </w:pPr>
      <w:bookmarkStart w:name="九、聘任、解聘会计师事务所情况" w:id="74"/>
      <w:bookmarkEnd w:id="74"/>
      <w:r>
        <w:rPr>
          <w:b w:val="0"/>
          <w:bCs w:val="0"/>
        </w:rPr>
      </w: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15"/>
        <w:jc w:val="left"/>
      </w:pPr>
      <w:r>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致同会计师事务所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&lt;1 </w:t>
            </w:r>
            <w:r>
              <w:rPr>
                <w:rFonts w:ascii="宋体" w:hAnsi="宋体" w:cs="宋体" w:eastAsia="宋体" w:hint="default"/>
                <w:sz w:val="18"/>
                <w:szCs w:val="18"/>
              </w:rPr>
              <w:t>年</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董旭、黄玉清</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均</w:t>
            </w:r>
            <w:r>
              <w:rPr>
                <w:rFonts w:ascii="Times New Roman" w:hAnsi="Times New Roman" w:cs="Times New Roman" w:eastAsia="Times New Roman" w:hint="default"/>
                <w:sz w:val="18"/>
                <w:szCs w:val="18"/>
              </w:rPr>
              <w:t>&lt;1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line="240" w:lineRule="auto" w:before="2"/>
        <w:rPr>
          <w:rFonts w:ascii="宋体" w:hAnsi="宋体" w:cs="宋体" w:eastAsia="宋体" w:hint="default"/>
          <w:sz w:val="27"/>
          <w:szCs w:val="27"/>
        </w:rPr>
      </w:pPr>
    </w:p>
    <w:p>
      <w:pPr>
        <w:pStyle w:val="BodyText"/>
        <w:spacing w:line="240" w:lineRule="auto" w:before="44"/>
        <w:ind w:right="1115"/>
        <w:jc w:val="left"/>
      </w:pPr>
      <w:r>
        <w:rPr/>
        <w:t>当期是否改聘会计师事务所</w:t>
      </w:r>
    </w:p>
    <w:p>
      <w:pPr>
        <w:pStyle w:val="BodyText"/>
        <w:spacing w:line="338" w:lineRule="auto" w:before="117"/>
        <w:ind w:right="80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是否在审计期间改聘会计师事务所</w:t>
      </w:r>
    </w:p>
    <w:p>
      <w:pPr>
        <w:pStyle w:val="BodyText"/>
        <w:spacing w:line="340" w:lineRule="auto" w:before="43"/>
        <w:ind w:right="78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更换会计师事务所是否履行审批程序</w:t>
      </w:r>
    </w:p>
    <w:p>
      <w:pPr>
        <w:pStyle w:val="BodyText"/>
        <w:spacing w:line="340" w:lineRule="auto" w:before="39"/>
        <w:ind w:right="7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对改聘、变更会计师事务所情况的详细说明</w:t>
      </w:r>
    </w:p>
    <w:p>
      <w:pPr>
        <w:pStyle w:val="BodyText"/>
        <w:spacing w:line="314" w:lineRule="auto" w:before="41"/>
        <w:ind w:right="1115" w:firstLine="288"/>
        <w:jc w:val="left"/>
      </w:pPr>
      <w:r>
        <w:rPr>
          <w:spacing w:val="-1"/>
        </w:rPr>
        <w:t>鉴于公司原财务审计机构立信会计师事务所（特殊普通合伙）聘期已满，且已连续多年为公司提供年度审计服务，为保</w:t>
      </w:r>
      <w:r>
        <w:rPr/>
        <w:t> </w:t>
      </w:r>
      <w:r>
        <w:rPr>
          <w:spacing w:val="-2"/>
        </w:rPr>
        <w:t>证上市公司审计工作的独立性与客观性，更好地适应公司经营和业务发展的需要，经公司</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11</w:t>
      </w:r>
      <w:r>
        <w:rPr>
          <w:spacing w:val="-2"/>
        </w:rPr>
        <w:t>日召开的第六届董事</w:t>
      </w:r>
      <w:r>
        <w:rPr>
          <w:spacing w:val="-58"/>
        </w:rPr>
        <w:t> </w:t>
      </w:r>
      <w:r>
        <w:rPr>
          <w:spacing w:val="-58"/>
        </w:rPr>
      </w:r>
      <w:r>
        <w:rPr>
          <w:spacing w:val="-5"/>
        </w:rPr>
        <w:t>会第四十六次（临时）会议审议通过，同意聘任致同会计师事务所（特殊普通合伙）为公司</w:t>
      </w:r>
      <w:r>
        <w:rPr>
          <w:rFonts w:ascii="Times New Roman" w:hAnsi="Times New Roman" w:cs="Times New Roman" w:eastAsia="Times New Roman" w:hint="default"/>
          <w:spacing w:val="-5"/>
        </w:rPr>
        <w:t>2019</w:t>
      </w:r>
      <w:r>
        <w:rPr>
          <w:spacing w:val="-5"/>
        </w:rPr>
        <w:t>年度审计机构，聘期为一年，</w:t>
      </w:r>
      <w:r>
        <w:rPr>
          <w:spacing w:val="-70"/>
        </w:rPr>
        <w:t> </w:t>
      </w:r>
      <w:r>
        <w:rPr>
          <w:spacing w:val="-70"/>
        </w:rPr>
      </w:r>
      <w:r>
        <w:rPr/>
        <w:t>年度审计费用为</w:t>
      </w:r>
      <w:r>
        <w:rPr>
          <w:rFonts w:ascii="Times New Roman" w:hAnsi="Times New Roman" w:cs="Times New Roman" w:eastAsia="Times New Roman" w:hint="default"/>
        </w:rPr>
        <w:t>50</w:t>
      </w:r>
      <w:r>
        <w:rPr/>
        <w:t>万元。公司独立董事对此发表了同意的事前认可意见和独立意见。 聘请内部控制审计会计师事务所、财务顾问或保荐人情况</w:t>
      </w:r>
    </w:p>
    <w:p>
      <w:pPr>
        <w:pStyle w:val="BodyText"/>
        <w:spacing w:line="240" w:lineRule="auto" w:before="61"/>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15"/>
        <w:jc w:val="left"/>
        <w:rPr>
          <w:b w:val="0"/>
          <w:bCs w:val="0"/>
        </w:rPr>
      </w:pPr>
      <w:bookmarkStart w:name="十、年度报告披露后面临暂停上市和终止上市情况" w:id="75"/>
      <w:bookmarkEnd w:id="75"/>
      <w:r>
        <w:rPr>
          <w:b w:val="0"/>
          <w:bCs w:val="0"/>
        </w:rPr>
      </w: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1115"/>
        <w:jc w:val="left"/>
        <w:rPr>
          <w:b w:val="0"/>
          <w:bCs w:val="0"/>
        </w:rPr>
      </w:pPr>
      <w:bookmarkStart w:name="十一、破产重整相关事项" w:id="76"/>
      <w:bookmarkEnd w:id="76"/>
      <w:r>
        <w:rPr>
          <w:b w:val="0"/>
          <w:bCs w:val="0"/>
        </w:rPr>
      </w:r>
      <w:r>
        <w:rPr/>
        <w:t>十一、破产重整相关事项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1115"/>
        <w:jc w:val="left"/>
        <w:rPr>
          <w:b w:val="0"/>
          <w:bCs w:val="0"/>
        </w:rPr>
      </w:pPr>
      <w:bookmarkStart w:name="十二、重大诉讼、仲裁事项" w:id="77"/>
      <w:bookmarkEnd w:id="77"/>
      <w:r>
        <w:rPr>
          <w:b w:val="0"/>
          <w:bCs w:val="0"/>
        </w:rPr>
      </w:r>
      <w:r>
        <w:rPr/>
        <w:t>十二、重大诉讼、仲裁事项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48"/>
        <w:gridCol w:w="842"/>
        <w:gridCol w:w="797"/>
        <w:gridCol w:w="1733"/>
        <w:gridCol w:w="2127"/>
        <w:gridCol w:w="852"/>
        <w:gridCol w:w="992"/>
        <w:gridCol w:w="1411"/>
      </w:tblGrid>
      <w:tr>
        <w:trPr>
          <w:trHeight w:val="1025" w:hRule="exact"/>
        </w:trPr>
        <w:tc>
          <w:tcPr>
            <w:tcW w:w="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8" w:right="26" w:firstLine="2"/>
              <w:jc w:val="center"/>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 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6"/>
              <w:ind w:left="5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是否形成 预计负债</w:t>
            </w:r>
          </w:p>
        </w:tc>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2"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969" w:right="96" w:hanging="872"/>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审理结果及影 响</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31" w:right="29" w:hanging="3"/>
              <w:jc w:val="center"/>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 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判决执 行情况</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4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5"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2"/>
              <w:jc w:val="both"/>
              <w:rPr>
                <w:rFonts w:ascii="宋体" w:hAnsi="宋体" w:cs="宋体" w:eastAsia="宋体" w:hint="default"/>
                <w:sz w:val="18"/>
                <w:szCs w:val="18"/>
              </w:rPr>
            </w:pPr>
            <w:r>
              <w:rPr>
                <w:rFonts w:ascii="宋体" w:hAnsi="宋体" w:cs="宋体" w:eastAsia="宋体" w:hint="default"/>
                <w:sz w:val="18"/>
                <w:szCs w:val="18"/>
              </w:rPr>
              <w:t>香港移通 发起仲裁 要求公司 支付收购 上海移通 第三期股 权对价款</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30,410.88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23" w:right="17"/>
              <w:jc w:val="left"/>
              <w:rPr>
                <w:rFonts w:ascii="宋体" w:hAnsi="宋体" w:cs="宋体" w:eastAsia="宋体" w:hint="default"/>
                <w:sz w:val="18"/>
                <w:szCs w:val="18"/>
              </w:rPr>
            </w:pPr>
            <w:r>
              <w:rPr>
                <w:rFonts w:ascii="宋体" w:hAnsi="宋体" w:cs="宋体" w:eastAsia="宋体" w:hint="default"/>
                <w:sz w:val="18"/>
                <w:szCs w:val="18"/>
              </w:rPr>
              <w:t>上海仲裁委延长审理 期限至</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日；上海市第二中级 人民法院</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300" w:lineRule="auto" w:before="3"/>
              <w:ind w:left="23"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日驳回原告保全申 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7" w:lineRule="auto"/>
              <w:ind w:left="23" w:right="19"/>
              <w:jc w:val="both"/>
              <w:rPr>
                <w:rFonts w:ascii="Times New Roman" w:hAnsi="Times New Roman" w:cs="Times New Roman" w:eastAsia="Times New Roman" w:hint="default"/>
                <w:sz w:val="18"/>
                <w:szCs w:val="18"/>
              </w:rPr>
            </w:pPr>
            <w:r>
              <w:rPr>
                <w:rFonts w:ascii="宋体" w:hAnsi="宋体" w:cs="宋体" w:eastAsia="宋体" w:hint="default"/>
                <w:sz w:val="18"/>
                <w:szCs w:val="18"/>
              </w:rPr>
              <w:t>尚在审理过程中</w:t>
            </w:r>
            <w:r>
              <w:rPr>
                <w:rFonts w:ascii="宋体" w:hAnsi="宋体" w:cs="宋体" w:eastAsia="宋体" w:hint="default"/>
                <w:spacing w:val="1"/>
                <w:sz w:val="18"/>
                <w:szCs w:val="18"/>
              </w:rPr>
              <w:t> </w:t>
            </w:r>
            <w:r>
              <w:rPr>
                <w:rFonts w:ascii="宋体" w:hAnsi="宋体" w:cs="宋体" w:eastAsia="宋体" w:hint="default"/>
                <w:sz w:val="18"/>
                <w:szCs w:val="18"/>
              </w:rPr>
              <w:t>，详见本</w:t>
            </w:r>
            <w:r>
              <w:rPr>
                <w:rFonts w:ascii="宋体" w:hAnsi="宋体" w:cs="宋体" w:eastAsia="宋体" w:hint="default"/>
                <w:sz w:val="18"/>
                <w:szCs w:val="18"/>
              </w:rPr>
              <w:t> 节</w:t>
            </w:r>
            <w:r>
              <w:rPr>
                <w:rFonts w:ascii="Times New Roman" w:hAnsi="Times New Roman" w:cs="Times New Roman" w:eastAsia="Times New Roman" w:hint="default"/>
                <w:sz w:val="18"/>
                <w:szCs w:val="18"/>
              </w:rPr>
              <w:t>“</w:t>
            </w:r>
            <w:r>
              <w:rPr>
                <w:rFonts w:ascii="宋体" w:hAnsi="宋体" w:cs="宋体" w:eastAsia="宋体" w:hint="default"/>
                <w:sz w:val="18"/>
                <w:szCs w:val="18"/>
              </w:rPr>
              <w:t>十九、其他重大事项的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6"/>
              <w:jc w:val="left"/>
              <w:rPr>
                <w:rFonts w:ascii="宋体" w:hAnsi="宋体" w:cs="宋体" w:eastAsia="宋体" w:hint="default"/>
                <w:sz w:val="18"/>
                <w:szCs w:val="18"/>
              </w:rPr>
            </w:pPr>
            <w:r>
              <w:rPr>
                <w:rFonts w:ascii="宋体" w:hAnsi="宋体" w:cs="宋体" w:eastAsia="宋体" w:hint="default"/>
                <w:sz w:val="18"/>
                <w:szCs w:val="18"/>
              </w:rPr>
              <w:t>《关于仲裁事项 </w:t>
            </w:r>
            <w:r>
              <w:rPr>
                <w:rFonts w:ascii="宋体" w:hAnsi="宋体" w:cs="宋体" w:eastAsia="宋体" w:hint="default"/>
                <w:spacing w:val="-12"/>
                <w:sz w:val="18"/>
                <w:szCs w:val="18"/>
              </w:rPr>
              <w:t>的公告》（公告编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2020-040</w:t>
            </w:r>
            <w:r>
              <w:rPr>
                <w:rFonts w:ascii="宋体" w:hAnsi="宋体" w:cs="宋体" w:eastAsia="宋体" w:hint="default"/>
                <w:sz w:val="18"/>
                <w:szCs w:val="18"/>
              </w:rPr>
              <w:t>）详</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见巨潮资讯网</w:t>
            </w:r>
          </w:p>
          <w:p>
            <w:pPr>
              <w:pStyle w:val="TableParagraph"/>
              <w:spacing w:line="300" w:lineRule="auto" w:before="76"/>
              <w:ind w:left="23" w:right="98"/>
              <w:jc w:val="left"/>
              <w:rPr>
                <w:rFonts w:ascii="宋体" w:hAnsi="宋体" w:cs="宋体" w:eastAsia="宋体" w:hint="default"/>
                <w:sz w:val="18"/>
                <w:szCs w:val="18"/>
              </w:rPr>
            </w:pPr>
            <w:r>
              <w:rPr>
                <w:rFonts w:ascii="宋体" w:hAnsi="宋体" w:cs="宋体" w:eastAsia="宋体" w:hint="default"/>
                <w:spacing w:val="-2"/>
                <w:sz w:val="18"/>
                <w:szCs w:val="18"/>
              </w:rPr>
              <w:t>（</w:t>
            </w:r>
            <w:hyperlink r:id="rId23">
              <w:r>
                <w:rPr>
                  <w:rFonts w:ascii="Times New Roman" w:hAnsi="Times New Roman" w:cs="Times New Roman" w:eastAsia="Times New Roman" w:hint="default"/>
                  <w:spacing w:val="-2"/>
                  <w:sz w:val="18"/>
                  <w:szCs w:val="18"/>
                </w:rPr>
                <w:t>www.cninfo.co</w:t>
              </w:r>
            </w:hyperlink>
            <w:r>
              <w:rPr>
                <w:rFonts w:ascii="Times New Roman" w:hAnsi="Times New Roman" w:cs="Times New Roman" w:eastAsia="Times New Roman" w:hint="default"/>
                <w:spacing w:val="-34"/>
                <w:sz w:val="18"/>
                <w:szCs w:val="18"/>
              </w:rPr>
              <w:t> </w:t>
            </w:r>
            <w:r>
              <w:rPr>
                <w:rFonts w:ascii="Times New Roman" w:hAnsi="Times New Roman" w:cs="Times New Roman" w:eastAsia="Times New Roman" w:hint="default"/>
                <w:spacing w:val="-34"/>
                <w:sz w:val="18"/>
                <w:szCs w:val="18"/>
              </w:rPr>
            </w:r>
            <w:r>
              <w:rPr>
                <w:rFonts w:ascii="Times New Roman" w:hAnsi="Times New Roman" w:cs="Times New Roman" w:eastAsia="Times New Roman" w:hint="default"/>
                <w:sz w:val="18"/>
                <w:szCs w:val="18"/>
              </w:rPr>
              <w:t>m.cn</w:t>
            </w:r>
            <w:r>
              <w:rPr>
                <w:rFonts w:ascii="宋体" w:hAnsi="宋体" w:cs="宋体" w:eastAsia="宋体" w:hint="default"/>
                <w:sz w:val="18"/>
                <w:szCs w:val="18"/>
              </w:rPr>
              <w:t>）</w:t>
            </w:r>
          </w:p>
        </w:tc>
      </w:tr>
      <w:tr>
        <w:trPr>
          <w:trHeight w:val="40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上一年度</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3,023.21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报告期已审结</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pacing w:val="8"/>
                <w:sz w:val="18"/>
                <w:szCs w:val="18"/>
              </w:rPr>
              <w:t>子公司作为被告胜诉案件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已完成</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r>
        <w:rPr/>
        <w:pict>
          <v:shape style="position:absolute;margin-left:66.116997pt;margin-top:123.859985pt;width:74.8pt;height:64.3500pt;mso-position-horizontal-relative:page;mso-position-vertical-relative:page;z-index:-1185040" type="#_x0000_t202" filled="false" stroked="false">
            <v:textbox inset="0,0,0,0">
              <w:txbxContent>
                <w:p>
                  <w:pPr>
                    <w:spacing w:line="240" w:lineRule="auto" w:before="6"/>
                    <w:rPr>
                      <w:rFonts w:ascii="宋体" w:hAnsi="宋体" w:cs="宋体" w:eastAsia="宋体" w:hint="default"/>
                      <w:sz w:val="24"/>
                      <w:szCs w:val="24"/>
                    </w:rPr>
                  </w:pPr>
                </w:p>
                <w:p>
                  <w:pPr>
                    <w:pStyle w:val="BodyText"/>
                    <w:spacing w:line="240" w:lineRule="auto"/>
                    <w:ind w:left="0" w:right="0"/>
                    <w:jc w:val="left"/>
                  </w:pPr>
                  <w:r>
                    <w:rPr/>
                    <w:t>（仲裁）</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848"/>
        <w:gridCol w:w="79"/>
        <w:gridCol w:w="763"/>
        <w:gridCol w:w="797"/>
        <w:gridCol w:w="1733"/>
        <w:gridCol w:w="2127"/>
        <w:gridCol w:w="852"/>
        <w:gridCol w:w="992"/>
        <w:gridCol w:w="1411"/>
      </w:tblGrid>
      <w:tr>
        <w:trPr>
          <w:trHeight w:val="1025" w:hRule="exact"/>
        </w:trPr>
        <w:tc>
          <w:tcPr>
            <w:tcW w:w="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8" w:right="26" w:firstLine="2"/>
              <w:jc w:val="center"/>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 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8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6"/>
              <w:ind w:left="5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是否形成 预计负债</w:t>
            </w:r>
          </w:p>
        </w:tc>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2"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969" w:right="96" w:hanging="872"/>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审理结果及影 响</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31" w:right="29" w:hanging="3"/>
              <w:jc w:val="center"/>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 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判决执 行情况</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3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4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22" w:hRule="exact"/>
        </w:trPr>
        <w:tc>
          <w:tcPr>
            <w:tcW w:w="8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非重大诉</w:t>
            </w:r>
          </w:p>
        </w:tc>
        <w:tc>
          <w:tcPr>
            <w:tcW w:w="842" w:type="dxa"/>
            <w:gridSpan w:val="2"/>
            <w:vMerge w:val="restart"/>
            <w:tcBorders>
              <w:top w:val="single" w:sz="4" w:space="0" w:color="000000"/>
              <w:left w:val="single" w:sz="4" w:space="0" w:color="000000"/>
              <w:right w:val="single" w:sz="4" w:space="0" w:color="000000"/>
            </w:tcBorders>
          </w:tcPr>
          <w:p>
            <w:pPr>
              <w:pStyle w:val="TableParagraph"/>
              <w:spacing w:line="1286" w:lineRule="exact"/>
              <w:ind w:left="2" w:right="-51"/>
              <w:jc w:val="left"/>
              <w:rPr>
                <w:rFonts w:ascii="宋体" w:hAnsi="宋体" w:cs="宋体" w:eastAsia="宋体" w:hint="default"/>
                <w:sz w:val="20"/>
                <w:szCs w:val="20"/>
              </w:rPr>
            </w:pPr>
            <w:r>
              <w:rPr>
                <w:rFonts w:ascii="宋体" w:hAnsi="宋体" w:cs="宋体" w:eastAsia="宋体" w:hint="default"/>
                <w:position w:val="-25"/>
                <w:sz w:val="20"/>
                <w:szCs w:val="20"/>
              </w:rPr>
              <w:pict>
                <v:group style="width:41.55pt;height:64.3500pt;mso-position-horizontal-relative:char;mso-position-vertical-relative:line" coordorigin="0,0" coordsize="831,1287">
                  <v:group style="position:absolute;left:0;top:0;width:831;height:1287" coordorigin="0,0" coordsize="831,1287">
                    <v:shape style="position:absolute;left:0;top:0;width:831;height:1287" coordorigin="0,0" coordsize="831,1287" path="m0,1286l830,1286,830,0,0,0,0,1286xe" filled="true" fillcolor="#ffffff" stroked="false">
                      <v:path arrowok="t"/>
                      <v:fill type="solid"/>
                    </v:shape>
                  </v:group>
                </v:group>
              </w:pict>
            </w:r>
            <w:r>
              <w:rPr>
                <w:rFonts w:ascii="宋体" w:hAnsi="宋体" w:cs="宋体" w:eastAsia="宋体" w:hint="default"/>
                <w:position w:val="-25"/>
                <w:sz w:val="20"/>
                <w:szCs w:val="20"/>
              </w:rPr>
            </w:r>
          </w:p>
        </w:tc>
        <w:tc>
          <w:tcPr>
            <w:tcW w:w="797" w:type="dxa"/>
            <w:vMerge w:val="restart"/>
            <w:tcBorders>
              <w:top w:val="single" w:sz="4" w:space="0" w:color="000000"/>
              <w:left w:val="single" w:sz="4" w:space="0" w:color="000000"/>
              <w:right w:val="single" w:sz="4" w:space="0" w:color="000000"/>
            </w:tcBorders>
          </w:tcPr>
          <w:p>
            <w:pPr/>
          </w:p>
        </w:tc>
        <w:tc>
          <w:tcPr>
            <w:tcW w:w="1733" w:type="dxa"/>
            <w:vMerge w:val="restart"/>
            <w:tcBorders>
              <w:top w:val="single" w:sz="4" w:space="0" w:color="000000"/>
              <w:left w:val="single" w:sz="4" w:space="0" w:color="000000"/>
              <w:right w:val="single" w:sz="4" w:space="0" w:color="000000"/>
            </w:tcBorders>
          </w:tcPr>
          <w:p>
            <w:pPr/>
          </w:p>
        </w:tc>
        <w:tc>
          <w:tcPr>
            <w:tcW w:w="2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子公司</w:t>
            </w:r>
          </w:p>
        </w:tc>
        <w:tc>
          <w:tcPr>
            <w:tcW w:w="852"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1411" w:type="dxa"/>
            <w:vMerge w:val="restart"/>
            <w:tcBorders>
              <w:top w:val="single" w:sz="4" w:space="0" w:color="000000"/>
              <w:left w:val="single" w:sz="4" w:space="0" w:color="000000"/>
              <w:right w:val="single" w:sz="4" w:space="0" w:color="000000"/>
            </w:tcBorders>
          </w:tcPr>
          <w:p>
            <w:pPr/>
          </w:p>
        </w:tc>
      </w:tr>
      <w:tr>
        <w:trPr>
          <w:trHeight w:val="307" w:hRule="exact"/>
        </w:trPr>
        <w:tc>
          <w:tcPr>
            <w:tcW w:w="8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讼</w:t>
            </w:r>
          </w:p>
        </w:tc>
        <w:tc>
          <w:tcPr>
            <w:tcW w:w="842" w:type="dxa"/>
            <w:gridSpan w:val="2"/>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1733" w:type="dxa"/>
            <w:vMerge/>
            <w:tcBorders>
              <w:left w:val="single" w:sz="4" w:space="0" w:color="000000"/>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作</w:t>
            </w:r>
            <w:r>
              <w:rPr>
                <w:rFonts w:ascii="宋体" w:hAnsi="宋体" w:cs="宋体" w:eastAsia="宋体" w:hint="default"/>
                <w:spacing w:val="-60"/>
                <w:sz w:val="18"/>
                <w:szCs w:val="18"/>
              </w:rPr>
              <w:t> </w:t>
            </w:r>
            <w:r>
              <w:rPr>
                <w:rFonts w:ascii="宋体" w:hAnsi="宋体" w:cs="宋体" w:eastAsia="宋体" w:hint="default"/>
                <w:sz w:val="18"/>
                <w:szCs w:val="18"/>
              </w:rPr>
              <w:t>为</w:t>
            </w:r>
            <w:r>
              <w:rPr>
                <w:rFonts w:ascii="宋体" w:hAnsi="宋体" w:cs="宋体" w:eastAsia="宋体" w:hint="default"/>
                <w:spacing w:val="-60"/>
                <w:sz w:val="18"/>
                <w:szCs w:val="18"/>
              </w:rPr>
              <w:t> </w:t>
            </w:r>
            <w:r>
              <w:rPr>
                <w:rFonts w:ascii="宋体" w:hAnsi="宋体" w:cs="宋体" w:eastAsia="宋体" w:hint="default"/>
                <w:sz w:val="18"/>
                <w:szCs w:val="18"/>
              </w:rPr>
              <w:t>原</w:t>
            </w:r>
            <w:r>
              <w:rPr>
                <w:rFonts w:ascii="宋体" w:hAnsi="宋体" w:cs="宋体" w:eastAsia="宋体" w:hint="default"/>
                <w:spacing w:val="-62"/>
                <w:sz w:val="18"/>
                <w:szCs w:val="18"/>
              </w:rPr>
              <w:t> </w:t>
            </w:r>
            <w:r>
              <w:rPr>
                <w:rFonts w:ascii="宋体" w:hAnsi="宋体" w:cs="宋体" w:eastAsia="宋体" w:hint="default"/>
                <w:sz w:val="18"/>
                <w:szCs w:val="18"/>
              </w:rPr>
              <w:t>告</w:t>
            </w:r>
            <w:r>
              <w:rPr>
                <w:rFonts w:ascii="宋体" w:hAnsi="宋体" w:cs="宋体" w:eastAsia="宋体" w:hint="default"/>
                <w:spacing w:val="-60"/>
                <w:sz w:val="18"/>
                <w:szCs w:val="18"/>
              </w:rPr>
              <w:t> </w:t>
            </w:r>
            <w:r>
              <w:rPr>
                <w:rFonts w:ascii="宋体" w:hAnsi="宋体" w:cs="宋体" w:eastAsia="宋体" w:hint="default"/>
                <w:sz w:val="18"/>
                <w:szCs w:val="18"/>
              </w:rPr>
              <w:t>胜</w:t>
            </w:r>
            <w:r>
              <w:rPr>
                <w:rFonts w:ascii="宋体" w:hAnsi="宋体" w:cs="宋体" w:eastAsia="宋体" w:hint="default"/>
                <w:spacing w:val="-62"/>
                <w:sz w:val="18"/>
                <w:szCs w:val="18"/>
              </w:rPr>
              <w:t> </w:t>
            </w:r>
            <w:r>
              <w:rPr>
                <w:rFonts w:ascii="宋体" w:hAnsi="宋体" w:cs="宋体" w:eastAsia="宋体" w:hint="default"/>
                <w:sz w:val="18"/>
                <w:szCs w:val="18"/>
              </w:rPr>
              <w:t>诉</w:t>
            </w:r>
            <w:r>
              <w:rPr>
                <w:rFonts w:ascii="宋体" w:hAnsi="宋体" w:cs="宋体" w:eastAsia="宋体" w:hint="default"/>
                <w:spacing w:val="-60"/>
                <w:sz w:val="18"/>
                <w:szCs w:val="18"/>
              </w:rPr>
              <w:t> </w:t>
            </w:r>
            <w:r>
              <w:rPr>
                <w:rFonts w:ascii="宋体" w:hAnsi="宋体" w:cs="宋体" w:eastAsia="宋体" w:hint="default"/>
                <w:sz w:val="18"/>
                <w:szCs w:val="18"/>
              </w:rPr>
              <w:t>案</w:t>
            </w:r>
            <w:r>
              <w:rPr>
                <w:rFonts w:ascii="宋体" w:hAnsi="宋体" w:cs="宋体" w:eastAsia="宋体" w:hint="default"/>
                <w:spacing w:val="-62"/>
                <w:sz w:val="18"/>
                <w:szCs w:val="18"/>
              </w:rPr>
              <w:t> </w:t>
            </w:r>
            <w:r>
              <w:rPr>
                <w:rFonts w:ascii="宋体" w:hAnsi="宋体" w:cs="宋体" w:eastAsia="宋体" w:hint="default"/>
                <w:sz w:val="18"/>
                <w:szCs w:val="18"/>
              </w:rPr>
              <w:t>件</w:t>
            </w:r>
            <w:r>
              <w:rPr>
                <w:rFonts w:ascii="宋体" w:hAnsi="宋体" w:cs="宋体" w:eastAsia="宋体" w:hint="default"/>
                <w:spacing w:val="-60"/>
                <w:sz w:val="18"/>
                <w:szCs w:val="18"/>
              </w:rPr>
              <w:t> </w:t>
            </w:r>
            <w:r>
              <w:rPr>
                <w:rFonts w:ascii="宋体" w:hAnsi="宋体" w:cs="宋体" w:eastAsia="宋体" w:hint="default"/>
                <w:sz w:val="18"/>
                <w:szCs w:val="18"/>
              </w:rPr>
              <w:t>金</w:t>
            </w:r>
            <w:r>
              <w:rPr>
                <w:rFonts w:ascii="宋体" w:hAnsi="宋体" w:cs="宋体" w:eastAsia="宋体" w:hint="default"/>
                <w:spacing w:val="-60"/>
                <w:sz w:val="18"/>
                <w:szCs w:val="18"/>
              </w:rPr>
              <w:t> </w:t>
            </w:r>
            <w:r>
              <w:rPr>
                <w:rFonts w:ascii="宋体" w:hAnsi="宋体" w:cs="宋体" w:eastAsia="宋体" w:hint="default"/>
                <w:sz w:val="18"/>
                <w:szCs w:val="18"/>
              </w:rPr>
              <w:t>额</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411" w:type="dxa"/>
            <w:vMerge/>
            <w:tcBorders>
              <w:left w:val="single" w:sz="4" w:space="0" w:color="000000"/>
              <w:right w:val="single" w:sz="4" w:space="0" w:color="000000"/>
            </w:tcBorders>
          </w:tcPr>
          <w:p>
            <w:pPr/>
          </w:p>
        </w:tc>
      </w:tr>
      <w:tr>
        <w:trPr>
          <w:trHeight w:val="317" w:hRule="exact"/>
        </w:trPr>
        <w:tc>
          <w:tcPr>
            <w:tcW w:w="848" w:type="dxa"/>
            <w:tcBorders>
              <w:top w:val="nil" w:sz="6" w:space="0" w:color="auto"/>
              <w:left w:val="single" w:sz="4" w:space="0" w:color="000000"/>
              <w:bottom w:val="nil" w:sz="6" w:space="0" w:color="auto"/>
              <w:right w:val="single" w:sz="4" w:space="0" w:color="000000"/>
            </w:tcBorders>
          </w:tcPr>
          <w:p>
            <w:pPr/>
          </w:p>
        </w:tc>
        <w:tc>
          <w:tcPr>
            <w:tcW w:w="842" w:type="dxa"/>
            <w:gridSpan w:val="2"/>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1733" w:type="dxa"/>
            <w:vMerge/>
            <w:tcBorders>
              <w:left w:val="single" w:sz="4" w:space="0" w:color="000000"/>
              <w:right w:val="single" w:sz="4" w:space="0" w:color="000000"/>
            </w:tcBorders>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万元、和解案件金额</w:t>
            </w: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411" w:type="dxa"/>
            <w:vMerge/>
            <w:tcBorders>
              <w:left w:val="single" w:sz="4" w:space="0" w:color="000000"/>
              <w:right w:val="single" w:sz="4" w:space="0" w:color="000000"/>
            </w:tcBorders>
          </w:tcPr>
          <w:p>
            <w:pPr/>
          </w:p>
        </w:tc>
      </w:tr>
      <w:tr>
        <w:trPr>
          <w:trHeight w:val="353" w:hRule="exact"/>
        </w:trPr>
        <w:tc>
          <w:tcPr>
            <w:tcW w:w="848" w:type="dxa"/>
            <w:tcBorders>
              <w:top w:val="nil" w:sz="6" w:space="0" w:color="auto"/>
              <w:left w:val="single" w:sz="4" w:space="0" w:color="000000"/>
              <w:bottom w:val="single" w:sz="4" w:space="0" w:color="000000"/>
              <w:right w:val="single" w:sz="4" w:space="0" w:color="000000"/>
            </w:tcBorders>
          </w:tcPr>
          <w:p>
            <w:pPr/>
          </w:p>
        </w:tc>
        <w:tc>
          <w:tcPr>
            <w:tcW w:w="842" w:type="dxa"/>
            <w:gridSpan w:val="2"/>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1733" w:type="dxa"/>
            <w:vMerge/>
            <w:tcBorders>
              <w:left w:val="single" w:sz="4" w:space="0" w:color="000000"/>
              <w:bottom w:val="single" w:sz="4" w:space="0" w:color="000000"/>
              <w:right w:val="single" w:sz="4" w:space="0" w:color="000000"/>
            </w:tcBorders>
          </w:tcPr>
          <w:p>
            <w:pPr/>
          </w:p>
        </w:tc>
        <w:tc>
          <w:tcPr>
            <w:tcW w:w="2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85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r>
      <w:tr>
        <w:trPr>
          <w:trHeight w:val="355" w:hRule="exact"/>
        </w:trPr>
        <w:tc>
          <w:tcPr>
            <w:tcW w:w="848" w:type="dxa"/>
            <w:tcBorders>
              <w:top w:val="single" w:sz="4" w:space="0" w:color="000000"/>
              <w:left w:val="single" w:sz="4" w:space="0" w:color="000000"/>
              <w:bottom w:val="nil" w:sz="6" w:space="0" w:color="auto"/>
              <w:right w:val="single" w:sz="4" w:space="0" w:color="000000"/>
            </w:tcBorders>
          </w:tcPr>
          <w:p>
            <w:pPr/>
          </w:p>
        </w:tc>
        <w:tc>
          <w:tcPr>
            <w:tcW w:w="79" w:type="dxa"/>
            <w:vMerge w:val="restart"/>
            <w:tcBorders>
              <w:top w:val="single" w:sz="4" w:space="0" w:color="000000"/>
              <w:left w:val="single" w:sz="4" w:space="0" w:color="000000"/>
              <w:right w:val="nil" w:sz="6" w:space="0" w:color="auto"/>
            </w:tcBorders>
          </w:tcPr>
          <w:p>
            <w:pPr/>
          </w:p>
        </w:tc>
        <w:tc>
          <w:tcPr>
            <w:tcW w:w="763" w:type="dxa"/>
            <w:tcBorders>
              <w:top w:val="single" w:sz="4" w:space="0" w:color="000000"/>
              <w:left w:val="nil" w:sz="6" w:space="0" w:color="auto"/>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1733" w:type="dxa"/>
            <w:tcBorders>
              <w:top w:val="single" w:sz="4" w:space="0" w:color="000000"/>
              <w:left w:val="single" w:sz="4" w:space="0" w:color="000000"/>
              <w:bottom w:val="nil" w:sz="6" w:space="0" w:color="auto"/>
              <w:right w:val="single" w:sz="4" w:space="0" w:color="000000"/>
            </w:tcBorders>
          </w:tcPr>
          <w:p>
            <w:pPr/>
          </w:p>
        </w:tc>
        <w:tc>
          <w:tcPr>
            <w:tcW w:w="2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8"/>
                <w:sz w:val="18"/>
                <w:szCs w:val="18"/>
              </w:rPr>
              <w:t>子公司作为原告撤诉案件</w:t>
            </w:r>
          </w:p>
        </w:tc>
        <w:tc>
          <w:tcPr>
            <w:tcW w:w="852"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411" w:type="dxa"/>
            <w:tcBorders>
              <w:top w:val="single" w:sz="4" w:space="0" w:color="000000"/>
              <w:left w:val="single" w:sz="4" w:space="0" w:color="000000"/>
              <w:bottom w:val="nil" w:sz="6" w:space="0" w:color="auto"/>
              <w:right w:val="single" w:sz="4" w:space="0" w:color="000000"/>
            </w:tcBorders>
          </w:tcPr>
          <w:p>
            <w:pPr/>
          </w:p>
        </w:tc>
      </w:tr>
      <w:tr>
        <w:trPr>
          <w:trHeight w:val="1566" w:hRule="exact"/>
        </w:trPr>
        <w:tc>
          <w:tcPr>
            <w:tcW w:w="84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4" w:right="92"/>
              <w:jc w:val="both"/>
              <w:rPr>
                <w:rFonts w:ascii="宋体" w:hAnsi="宋体" w:cs="宋体" w:eastAsia="宋体" w:hint="default"/>
                <w:sz w:val="18"/>
                <w:szCs w:val="18"/>
              </w:rPr>
            </w:pPr>
            <w:r>
              <w:rPr>
                <w:rFonts w:ascii="宋体" w:hAnsi="宋体" w:cs="宋体" w:eastAsia="宋体" w:hint="default"/>
                <w:sz w:val="18"/>
                <w:szCs w:val="18"/>
              </w:rPr>
              <w:t>本报告期 非重大诉 讼</w:t>
            </w:r>
          </w:p>
        </w:tc>
        <w:tc>
          <w:tcPr>
            <w:tcW w:w="79" w:type="dxa"/>
            <w:vMerge/>
            <w:tcBorders>
              <w:left w:val="single" w:sz="4" w:space="0" w:color="000000"/>
              <w:right w:val="nil" w:sz="6" w:space="0" w:color="auto"/>
            </w:tcBorders>
          </w:tcPr>
          <w:p>
            <w:pPr/>
          </w:p>
        </w:tc>
        <w:tc>
          <w:tcPr>
            <w:tcW w:w="763"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14,471.13</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3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3" w:right="77"/>
              <w:jc w:val="both"/>
              <w:rPr>
                <w:rFonts w:ascii="宋体" w:hAnsi="宋体" w:cs="宋体" w:eastAsia="宋体" w:hint="default"/>
                <w:sz w:val="18"/>
                <w:szCs w:val="18"/>
              </w:rPr>
            </w:pPr>
            <w:r>
              <w:rPr>
                <w:rFonts w:ascii="宋体" w:hAnsi="宋体" w:cs="宋体" w:eastAsia="宋体" w:hint="default"/>
                <w:sz w:val="18"/>
                <w:szCs w:val="18"/>
              </w:rPr>
              <w:t>报告期部分案件已撤 诉、和解或审结，尚 未审结的案件涉及金 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3,269.44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both"/>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和解案</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件金额约</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胜</w:t>
            </w:r>
          </w:p>
          <w:p>
            <w:pPr>
              <w:pStyle w:val="TableParagraph"/>
              <w:spacing w:line="309" w:lineRule="auto" w:before="63"/>
              <w:ind w:left="23" w:right="19"/>
              <w:jc w:val="both"/>
              <w:rPr>
                <w:rFonts w:ascii="宋体" w:hAnsi="宋体" w:cs="宋体" w:eastAsia="宋体" w:hint="default"/>
                <w:sz w:val="18"/>
                <w:szCs w:val="18"/>
              </w:rPr>
            </w:pPr>
            <w:r>
              <w:rPr>
                <w:rFonts w:ascii="宋体" w:hAnsi="宋体" w:cs="宋体" w:eastAsia="宋体" w:hint="default"/>
                <w:sz w:val="18"/>
                <w:szCs w:val="18"/>
              </w:rPr>
              <w:t>诉案件金额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40.02</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万元；公</w:t>
            </w:r>
            <w:r>
              <w:rPr>
                <w:rFonts w:ascii="宋体" w:hAnsi="宋体" w:cs="宋体" w:eastAsia="宋体" w:hint="default"/>
                <w:sz w:val="18"/>
                <w:szCs w:val="18"/>
              </w:rPr>
              <w:t> </w:t>
            </w:r>
            <w:r>
              <w:rPr>
                <w:rFonts w:ascii="宋体" w:hAnsi="宋体" w:cs="宋体" w:eastAsia="宋体" w:hint="default"/>
                <w:spacing w:val="8"/>
                <w:sz w:val="18"/>
                <w:szCs w:val="18"/>
              </w:rPr>
              <w:t>司或子公司作为被告胜诉</w:t>
            </w:r>
            <w:r>
              <w:rPr>
                <w:rFonts w:ascii="宋体" w:hAnsi="宋体" w:cs="宋体" w:eastAsia="宋体" w:hint="default"/>
                <w:sz w:val="18"/>
                <w:szCs w:val="18"/>
              </w:rPr>
              <w:t> 案件金额约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94.99</w:t>
            </w:r>
            <w:r>
              <w:rPr>
                <w:rFonts w:ascii="Times New Roman" w:hAnsi="Times New Roman" w:cs="Times New Roman" w:eastAsia="Times New Roman" w:hint="default"/>
                <w:spacing w:val="1"/>
                <w:sz w:val="18"/>
                <w:szCs w:val="18"/>
              </w:rPr>
              <w:t> </w:t>
            </w:r>
            <w:r>
              <w:rPr>
                <w:rFonts w:ascii="宋体" w:hAnsi="宋体" w:cs="宋体" w:eastAsia="宋体" w:hint="default"/>
                <w:spacing w:val="-23"/>
                <w:sz w:val="18"/>
                <w:szCs w:val="18"/>
              </w:rPr>
              <w:t>万元，和</w:t>
            </w:r>
            <w:r>
              <w:rPr>
                <w:rFonts w:ascii="宋体" w:hAnsi="宋体" w:cs="宋体" w:eastAsia="宋体" w:hint="default"/>
                <w:sz w:val="18"/>
                <w:szCs w:val="18"/>
              </w:rPr>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执行中</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41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5" w:hRule="exact"/>
        </w:trPr>
        <w:tc>
          <w:tcPr>
            <w:tcW w:w="848" w:type="dxa"/>
            <w:tcBorders>
              <w:top w:val="nil" w:sz="6" w:space="0" w:color="auto"/>
              <w:left w:val="single" w:sz="4" w:space="0" w:color="000000"/>
              <w:bottom w:val="single" w:sz="4" w:space="0" w:color="000000"/>
              <w:right w:val="single" w:sz="4" w:space="0" w:color="000000"/>
            </w:tcBorders>
          </w:tcPr>
          <w:p>
            <w:pPr/>
          </w:p>
        </w:tc>
        <w:tc>
          <w:tcPr>
            <w:tcW w:w="79" w:type="dxa"/>
            <w:vMerge/>
            <w:tcBorders>
              <w:left w:val="single" w:sz="4" w:space="0" w:color="000000"/>
              <w:bottom w:val="single" w:sz="4" w:space="0" w:color="000000"/>
              <w:right w:val="nil" w:sz="6" w:space="0" w:color="auto"/>
            </w:tcBorders>
          </w:tcPr>
          <w:p>
            <w:pPr/>
          </w:p>
        </w:tc>
        <w:tc>
          <w:tcPr>
            <w:tcW w:w="763" w:type="dxa"/>
            <w:tcBorders>
              <w:top w:val="nil" w:sz="6" w:space="0" w:color="auto"/>
              <w:left w:val="nil" w:sz="6" w:space="0" w:color="auto"/>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1733" w:type="dxa"/>
            <w:tcBorders>
              <w:top w:val="nil" w:sz="6" w:space="0" w:color="auto"/>
              <w:left w:val="single" w:sz="4" w:space="0" w:color="000000"/>
              <w:bottom w:val="single" w:sz="4" w:space="0" w:color="000000"/>
              <w:right w:val="single" w:sz="4" w:space="0" w:color="000000"/>
            </w:tcBorders>
          </w:tcPr>
          <w:p>
            <w:pPr/>
          </w:p>
        </w:tc>
        <w:tc>
          <w:tcPr>
            <w:tcW w:w="2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解案件金额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16.18 </w:t>
            </w:r>
            <w:r>
              <w:rPr>
                <w:rFonts w:ascii="宋体" w:hAnsi="宋体" w:cs="宋体" w:eastAsia="宋体" w:hint="default"/>
                <w:sz w:val="18"/>
                <w:szCs w:val="18"/>
              </w:rPr>
              <w:t>万元</w:t>
            </w:r>
          </w:p>
        </w:tc>
        <w:tc>
          <w:tcPr>
            <w:tcW w:w="852"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411"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49"/>
        <w:ind w:right="1115"/>
        <w:jc w:val="left"/>
      </w:pPr>
      <w:r>
        <w:rPr/>
        <w:pict>
          <v:shape style="position:absolute;margin-left:66.116997pt;margin-top:-47.302273pt;width:74.8pt;height:46.85pt;mso-position-horizontal-relative:page;mso-position-vertical-relative:paragraph;z-index:-1185016" type="#_x0000_t202" filled="false" stroked="false">
            <v:textbox inset="0,0,0,0">
              <w:txbxContent>
                <w:p>
                  <w:pPr>
                    <w:pStyle w:val="BodyText"/>
                    <w:spacing w:line="203" w:lineRule="exact"/>
                    <w:ind w:left="0" w:right="0"/>
                    <w:jc w:val="left"/>
                  </w:pPr>
                  <w:r>
                    <w:rPr/>
                    <w:t>（仲裁）</w:t>
                  </w:r>
                </w:p>
              </w:txbxContent>
            </v:textbox>
            <w10:wrap type="none"/>
          </v:shape>
        </w:pict>
      </w:r>
      <w:r>
        <w:rPr/>
        <w:pict>
          <v:group style="position:absolute;margin-left:99.384003pt;margin-top:-47.302273pt;width:41.55pt;height:46.85pt;mso-position-horizontal-relative:page;mso-position-vertical-relative:paragraph;z-index:-1184992" coordorigin="1988,-946" coordsize="831,937">
            <v:shape style="position:absolute;left:1988;top:-946;width:831;height:937" coordorigin="1988,-946" coordsize="831,937" path="m1988,-10l2818,-10,2818,-946,1988,-946,1988,-10xe" filled="true" fillcolor="#ffffff" stroked="false">
              <v:path arrowok="t"/>
              <v:fill type="solid"/>
            </v:shape>
            <w10:wrap type="none"/>
          </v:group>
        </w:pict>
      </w:r>
      <w:r>
        <w:rPr/>
        <w:t>注：上述案件金额为包含律师费、违约金等的涉案总金额，与实际执行情况可能存在差异。</w:t>
      </w:r>
    </w:p>
    <w:p>
      <w:pPr>
        <w:spacing w:line="240" w:lineRule="auto" w:before="1"/>
        <w:rPr>
          <w:rFonts w:ascii="宋体" w:hAnsi="宋体" w:cs="宋体" w:eastAsia="宋体" w:hint="default"/>
          <w:sz w:val="25"/>
          <w:szCs w:val="25"/>
        </w:rPr>
      </w:pPr>
    </w:p>
    <w:p>
      <w:pPr>
        <w:pStyle w:val="Heading2"/>
        <w:spacing w:line="240" w:lineRule="auto"/>
        <w:ind w:right="1115"/>
        <w:jc w:val="left"/>
        <w:rPr>
          <w:b w:val="0"/>
          <w:bCs w:val="0"/>
        </w:rPr>
      </w:pPr>
      <w:bookmarkStart w:name="十三、处罚及整改情况" w:id="78"/>
      <w:bookmarkEnd w:id="78"/>
      <w:r>
        <w:rPr>
          <w:b w:val="0"/>
          <w:bCs w:val="0"/>
        </w:rPr>
      </w:r>
      <w:r>
        <w:rPr/>
        <w:t>十三、处罚及整改情况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5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公司报告期不存在重大处罚或被证券监管机构要求整改的情况。</w:t>
      </w:r>
    </w:p>
    <w:p>
      <w:pPr>
        <w:spacing w:line="240" w:lineRule="auto" w:before="6"/>
        <w:rPr>
          <w:rFonts w:ascii="宋体" w:hAnsi="宋体" w:cs="宋体" w:eastAsia="宋体" w:hint="default"/>
          <w:sz w:val="19"/>
          <w:szCs w:val="19"/>
        </w:rPr>
      </w:pPr>
    </w:p>
    <w:p>
      <w:pPr>
        <w:pStyle w:val="Heading2"/>
        <w:spacing w:line="240" w:lineRule="auto"/>
        <w:ind w:right="1115"/>
        <w:jc w:val="left"/>
        <w:rPr>
          <w:b w:val="0"/>
          <w:bCs w:val="0"/>
        </w:rPr>
      </w:pPr>
      <w:bookmarkStart w:name="十四、公司及其控股股东、实际控制人的诚信状况" w:id="79"/>
      <w:bookmarkEnd w:id="79"/>
      <w:r>
        <w:rPr>
          <w:b w:val="0"/>
          <w:bCs w:val="0"/>
        </w:rPr>
      </w:r>
      <w:r>
        <w:rPr/>
        <w:t>十四、公司及其控股股东、实际控制人的诚信状况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15"/>
        <w:jc w:val="left"/>
        <w:rPr>
          <w:b w:val="0"/>
          <w:bCs w:val="0"/>
        </w:rPr>
      </w:pPr>
      <w:bookmarkStart w:name="十五、公司股权激励计划、员工持股计划或其他员工激励措施的实施情况" w:id="80"/>
      <w:bookmarkEnd w:id="80"/>
      <w:r>
        <w:rPr>
          <w:b w:val="0"/>
          <w:bCs w:val="0"/>
        </w:rPr>
      </w:r>
      <w:r>
        <w:rPr/>
        <w:t>十五、公司股权激励计划、员工持股计划或其他员工激励措施的实施情况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9" w:lineRule="auto" w:before="103"/>
        <w:ind w:right="1130" w:firstLine="360"/>
        <w:jc w:val="both"/>
      </w:pPr>
      <w:r>
        <w:rPr>
          <w:rFonts w:ascii="Times New Roman" w:hAnsi="Times New Roman" w:cs="Times New Roman" w:eastAsia="Times New Roman" w:hint="default"/>
          <w:spacing w:val="-5"/>
        </w:rPr>
        <w:t>1</w:t>
      </w:r>
      <w:r>
        <w:rPr>
          <w:spacing w:val="-5"/>
        </w:rPr>
        <w:t>、</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9</w:t>
      </w:r>
      <w:r>
        <w:rPr>
          <w:spacing w:val="-5"/>
        </w:rPr>
        <w:t>月</w:t>
      </w:r>
      <w:r>
        <w:rPr>
          <w:rFonts w:ascii="Times New Roman" w:hAnsi="Times New Roman" w:cs="Times New Roman" w:eastAsia="Times New Roman" w:hint="default"/>
          <w:spacing w:val="-5"/>
        </w:rPr>
        <w:t>29</w:t>
      </w:r>
      <w:r>
        <w:rPr>
          <w:spacing w:val="-5"/>
        </w:rPr>
        <w:t>日，公司召开第六届董事会第四十四次会议和第六届监事会第二十八次会议，分别审议通过了《关于</w:t>
      </w:r>
      <w:r>
        <w:rPr>
          <w:rFonts w:ascii="Times New Roman" w:hAnsi="Times New Roman" w:cs="Times New Roman" w:eastAsia="Times New Roman" w:hint="default"/>
          <w:spacing w:val="-5"/>
        </w:rPr>
        <w:t>2017</w:t>
      </w:r>
      <w:r>
        <w:rPr>
          <w:rFonts w:ascii="Times New Roman" w:hAnsi="Times New Roman" w:cs="Times New Roman" w:eastAsia="Times New Roman" w:hint="default"/>
        </w:rPr>
        <w:t> </w:t>
      </w:r>
      <w:r>
        <w:rPr>
          <w:spacing w:val="-2"/>
        </w:rPr>
        <w:t>年度限制性股票激励计划首次授予部分第二个解除限售期解除限售条件成就的议案》，确定本次符合解锁条件的激励对象共</w:t>
      </w:r>
      <w:r>
        <w:rPr>
          <w:spacing w:val="-64"/>
        </w:rPr>
        <w:t> </w:t>
      </w:r>
      <w:r>
        <w:rPr>
          <w:spacing w:val="-64"/>
        </w:rPr>
      </w:r>
      <w:r>
        <w:rPr>
          <w:rFonts w:ascii="Times New Roman" w:hAnsi="Times New Roman" w:cs="Times New Roman" w:eastAsia="Times New Roman" w:hint="default"/>
        </w:rPr>
        <w:t>299</w:t>
      </w:r>
      <w:r>
        <w:rPr/>
        <w:t>人，本次解锁的限制性股票数量为</w:t>
      </w:r>
      <w:r>
        <w:rPr>
          <w:rFonts w:ascii="Times New Roman" w:hAnsi="Times New Roman" w:cs="Times New Roman" w:eastAsia="Times New Roman" w:hint="default"/>
        </w:rPr>
        <w:t>1,934,820</w:t>
      </w:r>
      <w:r>
        <w:rPr/>
        <w:t>股，该部分解锁的限制性股票已于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日上市流通。</w:t>
      </w:r>
    </w:p>
    <w:p>
      <w:pPr>
        <w:pStyle w:val="BodyText"/>
        <w:spacing w:line="300" w:lineRule="auto" w:before="5"/>
        <w:ind w:right="1128" w:firstLine="360"/>
        <w:jc w:val="righ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11</w:t>
      </w:r>
      <w:r>
        <w:rPr/>
        <w:t>日，公司召开第六届董事会四十六次（临时）会议和第六届监事会第三十次（临时）会议，分别审议 </w:t>
      </w:r>
      <w:r>
        <w:rPr>
          <w:spacing w:val="-2"/>
        </w:rPr>
        <w:t>通过了《关于</w:t>
      </w:r>
      <w:r>
        <w:rPr>
          <w:rFonts w:ascii="Times New Roman" w:hAnsi="Times New Roman" w:cs="Times New Roman" w:eastAsia="Times New Roman" w:hint="default"/>
          <w:spacing w:val="-2"/>
        </w:rPr>
        <w:t>2017</w:t>
      </w:r>
      <w:r>
        <w:rPr>
          <w:spacing w:val="-2"/>
        </w:rPr>
        <w:t>年度限制性股票激励计划预留授予部分第一个解除限售期解除限售条件成就的议案》，确定本次符合解锁</w:t>
      </w:r>
      <w:r>
        <w:rPr>
          <w:spacing w:val="-80"/>
        </w:rPr>
        <w:t> </w:t>
      </w:r>
      <w:r>
        <w:rPr>
          <w:spacing w:val="-80"/>
        </w:rPr>
      </w:r>
      <w:r>
        <w:rPr>
          <w:spacing w:val="-3"/>
        </w:rPr>
        <w:t>条件的激励对象共</w:t>
      </w:r>
      <w:r>
        <w:rPr>
          <w:rFonts w:ascii="Times New Roman" w:hAnsi="Times New Roman" w:cs="Times New Roman" w:eastAsia="Times New Roman" w:hint="default"/>
          <w:spacing w:val="-3"/>
        </w:rPr>
        <w:t>34</w:t>
      </w:r>
      <w:r>
        <w:rPr>
          <w:spacing w:val="-3"/>
        </w:rPr>
        <w:t>人，本次解锁的限制性股票数量为</w:t>
      </w:r>
      <w:r>
        <w:rPr>
          <w:rFonts w:ascii="Times New Roman" w:hAnsi="Times New Roman" w:cs="Times New Roman" w:eastAsia="Times New Roman" w:hint="default"/>
          <w:spacing w:val="-3"/>
        </w:rPr>
        <w:t>352,500</w:t>
      </w:r>
      <w:r>
        <w:rPr>
          <w:spacing w:val="-3"/>
        </w:rPr>
        <w:t>股，该部分解锁的限制性股票已于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21</w:t>
      </w:r>
      <w:r>
        <w:rPr>
          <w:spacing w:val="-3"/>
        </w:rPr>
        <w:t>日上市流通。</w:t>
      </w:r>
      <w:r>
        <w:rPr>
          <w:spacing w:val="-52"/>
        </w:rPr>
        <w:t> </w:t>
      </w:r>
      <w:r>
        <w:rPr>
          <w:spacing w:val="-52"/>
        </w:rPr>
      </w:r>
      <w:r>
        <w:rPr>
          <w:spacing w:val="13"/>
        </w:rPr>
        <w:t>上述</w:t>
      </w:r>
      <w:r>
        <w:rPr>
          <w:spacing w:val="-6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8"/>
        </w:rPr>
        <w:t> </w:t>
      </w:r>
      <w:r>
        <w:rPr/>
        <w:t>年</w:t>
      </w:r>
      <w:r>
        <w:rPr>
          <w:spacing w:val="-64"/>
        </w:rPr>
        <w:t> </w:t>
      </w:r>
      <w:r>
        <w:rPr/>
        <w:t>度</w:t>
      </w:r>
      <w:r>
        <w:rPr>
          <w:spacing w:val="-64"/>
        </w:rPr>
        <w:t> </w:t>
      </w:r>
      <w:r>
        <w:rPr/>
        <w:t>限</w:t>
      </w:r>
      <w:r>
        <w:rPr>
          <w:spacing w:val="-64"/>
        </w:rPr>
        <w:t> </w:t>
      </w:r>
      <w:r>
        <w:rPr/>
        <w:t>制</w:t>
      </w:r>
      <w:r>
        <w:rPr>
          <w:spacing w:val="-64"/>
        </w:rPr>
        <w:t> </w:t>
      </w:r>
      <w:r>
        <w:rPr/>
        <w:t>性</w:t>
      </w:r>
      <w:r>
        <w:rPr>
          <w:spacing w:val="-62"/>
        </w:rPr>
        <w:t> </w:t>
      </w:r>
      <w:r>
        <w:rPr/>
        <w:t>股</w:t>
      </w:r>
      <w:r>
        <w:rPr>
          <w:spacing w:val="-64"/>
        </w:rPr>
        <w:t> </w:t>
      </w:r>
      <w:r>
        <w:rPr/>
        <w:t>票</w:t>
      </w:r>
      <w:r>
        <w:rPr>
          <w:spacing w:val="-62"/>
        </w:rPr>
        <w:t> </w:t>
      </w:r>
      <w:r>
        <w:rPr/>
        <w:t>激</w:t>
      </w:r>
      <w:r>
        <w:rPr>
          <w:spacing w:val="-64"/>
        </w:rPr>
        <w:t> </w:t>
      </w:r>
      <w:r>
        <w:rPr/>
        <w:t>励</w:t>
      </w:r>
      <w:r>
        <w:rPr>
          <w:spacing w:val="-64"/>
        </w:rPr>
        <w:t> </w:t>
      </w:r>
      <w:r>
        <w:rPr/>
        <w:t>计</w:t>
      </w:r>
      <w:r>
        <w:rPr>
          <w:spacing w:val="-62"/>
        </w:rPr>
        <w:t> </w:t>
      </w:r>
      <w:r>
        <w:rPr/>
        <w:t>划</w:t>
      </w:r>
      <w:r>
        <w:rPr>
          <w:spacing w:val="-64"/>
        </w:rPr>
        <w:t> </w:t>
      </w:r>
      <w:r>
        <w:rPr/>
        <w:t>在</w:t>
      </w:r>
      <w:r>
        <w:rPr>
          <w:spacing w:val="-62"/>
        </w:rPr>
        <w:t> </w:t>
      </w:r>
      <w:r>
        <w:rPr/>
        <w:t>本</w:t>
      </w:r>
      <w:r>
        <w:rPr>
          <w:spacing w:val="-64"/>
        </w:rPr>
        <w:t> </w:t>
      </w:r>
      <w:r>
        <w:rPr/>
        <w:t>报</w:t>
      </w:r>
      <w:r>
        <w:rPr>
          <w:spacing w:val="-64"/>
        </w:rPr>
        <w:t> </w:t>
      </w:r>
      <w:r>
        <w:rPr/>
        <w:t>告</w:t>
      </w:r>
      <w:r>
        <w:rPr>
          <w:spacing w:val="-62"/>
        </w:rPr>
        <w:t> </w:t>
      </w:r>
      <w:r>
        <w:rPr/>
        <w:t>期</w:t>
      </w:r>
      <w:r>
        <w:rPr>
          <w:spacing w:val="-64"/>
        </w:rPr>
        <w:t> </w:t>
      </w:r>
      <w:r>
        <w:rPr/>
        <w:t>的</w:t>
      </w:r>
      <w:r>
        <w:rPr>
          <w:spacing w:val="-62"/>
        </w:rPr>
        <w:t> </w:t>
      </w:r>
      <w:r>
        <w:rPr/>
        <w:t>实</w:t>
      </w:r>
      <w:r>
        <w:rPr>
          <w:spacing w:val="-62"/>
        </w:rPr>
        <w:t> </w:t>
      </w:r>
      <w:r>
        <w:rPr/>
        <w:t>施</w:t>
      </w:r>
      <w:r>
        <w:rPr>
          <w:spacing w:val="-64"/>
        </w:rPr>
        <w:t> </w:t>
      </w:r>
      <w:r>
        <w:rPr/>
        <w:t>情</w:t>
      </w:r>
      <w:r>
        <w:rPr>
          <w:spacing w:val="-64"/>
        </w:rPr>
        <w:t> </w:t>
      </w:r>
      <w:r>
        <w:rPr/>
        <w:t>况</w:t>
      </w:r>
      <w:r>
        <w:rPr>
          <w:spacing w:val="-62"/>
        </w:rPr>
        <w:t> </w:t>
      </w:r>
      <w:r>
        <w:rPr/>
        <w:t>均</w:t>
      </w:r>
      <w:r>
        <w:rPr>
          <w:spacing w:val="-64"/>
        </w:rPr>
        <w:t> </w:t>
      </w:r>
      <w:r>
        <w:rPr/>
        <w:t>已</w:t>
      </w:r>
      <w:r>
        <w:rPr>
          <w:spacing w:val="-62"/>
        </w:rPr>
        <w:t> </w:t>
      </w:r>
      <w:r>
        <w:rPr/>
        <w:t>公</w:t>
      </w:r>
      <w:r>
        <w:rPr>
          <w:spacing w:val="-64"/>
        </w:rPr>
        <w:t> </w:t>
      </w:r>
      <w:r>
        <w:rPr/>
        <w:t>告</w:t>
      </w:r>
      <w:r>
        <w:rPr>
          <w:spacing w:val="-64"/>
        </w:rPr>
        <w:t> </w:t>
      </w:r>
      <w:r>
        <w:rPr/>
        <w:t>，</w:t>
      </w:r>
      <w:r>
        <w:rPr>
          <w:spacing w:val="-62"/>
        </w:rPr>
        <w:t> </w:t>
      </w:r>
      <w:r>
        <w:rPr/>
        <w:t>详</w:t>
      </w:r>
      <w:r>
        <w:rPr>
          <w:spacing w:val="-64"/>
        </w:rPr>
        <w:t> </w:t>
      </w:r>
      <w:r>
        <w:rPr/>
        <w:t>细</w:t>
      </w:r>
      <w:r>
        <w:rPr>
          <w:spacing w:val="-62"/>
        </w:rPr>
        <w:t> </w:t>
      </w:r>
      <w:r>
        <w:rPr/>
        <w:t>内</w:t>
      </w:r>
      <w:r>
        <w:rPr>
          <w:spacing w:val="-62"/>
        </w:rPr>
        <w:t> </w:t>
      </w:r>
      <w:r>
        <w:rPr/>
        <w:t>容</w:t>
      </w:r>
      <w:r>
        <w:rPr>
          <w:spacing w:val="-64"/>
        </w:rPr>
        <w:t> </w:t>
      </w:r>
      <w:r>
        <w:rPr/>
        <w:t>可</w:t>
      </w:r>
      <w:r>
        <w:rPr>
          <w:spacing w:val="-64"/>
        </w:rPr>
        <w:t> </w:t>
      </w:r>
      <w:r>
        <w:rPr/>
        <w:t>查</w:t>
      </w:r>
      <w:r>
        <w:rPr>
          <w:spacing w:val="-62"/>
        </w:rPr>
        <w:t> </w:t>
      </w:r>
      <w:r>
        <w:rPr/>
        <w:t>阅</w:t>
      </w:r>
      <w:r>
        <w:rPr>
          <w:spacing w:val="-64"/>
        </w:rPr>
        <w:t> </w:t>
      </w:r>
      <w:r>
        <w:rPr/>
        <w:t>公</w:t>
      </w:r>
      <w:r>
        <w:rPr>
          <w:spacing w:val="-62"/>
        </w:rPr>
        <w:t> </w:t>
      </w:r>
      <w:r>
        <w:rPr/>
        <w:t>司</w:t>
      </w:r>
      <w:r>
        <w:rPr>
          <w:spacing w:val="-64"/>
        </w:rPr>
        <w:t> </w:t>
      </w:r>
      <w:r>
        <w:rPr/>
        <w:t>在</w:t>
      </w:r>
      <w:r>
        <w:rPr>
          <w:spacing w:val="-64"/>
        </w:rPr>
        <w:t> </w:t>
      </w:r>
      <w:r>
        <w:rPr/>
        <w:t>巨</w:t>
      </w:r>
      <w:r>
        <w:rPr>
          <w:spacing w:val="-62"/>
        </w:rPr>
        <w:t> </w:t>
      </w:r>
      <w:r>
        <w:rPr/>
        <w:t>潮</w:t>
      </w:r>
      <w:r>
        <w:rPr>
          <w:spacing w:val="-64"/>
        </w:rPr>
        <w:t> </w:t>
      </w:r>
      <w:r>
        <w:rPr/>
        <w:t>资</w:t>
      </w:r>
      <w:r>
        <w:rPr>
          <w:spacing w:val="-62"/>
        </w:rPr>
        <w:t> </w:t>
      </w:r>
      <w:r>
        <w:rPr/>
        <w:t>讯</w:t>
      </w:r>
      <w:r>
        <w:rPr>
          <w:spacing w:val="-62"/>
        </w:rPr>
        <w:t> </w:t>
      </w:r>
      <w:r>
        <w:rPr/>
        <w:t>网</w:t>
      </w:r>
    </w:p>
    <w:p>
      <w:pPr>
        <w:pStyle w:val="BodyText"/>
        <w:spacing w:line="240" w:lineRule="auto" w:before="13"/>
        <w:ind w:right="1115"/>
        <w:jc w:val="left"/>
      </w:pPr>
      <w:r>
        <w:rPr/>
        <w:t>（</w:t>
      </w:r>
      <w:hyperlink r:id="rId13">
        <w:r>
          <w:rPr>
            <w:rFonts w:ascii="Times New Roman" w:hAnsi="Times New Roman" w:cs="Times New Roman" w:eastAsia="Times New Roman" w:hint="default"/>
          </w:rPr>
          <w:t>www.cninfo.com.cn</w:t>
        </w:r>
      </w:hyperlink>
      <w:r>
        <w:rPr/>
        <w:t>）上披露的相关公告。</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ind w:right="1115"/>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300" w:lineRule="auto" w:before="103"/>
        <w:ind w:right="1126" w:firstLine="360"/>
        <w:jc w:val="both"/>
      </w:pPr>
      <w:r>
        <w:rPr>
          <w:rFonts w:ascii="Times New Roman" w:hAnsi="Times New Roman" w:cs="Times New Roman" w:eastAsia="Times New Roman" w:hint="default"/>
          <w:spacing w:val="-3"/>
        </w:rPr>
        <w:t>2019</w:t>
      </w:r>
      <w:r>
        <w:rPr>
          <w:spacing w:val="-3"/>
        </w:rPr>
        <w:t>年度，公司因实施股权激励计提的股份支付费用为</w:t>
      </w:r>
      <w:r>
        <w:rPr>
          <w:rFonts w:ascii="Times New Roman" w:hAnsi="Times New Roman" w:cs="Times New Roman" w:eastAsia="Times New Roman" w:hint="default"/>
          <w:spacing w:val="-3"/>
        </w:rPr>
        <w:t>1,176.69</w:t>
      </w:r>
      <w:r>
        <w:rPr>
          <w:spacing w:val="-3"/>
        </w:rPr>
        <w:t>万元，其中核心技术人员的股权激励费用为</w:t>
      </w:r>
      <w:r>
        <w:rPr>
          <w:rFonts w:ascii="Times New Roman" w:hAnsi="Times New Roman" w:cs="Times New Roman" w:eastAsia="Times New Roman" w:hint="default"/>
          <w:spacing w:val="-3"/>
        </w:rPr>
        <w:t>304.53</w:t>
      </w:r>
      <w:r>
        <w:rPr>
          <w:spacing w:val="-3"/>
        </w:rPr>
        <w:t>万元，</w:t>
      </w:r>
      <w:r>
        <w:rPr/>
        <w:t> 占公司当期股权激励费用的比例为</w:t>
      </w:r>
      <w:r>
        <w:rPr>
          <w:rFonts w:ascii="Times New Roman" w:hAnsi="Times New Roman" w:cs="Times New Roman" w:eastAsia="Times New Roman" w:hint="default"/>
        </w:rPr>
        <w:t>25.88%</w:t>
      </w:r>
      <w:r>
        <w:rPr/>
        <w:t>。</w:t>
      </w:r>
    </w:p>
    <w:p>
      <w:pPr>
        <w:spacing w:after="0" w:line="300" w:lineRule="auto"/>
        <w:jc w:val="both"/>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1115"/>
        <w:jc w:val="left"/>
        <w:rPr>
          <w:b w:val="0"/>
          <w:bCs w:val="0"/>
        </w:rPr>
      </w:pPr>
      <w:bookmarkStart w:name="十六、重大关联交易" w:id="81"/>
      <w:bookmarkEnd w:id="81"/>
      <w:r>
        <w:rPr>
          <w:b w:val="0"/>
          <w:bCs w:val="0"/>
        </w:rPr>
      </w:r>
      <w:r>
        <w:rPr/>
        <w:t>十六、重大关联交易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5"/>
        <w:jc w:val="left"/>
        <w:rPr>
          <w:b w:val="0"/>
          <w:bCs w:val="0"/>
        </w:rPr>
      </w:pPr>
      <w:bookmarkStart w:name="1、与日常经营相关的关联交易" w:id="82"/>
      <w:bookmarkEnd w:id="82"/>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公司报告期未发生与日常经营相关的重大关联交易。</w:t>
      </w:r>
    </w:p>
    <w:p>
      <w:pPr>
        <w:spacing w:line="240" w:lineRule="auto" w:before="3"/>
        <w:rPr>
          <w:rFonts w:ascii="宋体" w:hAnsi="宋体" w:cs="宋体" w:eastAsia="宋体" w:hint="default"/>
          <w:sz w:val="21"/>
          <w:szCs w:val="21"/>
        </w:rPr>
      </w:pPr>
    </w:p>
    <w:p>
      <w:pPr>
        <w:pStyle w:val="Heading3"/>
        <w:spacing w:line="240" w:lineRule="auto"/>
        <w:ind w:right="1115"/>
        <w:jc w:val="left"/>
        <w:rPr>
          <w:b w:val="0"/>
          <w:bCs w:val="0"/>
        </w:rPr>
      </w:pPr>
      <w:bookmarkStart w:name="2、资产或股权收购、出售发生的关联交易" w:id="83"/>
      <w:bookmarkEnd w:id="83"/>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59"/>
        <w:gridCol w:w="398"/>
        <w:gridCol w:w="338"/>
        <w:gridCol w:w="823"/>
        <w:gridCol w:w="394"/>
        <w:gridCol w:w="980"/>
        <w:gridCol w:w="979"/>
        <w:gridCol w:w="672"/>
        <w:gridCol w:w="392"/>
        <w:gridCol w:w="646"/>
        <w:gridCol w:w="557"/>
        <w:gridCol w:w="3032"/>
      </w:tblGrid>
      <w:tr>
        <w:trPr>
          <w:trHeight w:val="2585" w:hRule="exact"/>
        </w:trPr>
        <w:tc>
          <w:tcPr>
            <w:tcW w:w="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34" w:right="41" w:hanging="90"/>
              <w:jc w:val="left"/>
              <w:rPr>
                <w:rFonts w:ascii="宋体" w:hAnsi="宋体" w:cs="宋体" w:eastAsia="宋体" w:hint="default"/>
                <w:sz w:val="18"/>
                <w:szCs w:val="18"/>
              </w:rPr>
            </w:pPr>
            <w:r>
              <w:rPr>
                <w:rFonts w:ascii="宋体" w:hAnsi="宋体" w:cs="宋体" w:eastAsia="宋体" w:hint="default"/>
                <w:sz w:val="18"/>
                <w:szCs w:val="18"/>
              </w:rPr>
              <w:t>关联 方</w:t>
            </w:r>
          </w:p>
        </w:tc>
        <w:tc>
          <w:tcPr>
            <w:tcW w:w="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05" w:right="101"/>
              <w:jc w:val="both"/>
              <w:rPr>
                <w:rFonts w:ascii="宋体" w:hAnsi="宋体" w:cs="宋体" w:eastAsia="宋体" w:hint="default"/>
                <w:sz w:val="18"/>
                <w:szCs w:val="18"/>
              </w:rPr>
            </w:pPr>
            <w:r>
              <w:rPr>
                <w:rFonts w:ascii="宋体" w:hAnsi="宋体" w:cs="宋体" w:eastAsia="宋体" w:hint="default"/>
                <w:sz w:val="18"/>
                <w:szCs w:val="18"/>
              </w:rPr>
              <w:t>关 联 关 系</w:t>
            </w:r>
          </w:p>
        </w:tc>
        <w:tc>
          <w:tcPr>
            <w:tcW w:w="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74" w:right="72"/>
              <w:jc w:val="both"/>
              <w:rPr>
                <w:rFonts w:ascii="宋体" w:hAnsi="宋体" w:cs="宋体" w:eastAsia="宋体" w:hint="default"/>
                <w:sz w:val="18"/>
                <w:szCs w:val="18"/>
              </w:rPr>
            </w:pPr>
            <w:r>
              <w:rPr>
                <w:rFonts w:ascii="宋体" w:hAnsi="宋体" w:cs="宋体" w:eastAsia="宋体" w:hint="default"/>
                <w:sz w:val="18"/>
                <w:szCs w:val="18"/>
              </w:rPr>
              <w:t>关 联 交 易 类 型</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27" w:right="43"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0" w:right="101"/>
              <w:jc w:val="both"/>
              <w:rPr>
                <w:rFonts w:ascii="宋体" w:hAnsi="宋体" w:cs="宋体" w:eastAsia="宋体" w:hint="default"/>
                <w:sz w:val="18"/>
                <w:szCs w:val="18"/>
              </w:rPr>
            </w:pPr>
            <w:r>
              <w:rPr>
                <w:rFonts w:ascii="宋体" w:hAnsi="宋体" w:cs="宋体" w:eastAsia="宋体" w:hint="default"/>
                <w:sz w:val="18"/>
                <w:szCs w:val="18"/>
              </w:rPr>
              <w:t>关 联 交 易 定 价 原 则</w:t>
            </w:r>
          </w:p>
        </w:tc>
        <w:tc>
          <w:tcPr>
            <w:tcW w:w="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124" w:right="32" w:hanging="89"/>
              <w:jc w:val="left"/>
              <w:rPr>
                <w:rFonts w:ascii="宋体" w:hAnsi="宋体" w:cs="宋体" w:eastAsia="宋体" w:hint="default"/>
                <w:sz w:val="18"/>
                <w:szCs w:val="18"/>
              </w:rPr>
            </w:pPr>
            <w:r>
              <w:rPr>
                <w:rFonts w:ascii="宋体" w:hAnsi="宋体" w:cs="宋体" w:eastAsia="宋体" w:hint="default"/>
                <w:sz w:val="18"/>
                <w:szCs w:val="18"/>
              </w:rPr>
              <w:t>转让资产的 账面价值</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124" w:right="31" w:hanging="89"/>
              <w:jc w:val="left"/>
              <w:rPr>
                <w:rFonts w:ascii="宋体" w:hAnsi="宋体" w:cs="宋体" w:eastAsia="宋体" w:hint="default"/>
                <w:sz w:val="18"/>
                <w:szCs w:val="18"/>
              </w:rPr>
            </w:pPr>
            <w:r>
              <w:rPr>
                <w:rFonts w:ascii="宋体" w:hAnsi="宋体" w:cs="宋体" w:eastAsia="宋体" w:hint="default"/>
                <w:sz w:val="18"/>
                <w:szCs w:val="18"/>
              </w:rPr>
              <w:t>转让资产的 评估价值</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60" w:right="60"/>
              <w:jc w:val="both"/>
              <w:rPr>
                <w:rFonts w:ascii="宋体" w:hAnsi="宋体" w:cs="宋体" w:eastAsia="宋体" w:hint="default"/>
                <w:sz w:val="18"/>
                <w:szCs w:val="18"/>
              </w:rPr>
            </w:pPr>
            <w:r>
              <w:rPr>
                <w:rFonts w:ascii="宋体" w:hAnsi="宋体" w:cs="宋体" w:eastAsia="宋体" w:hint="default"/>
                <w:sz w:val="18"/>
                <w:szCs w:val="18"/>
              </w:rPr>
              <w:t>转让价 格（万 元）</w:t>
            </w:r>
          </w:p>
        </w:tc>
        <w:tc>
          <w:tcPr>
            <w:tcW w:w="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0" w:right="99"/>
              <w:jc w:val="both"/>
              <w:rPr>
                <w:rFonts w:ascii="宋体" w:hAnsi="宋体" w:cs="宋体" w:eastAsia="宋体" w:hint="default"/>
                <w:sz w:val="18"/>
                <w:szCs w:val="18"/>
              </w:rPr>
            </w:pPr>
            <w:r>
              <w:rPr>
                <w:rFonts w:ascii="宋体" w:hAnsi="宋体" w:cs="宋体" w:eastAsia="宋体" w:hint="default"/>
                <w:sz w:val="18"/>
                <w:szCs w:val="18"/>
              </w:rPr>
              <w:t>关 联 交 易 结 算 方 式</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48" w:right="47"/>
              <w:jc w:val="both"/>
              <w:rPr>
                <w:rFonts w:ascii="宋体" w:hAnsi="宋体" w:cs="宋体" w:eastAsia="宋体" w:hint="default"/>
                <w:sz w:val="18"/>
                <w:szCs w:val="18"/>
              </w:rPr>
            </w:pPr>
            <w:r>
              <w:rPr>
                <w:rFonts w:ascii="宋体" w:hAnsi="宋体" w:cs="宋体" w:eastAsia="宋体" w:hint="default"/>
                <w:sz w:val="18"/>
                <w:szCs w:val="18"/>
              </w:rPr>
              <w:t>交易损 益（万 元）</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3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2900"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4" w:right="63"/>
              <w:jc w:val="both"/>
              <w:rPr>
                <w:rFonts w:ascii="宋体" w:hAnsi="宋体" w:cs="宋体" w:eastAsia="宋体" w:hint="default"/>
                <w:sz w:val="18"/>
                <w:szCs w:val="18"/>
              </w:rPr>
            </w:pPr>
            <w:r>
              <w:rPr>
                <w:rFonts w:ascii="宋体" w:hAnsi="宋体" w:cs="宋体" w:eastAsia="宋体" w:hint="default"/>
                <w:sz w:val="18"/>
                <w:szCs w:val="18"/>
              </w:rPr>
              <w:t>北京 启顺 通达 科技 有限 公司</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2"/>
              <w:jc w:val="both"/>
              <w:rPr>
                <w:rFonts w:ascii="宋体" w:hAnsi="宋体" w:cs="宋体" w:eastAsia="宋体" w:hint="default"/>
                <w:sz w:val="18"/>
                <w:szCs w:val="18"/>
              </w:rPr>
            </w:pPr>
            <w:r>
              <w:rPr>
                <w:rFonts w:ascii="宋体" w:hAnsi="宋体" w:cs="宋体" w:eastAsia="宋体" w:hint="default"/>
                <w:sz w:val="18"/>
                <w:szCs w:val="18"/>
              </w:rPr>
              <w:t>公 司 实 际 控 制 人 控 股</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3" w:right="122"/>
              <w:jc w:val="both"/>
              <w:rPr>
                <w:rFonts w:ascii="宋体" w:hAnsi="宋体" w:cs="宋体" w:eastAsia="宋体" w:hint="default"/>
                <w:sz w:val="18"/>
                <w:szCs w:val="18"/>
              </w:rPr>
            </w:pPr>
            <w:r>
              <w:rPr>
                <w:rFonts w:ascii="宋体" w:hAnsi="宋体" w:cs="宋体" w:eastAsia="宋体" w:hint="default"/>
                <w:sz w:val="18"/>
                <w:szCs w:val="18"/>
              </w:rPr>
              <w:t>股 权 出 售</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67"/>
              <w:jc w:val="left"/>
              <w:rPr>
                <w:rFonts w:ascii="宋体" w:hAnsi="宋体" w:cs="宋体" w:eastAsia="宋体" w:hint="default"/>
                <w:sz w:val="18"/>
                <w:szCs w:val="18"/>
              </w:rPr>
            </w:pPr>
            <w:r>
              <w:rPr>
                <w:rFonts w:ascii="宋体" w:hAnsi="宋体" w:cs="宋体" w:eastAsia="宋体" w:hint="default"/>
                <w:sz w:val="18"/>
                <w:szCs w:val="18"/>
              </w:rPr>
              <w:t>向关联方 出售公司 持有的上 海移通 </w:t>
            </w:r>
            <w:r>
              <w:rPr>
                <w:rFonts w:ascii="Times New Roman" w:hAnsi="Times New Roman" w:cs="Times New Roman" w:eastAsia="Times New Roman" w:hint="default"/>
                <w:sz w:val="18"/>
                <w:szCs w:val="18"/>
              </w:rPr>
              <w:t>100%</w:t>
            </w:r>
            <w:r>
              <w:rPr>
                <w:rFonts w:ascii="宋体" w:hAnsi="宋体" w:cs="宋体" w:eastAsia="宋体" w:hint="default"/>
                <w:sz w:val="18"/>
                <w:szCs w:val="18"/>
              </w:rPr>
              <w:t>股</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权</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3" w:right="179"/>
              <w:jc w:val="both"/>
              <w:rPr>
                <w:rFonts w:ascii="宋体" w:hAnsi="宋体" w:cs="宋体" w:eastAsia="宋体" w:hint="default"/>
                <w:sz w:val="18"/>
                <w:szCs w:val="18"/>
              </w:rPr>
            </w:pPr>
            <w:r>
              <w:rPr>
                <w:rFonts w:ascii="宋体" w:hAnsi="宋体" w:cs="宋体" w:eastAsia="宋体" w:hint="default"/>
                <w:sz w:val="18"/>
                <w:szCs w:val="18"/>
              </w:rPr>
              <w:t>市 场 价 值</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8" w:right="0"/>
              <w:jc w:val="left"/>
              <w:rPr>
                <w:rFonts w:ascii="Times New Roman" w:hAnsi="Times New Roman" w:cs="Times New Roman" w:eastAsia="Times New Roman" w:hint="default"/>
                <w:sz w:val="18"/>
                <w:szCs w:val="18"/>
              </w:rPr>
            </w:pPr>
            <w:r>
              <w:rPr>
                <w:rFonts w:ascii="Times New Roman"/>
                <w:sz w:val="18"/>
              </w:rPr>
              <w:t>30,365.38</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30,289.95</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30,300</w:t>
            </w:r>
          </w:p>
        </w:tc>
        <w:tc>
          <w:tcPr>
            <w:tcW w:w="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3" w:right="177"/>
              <w:jc w:val="both"/>
              <w:rPr>
                <w:rFonts w:ascii="宋体" w:hAnsi="宋体" w:cs="宋体" w:eastAsia="宋体" w:hint="default"/>
                <w:sz w:val="18"/>
                <w:szCs w:val="18"/>
              </w:rPr>
            </w:pPr>
            <w:r>
              <w:rPr>
                <w:rFonts w:ascii="宋体" w:hAnsi="宋体" w:cs="宋体" w:eastAsia="宋体" w:hint="default"/>
                <w:sz w:val="18"/>
                <w:szCs w:val="18"/>
              </w:rPr>
              <w:t>现 金 方 式</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-65.38</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4"/>
              <w:ind w:left="23" w:right="23"/>
              <w:jc w:val="left"/>
              <w:rPr>
                <w:rFonts w:ascii="宋体" w:hAnsi="宋体" w:cs="宋体" w:eastAsia="宋体" w:hint="default"/>
                <w:sz w:val="18"/>
                <w:szCs w:val="18"/>
              </w:rPr>
            </w:pPr>
            <w:r>
              <w:rPr>
                <w:rFonts w:ascii="宋体" w:hAnsi="宋体" w:cs="宋体" w:eastAsia="宋体" w:hint="default"/>
                <w:sz w:val="18"/>
                <w:szCs w:val="18"/>
              </w:rPr>
              <w:t>《关于向关联方转让上海移通网络有 限公司</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股权及关联方补偿安排的 </w:t>
            </w:r>
            <w:r>
              <w:rPr>
                <w:rFonts w:ascii="宋体" w:hAnsi="宋体" w:cs="宋体" w:eastAsia="宋体" w:hint="default"/>
                <w:spacing w:val="-12"/>
                <w:sz w:val="18"/>
                <w:szCs w:val="18"/>
              </w:rPr>
              <w:t>公告》（公告编号</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2019-099</w:t>
            </w:r>
            <w:r>
              <w:rPr>
                <w:rFonts w:ascii="宋体" w:hAnsi="宋体" w:cs="宋体" w:eastAsia="宋体" w:hint="default"/>
                <w:spacing w:val="-1"/>
                <w:sz w:val="18"/>
                <w:szCs w:val="18"/>
              </w:rPr>
              <w:t>）详见巨潮</w:t>
            </w:r>
            <w:r>
              <w:rPr>
                <w:rFonts w:ascii="宋体" w:hAnsi="宋体" w:cs="宋体" w:eastAsia="宋体" w:hint="default"/>
                <w:sz w:val="18"/>
                <w:szCs w:val="18"/>
              </w:rPr>
              <w:t> 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25" w:hRule="exact"/>
        </w:trPr>
        <w:tc>
          <w:tcPr>
            <w:tcW w:w="20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3"/>
              <w:jc w:val="both"/>
              <w:rPr>
                <w:rFonts w:ascii="宋体" w:hAnsi="宋体" w:cs="宋体" w:eastAsia="宋体" w:hint="default"/>
                <w:sz w:val="18"/>
                <w:szCs w:val="18"/>
              </w:rPr>
            </w:pPr>
            <w:r>
              <w:rPr>
                <w:rFonts w:ascii="宋体" w:hAnsi="宋体" w:cs="宋体" w:eastAsia="宋体" w:hint="default"/>
                <w:sz w:val="18"/>
                <w:szCs w:val="18"/>
              </w:rPr>
              <w:t>转让价格与账面价值或 评估价值差异较大的原 因（如有）</w:t>
            </w:r>
          </w:p>
        </w:tc>
        <w:tc>
          <w:tcPr>
            <w:tcW w:w="76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339" w:hRule="exact"/>
        </w:trPr>
        <w:tc>
          <w:tcPr>
            <w:tcW w:w="20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183"/>
              <w:jc w:val="left"/>
              <w:rPr>
                <w:rFonts w:ascii="宋体" w:hAnsi="宋体" w:cs="宋体" w:eastAsia="宋体" w:hint="default"/>
                <w:sz w:val="18"/>
                <w:szCs w:val="18"/>
              </w:rPr>
            </w:pPr>
            <w:r>
              <w:rPr>
                <w:rFonts w:ascii="宋体" w:hAnsi="宋体" w:cs="宋体" w:eastAsia="宋体" w:hint="default"/>
                <w:sz w:val="18"/>
                <w:szCs w:val="18"/>
              </w:rPr>
              <w:t>对公司经营成果与财务 状况的影响情况</w:t>
            </w:r>
          </w:p>
        </w:tc>
        <w:tc>
          <w:tcPr>
            <w:tcW w:w="7650" w:type="dxa"/>
            <w:gridSpan w:val="8"/>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36"/>
              <w:jc w:val="left"/>
              <w:rPr>
                <w:rFonts w:ascii="宋体" w:hAnsi="宋体" w:cs="宋体" w:eastAsia="宋体" w:hint="default"/>
                <w:sz w:val="18"/>
                <w:szCs w:val="18"/>
              </w:rPr>
            </w:pPr>
            <w:r>
              <w:rPr>
                <w:rFonts w:ascii="宋体" w:hAnsi="宋体" w:cs="宋体" w:eastAsia="宋体" w:hint="default"/>
                <w:sz w:val="18"/>
                <w:szCs w:val="18"/>
              </w:rPr>
              <w:t>该关联交易事项未对公司生产经营和报告期损益构成重大影响，剥离风险资产并及时止损，同时 接受关联方在特定情形下的补偿安排，不仅有利于消除公司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年度保留意见事项的不利影响，</w:t>
            </w:r>
          </w:p>
          <w:p>
            <w:pPr>
              <w:pStyle w:val="TableParagraph"/>
              <w:spacing w:line="300" w:lineRule="auto" w:before="1"/>
              <w:ind w:left="23" w:right="53"/>
              <w:jc w:val="left"/>
              <w:rPr>
                <w:rFonts w:ascii="宋体" w:hAnsi="宋体" w:cs="宋体" w:eastAsia="宋体" w:hint="default"/>
                <w:sz w:val="18"/>
                <w:szCs w:val="18"/>
              </w:rPr>
            </w:pPr>
            <w:r>
              <w:rPr>
                <w:rFonts w:ascii="宋体" w:hAnsi="宋体" w:cs="宋体" w:eastAsia="宋体" w:hint="default"/>
                <w:sz w:val="18"/>
                <w:szCs w:val="18"/>
              </w:rPr>
              <w:t>还将减少上市公司损失并保护中小股东利益。本次交易已于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月末完成资产交割，上海 移通不再纳入公司合并报表范围。</w:t>
            </w:r>
          </w:p>
        </w:tc>
      </w:tr>
      <w:tr>
        <w:trPr>
          <w:trHeight w:val="1028" w:hRule="exact"/>
        </w:trPr>
        <w:tc>
          <w:tcPr>
            <w:tcW w:w="20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如相关交易涉及业绩约 </w:t>
            </w:r>
            <w:r>
              <w:rPr>
                <w:rFonts w:ascii="宋体" w:hAnsi="宋体" w:cs="宋体" w:eastAsia="宋体" w:hint="default"/>
                <w:spacing w:val="-2"/>
                <w:sz w:val="18"/>
                <w:szCs w:val="18"/>
              </w:rPr>
              <w:t>定的，报告期内的业绩实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现情况</w:t>
            </w:r>
          </w:p>
        </w:tc>
        <w:tc>
          <w:tcPr>
            <w:tcW w:w="76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3、共同对外投资的关联交易" w:id="84"/>
      <w:bookmarkEnd w:id="84"/>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after="0" w:line="3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15"/>
        <w:jc w:val="left"/>
        <w:rPr>
          <w:b w:val="0"/>
          <w:bCs w:val="0"/>
        </w:rPr>
      </w:pPr>
      <w:bookmarkStart w:name="4、关联债权债务往来" w:id="85"/>
      <w:bookmarkEnd w:id="85"/>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是否存在非经营性关联债权债务往来</w:t>
      </w:r>
    </w:p>
    <w:p>
      <w:pPr>
        <w:pStyle w:val="BodyText"/>
        <w:spacing w:line="340" w:lineRule="auto" w:before="43"/>
        <w:ind w:right="94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应付关联方债务</w:t>
      </w:r>
    </w:p>
    <w:p>
      <w:pPr>
        <w:spacing w:line="240" w:lineRule="auto" w:before="5"/>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157"/>
        <w:gridCol w:w="1037"/>
        <w:gridCol w:w="1047"/>
        <w:gridCol w:w="1044"/>
        <w:gridCol w:w="1044"/>
        <w:gridCol w:w="1044"/>
        <w:gridCol w:w="1044"/>
        <w:gridCol w:w="1045"/>
        <w:gridCol w:w="1106"/>
      </w:tblGrid>
      <w:tr>
        <w:trPr>
          <w:trHeight w:val="715" w:hRule="exact"/>
        </w:trPr>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15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5"/>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5"/>
              <w:jc w:val="left"/>
              <w:rPr>
                <w:rFonts w:ascii="宋体" w:hAnsi="宋体" w:cs="宋体" w:eastAsia="宋体" w:hint="default"/>
                <w:sz w:val="18"/>
                <w:szCs w:val="18"/>
              </w:rPr>
            </w:pPr>
            <w:r>
              <w:rPr>
                <w:rFonts w:ascii="宋体" w:hAnsi="宋体" w:cs="宋体" w:eastAsia="宋体" w:hint="default"/>
                <w:sz w:val="18"/>
                <w:szCs w:val="18"/>
              </w:rPr>
              <w:t>本期归还金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6"/>
              <w:ind w:left="15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69" w:right="19" w:hanging="346"/>
              <w:jc w:val="left"/>
              <w:rPr>
                <w:rFonts w:ascii="宋体" w:hAnsi="宋体" w:cs="宋体" w:eastAsia="宋体" w:hint="default"/>
                <w:sz w:val="18"/>
                <w:szCs w:val="18"/>
              </w:rPr>
            </w:pPr>
            <w:r>
              <w:rPr>
                <w:rFonts w:ascii="宋体" w:hAnsi="宋体" w:cs="宋体" w:eastAsia="宋体" w:hint="default"/>
                <w:spacing w:val="-5"/>
                <w:sz w:val="18"/>
                <w:szCs w:val="18"/>
              </w:rPr>
              <w:t>期末余额（万</w:t>
            </w:r>
            <w:r>
              <w:rPr>
                <w:rFonts w:ascii="宋体" w:hAnsi="宋体" w:cs="宋体" w:eastAsia="宋体" w:hint="default"/>
                <w:sz w:val="18"/>
                <w:szCs w:val="18"/>
              </w:rPr>
              <w:t> 元）</w:t>
            </w:r>
          </w:p>
        </w:tc>
      </w:tr>
      <w:tr>
        <w:trPr>
          <w:trHeight w:val="1025"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北京久其科技 投资有限公司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1"/>
              <w:jc w:val="left"/>
              <w:rPr>
                <w:rFonts w:ascii="宋体" w:hAnsi="宋体" w:cs="宋体" w:eastAsia="宋体" w:hint="default"/>
                <w:sz w:val="18"/>
                <w:szCs w:val="18"/>
              </w:rPr>
            </w:pPr>
            <w:r>
              <w:rPr>
                <w:rFonts w:ascii="宋体" w:hAnsi="宋体" w:cs="宋体" w:eastAsia="宋体" w:hint="default"/>
                <w:sz w:val="18"/>
                <w:szCs w:val="18"/>
              </w:rPr>
              <w:t>公司控股股 东</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1"/>
              <w:jc w:val="both"/>
              <w:rPr>
                <w:rFonts w:ascii="宋体" w:hAnsi="宋体" w:cs="宋体" w:eastAsia="宋体" w:hint="default"/>
                <w:sz w:val="18"/>
                <w:szCs w:val="18"/>
              </w:rPr>
            </w:pPr>
            <w:r>
              <w:rPr>
                <w:rFonts w:ascii="宋体" w:hAnsi="宋体" w:cs="宋体" w:eastAsia="宋体" w:hint="default"/>
                <w:sz w:val="18"/>
                <w:szCs w:val="18"/>
              </w:rPr>
              <w:t>公司欠关联 方股权转让 对价款</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23,200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22,800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w:t>
            </w:r>
          </w:p>
        </w:tc>
      </w:tr>
      <w:tr>
        <w:trPr>
          <w:trHeight w:val="716"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北京久其科技 投资有限公司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1"/>
              <w:jc w:val="left"/>
              <w:rPr>
                <w:rFonts w:ascii="宋体" w:hAnsi="宋体" w:cs="宋体" w:eastAsia="宋体" w:hint="default"/>
                <w:sz w:val="18"/>
                <w:szCs w:val="18"/>
              </w:rPr>
            </w:pPr>
            <w:r>
              <w:rPr>
                <w:rFonts w:ascii="宋体" w:hAnsi="宋体" w:cs="宋体" w:eastAsia="宋体" w:hint="default"/>
                <w:sz w:val="18"/>
                <w:szCs w:val="18"/>
              </w:rPr>
              <w:t>公司控股股 东</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1"/>
              <w:jc w:val="left"/>
              <w:rPr>
                <w:rFonts w:ascii="宋体" w:hAnsi="宋体" w:cs="宋体" w:eastAsia="宋体" w:hint="default"/>
                <w:sz w:val="18"/>
                <w:szCs w:val="18"/>
              </w:rPr>
            </w:pPr>
            <w:r>
              <w:rPr>
                <w:rFonts w:ascii="宋体" w:hAnsi="宋体" w:cs="宋体" w:eastAsia="宋体" w:hint="default"/>
                <w:sz w:val="18"/>
                <w:szCs w:val="18"/>
              </w:rPr>
              <w:t>公司接受关 联方借款</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9,656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9,815.78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159.78</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21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78"/>
              <w:jc w:val="left"/>
              <w:rPr>
                <w:rFonts w:ascii="宋体" w:hAnsi="宋体" w:cs="宋体" w:eastAsia="宋体" w:hint="default"/>
                <w:sz w:val="18"/>
                <w:szCs w:val="18"/>
              </w:rPr>
            </w:pPr>
            <w:r>
              <w:rPr>
                <w:rFonts w:ascii="宋体" w:hAnsi="宋体" w:cs="宋体" w:eastAsia="宋体" w:hint="default"/>
                <w:sz w:val="18"/>
                <w:szCs w:val="18"/>
              </w:rPr>
              <w:t>关联债务对公司经营成果 及财务状况的影响</w:t>
            </w:r>
          </w:p>
        </w:tc>
        <w:tc>
          <w:tcPr>
            <w:tcW w:w="7374" w:type="dxa"/>
            <w:gridSpan w:val="7"/>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截至报告期末，公司主要的关联债务为公司应付久其科技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400 </w:t>
            </w:r>
            <w:r>
              <w:rPr>
                <w:rFonts w:ascii="宋体" w:hAnsi="宋体" w:cs="宋体" w:eastAsia="宋体" w:hint="default"/>
                <w:sz w:val="18"/>
                <w:szCs w:val="18"/>
              </w:rPr>
              <w:t>万元，该款项系公司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年向 </w:t>
            </w:r>
            <w:r>
              <w:rPr>
                <w:rFonts w:ascii="宋体" w:hAnsi="宋体" w:cs="宋体" w:eastAsia="宋体" w:hint="default"/>
                <w:sz w:val="18"/>
                <w:szCs w:val="18"/>
              </w:rPr>
              <w:t>久其科技购买上海移通</w:t>
            </w:r>
            <w:r>
              <w:rPr>
                <w:rFonts w:ascii="宋体" w:hAnsi="宋体" w:cs="宋体" w:eastAsia="宋体" w:hint="default"/>
                <w:spacing w:val="-33"/>
                <w:sz w:val="18"/>
                <w:szCs w:val="18"/>
              </w:rPr>
              <w:t> </w:t>
            </w:r>
            <w:r>
              <w:rPr>
                <w:rFonts w:ascii="Times New Roman" w:hAnsi="Times New Roman" w:cs="Times New Roman" w:eastAsia="Times New Roman" w:hint="default"/>
                <w:spacing w:val="-3"/>
                <w:sz w:val="18"/>
                <w:szCs w:val="18"/>
              </w:rPr>
              <w:t>49%</w:t>
            </w:r>
            <w:r>
              <w:rPr>
                <w:rFonts w:ascii="宋体" w:hAnsi="宋体" w:cs="宋体" w:eastAsia="宋体" w:hint="default"/>
                <w:spacing w:val="-3"/>
                <w:sz w:val="18"/>
                <w:szCs w:val="18"/>
              </w:rPr>
              <w:t>股权对价余款，后续将根据上海移通案件进展情况进行处理，不会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对公司的财务状况、经营成果构成重大影响。</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5、其他重大关联交易" w:id="86"/>
      <w:bookmarkEnd w:id="86"/>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513" w:right="1115"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经公司于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w:t>
      </w:r>
      <w:r>
        <w:rPr>
          <w:spacing w:val="-2"/>
        </w:rPr>
        <w:t>日召开的第六届董事会第三十六次（临时）会议审议通过，公司、亿起联科技与王新、李勇共同签</w:t>
      </w:r>
    </w:p>
    <w:p>
      <w:pPr>
        <w:pStyle w:val="BodyText"/>
        <w:spacing w:line="228" w:lineRule="exact"/>
        <w:ind w:right="0"/>
        <w:jc w:val="left"/>
      </w:pPr>
      <w:r>
        <w:rPr/>
        <w:t>订了《应收账款转让合同》，王新、李勇以自有资金受让亿起联科技账面原值为</w:t>
      </w:r>
      <w:r>
        <w:rPr>
          <w:rFonts w:ascii="Times New Roman" w:hAnsi="Times New Roman" w:cs="Times New Roman" w:eastAsia="Times New Roman" w:hint="default"/>
        </w:rPr>
        <w:t>13,886,135.38</w:t>
      </w:r>
      <w:r>
        <w:rPr/>
        <w:t>元的应收账款，以履行其与公</w:t>
      </w:r>
    </w:p>
    <w:p>
      <w:pPr>
        <w:pStyle w:val="BodyText"/>
        <w:spacing w:line="300" w:lineRule="auto" w:before="63"/>
        <w:ind w:right="1122"/>
        <w:jc w:val="left"/>
      </w:pPr>
      <w:r>
        <w:rPr>
          <w:spacing w:val="-1"/>
        </w:rPr>
        <w:t>司于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9</w:t>
      </w:r>
      <w:r>
        <w:rPr>
          <w:spacing w:val="-1"/>
        </w:rPr>
        <w:t>月签署的收购亿起联科技</w:t>
      </w:r>
      <w:r>
        <w:rPr>
          <w:rFonts w:ascii="Times New Roman" w:hAnsi="Times New Roman" w:cs="Times New Roman" w:eastAsia="Times New Roman" w:hint="default"/>
          <w:spacing w:val="-1"/>
        </w:rPr>
        <w:t>100%</w:t>
      </w:r>
      <w:r>
        <w:rPr>
          <w:spacing w:val="-1"/>
        </w:rPr>
        <w:t>股权之《北京久其软件股份有限公司与王新、李勇关于现金及发行股份购买资产</w:t>
      </w:r>
      <w:r>
        <w:rPr/>
        <w:t> 协议》中的应收账款回收义务。</w:t>
      </w:r>
    </w:p>
    <w:p>
      <w:pPr>
        <w:pStyle w:val="BodyText"/>
        <w:spacing w:line="240" w:lineRule="auto" w:before="72"/>
        <w:ind w:right="1115"/>
        <w:jc w:val="left"/>
      </w:pPr>
      <w:r>
        <w:rPr/>
        <w:t>重大关联交易临时报告披露网站相关查询</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220"/>
        <w:gridCol w:w="2552"/>
        <w:gridCol w:w="2799"/>
      </w:tblGrid>
      <w:tr>
        <w:trPr>
          <w:trHeight w:val="401"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1"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5"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《关于子公司转让部分应收账款暨关联交易的公告》</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（公告编号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2019-043</w:t>
            </w:r>
            <w:r>
              <w:rPr>
                <w:rFonts w:ascii="宋体" w:hAnsi="宋体" w:cs="宋体" w:eastAsia="宋体" w:hint="default"/>
                <w:sz w:val="18"/>
                <w:szCs w:val="18"/>
              </w:rPr>
              <w:t>）</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5"/>
                <w:sz w:val="18"/>
                <w:szCs w:val="18"/>
              </w:rPr>
              <w:t> </w:t>
            </w:r>
            <w:hyperlink r:id="rId13">
              <w:r>
                <w:rPr>
                  <w:rFonts w:ascii="Times New Roman" w:hAnsi="Times New Roman" w:cs="Times New Roman" w:eastAsia="Times New Roman" w:hint="default"/>
                  <w:sz w:val="18"/>
                  <w:szCs w:val="18"/>
                </w:rPr>
                <w:t>www.cninfo.com.cn</w:t>
              </w:r>
            </w:hyperlink>
          </w:p>
        </w:tc>
      </w:tr>
    </w:tbl>
    <w:p>
      <w:pPr>
        <w:spacing w:line="240" w:lineRule="auto" w:before="1"/>
        <w:rPr>
          <w:rFonts w:ascii="宋体" w:hAnsi="宋体" w:cs="宋体" w:eastAsia="宋体" w:hint="default"/>
          <w:sz w:val="18"/>
          <w:szCs w:val="18"/>
        </w:rPr>
      </w:pPr>
    </w:p>
    <w:p>
      <w:pPr>
        <w:pStyle w:val="Heading2"/>
        <w:spacing w:line="240" w:lineRule="auto" w:before="26"/>
        <w:ind w:right="1115"/>
        <w:jc w:val="left"/>
        <w:rPr>
          <w:b w:val="0"/>
          <w:bCs w:val="0"/>
        </w:rPr>
      </w:pPr>
      <w:bookmarkStart w:name="十七、重大合同及其履行情况" w:id="87"/>
      <w:bookmarkEnd w:id="87"/>
      <w:r>
        <w:rPr>
          <w:b w:val="0"/>
          <w:bCs w:val="0"/>
        </w:rPr>
      </w: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5"/>
        <w:jc w:val="left"/>
        <w:rPr>
          <w:b w:val="0"/>
          <w:bCs w:val="0"/>
        </w:rPr>
      </w:pPr>
      <w:bookmarkStart w:name="1、托管、承包、租赁事项情况" w:id="88"/>
      <w:bookmarkEnd w:id="8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5"/>
        <w:jc w:val="left"/>
        <w:rPr>
          <w:b w:val="0"/>
          <w:bCs w:val="0"/>
        </w:rPr>
      </w:pPr>
      <w:bookmarkStart w:name="（1）托管情况" w:id="89"/>
      <w:bookmarkEnd w:id="8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公司报告期不存在重大托管情况。</w:t>
      </w:r>
    </w:p>
    <w:p>
      <w:pPr>
        <w:spacing w:line="240" w:lineRule="auto" w:before="7"/>
        <w:rPr>
          <w:rFonts w:ascii="宋体" w:hAnsi="宋体" w:cs="宋体" w:eastAsia="宋体" w:hint="default"/>
          <w:sz w:val="21"/>
          <w:szCs w:val="21"/>
        </w:rPr>
      </w:pPr>
    </w:p>
    <w:p>
      <w:pPr>
        <w:pStyle w:val="Heading3"/>
        <w:spacing w:line="240" w:lineRule="auto"/>
        <w:ind w:right="1115"/>
        <w:jc w:val="left"/>
        <w:rPr>
          <w:b w:val="0"/>
          <w:bCs w:val="0"/>
        </w:rPr>
      </w:pPr>
      <w:bookmarkStart w:name="（2）承包情况" w:id="90"/>
      <w:bookmarkEnd w:id="90"/>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公司报告期不存在重大承包情况。</w:t>
      </w:r>
    </w:p>
    <w:p>
      <w:pPr>
        <w:spacing w:after="0" w:line="3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15"/>
        <w:jc w:val="left"/>
        <w:rPr>
          <w:b w:val="0"/>
          <w:bCs w:val="0"/>
        </w:rPr>
      </w:pPr>
      <w:bookmarkStart w:name="（3）租赁情况" w:id="91"/>
      <w:bookmarkEnd w:id="9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公司报告期不存在重大租赁情况。</w:t>
      </w:r>
    </w:p>
    <w:p>
      <w:pPr>
        <w:spacing w:line="240" w:lineRule="auto" w:before="7"/>
        <w:rPr>
          <w:rFonts w:ascii="宋体" w:hAnsi="宋体" w:cs="宋体" w:eastAsia="宋体" w:hint="default"/>
          <w:sz w:val="21"/>
          <w:szCs w:val="21"/>
        </w:rPr>
      </w:pPr>
    </w:p>
    <w:p>
      <w:pPr>
        <w:pStyle w:val="Heading3"/>
        <w:spacing w:line="240" w:lineRule="auto"/>
        <w:ind w:right="1115"/>
        <w:jc w:val="left"/>
        <w:rPr>
          <w:b w:val="0"/>
          <w:bCs w:val="0"/>
        </w:rPr>
      </w:pPr>
      <w:bookmarkStart w:name="2、重大担保" w:id="92"/>
      <w:bookmarkEnd w:id="92"/>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15"/>
        <w:jc w:val="left"/>
        <w:rPr>
          <w:b w:val="0"/>
          <w:bCs w:val="0"/>
        </w:rPr>
      </w:pPr>
      <w:bookmarkStart w:name="（1）担保情况" w:id="93"/>
      <w:bookmarkEnd w:id="93"/>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86"/>
        <w:gridCol w:w="1557"/>
        <w:gridCol w:w="853"/>
        <w:gridCol w:w="1563"/>
        <w:gridCol w:w="706"/>
        <w:gridCol w:w="1273"/>
        <w:gridCol w:w="665"/>
        <w:gridCol w:w="790"/>
        <w:gridCol w:w="783"/>
      </w:tblGrid>
      <w:tr>
        <w:trPr>
          <w:trHeight w:val="403"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714" w:hRule="exact"/>
        </w:trPr>
        <w:tc>
          <w:tcPr>
            <w:tcW w:w="1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44"/>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1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14" w:right="50"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hAnsi="宋体" w:cs="宋体" w:eastAsia="宋体" w:hint="default"/>
                <w:sz w:val="18"/>
                <w:szCs w:val="18"/>
              </w:rPr>
              <w:t>担保额度</w:t>
            </w:r>
          </w:p>
        </w:tc>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6" w:right="77"/>
              <w:jc w:val="left"/>
              <w:rPr>
                <w:rFonts w:ascii="宋体" w:hAnsi="宋体" w:cs="宋体" w:eastAsia="宋体" w:hint="default"/>
                <w:sz w:val="18"/>
                <w:szCs w:val="18"/>
              </w:rPr>
            </w:pPr>
            <w:r>
              <w:rPr>
                <w:rFonts w:ascii="宋体" w:hAnsi="宋体" w:cs="宋体" w:eastAsia="宋体" w:hint="default"/>
                <w:sz w:val="18"/>
                <w:szCs w:val="18"/>
              </w:rPr>
              <w:t>实际担 保金额</w:t>
            </w:r>
          </w:p>
        </w:tc>
        <w:tc>
          <w:tcPr>
            <w:tcW w:w="1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14" w:right="25"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6"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6"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713" w:hRule="exact"/>
        </w:trPr>
        <w:tc>
          <w:tcPr>
            <w:tcW w:w="1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44"/>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1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4" w:right="50"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hAnsi="宋体" w:cs="宋体" w:eastAsia="宋体" w:hint="default"/>
                <w:sz w:val="18"/>
                <w:szCs w:val="18"/>
              </w:rPr>
              <w:t>担保额度</w:t>
            </w:r>
          </w:p>
        </w:tc>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实际担 保金额</w:t>
            </w:r>
          </w:p>
        </w:tc>
        <w:tc>
          <w:tcPr>
            <w:tcW w:w="1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1"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5"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1"/>
              <w:jc w:val="left"/>
              <w:rPr>
                <w:rFonts w:ascii="宋体" w:hAnsi="宋体" w:cs="宋体" w:eastAsia="宋体" w:hint="default"/>
                <w:sz w:val="18"/>
                <w:szCs w:val="18"/>
              </w:rPr>
            </w:pPr>
            <w:r>
              <w:rPr>
                <w:rFonts w:ascii="宋体" w:hAnsi="宋体" w:cs="宋体" w:eastAsia="宋体" w:hint="default"/>
                <w:sz w:val="18"/>
                <w:szCs w:val="18"/>
              </w:rPr>
              <w:t>深圳市久金保商 业保理有限公司</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5,000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4"/>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94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416"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10,000</w:t>
            </w:r>
          </w:p>
        </w:tc>
        <w:tc>
          <w:tcPr>
            <w:tcW w:w="19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1" w:right="116"/>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23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r>
      <w:tr>
        <w:trPr>
          <w:trHeight w:val="719" w:hRule="exact"/>
        </w:trPr>
        <w:tc>
          <w:tcPr>
            <w:tcW w:w="294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2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 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416"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10,000</w:t>
            </w:r>
          </w:p>
        </w:tc>
        <w:tc>
          <w:tcPr>
            <w:tcW w:w="19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1" w:right="146"/>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23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r>
      <w:tr>
        <w:trPr>
          <w:trHeight w:val="397"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2" w:hRule="exact"/>
        </w:trPr>
        <w:tc>
          <w:tcPr>
            <w:tcW w:w="138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414" w:right="50"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8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76" w:right="77"/>
              <w:jc w:val="left"/>
              <w:rPr>
                <w:rFonts w:ascii="宋体" w:hAnsi="宋体" w:cs="宋体" w:eastAsia="宋体" w:hint="default"/>
                <w:sz w:val="18"/>
                <w:szCs w:val="18"/>
              </w:rPr>
            </w:pPr>
            <w:r>
              <w:rPr>
                <w:rFonts w:ascii="宋体" w:hAnsi="宋体" w:cs="宋体" w:eastAsia="宋体" w:hint="default"/>
                <w:sz w:val="18"/>
                <w:szCs w:val="18"/>
              </w:rPr>
              <w:t>实际担 保金额</w:t>
            </w:r>
          </w:p>
        </w:tc>
        <w:tc>
          <w:tcPr>
            <w:tcW w:w="127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07"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3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44"/>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1557"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59"/>
              <w:jc w:val="right"/>
              <w:rPr>
                <w:rFonts w:ascii="宋体" w:hAnsi="宋体" w:cs="宋体" w:eastAsia="宋体" w:hint="default"/>
                <w:sz w:val="18"/>
                <w:szCs w:val="18"/>
              </w:rPr>
            </w:pPr>
            <w:r>
              <w:rPr>
                <w:rFonts w:ascii="宋体" w:hAnsi="宋体" w:cs="宋体" w:eastAsia="宋体" w:hint="default"/>
                <w:sz w:val="18"/>
                <w:szCs w:val="18"/>
              </w:rPr>
              <w:t>担保额度</w:t>
            </w:r>
          </w:p>
        </w:tc>
        <w:tc>
          <w:tcPr>
            <w:tcW w:w="15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706" w:type="dxa"/>
            <w:vMerge/>
            <w:tcBorders>
              <w:left w:val="single" w:sz="4" w:space="0" w:color="000000"/>
              <w:right w:val="single" w:sz="4" w:space="0" w:color="000000"/>
            </w:tcBorders>
            <w:shd w:val="clear" w:color="auto" w:fill="D2D2D2"/>
          </w:tcPr>
          <w:p>
            <w:pPr/>
          </w:p>
        </w:tc>
        <w:tc>
          <w:tcPr>
            <w:tcW w:w="12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6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8"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0"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61" w:hRule="exact"/>
        </w:trPr>
        <w:tc>
          <w:tcPr>
            <w:tcW w:w="138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7" w:type="dxa"/>
            <w:vMerge/>
            <w:tcBorders>
              <w:left w:val="single" w:sz="4" w:space="0" w:color="000000"/>
              <w:bottom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06" w:type="dxa"/>
            <w:vMerge/>
            <w:tcBorders>
              <w:left w:val="single" w:sz="4" w:space="0" w:color="000000"/>
              <w:bottom w:val="single" w:sz="4" w:space="0" w:color="000000"/>
              <w:right w:val="single" w:sz="4" w:space="0" w:color="000000"/>
            </w:tcBorders>
            <w:shd w:val="clear" w:color="auto" w:fill="D2D2D2"/>
          </w:tcPr>
          <w:p>
            <w:pPr/>
          </w:p>
        </w:tc>
        <w:tc>
          <w:tcPr>
            <w:tcW w:w="127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8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6"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97"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94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416"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10,000</w:t>
            </w:r>
          </w:p>
        </w:tc>
        <w:tc>
          <w:tcPr>
            <w:tcW w:w="19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1" w:right="146"/>
              <w:jc w:val="left"/>
              <w:rPr>
                <w:rFonts w:ascii="宋体" w:hAnsi="宋体" w:cs="宋体" w:eastAsia="宋体" w:hint="default"/>
                <w:sz w:val="18"/>
                <w:szCs w:val="18"/>
              </w:rPr>
            </w:pPr>
            <w:r>
              <w:rPr>
                <w:rFonts w:ascii="宋体" w:hAnsi="宋体" w:cs="宋体" w:eastAsia="宋体" w:hint="default"/>
                <w:sz w:val="18"/>
                <w:szCs w:val="18"/>
              </w:rPr>
              <w:t>报告期内担保实际发生 额合计（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23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r>
      <w:tr>
        <w:trPr>
          <w:trHeight w:val="714" w:hRule="exact"/>
        </w:trPr>
        <w:tc>
          <w:tcPr>
            <w:tcW w:w="294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416"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10,000</w:t>
            </w:r>
          </w:p>
        </w:tc>
        <w:tc>
          <w:tcPr>
            <w:tcW w:w="19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1" w:right="146"/>
              <w:jc w:val="left"/>
              <w:rPr>
                <w:rFonts w:ascii="宋体" w:hAnsi="宋体" w:cs="宋体" w:eastAsia="宋体" w:hint="default"/>
                <w:sz w:val="18"/>
                <w:szCs w:val="18"/>
              </w:rPr>
            </w:pPr>
            <w:r>
              <w:rPr>
                <w:rFonts w:ascii="宋体" w:hAnsi="宋体" w:cs="宋体" w:eastAsia="宋体" w:hint="default"/>
                <w:sz w:val="18"/>
                <w:szCs w:val="18"/>
              </w:rPr>
              <w:t>报告期末实际担保余额 合计（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23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8" w:hRule="exact"/>
        </w:trPr>
        <w:tc>
          <w:tcPr>
            <w:tcW w:w="53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217"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4.30%</w:t>
            </w:r>
          </w:p>
        </w:tc>
      </w:tr>
      <w:tr>
        <w:trPr>
          <w:trHeight w:val="39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53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217"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53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4" w:right="85"/>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的被担保对象提供的债务担保余 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217"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5344"/>
        <w:gridCol w:w="4231"/>
      </w:tblGrid>
      <w:tr>
        <w:trPr>
          <w:trHeight w:val="402" w:hRule="exact"/>
        </w:trPr>
        <w:tc>
          <w:tcPr>
            <w:tcW w:w="5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23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23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5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9"/>
              <w:jc w:val="left"/>
              <w:rPr>
                <w:rFonts w:ascii="宋体" w:hAnsi="宋体" w:cs="宋体" w:eastAsia="宋体" w:hint="default"/>
                <w:sz w:val="18"/>
                <w:szCs w:val="18"/>
              </w:rPr>
            </w:pPr>
            <w:r>
              <w:rPr>
                <w:rFonts w:ascii="宋体" w:hAnsi="宋体" w:cs="宋体" w:eastAsia="宋体" w:hint="default"/>
                <w:sz w:val="18"/>
                <w:szCs w:val="18"/>
              </w:rPr>
              <w:t>对未到期担保，报告期内已发生担保责任或可能承担连带清偿责任 的情况说明（如有）</w:t>
            </w:r>
          </w:p>
        </w:tc>
        <w:tc>
          <w:tcPr>
            <w:tcW w:w="423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5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23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57" w:lineRule="auto" w:before="49"/>
        <w:ind w:right="8054"/>
        <w:jc w:val="left"/>
      </w:pPr>
      <w:r>
        <w:rPr/>
        <w:t>采用复合方式担保的具体情况说明 无</w:t>
      </w:r>
    </w:p>
    <w:p>
      <w:pPr>
        <w:spacing w:line="240" w:lineRule="auto" w:before="6"/>
        <w:rPr>
          <w:rFonts w:ascii="宋体" w:hAnsi="宋体" w:cs="宋体" w:eastAsia="宋体" w:hint="default"/>
          <w:sz w:val="20"/>
          <w:szCs w:val="20"/>
        </w:rPr>
      </w:pPr>
    </w:p>
    <w:p>
      <w:pPr>
        <w:pStyle w:val="Heading3"/>
        <w:spacing w:line="240" w:lineRule="auto"/>
        <w:ind w:right="1115"/>
        <w:jc w:val="left"/>
        <w:rPr>
          <w:b w:val="0"/>
          <w:bCs w:val="0"/>
        </w:rPr>
      </w:pPr>
      <w:bookmarkStart w:name="（2）违规对外担保情况" w:id="94"/>
      <w:bookmarkEnd w:id="94"/>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line="240" w:lineRule="auto" w:before="3"/>
        <w:rPr>
          <w:rFonts w:ascii="宋体" w:hAnsi="宋体" w:cs="宋体" w:eastAsia="宋体" w:hint="default"/>
          <w:sz w:val="21"/>
          <w:szCs w:val="21"/>
        </w:rPr>
      </w:pPr>
    </w:p>
    <w:p>
      <w:pPr>
        <w:pStyle w:val="Heading3"/>
        <w:spacing w:line="240" w:lineRule="auto"/>
        <w:ind w:right="1115"/>
        <w:jc w:val="left"/>
        <w:rPr>
          <w:b w:val="0"/>
          <w:bCs w:val="0"/>
        </w:rPr>
      </w:pPr>
      <w:bookmarkStart w:name="3、委托他人进行现金资产管理情况" w:id="95"/>
      <w:bookmarkEnd w:id="95"/>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5"/>
        <w:jc w:val="left"/>
        <w:rPr>
          <w:b w:val="0"/>
          <w:bCs w:val="0"/>
        </w:rPr>
      </w:pPr>
      <w:bookmarkStart w:name="（1）委托理财情况" w:id="96"/>
      <w:bookmarkEnd w:id="96"/>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pStyle w:val="BodyText"/>
        <w:spacing w:line="33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1953" w:space="6787"/>
            <w:col w:w="219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1"/>
        <w:gridCol w:w="1846"/>
      </w:tblGrid>
      <w:tr>
        <w:trPr>
          <w:trHeight w:val="401"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4"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券商理财产品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43,900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1115"/>
        <w:jc w:val="left"/>
      </w:pPr>
      <w:r>
        <w:rPr/>
        <w:t>单项金额重大或安全性较低、流动性较差、不保本的高风险委托理财具体情况</w:t>
      </w:r>
    </w:p>
    <w:p>
      <w:pPr>
        <w:pStyle w:val="BodyText"/>
        <w:spacing w:line="338" w:lineRule="auto" w:before="117"/>
        <w:ind w:right="5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委托理财出现预期无法收回本金或存在其他可能导致减值的情形</w:t>
      </w:r>
    </w:p>
    <w:p>
      <w:pPr>
        <w:pStyle w:val="BodyText"/>
        <w:spacing w:line="240" w:lineRule="auto" w:before="43"/>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15"/>
        <w:jc w:val="left"/>
        <w:rPr>
          <w:b w:val="0"/>
          <w:bCs w:val="0"/>
        </w:rPr>
      </w:pPr>
      <w:bookmarkStart w:name="（2）委托贷款情况" w:id="97"/>
      <w:bookmarkEnd w:id="97"/>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公司报告期不存在重大委托贷款。</w:t>
      </w:r>
    </w:p>
    <w:p>
      <w:pPr>
        <w:spacing w:line="240" w:lineRule="auto" w:before="7"/>
        <w:rPr>
          <w:rFonts w:ascii="宋体" w:hAnsi="宋体" w:cs="宋体" w:eastAsia="宋体" w:hint="default"/>
          <w:sz w:val="21"/>
          <w:szCs w:val="21"/>
        </w:rPr>
      </w:pPr>
    </w:p>
    <w:p>
      <w:pPr>
        <w:pStyle w:val="Heading3"/>
        <w:spacing w:line="240" w:lineRule="auto"/>
        <w:ind w:right="1115"/>
        <w:jc w:val="left"/>
        <w:rPr>
          <w:b w:val="0"/>
          <w:bCs w:val="0"/>
        </w:rPr>
      </w:pPr>
      <w:bookmarkStart w:name="4、其他重大合同" w:id="98"/>
      <w:bookmarkEnd w:id="98"/>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after="0" w:line="340" w:lineRule="auto"/>
        <w:jc w:val="left"/>
        <w:sectPr>
          <w:type w:val="continuous"/>
          <w:pgSz w:w="11910" w:h="16840"/>
          <w:pgMar w:top="106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0"/>
        <w:jc w:val="both"/>
        <w:rPr>
          <w:b w:val="0"/>
          <w:bCs w:val="0"/>
        </w:rPr>
      </w:pPr>
      <w:bookmarkStart w:name="十八、社会责任情况" w:id="99"/>
      <w:bookmarkEnd w:id="99"/>
      <w:r>
        <w:rPr>
          <w:b w:val="0"/>
          <w:bCs w:val="0"/>
        </w:rPr>
      </w:r>
      <w:r>
        <w:rPr/>
        <w:t>十八、社会责任情况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bookmarkStart w:name="1、履行社会责任情况" w:id="100"/>
      <w:bookmarkEnd w:id="100"/>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441" w:right="1115"/>
        <w:jc w:val="left"/>
      </w:pPr>
      <w:r>
        <w:rPr/>
        <w:t>报告期，公司根据自身的实际情况积极履行企业社会责任，以实际行动回报社会，实现企业与社会的共同发展。</w:t>
      </w:r>
    </w:p>
    <w:p>
      <w:pPr>
        <w:spacing w:line="240" w:lineRule="auto" w:before="0"/>
        <w:rPr>
          <w:rFonts w:ascii="宋体" w:hAnsi="宋体" w:cs="宋体" w:eastAsia="宋体" w:hint="default"/>
          <w:sz w:val="18"/>
          <w:szCs w:val="18"/>
        </w:rPr>
      </w:pPr>
    </w:p>
    <w:p>
      <w:pPr>
        <w:spacing w:line="300" w:lineRule="auto" w:before="153"/>
        <w:ind w:left="513" w:right="1115"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）股东和债权人权益保护</w:t>
      </w:r>
      <w:r>
        <w:rPr>
          <w:rFonts w:ascii="宋体" w:hAnsi="宋体" w:cs="宋体" w:eastAsia="宋体" w:hint="default"/>
          <w:b/>
          <w:bCs/>
          <w:w w:val="99"/>
          <w:sz w:val="18"/>
          <w:szCs w:val="18"/>
        </w:rPr>
        <w:t> </w:t>
      </w:r>
      <w:r>
        <w:rPr>
          <w:rFonts w:ascii="宋体" w:hAnsi="宋体" w:cs="宋体" w:eastAsia="宋体" w:hint="default"/>
          <w:spacing w:val="-2"/>
          <w:sz w:val="18"/>
          <w:szCs w:val="18"/>
        </w:rPr>
        <w:t>公司严格按照《公司法》《深圳证券交易所上市公司规范运作指引》等法律法规及《公司章程》的要求，不断完善法人</w:t>
      </w:r>
    </w:p>
    <w:p>
      <w:pPr>
        <w:pStyle w:val="BodyText"/>
        <w:spacing w:line="319" w:lineRule="auto" w:before="31"/>
        <w:ind w:right="1129"/>
        <w:jc w:val="both"/>
      </w:pPr>
      <w:r>
        <w:rPr>
          <w:spacing w:val="-2"/>
        </w:rPr>
        <w:t>治理结构和内控体系建设。同时公司认真履行信息披露义务，建立与投资者互动的机制，诚信对待和保护股东特别是中小股</w:t>
      </w:r>
      <w:r>
        <w:rPr>
          <w:spacing w:val="-65"/>
        </w:rPr>
        <w:t> </w:t>
      </w:r>
      <w:r>
        <w:rPr>
          <w:spacing w:val="-65"/>
        </w:rPr>
      </w:r>
      <w:r>
        <w:rPr>
          <w:spacing w:val="-2"/>
        </w:rPr>
        <w:t>东的合法权益。公司重视对投资者的合理回报，上市十年来，在保证企业自身健康发展的前提下，坚持以相对稳定的利润分</w:t>
      </w:r>
      <w:r>
        <w:rPr>
          <w:spacing w:val="-65"/>
        </w:rPr>
        <w:t> </w:t>
      </w:r>
      <w:r>
        <w:rPr>
          <w:spacing w:val="-65"/>
        </w:rPr>
      </w:r>
      <w:r>
        <w:rPr>
          <w:spacing w:val="-2"/>
        </w:rPr>
        <w:t>配政策积极回报公司股东。公司注重对股东权益保护的同时，同样重视对债权人合法权益的保护，在各项重大经营决策过程</w:t>
      </w:r>
      <w:r>
        <w:rPr>
          <w:spacing w:val="-63"/>
        </w:rPr>
        <w:t> </w:t>
      </w:r>
      <w:r>
        <w:rPr>
          <w:spacing w:val="-63"/>
        </w:rPr>
      </w:r>
      <w:r>
        <w:rPr>
          <w:spacing w:val="-2"/>
        </w:rPr>
        <w:t>中，考虑债权人的合法权益，根据公开发行可转换公司债券募集说明书的要求，及时通报与其相关的重大信息，保障债权人</w:t>
      </w:r>
      <w:r>
        <w:rPr>
          <w:spacing w:val="-63"/>
        </w:rPr>
        <w:t> </w:t>
      </w:r>
      <w:r>
        <w:rPr>
          <w:spacing w:val="-63"/>
        </w:rPr>
      </w:r>
      <w:r>
        <w:rPr/>
        <w:t>的合法权益。</w:t>
      </w:r>
    </w:p>
    <w:p>
      <w:pPr>
        <w:spacing w:line="240" w:lineRule="auto" w:before="2"/>
        <w:rPr>
          <w:rFonts w:ascii="宋体" w:hAnsi="宋体" w:cs="宋体" w:eastAsia="宋体" w:hint="default"/>
          <w:sz w:val="25"/>
          <w:szCs w:val="25"/>
        </w:rPr>
      </w:pPr>
    </w:p>
    <w:p>
      <w:pPr>
        <w:spacing w:line="300" w:lineRule="auto" w:before="0"/>
        <w:ind w:left="513" w:right="1115"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）职工权益保护与社会公益</w:t>
      </w:r>
      <w:r>
        <w:rPr>
          <w:rFonts w:ascii="宋体" w:hAnsi="宋体" w:cs="宋体" w:eastAsia="宋体" w:hint="default"/>
          <w:b/>
          <w:bCs/>
          <w:w w:val="99"/>
          <w:sz w:val="18"/>
          <w:szCs w:val="18"/>
        </w:rPr>
        <w:t> </w:t>
      </w:r>
      <w:r>
        <w:rPr>
          <w:rFonts w:ascii="宋体" w:hAnsi="宋体" w:cs="宋体" w:eastAsia="宋体" w:hint="default"/>
          <w:spacing w:val="-1"/>
          <w:sz w:val="18"/>
          <w:szCs w:val="18"/>
        </w:rPr>
        <w:t>公司围绕</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情</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字构筑企业文化，全面倡导</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尊重人才、重用人才、善待人才</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的人才观念，</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简单、规范、高效、创新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的</w:t>
      </w:r>
    </w:p>
    <w:p>
      <w:pPr>
        <w:pStyle w:val="BodyText"/>
        <w:spacing w:line="304" w:lineRule="auto" w:before="13"/>
        <w:ind w:right="1126"/>
        <w:jc w:val="both"/>
      </w:pPr>
      <w:r>
        <w:rPr>
          <w:spacing w:val="-2"/>
        </w:rPr>
        <w:t>价值观，以及</w:t>
      </w:r>
      <w:r>
        <w:rPr>
          <w:rFonts w:ascii="Times New Roman" w:hAnsi="Times New Roman" w:cs="Times New Roman" w:eastAsia="Times New Roman" w:hint="default"/>
          <w:spacing w:val="-2"/>
        </w:rPr>
        <w:t>“</w:t>
      </w:r>
      <w:r>
        <w:rPr>
          <w:spacing w:val="-2"/>
        </w:rPr>
        <w:t>身体健康、心理健康、知识共享、富足自强</w:t>
      </w:r>
      <w:r>
        <w:rPr>
          <w:rFonts w:ascii="Times New Roman" w:hAnsi="Times New Roman" w:cs="Times New Roman" w:eastAsia="Times New Roman" w:hint="default"/>
          <w:spacing w:val="-2"/>
        </w:rPr>
        <w:t>”</w:t>
      </w:r>
      <w:r>
        <w:rPr>
          <w:spacing w:val="-2"/>
        </w:rPr>
        <w:t>的人生追求，不断丰富和完善企业文化体系。通过组织员工开展</w:t>
      </w:r>
      <w:r>
        <w:rPr>
          <w:spacing w:val="-42"/>
        </w:rPr>
        <w:t> </w:t>
      </w:r>
      <w:r>
        <w:rPr>
          <w:spacing w:val="-42"/>
        </w:rPr>
      </w:r>
      <w:r>
        <w:rPr/>
        <w:t>体育、娱乐及文化等各类社团活动，活跃职工生活，调动职工积极性，提升职工凝聚力。公司注重人才培养，通过</w:t>
      </w:r>
      <w:r>
        <w:rPr>
          <w:rFonts w:ascii="Times New Roman" w:hAnsi="Times New Roman" w:cs="Times New Roman" w:eastAsia="Times New Roman" w:hint="default"/>
        </w:rPr>
        <w:t>“</w:t>
      </w:r>
      <w:r>
        <w:rPr/>
        <w:t>久其云</w:t>
      </w:r>
      <w:r>
        <w:rPr>
          <w:spacing w:val="-73"/>
        </w:rPr>
        <w:t> </w:t>
      </w:r>
      <w:r>
        <w:rPr>
          <w:spacing w:val="-73"/>
        </w:rPr>
      </w:r>
      <w:r>
        <w:rPr/>
        <w:t>学堂</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创新创业奖励基金</w:t>
      </w:r>
      <w:r>
        <w:rPr>
          <w:rFonts w:ascii="Times New Roman" w:hAnsi="Times New Roman" w:cs="Times New Roman" w:eastAsia="Times New Roman" w:hint="default"/>
        </w:rPr>
        <w:t>”</w:t>
      </w:r>
      <w:r>
        <w:rPr/>
        <w:t>，为职工提供内容丰富的培训，提高职工创新技能与热情。公司还设有</w:t>
      </w:r>
      <w:r>
        <w:rPr>
          <w:rFonts w:ascii="Times New Roman" w:hAnsi="Times New Roman" w:cs="Times New Roman" w:eastAsia="Times New Roman" w:hint="default"/>
        </w:rPr>
        <w:t>“</w:t>
      </w:r>
      <w:r>
        <w:rPr/>
        <w:t>久其人俱乐部</w:t>
      </w:r>
      <w:r>
        <w:rPr>
          <w:rFonts w:ascii="Times New Roman" w:hAnsi="Times New Roman" w:cs="Times New Roman" w:eastAsia="Times New Roman" w:hint="default"/>
        </w:rPr>
        <w:t>”</w:t>
      </w:r>
      <w:r>
        <w:rPr/>
        <w:t>，强化</w:t>
      </w:r>
      <w:r>
        <w:rPr>
          <w:spacing w:val="-34"/>
        </w:rPr>
        <w:t> </w:t>
      </w:r>
      <w:r>
        <w:rPr>
          <w:spacing w:val="-5"/>
        </w:rPr>
        <w:t>职工关怀，实现职工与企业的共同成长。公司积极支持和参与社会公益事业，组织志愿者到北京关爱学校等慈善机构做公益、</w:t>
      </w:r>
      <w:r>
        <w:rPr>
          <w:spacing w:val="-76"/>
        </w:rPr>
        <w:t> </w:t>
      </w:r>
      <w:r>
        <w:rPr>
          <w:spacing w:val="-76"/>
        </w:rPr>
      </w:r>
      <w:r>
        <w:rPr/>
        <w:t>献爱心，同时积极帮助有困难的员工，为构建和谐社会做出贡献。</w:t>
      </w:r>
    </w:p>
    <w:p>
      <w:pPr>
        <w:spacing w:line="240" w:lineRule="auto" w:before="13"/>
        <w:rPr>
          <w:rFonts w:ascii="宋体" w:hAnsi="宋体" w:cs="宋体" w:eastAsia="宋体" w:hint="default"/>
          <w:sz w:val="25"/>
          <w:szCs w:val="25"/>
        </w:rPr>
      </w:pPr>
    </w:p>
    <w:p>
      <w:pPr>
        <w:spacing w:line="300" w:lineRule="auto" w:before="0"/>
        <w:ind w:left="513" w:right="1115"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）客户和供应商权益保护</w:t>
      </w:r>
      <w:r>
        <w:rPr>
          <w:rFonts w:ascii="宋体" w:hAnsi="宋体" w:cs="宋体" w:eastAsia="宋体" w:hint="default"/>
          <w:b/>
          <w:bCs/>
          <w:w w:val="99"/>
          <w:sz w:val="18"/>
          <w:szCs w:val="18"/>
        </w:rPr>
        <w:t> </w:t>
      </w:r>
      <w:r>
        <w:rPr>
          <w:rFonts w:ascii="宋体" w:hAnsi="宋体" w:cs="宋体" w:eastAsia="宋体" w:hint="default"/>
          <w:spacing w:val="-3"/>
          <w:sz w:val="18"/>
          <w:szCs w:val="18"/>
        </w:rPr>
        <w:t>公司建立了完善的客户服务体系，为客户提供及时、专业的服务，凭借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久其软件，钻石品质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的发展愿景和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天长地久，</w:t>
      </w:r>
    </w:p>
    <w:p>
      <w:pPr>
        <w:pStyle w:val="BodyText"/>
        <w:spacing w:line="300" w:lineRule="auto" w:before="13"/>
        <w:ind w:right="1115"/>
        <w:jc w:val="left"/>
      </w:pPr>
      <w:r>
        <w:rPr/>
        <w:t>与其为友</w:t>
      </w:r>
      <w:r>
        <w:rPr>
          <w:rFonts w:ascii="Times New Roman" w:hAnsi="Times New Roman" w:cs="Times New Roman" w:eastAsia="Times New Roman" w:hint="default"/>
        </w:rPr>
        <w:t>”</w:t>
      </w:r>
      <w:r>
        <w:rPr/>
        <w:t>的客户观在政府和企业领域积累了大量的优质客户资源。公司不断提升管理和服务水平，与客户和供应商建立并</w:t>
      </w:r>
      <w:r>
        <w:rPr>
          <w:spacing w:val="-76"/>
        </w:rPr>
        <w:t> </w:t>
      </w:r>
      <w:r>
        <w:rPr>
          <w:spacing w:val="-76"/>
        </w:rPr>
      </w:r>
      <w:r>
        <w:rPr/>
        <w:t>长期保持着良好合作关系，共同营造诚信、公平、共赢的合作氛围。</w:t>
      </w:r>
    </w:p>
    <w:p>
      <w:pPr>
        <w:spacing w:line="240" w:lineRule="auto" w:before="10"/>
        <w:rPr>
          <w:rFonts w:ascii="宋体" w:hAnsi="宋体" w:cs="宋体" w:eastAsia="宋体" w:hint="default"/>
          <w:sz w:val="23"/>
          <w:szCs w:val="23"/>
        </w:rPr>
      </w:pPr>
    </w:p>
    <w:p>
      <w:pPr>
        <w:pStyle w:val="Heading3"/>
        <w:spacing w:line="240" w:lineRule="auto"/>
        <w:ind w:right="0"/>
        <w:jc w:val="both"/>
        <w:rPr>
          <w:b w:val="0"/>
          <w:bCs w:val="0"/>
        </w:rPr>
      </w:pPr>
      <w:bookmarkStart w:name="2、履行精准扶贫社会责任情况" w:id="101"/>
      <w:bookmarkEnd w:id="101"/>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bookmarkStart w:name="3、环境保护相关的情况" w:id="102"/>
      <w:bookmarkEnd w:id="102"/>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5714"/>
        <w:jc w:val="left"/>
      </w:pPr>
      <w:r>
        <w:rPr/>
        <w:t>上市公司及其子公司是否属于环境保护部门公布的重点排污单位 否</w:t>
      </w:r>
    </w:p>
    <w:p>
      <w:pPr>
        <w:pStyle w:val="BodyText"/>
        <w:spacing w:line="316" w:lineRule="auto" w:before="25"/>
        <w:ind w:right="1115" w:firstLine="288"/>
        <w:jc w:val="left"/>
      </w:pPr>
      <w:r>
        <w:rPr>
          <w:spacing w:val="-1"/>
        </w:rPr>
        <w:t>公司隶属于软件和信息技术服务业，主营业务为管理软件和数字传播，不属于环境保护部门公布的重点排污单位，在日</w:t>
      </w:r>
      <w:r>
        <w:rPr/>
        <w:t> 常生产经营过程中不存在产生、排放污染物等不利环境保护的情形。</w:t>
      </w:r>
    </w:p>
    <w:p>
      <w:pPr>
        <w:spacing w:line="240" w:lineRule="auto" w:before="11"/>
        <w:rPr>
          <w:rFonts w:ascii="宋体" w:hAnsi="宋体" w:cs="宋体" w:eastAsia="宋体" w:hint="default"/>
          <w:sz w:val="20"/>
          <w:szCs w:val="20"/>
        </w:rPr>
      </w:pPr>
    </w:p>
    <w:p>
      <w:pPr>
        <w:pStyle w:val="Heading2"/>
        <w:spacing w:line="240" w:lineRule="auto"/>
        <w:ind w:right="1115"/>
        <w:jc w:val="left"/>
        <w:rPr>
          <w:b w:val="0"/>
          <w:bCs w:val="0"/>
        </w:rPr>
      </w:pPr>
      <w:bookmarkStart w:name="十九、其他重大事项的说明" w:id="103"/>
      <w:bookmarkEnd w:id="103"/>
      <w:r>
        <w:rPr>
          <w:b w:val="0"/>
          <w:bCs w:val="0"/>
        </w:rPr>
      </w:r>
      <w:r>
        <w:rPr/>
        <w:t>十九、其他重大事项的说明</w:t>
      </w:r>
      <w:r>
        <w:rPr>
          <w:b w:val="0"/>
          <w:bCs w:val="0"/>
        </w:rPr>
      </w:r>
    </w:p>
    <w:p>
      <w:pPr>
        <w:spacing w:line="664" w:lineRule="exact" w:before="25"/>
        <w:ind w:left="513" w:right="8586" w:hanging="36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上海移通有关案件情况</w:t>
      </w:r>
      <w:r>
        <w:rPr>
          <w:rFonts w:ascii="宋体" w:hAnsi="宋体" w:cs="宋体" w:eastAsia="宋体" w:hint="default"/>
          <w:sz w:val="18"/>
          <w:szCs w:val="18"/>
        </w:rPr>
      </w:r>
    </w:p>
    <w:p>
      <w:pPr>
        <w:pStyle w:val="Heading4"/>
        <w:spacing w:line="218" w:lineRule="exact"/>
        <w:ind w:right="1115"/>
        <w:jc w:val="left"/>
        <w:rPr>
          <w:b w:val="0"/>
          <w:bCs w:val="0"/>
        </w:rPr>
      </w:pPr>
      <w:r>
        <w:rPr>
          <w:rFonts w:ascii="Times New Roman" w:hAnsi="Times New Roman" w:cs="Times New Roman" w:eastAsia="Times New Roman" w:hint="default"/>
        </w:rPr>
        <w:t>1</w:t>
      </w:r>
      <w:r>
        <w:rPr/>
        <w:t>、有关案件情况</w:t>
      </w:r>
      <w:r>
        <w:rPr>
          <w:b w:val="0"/>
          <w:bCs w:val="0"/>
        </w:rPr>
      </w:r>
    </w:p>
    <w:p>
      <w:pPr>
        <w:spacing w:after="0" w:line="218" w:lineRule="exact"/>
        <w:jc w:val="left"/>
        <w:sectPr>
          <w:pgSz w:w="11910" w:h="16840"/>
          <w:pgMar w:header="877" w:footer="980" w:top="1100" w:bottom="1160" w:left="980" w:right="0"/>
        </w:sectPr>
      </w:pPr>
    </w:p>
    <w:p>
      <w:pPr>
        <w:spacing w:line="240" w:lineRule="auto" w:before="11"/>
        <w:rPr>
          <w:rFonts w:ascii="宋体" w:hAnsi="宋体" w:cs="宋体" w:eastAsia="宋体" w:hint="default"/>
          <w:b/>
          <w:bCs/>
          <w:sz w:val="21"/>
          <w:szCs w:val="21"/>
        </w:rPr>
      </w:pPr>
    </w:p>
    <w:p>
      <w:pPr>
        <w:pStyle w:val="BodyText"/>
        <w:spacing w:line="304" w:lineRule="auto" w:before="44"/>
        <w:ind w:right="1132"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t>日晚，公司发现上海移通个别员工存在私刻他人公司公章、印模等的违法行为，公司立即向上海市公安局 静安分局报案，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日，上海市公安局静安分局出具了伪造公章案件的刑事立案通知文件，目前案件还在进一步侦</w:t>
      </w:r>
      <w:r>
        <w:rPr>
          <w:spacing w:val="-86"/>
        </w:rPr>
        <w:t> </w:t>
      </w:r>
      <w:r>
        <w:rPr>
          <w:spacing w:val="-86"/>
        </w:rPr>
      </w:r>
      <w:r>
        <w:rPr>
          <w:spacing w:val="-2"/>
        </w:rPr>
        <w:t>查中。在上海移通原实际控制人黄家骁、总经理宦一鸣失联后，公司发现上海移通虚构业务，虚增业绩及利润，存在合同诈</w:t>
      </w:r>
      <w:r>
        <w:rPr>
          <w:spacing w:val="-67"/>
        </w:rPr>
        <w:t> </w:t>
      </w:r>
      <w:r>
        <w:rPr>
          <w:spacing w:val="-67"/>
        </w:rPr>
      </w:r>
      <w:r>
        <w:rPr/>
        <w:t>骗嫌疑，公司立即向北京市公安局海淀分局报案，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日，北京市公安局海淀分局出具了关于公司被合同诈骗案件</w:t>
      </w:r>
      <w:r>
        <w:rPr>
          <w:spacing w:val="-85"/>
        </w:rPr>
        <w:t> </w:t>
      </w:r>
      <w:r>
        <w:rPr>
          <w:spacing w:val="-85"/>
        </w:rPr>
      </w:r>
      <w:r>
        <w:rPr/>
        <w:t>的刑事立案通知文件，目前该刑事案件处于审查起诉阶段，部分犯罪嫌疑人已被批准逮捕。</w:t>
      </w:r>
    </w:p>
    <w:p>
      <w:pPr>
        <w:spacing w:line="240" w:lineRule="auto" w:before="13"/>
        <w:rPr>
          <w:rFonts w:ascii="宋体" w:hAnsi="宋体" w:cs="宋体" w:eastAsia="宋体" w:hint="default"/>
          <w:sz w:val="25"/>
          <w:szCs w:val="25"/>
        </w:rPr>
      </w:pPr>
    </w:p>
    <w:p>
      <w:pPr>
        <w:pStyle w:val="BodyText"/>
        <w:spacing w:line="300" w:lineRule="auto"/>
        <w:ind w:left="513" w:right="1123"/>
        <w:jc w:val="left"/>
      </w:pPr>
      <w:r>
        <w:rPr>
          <w:rFonts w:ascii="Times New Roman" w:hAnsi="Times New Roman" w:cs="Times New Roman" w:eastAsia="Times New Roman" w:hint="default"/>
          <w:b/>
          <w:bCs/>
        </w:rPr>
        <w:t>2</w:t>
      </w:r>
      <w:r>
        <w:rPr>
          <w:rFonts w:ascii="宋体" w:hAnsi="宋体" w:cs="宋体" w:eastAsia="宋体" w:hint="default"/>
          <w:b/>
          <w:bCs/>
        </w:rPr>
        <w:t>、资产剥离情况</w:t>
      </w:r>
      <w:r>
        <w:rPr>
          <w:rFonts w:ascii="宋体" w:hAnsi="宋体" w:cs="宋体" w:eastAsia="宋体" w:hint="default"/>
          <w:b/>
          <w:bCs/>
          <w:w w:val="99"/>
        </w:rPr>
        <w:t> </w:t>
      </w:r>
      <w:r>
        <w:rPr/>
        <w:t>为了维护中小股东及上市公司利益，尽快消除公司</w:t>
      </w:r>
      <w:r>
        <w:rPr>
          <w:rFonts w:ascii="Times New Roman" w:hAnsi="Times New Roman" w:cs="Times New Roman" w:eastAsia="Times New Roman" w:hint="default"/>
        </w:rPr>
        <w:t>2018</w:t>
      </w:r>
      <w:r>
        <w:rPr/>
        <w:t>年度保留意见事项的不利影响，</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16</w:t>
      </w:r>
      <w:r>
        <w:rPr/>
        <w:t>日，公司、上海移</w:t>
      </w:r>
    </w:p>
    <w:p>
      <w:pPr>
        <w:pStyle w:val="BodyText"/>
        <w:spacing w:line="309" w:lineRule="auto" w:before="13"/>
        <w:ind w:right="1034"/>
        <w:jc w:val="left"/>
      </w:pPr>
      <w:r>
        <w:rPr>
          <w:spacing w:val="-2"/>
        </w:rPr>
        <w:t>通与关联方启顺通达签署了《北京久其软件股份有限公司与北京启顺通达科技有限公司关于上海移通网络有限公司的股权转</w:t>
      </w:r>
      <w:r>
        <w:rPr>
          <w:spacing w:val="-64"/>
        </w:rPr>
        <w:t> </w:t>
      </w:r>
      <w:r>
        <w:rPr>
          <w:spacing w:val="-64"/>
        </w:rPr>
      </w:r>
      <w:r>
        <w:rPr>
          <w:spacing w:val="-2"/>
        </w:rPr>
        <w:t>让协议》，公司将持有的上海移通</w:t>
      </w:r>
      <w:r>
        <w:rPr>
          <w:rFonts w:ascii="Times New Roman" w:hAnsi="Times New Roman" w:cs="Times New Roman" w:eastAsia="Times New Roman" w:hint="default"/>
          <w:spacing w:val="-2"/>
        </w:rPr>
        <w:t>100%</w:t>
      </w:r>
      <w:r>
        <w:rPr>
          <w:spacing w:val="-2"/>
        </w:rPr>
        <w:t>股权转让给启顺通达，交易作价为</w:t>
      </w:r>
      <w:r>
        <w:rPr>
          <w:rFonts w:ascii="Times New Roman" w:hAnsi="Times New Roman" w:cs="Times New Roman" w:eastAsia="Times New Roman" w:hint="default"/>
          <w:spacing w:val="-2"/>
        </w:rPr>
        <w:t>30,300</w:t>
      </w:r>
      <w:r>
        <w:rPr>
          <w:spacing w:val="-2"/>
        </w:rPr>
        <w:t>万元人民币。与此同时，公司与上海移通、</w:t>
      </w:r>
      <w:r>
        <w:rPr>
          <w:spacing w:val="-76"/>
        </w:rPr>
        <w:t> </w:t>
      </w:r>
      <w:r>
        <w:rPr>
          <w:spacing w:val="-76"/>
        </w:rPr>
      </w:r>
      <w:r>
        <w:rPr>
          <w:spacing w:val="-5"/>
        </w:rPr>
        <w:t>启顺通达以及控股股东久其科技签署了《关于上海移通网络有限公司的诉讼及赔偿款分配安排协议》，且久其科技签署了《北</w:t>
      </w:r>
      <w:r>
        <w:rPr>
          <w:spacing w:val="-76"/>
        </w:rPr>
        <w:t> </w:t>
      </w:r>
      <w:r>
        <w:rPr>
          <w:spacing w:val="-76"/>
        </w:rPr>
      </w:r>
      <w:r>
        <w:rPr/>
        <w:t>京久其科技投资有限公司关于就北京启顺通达科技有限公司之承诺向北京久其软件股份有限公司承担补足责任的承诺函》，</w:t>
      </w:r>
      <w:r>
        <w:rPr>
          <w:spacing w:val="-83"/>
        </w:rPr>
        <w:t> </w:t>
      </w:r>
      <w:r>
        <w:rPr>
          <w:spacing w:val="-83"/>
        </w:rPr>
      </w:r>
      <w:r>
        <w:rPr/>
        <w:t>公司接受启顺通达和久其科技因上海移通</w:t>
      </w:r>
      <w:r>
        <w:rPr>
          <w:rFonts w:ascii="Times New Roman" w:hAnsi="Times New Roman" w:cs="Times New Roman" w:eastAsia="Times New Roman" w:hint="default"/>
        </w:rPr>
        <w:t>49%</w:t>
      </w:r>
      <w:r>
        <w:rPr/>
        <w:t>股权存在重大问题时对公司造成损失的补偿安排。截至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日，启顺 通达已向公司支付完毕全部</w:t>
      </w:r>
      <w:r>
        <w:rPr>
          <w:rFonts w:ascii="Times New Roman" w:hAnsi="Times New Roman" w:cs="Times New Roman" w:eastAsia="Times New Roman" w:hint="default"/>
        </w:rPr>
        <w:t>30,300</w:t>
      </w:r>
      <w:r>
        <w:rPr/>
        <w:t>万元股权转让价款，且公司与启顺通达已完成上海移通经营管理工作的交接，资产交割已 完成，上海移通不再纳入公司的合并报表范围。</w:t>
      </w:r>
    </w:p>
    <w:p>
      <w:pPr>
        <w:spacing w:line="240" w:lineRule="auto" w:before="9"/>
        <w:rPr>
          <w:rFonts w:ascii="宋体" w:hAnsi="宋体" w:cs="宋体" w:eastAsia="宋体" w:hint="default"/>
          <w:sz w:val="25"/>
          <w:szCs w:val="25"/>
        </w:rPr>
      </w:pPr>
    </w:p>
    <w:p>
      <w:pPr>
        <w:pStyle w:val="Heading4"/>
        <w:spacing w:line="240" w:lineRule="auto"/>
        <w:ind w:right="1115"/>
        <w:jc w:val="left"/>
        <w:rPr>
          <w:b w:val="0"/>
          <w:bCs w:val="0"/>
        </w:rPr>
      </w:pPr>
      <w:r>
        <w:rPr>
          <w:rFonts w:ascii="Times New Roman" w:hAnsi="Times New Roman" w:cs="Times New Roman" w:eastAsia="Times New Roman" w:hint="default"/>
        </w:rPr>
        <w:t>3</w:t>
      </w:r>
      <w:r>
        <w:rPr/>
        <w:t>、案件进展情况</w:t>
      </w:r>
      <w:r>
        <w:rPr>
          <w:b w:val="0"/>
          <w:bCs w:val="0"/>
        </w:rPr>
      </w:r>
    </w:p>
    <w:p>
      <w:pPr>
        <w:pStyle w:val="BodyText"/>
        <w:spacing w:line="300" w:lineRule="auto" w:before="63"/>
        <w:ind w:right="1130" w:firstLine="360"/>
        <w:jc w:val="both"/>
      </w:pPr>
      <w:r>
        <w:rPr/>
        <w:t>（</w:t>
      </w:r>
      <w:r>
        <w:rPr>
          <w:rFonts w:ascii="Times New Roman" w:hAnsi="Times New Roman" w:cs="Times New Roman" w:eastAsia="Times New Roman" w:hint="default"/>
        </w:rPr>
        <w:t>1</w:t>
      </w:r>
      <w:r>
        <w:rPr/>
        <w:t>）香港移通向上海仲裁委员会（以下简称</w:t>
      </w:r>
      <w:r>
        <w:rPr>
          <w:rFonts w:ascii="Times New Roman" w:hAnsi="Times New Roman" w:cs="Times New Roman" w:eastAsia="Times New Roman" w:hint="default"/>
        </w:rPr>
        <w:t>“</w:t>
      </w:r>
      <w:r>
        <w:rPr/>
        <w:t>仲裁委</w:t>
      </w:r>
      <w:r>
        <w:rPr>
          <w:rFonts w:ascii="Times New Roman" w:hAnsi="Times New Roman" w:cs="Times New Roman" w:eastAsia="Times New Roman" w:hint="default"/>
        </w:rPr>
        <w:t>”</w:t>
      </w:r>
      <w:r>
        <w:rPr/>
        <w:t>）仲裁申请，要求公司根据《收购上海移通网络有限公司、上海 恒瑞网络信息有限公司之总协议书》（以下简称《收购协议书》）支付股权交易尾款</w:t>
      </w:r>
      <w:r>
        <w:rPr>
          <w:rFonts w:ascii="Times New Roman" w:hAnsi="Times New Roman" w:cs="Times New Roman" w:eastAsia="Times New Roman" w:hint="default"/>
        </w:rPr>
        <w:t>2.448</w:t>
      </w:r>
      <w:r>
        <w:rPr/>
        <w:t>亿元及违约金，并承担与仲裁有</w:t>
      </w:r>
      <w:r>
        <w:rPr>
          <w:spacing w:val="-40"/>
        </w:rPr>
        <w:t> </w:t>
      </w:r>
      <w:r>
        <w:rPr>
          <w:spacing w:val="-40"/>
        </w:rPr>
      </w:r>
      <w:r>
        <w:rPr/>
        <w:t>关的仲裁费用，上海仲裁委员会于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日受理此案。公司已于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日向仲裁委提交《申请中止的请求》，认</w:t>
      </w:r>
      <w:r>
        <w:rPr>
          <w:spacing w:val="-87"/>
        </w:rPr>
        <w:t> </w:t>
      </w:r>
      <w:r>
        <w:rPr>
          <w:spacing w:val="-87"/>
        </w:rPr>
      </w:r>
      <w:r>
        <w:rPr/>
        <w:t>为该案应等待刑事审判结果确定。仲裁委于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日举行听证会，并于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日进行第一次开庭审理，鉴于案 </w:t>
      </w:r>
      <w:r>
        <w:rPr>
          <w:spacing w:val="-5"/>
        </w:rPr>
        <w:t>件复杂情况，延长该案审理时间至</w:t>
      </w:r>
      <w:r>
        <w:rPr>
          <w:rFonts w:ascii="Times New Roman" w:hAnsi="Times New Roman" w:cs="Times New Roman" w:eastAsia="Times New Roman" w:hint="default"/>
          <w:spacing w:val="-5"/>
        </w:rPr>
        <w:t>2020</w:t>
      </w:r>
      <w:r>
        <w:rPr>
          <w:spacing w:val="-5"/>
        </w:rPr>
        <w:t>年</w:t>
      </w:r>
      <w:r>
        <w:rPr>
          <w:rFonts w:ascii="Times New Roman" w:hAnsi="Times New Roman" w:cs="Times New Roman" w:eastAsia="Times New Roman" w:hint="default"/>
          <w:spacing w:val="-5"/>
        </w:rPr>
        <w:t>2</w:t>
      </w:r>
      <w:r>
        <w:rPr>
          <w:spacing w:val="-5"/>
        </w:rPr>
        <w:t>月</w:t>
      </w:r>
      <w:r>
        <w:rPr>
          <w:rFonts w:ascii="Times New Roman" w:hAnsi="Times New Roman" w:cs="Times New Roman" w:eastAsia="Times New Roman" w:hint="default"/>
          <w:spacing w:val="-5"/>
        </w:rPr>
        <w:t>19</w:t>
      </w:r>
      <w:r>
        <w:rPr>
          <w:spacing w:val="-5"/>
        </w:rPr>
        <w:t>日；公司于</w:t>
      </w:r>
      <w:r>
        <w:rPr>
          <w:rFonts w:ascii="Times New Roman" w:hAnsi="Times New Roman" w:cs="Times New Roman" w:eastAsia="Times New Roman" w:hint="default"/>
          <w:spacing w:val="-5"/>
        </w:rPr>
        <w:t>2020</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13</w:t>
      </w:r>
      <w:r>
        <w:rPr>
          <w:spacing w:val="-5"/>
        </w:rPr>
        <w:t>日收到通知，仲裁委将该案的审理期限继续延长至</w:t>
      </w:r>
      <w:r>
        <w:rPr>
          <w:rFonts w:ascii="Times New Roman" w:hAnsi="Times New Roman" w:cs="Times New Roman" w:eastAsia="Times New Roman" w:hint="default"/>
          <w:spacing w:val="-5"/>
        </w:rPr>
        <w:t>2020</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5"/>
        </w:rPr>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w:t>
      </w:r>
    </w:p>
    <w:p>
      <w:pPr>
        <w:pStyle w:val="BodyText"/>
        <w:spacing w:line="304" w:lineRule="auto" w:before="13"/>
        <w:ind w:right="1130" w:firstLine="360"/>
        <w:jc w:val="both"/>
      </w:pPr>
      <w:r>
        <w:rPr/>
        <w:t>此外，香港移通于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日向仲裁委申请了证据保全（（</w:t>
      </w:r>
      <w:r>
        <w:rPr>
          <w:rFonts w:ascii="Times New Roman" w:hAnsi="Times New Roman" w:cs="Times New Roman" w:eastAsia="Times New Roman" w:hint="default"/>
        </w:rPr>
        <w:t>2020</w:t>
      </w:r>
      <w:r>
        <w:rPr/>
        <w:t>）沪</w:t>
      </w:r>
      <w:r>
        <w:rPr>
          <w:rFonts w:ascii="Times New Roman" w:hAnsi="Times New Roman" w:cs="Times New Roman" w:eastAsia="Times New Roman" w:hint="default"/>
        </w:rPr>
        <w:t>02</w:t>
      </w:r>
      <w:r>
        <w:rPr/>
        <w:t>证保</w:t>
      </w:r>
      <w:r>
        <w:rPr>
          <w:rFonts w:ascii="Times New Roman" w:hAnsi="Times New Roman" w:cs="Times New Roman" w:eastAsia="Times New Roman" w:hint="default"/>
        </w:rPr>
        <w:t>1</w:t>
      </w:r>
      <w:r>
        <w:rPr/>
        <w:t>号）、财产保全（（</w:t>
      </w:r>
      <w:r>
        <w:rPr>
          <w:rFonts w:ascii="Times New Roman" w:hAnsi="Times New Roman" w:cs="Times New Roman" w:eastAsia="Times New Roman" w:hint="default"/>
        </w:rPr>
        <w:t>2020</w:t>
      </w:r>
      <w:r>
        <w:rPr/>
        <w:t>）沪</w:t>
      </w:r>
      <w:r>
        <w:rPr>
          <w:rFonts w:ascii="Times New Roman" w:hAnsi="Times New Roman" w:cs="Times New Roman" w:eastAsia="Times New Roman" w:hint="default"/>
        </w:rPr>
        <w:t>02</w:t>
      </w:r>
      <w:r>
        <w:rPr/>
        <w:t>财保</w:t>
      </w:r>
      <w:r>
        <w:rPr>
          <w:rFonts w:ascii="Times New Roman" w:hAnsi="Times New Roman" w:cs="Times New Roman" w:eastAsia="Times New Roman" w:hint="default"/>
        </w:rPr>
        <w:t>1 </w:t>
      </w:r>
      <w:r>
        <w:rPr/>
        <w:t>号），要求保全上海移通</w:t>
      </w:r>
      <w:r>
        <w:rPr>
          <w:rFonts w:ascii="Times New Roman" w:hAnsi="Times New Roman" w:cs="Times New Roman" w:eastAsia="Times New Roman" w:hint="default"/>
        </w:rPr>
        <w:t>2018</w:t>
      </w:r>
      <w:r>
        <w:rPr/>
        <w:t>年度财务资料及凭证，保全</w:t>
      </w:r>
      <w:r>
        <w:rPr>
          <w:rFonts w:ascii="Times New Roman" w:hAnsi="Times New Roman" w:cs="Times New Roman" w:eastAsia="Times New Roman" w:hint="default"/>
        </w:rPr>
        <w:t>2.448</w:t>
      </w:r>
      <w:r>
        <w:rPr/>
        <w:t>亿元财产。上海市第二中级人民法院对该保全申请立案后，</w:t>
      </w:r>
      <w:r>
        <w:rPr>
          <w:spacing w:val="-46"/>
        </w:rPr>
        <w:t> </w:t>
      </w:r>
      <w:r>
        <w:rPr>
          <w:spacing w:val="-46"/>
        </w:rPr>
      </w:r>
      <w:r>
        <w:rPr>
          <w:spacing w:val="-2"/>
        </w:rPr>
        <w:t>经审查认为，香港移通董事黄家骁，暨《收购协议书》签署方之一，因在履行协议的过程中，涉嫌合同诈骗，已被北京市公</w:t>
      </w:r>
      <w:r>
        <w:rPr>
          <w:spacing w:val="-73"/>
        </w:rPr>
        <w:t> </w:t>
      </w:r>
      <w:r>
        <w:rPr>
          <w:spacing w:val="-73"/>
        </w:rPr>
      </w:r>
      <w:r>
        <w:rPr>
          <w:spacing w:val="-2"/>
        </w:rPr>
        <w:t>安局海淀分局于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19</w:t>
      </w:r>
      <w:r>
        <w:rPr>
          <w:spacing w:val="-2"/>
        </w:rPr>
        <w:t>日侦查，并于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27</w:t>
      </w:r>
      <w:r>
        <w:rPr>
          <w:spacing w:val="-2"/>
        </w:rPr>
        <w:t>日被批准逮捕。鉴于案件涉嫌经济犯罪，公安机关已立案侦查，故香</w:t>
      </w:r>
      <w:r>
        <w:rPr>
          <w:spacing w:val="-56"/>
        </w:rPr>
        <w:t> </w:t>
      </w:r>
      <w:r>
        <w:rPr>
          <w:spacing w:val="-56"/>
        </w:rPr>
      </w:r>
      <w:r>
        <w:rPr/>
        <w:t>港移通提出的证据保全、财产保全不符合法律的规定，上海市第二中级人民法院于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22</w:t>
      </w:r>
      <w:r>
        <w:rPr/>
        <w:t>日驳回香港移通的申请。</w:t>
      </w:r>
    </w:p>
    <w:p>
      <w:pPr>
        <w:pStyle w:val="BodyText"/>
        <w:spacing w:line="300" w:lineRule="auto" w:before="9"/>
        <w:ind w:right="1128" w:firstLine="360"/>
        <w:jc w:val="both"/>
      </w:pPr>
      <w:r>
        <w:rPr/>
        <w:t>（</w:t>
      </w:r>
      <w:r>
        <w:rPr>
          <w:rFonts w:ascii="Times New Roman" w:hAnsi="Times New Roman" w:cs="Times New Roman" w:eastAsia="Times New Roman" w:hint="default"/>
        </w:rPr>
        <w:t>2</w:t>
      </w:r>
      <w:r>
        <w:rPr/>
        <w:t>）鉴于已有证据表明香港移通等在签订《收购协议书》时存在欺诈嫌疑，为维护广大投资者利益，公司和久其科技 </w:t>
      </w:r>
      <w:r>
        <w:rPr>
          <w:spacing w:val="-2"/>
        </w:rPr>
        <w:t>于</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24</w:t>
      </w:r>
      <w:r>
        <w:rPr>
          <w:spacing w:val="-2"/>
        </w:rPr>
        <w:t>日共同向上海仲裁委员会递交了《仲裁申请书》，申请裁决撤销公司及久其科技于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20</w:t>
      </w:r>
      <w:r>
        <w:rPr>
          <w:spacing w:val="-2"/>
        </w:rPr>
        <w:t>日签署《收购</w:t>
      </w:r>
      <w:r>
        <w:rPr>
          <w:spacing w:val="-54"/>
        </w:rPr>
        <w:t> </w:t>
      </w:r>
      <w:r>
        <w:rPr>
          <w:spacing w:val="-54"/>
        </w:rPr>
      </w:r>
      <w:r>
        <w:rPr>
          <w:spacing w:val="-1"/>
        </w:rPr>
        <w:t>协议书》，同时申请裁决香港移通及其相关方向公司及久其科技返还已支付的全部对价款项合计约</w:t>
      </w:r>
      <w:r>
        <w:rPr>
          <w:rFonts w:ascii="Times New Roman" w:hAnsi="Times New Roman" w:cs="Times New Roman" w:eastAsia="Times New Roman" w:hint="default"/>
          <w:spacing w:val="-1"/>
        </w:rPr>
        <w:t>11.952</w:t>
      </w:r>
      <w:r>
        <w:rPr>
          <w:spacing w:val="-1"/>
        </w:rPr>
        <w:t>亿元，并承担仲裁</w:t>
      </w:r>
      <w:r>
        <w:rPr>
          <w:spacing w:val="-73"/>
        </w:rPr>
        <w:t> </w:t>
      </w:r>
      <w:r>
        <w:rPr>
          <w:spacing w:val="-73"/>
        </w:rPr>
      </w:r>
      <w:r>
        <w:rPr/>
        <w:t>费、律师费等费用。该仲裁申请已于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日获得仲裁委受理。</w:t>
      </w:r>
    </w:p>
    <w:p>
      <w:pPr>
        <w:spacing w:line="240" w:lineRule="auto" w:before="11"/>
        <w:rPr>
          <w:rFonts w:ascii="宋体" w:hAnsi="宋体" w:cs="宋体" w:eastAsia="宋体" w:hint="default"/>
          <w:sz w:val="24"/>
          <w:szCs w:val="24"/>
        </w:rPr>
      </w:pPr>
    </w:p>
    <w:p>
      <w:pPr>
        <w:pStyle w:val="BodyText"/>
        <w:spacing w:line="300" w:lineRule="auto"/>
        <w:ind w:right="1134" w:firstLine="360"/>
        <w:jc w:val="both"/>
      </w:pPr>
      <w:r>
        <w:rPr/>
        <w:t>公司对上述情况的公告详见公司披露在巨潮资讯网（</w:t>
      </w:r>
      <w:hyperlink r:id="rId13">
        <w:r>
          <w:rPr>
            <w:rFonts w:ascii="Times New Roman" w:hAnsi="Times New Roman" w:cs="Times New Roman" w:eastAsia="Times New Roman" w:hint="default"/>
          </w:rPr>
          <w:t>www.cninfo.com.cn</w:t>
        </w:r>
      </w:hyperlink>
      <w:r>
        <w:rPr/>
        <w:t>）上的相关公告。关于案件后续进展情况，公 司将按照相关规定履行信息披露义务。</w:t>
      </w:r>
    </w:p>
    <w:p>
      <w:pPr>
        <w:spacing w:line="240" w:lineRule="auto" w:before="11"/>
        <w:rPr>
          <w:rFonts w:ascii="宋体" w:hAnsi="宋体" w:cs="宋体" w:eastAsia="宋体" w:hint="default"/>
          <w:sz w:val="21"/>
          <w:szCs w:val="21"/>
        </w:rPr>
      </w:pPr>
    </w:p>
    <w:p>
      <w:pPr>
        <w:pStyle w:val="Heading2"/>
        <w:spacing w:line="240" w:lineRule="auto"/>
        <w:ind w:right="1115"/>
        <w:jc w:val="left"/>
        <w:rPr>
          <w:b w:val="0"/>
          <w:bCs w:val="0"/>
        </w:rPr>
      </w:pPr>
      <w:bookmarkStart w:name="二十、公司子公司重大事项" w:id="104"/>
      <w:bookmarkEnd w:id="104"/>
      <w:r>
        <w:rPr>
          <w:b w:val="0"/>
          <w:bCs w:val="0"/>
        </w:rPr>
      </w:r>
      <w:r>
        <w:rPr/>
        <w:t>二十、公司子公司重大事项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126" w:firstLine="360"/>
        <w:jc w:val="both"/>
      </w:pPr>
      <w:r>
        <w:rPr>
          <w:rFonts w:ascii="Times New Roman" w:hAnsi="Times New Roman" w:cs="Times New Roman" w:eastAsia="Times New Roman" w:hint="default"/>
          <w:spacing w:val="-2"/>
        </w:rPr>
        <w:t>1</w:t>
      </w:r>
      <w:r>
        <w:rPr>
          <w:spacing w:val="-2"/>
        </w:rPr>
        <w:t>、控股子公司久金所于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月正式成立，主要从事面向合作企业员工的互联网金融信息服务。按照国家有关部门对</w:t>
      </w:r>
      <w:r>
        <w:rPr/>
        <w:t> </w:t>
      </w:r>
      <w:r>
        <w:rPr>
          <w:spacing w:val="-1"/>
        </w:rPr>
        <w:t>互联网金融和</w:t>
      </w:r>
      <w:r>
        <w:rPr>
          <w:rFonts w:ascii="Times New Roman" w:hAnsi="Times New Roman" w:cs="Times New Roman" w:eastAsia="Times New Roman" w:hint="default"/>
          <w:spacing w:val="-1"/>
        </w:rPr>
        <w:t>P2P</w:t>
      </w:r>
      <w:r>
        <w:rPr>
          <w:spacing w:val="-1"/>
        </w:rPr>
        <w:t>网贷监管政策的要求，以及公司力图聚焦主业发展的战略，公司将根据平台借贷偿还进展逐步关停久金所</w:t>
      </w:r>
      <w:r>
        <w:rPr>
          <w:spacing w:val="-50"/>
        </w:rPr>
        <w:t> </w:t>
      </w:r>
      <w:r>
        <w:rPr>
          <w:spacing w:val="-50"/>
        </w:rPr>
      </w:r>
      <w:r>
        <w:rPr>
          <w:spacing w:val="-3"/>
        </w:rPr>
        <w:t>的平台服务。截至报告期末，久金所平台借贷余额为</w:t>
      </w:r>
      <w:r>
        <w:rPr>
          <w:rFonts w:ascii="Times New Roman" w:hAnsi="Times New Roman" w:cs="Times New Roman" w:eastAsia="Times New Roman" w:hint="default"/>
          <w:spacing w:val="-3"/>
        </w:rPr>
        <w:t>5,071.94</w:t>
      </w:r>
      <w:r>
        <w:rPr>
          <w:spacing w:val="-3"/>
        </w:rPr>
        <w:t>万元，截至</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3</w:t>
      </w:r>
      <w:r>
        <w:rPr>
          <w:spacing w:val="-3"/>
        </w:rPr>
        <w:t>月末，平台借贷余额已减少至</w:t>
      </w:r>
      <w:r>
        <w:rPr>
          <w:rFonts w:ascii="Times New Roman" w:hAnsi="Times New Roman" w:cs="Times New Roman" w:eastAsia="Times New Roman" w:hint="default"/>
          <w:spacing w:val="-3"/>
        </w:rPr>
        <w:t>2,112.46</w:t>
      </w:r>
      <w:r>
        <w:rPr>
          <w:spacing w:val="-3"/>
        </w:rPr>
        <w:t>万元。</w:t>
      </w:r>
      <w:r>
        <w:rPr>
          <w:spacing w:val="-69"/>
        </w:rPr>
        <w:t> </w:t>
      </w:r>
      <w:r>
        <w:rPr/>
        <w:t>根据当前借贷偿还情况，预计久金所业务变化不会对公司财务状况和日常经营造成重大影响。</w:t>
      </w:r>
    </w:p>
    <w:p>
      <w:pPr>
        <w:spacing w:after="0" w:line="300" w:lineRule="auto"/>
        <w:jc w:val="both"/>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09" w:lineRule="auto" w:before="44"/>
        <w:ind w:right="1130" w:firstLine="360"/>
        <w:jc w:val="both"/>
      </w:pPr>
      <w:r>
        <w:rPr>
          <w:rFonts w:ascii="Times New Roman" w:hAnsi="Times New Roman" w:cs="Times New Roman" w:eastAsia="Times New Roman" w:hint="default"/>
        </w:rPr>
        <w:t>2</w:t>
      </w:r>
      <w:r>
        <w:rPr/>
        <w:t>、全资子公司久金保截至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日的应收保理款原值为</w:t>
      </w:r>
      <w:r>
        <w:rPr>
          <w:rFonts w:ascii="Times New Roman" w:hAnsi="Times New Roman" w:cs="Times New Roman" w:eastAsia="Times New Roman" w:hint="default"/>
        </w:rPr>
        <w:t>13,274.13</w:t>
      </w:r>
      <w:r>
        <w:rPr/>
        <w:t>万元，其中逾期金额</w:t>
      </w:r>
      <w:r>
        <w:rPr>
          <w:rFonts w:ascii="Times New Roman" w:hAnsi="Times New Roman" w:cs="Times New Roman" w:eastAsia="Times New Roman" w:hint="default"/>
        </w:rPr>
        <w:t>11,110</w:t>
      </w:r>
      <w:r>
        <w:rPr/>
        <w:t>万元，已计提坏账 金额</w:t>
      </w:r>
      <w:r>
        <w:rPr>
          <w:rFonts w:ascii="Times New Roman" w:hAnsi="Times New Roman" w:cs="Times New Roman" w:eastAsia="Times New Roman" w:hint="default"/>
        </w:rPr>
        <w:t>7,140.15</w:t>
      </w:r>
      <w:r>
        <w:rPr/>
        <w:t>万元。针对应收保理款逾期的情况，公司已诉诸司法途径。公司在维权过程中，发现逾期债务人北京中新能业</w:t>
      </w:r>
      <w:r>
        <w:rPr>
          <w:spacing w:val="-86"/>
        </w:rPr>
        <w:t> </w:t>
      </w:r>
      <w:r>
        <w:rPr>
          <w:spacing w:val="-86"/>
        </w:rPr>
      </w:r>
      <w:r>
        <w:rPr>
          <w:spacing w:val="-2"/>
        </w:rPr>
        <w:t>世纪科技有限公司与北京华科光辉科技有限公司存在造假嫌疑，并且据悉其实际控制人已因涉嫌多起债务纠纷被公安机关立</w:t>
      </w:r>
      <w:r>
        <w:rPr>
          <w:spacing w:val="-64"/>
        </w:rPr>
        <w:t> </w:t>
      </w:r>
      <w:r>
        <w:rPr>
          <w:spacing w:val="-64"/>
        </w:rPr>
      </w:r>
      <w:r>
        <w:rPr>
          <w:spacing w:val="-2"/>
        </w:rPr>
        <w:t>案，久金保亦按要求向公安机关提交了相关证据材料。通过对债务人被冻结资产情况的了解，并经可回收价值审慎分析，本</w:t>
      </w:r>
      <w:r>
        <w:rPr>
          <w:spacing w:val="-63"/>
        </w:rPr>
        <w:t> </w:t>
      </w:r>
      <w:r>
        <w:rPr>
          <w:spacing w:val="-63"/>
        </w:rPr>
      </w:r>
      <w:r>
        <w:rPr/>
        <w:t>报告期新增计提坏账准备</w:t>
      </w:r>
      <w:r>
        <w:rPr>
          <w:rFonts w:ascii="Times New Roman" w:hAnsi="Times New Roman" w:cs="Times New Roman" w:eastAsia="Times New Roman" w:hint="default"/>
        </w:rPr>
        <w:t>4,590.89</w:t>
      </w:r>
      <w:r>
        <w:rPr/>
        <w:t>万元，累计计提坏账损失</w:t>
      </w:r>
      <w:r>
        <w:rPr>
          <w:rFonts w:ascii="Times New Roman" w:hAnsi="Times New Roman" w:cs="Times New Roman" w:eastAsia="Times New Roman" w:hint="default"/>
        </w:rPr>
        <w:t>7,140.15</w:t>
      </w:r>
      <w:r>
        <w:rPr/>
        <w:t>万元。</w:t>
      </w:r>
    </w:p>
    <w:p>
      <w:pPr>
        <w:spacing w:line="240" w:lineRule="auto" w:before="0"/>
        <w:rPr>
          <w:rFonts w:ascii="宋体" w:hAnsi="宋体" w:cs="宋体" w:eastAsia="宋体" w:hint="default"/>
          <w:sz w:val="18"/>
          <w:szCs w:val="18"/>
        </w:rPr>
      </w:pPr>
    </w:p>
    <w:p>
      <w:pPr>
        <w:pStyle w:val="BodyText"/>
        <w:spacing w:line="300" w:lineRule="auto" w:before="160"/>
        <w:ind w:right="1131" w:firstLine="360"/>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月，全资子公司海南久其互联网产业研究院有限公司（以下简称</w:t>
      </w:r>
      <w:r>
        <w:rPr>
          <w:rFonts w:ascii="Times New Roman" w:hAnsi="Times New Roman" w:cs="Times New Roman" w:eastAsia="Times New Roman" w:hint="default"/>
          <w:spacing w:val="-2"/>
        </w:rPr>
        <w:t>“</w:t>
      </w:r>
      <w:r>
        <w:rPr>
          <w:spacing w:val="-2"/>
        </w:rPr>
        <w:t>久其互联网研究院</w:t>
      </w:r>
      <w:r>
        <w:rPr>
          <w:rFonts w:ascii="Times New Roman" w:hAnsi="Times New Roman" w:cs="Times New Roman" w:eastAsia="Times New Roman" w:hint="default"/>
          <w:spacing w:val="-2"/>
        </w:rPr>
        <w:t>”</w:t>
      </w:r>
      <w:r>
        <w:rPr>
          <w:spacing w:val="-2"/>
        </w:rPr>
        <w:t>）联合国新商业保理有</w:t>
      </w:r>
      <w:r>
        <w:rPr/>
        <w:t> 限公司发起设立国新久其数字科技</w:t>
      </w:r>
      <w:r>
        <w:rPr>
          <w:rFonts w:ascii="Times New Roman" w:hAnsi="Times New Roman" w:cs="Times New Roman" w:eastAsia="Times New Roman" w:hint="default"/>
        </w:rPr>
        <w:t>(</w:t>
      </w:r>
      <w:r>
        <w:rPr/>
        <w:t>北京</w:t>
      </w:r>
      <w:r>
        <w:rPr>
          <w:rFonts w:ascii="Times New Roman" w:hAnsi="Times New Roman" w:cs="Times New Roman" w:eastAsia="Times New Roman" w:hint="default"/>
        </w:rPr>
        <w:t>)</w:t>
      </w:r>
      <w:r>
        <w:rPr/>
        <w:t>有限公司，其中久其互联网研究院认缴出资</w:t>
      </w:r>
      <w:r>
        <w:rPr>
          <w:rFonts w:ascii="Times New Roman" w:hAnsi="Times New Roman" w:cs="Times New Roman" w:eastAsia="Times New Roman" w:hint="default"/>
        </w:rPr>
        <w:t>1,470</w:t>
      </w:r>
      <w:r>
        <w:rPr/>
        <w:t>万元（持股占比</w:t>
      </w:r>
      <w:r>
        <w:rPr>
          <w:rFonts w:ascii="Times New Roman" w:hAnsi="Times New Roman" w:cs="Times New Roman" w:eastAsia="Times New Roman" w:hint="default"/>
        </w:rPr>
        <w:t>49%</w:t>
      </w:r>
      <w:r>
        <w:rPr/>
        <w:t>）。</w:t>
      </w:r>
    </w:p>
    <w:p>
      <w:pPr>
        <w:spacing w:line="240" w:lineRule="auto" w:before="11"/>
        <w:rPr>
          <w:rFonts w:ascii="宋体" w:hAnsi="宋体" w:cs="宋体" w:eastAsia="宋体" w:hint="default"/>
          <w:sz w:val="24"/>
          <w:szCs w:val="24"/>
        </w:rPr>
      </w:pPr>
    </w:p>
    <w:p>
      <w:pPr>
        <w:pStyle w:val="BodyText"/>
        <w:spacing w:line="240" w:lineRule="auto"/>
        <w:ind w:left="513" w:right="1115"/>
        <w:jc w:val="left"/>
      </w:pPr>
      <w:r>
        <w:rPr>
          <w:rFonts w:ascii="Times New Roman" w:hAnsi="Times New Roman" w:cs="Times New Roman" w:eastAsia="Times New Roman" w:hint="default"/>
        </w:rPr>
        <w:t>4</w:t>
      </w:r>
      <w:r>
        <w:rPr/>
        <w:t>、其他公司子公司重大事项汇总：</w:t>
      </w:r>
    </w:p>
    <w:p>
      <w:pPr>
        <w:spacing w:line="240" w:lineRule="auto" w:before="8"/>
        <w:rPr>
          <w:rFonts w:ascii="宋体" w:hAnsi="宋体" w:cs="宋体" w:eastAsia="宋体" w:hint="default"/>
          <w:sz w:val="4"/>
          <w:szCs w:val="4"/>
        </w:rPr>
      </w:pPr>
    </w:p>
    <w:tbl>
      <w:tblPr>
        <w:tblW w:w="0" w:type="auto"/>
        <w:jc w:val="left"/>
        <w:tblInd w:w="157" w:type="dxa"/>
        <w:tblLayout w:type="fixed"/>
        <w:tblCellMar>
          <w:top w:w="0" w:type="dxa"/>
          <w:left w:w="0" w:type="dxa"/>
          <w:bottom w:w="0" w:type="dxa"/>
          <w:right w:w="0" w:type="dxa"/>
        </w:tblCellMar>
        <w:tblLook w:val="01E0"/>
      </w:tblPr>
      <w:tblGrid>
        <w:gridCol w:w="4650"/>
        <w:gridCol w:w="1361"/>
        <w:gridCol w:w="3610"/>
      </w:tblGrid>
      <w:tr>
        <w:trPr>
          <w:trHeight w:val="421" w:hRule="exact"/>
        </w:trPr>
        <w:tc>
          <w:tcPr>
            <w:tcW w:w="465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5"/>
              <w:ind w:left="-1" w:right="0"/>
              <w:jc w:val="center"/>
              <w:rPr>
                <w:rFonts w:ascii="宋体" w:hAnsi="宋体" w:cs="宋体" w:eastAsia="宋体" w:hint="default"/>
                <w:sz w:val="18"/>
                <w:szCs w:val="18"/>
              </w:rPr>
            </w:pPr>
            <w:r>
              <w:rPr>
                <w:rFonts w:ascii="宋体" w:hAnsi="宋体" w:cs="宋体" w:eastAsia="宋体" w:hint="default"/>
                <w:sz w:val="18"/>
                <w:szCs w:val="18"/>
              </w:rPr>
              <w:t>事项概述</w:t>
            </w:r>
          </w:p>
        </w:tc>
        <w:tc>
          <w:tcPr>
            <w:tcW w:w="13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5"/>
              <w:ind w:left="31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36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5"/>
              <w:ind w:right="3"/>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52"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61"/>
              <w:ind w:left="2" w:right="0"/>
              <w:jc w:val="both"/>
              <w:rPr>
                <w:rFonts w:ascii="宋体" w:hAnsi="宋体" w:cs="宋体" w:eastAsia="宋体" w:hint="default"/>
                <w:sz w:val="18"/>
                <w:szCs w:val="18"/>
              </w:rPr>
            </w:pPr>
            <w:r>
              <w:rPr>
                <w:rFonts w:ascii="宋体" w:hAnsi="宋体" w:cs="宋体" w:eastAsia="宋体" w:hint="default"/>
                <w:spacing w:val="4"/>
                <w:sz w:val="18"/>
                <w:szCs w:val="18"/>
              </w:rPr>
              <w:t>全资子公司久金保向华夏银行股份有限公司北京方庄支行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申请</w:t>
            </w:r>
            <w:r>
              <w:rPr>
                <w:rFonts w:ascii="Times New Roman" w:hAnsi="Times New Roman" w:cs="Times New Roman" w:eastAsia="Times New Roman" w:hint="default"/>
                <w:sz w:val="18"/>
                <w:szCs w:val="18"/>
              </w:rPr>
              <w:t>10,000</w:t>
            </w:r>
            <w:r>
              <w:rPr>
                <w:rFonts w:ascii="宋体" w:hAnsi="宋体" w:cs="宋体" w:eastAsia="宋体" w:hint="default"/>
                <w:sz w:val="18"/>
                <w:szCs w:val="18"/>
              </w:rPr>
              <w:t>万元人民币的综合授信额度，期限为一年，同时 公司为其提供连带责任保证担保。</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3610"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61"/>
              <w:ind w:left="2" w:right="-7"/>
              <w:jc w:val="both"/>
              <w:rPr>
                <w:rFonts w:ascii="Times New Roman" w:hAnsi="Times New Roman" w:cs="Times New Roman" w:eastAsia="Times New Roman" w:hint="default"/>
                <w:sz w:val="18"/>
                <w:szCs w:val="18"/>
              </w:rPr>
            </w:pPr>
            <w:r>
              <w:rPr>
                <w:rFonts w:ascii="宋体" w:hAnsi="宋体" w:cs="宋体" w:eastAsia="宋体" w:hint="default"/>
                <w:spacing w:val="8"/>
                <w:sz w:val="18"/>
                <w:szCs w:val="18"/>
              </w:rPr>
              <w:t>《关于全资子公司申请银行综合授信及公司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为其提供担保的公告》（公告编号</w:t>
            </w:r>
            <w:r>
              <w:rPr>
                <w:rFonts w:ascii="Times New Roman" w:hAnsi="Times New Roman" w:cs="Times New Roman" w:eastAsia="Times New Roman" w:hint="default"/>
                <w:sz w:val="18"/>
                <w:szCs w:val="18"/>
              </w:rPr>
              <w:t>2019-019</w:t>
            </w:r>
            <w:r>
              <w:rPr>
                <w:rFonts w:ascii="宋体" w:hAnsi="宋体" w:cs="宋体" w:eastAsia="宋体" w:hint="default"/>
                <w:sz w:val="18"/>
                <w:szCs w:val="18"/>
              </w:rPr>
              <w:t>）</w:t>
            </w:r>
            <w:r>
              <w:rPr>
                <w:rFonts w:ascii="宋体" w:hAnsi="宋体" w:cs="宋体" w:eastAsia="宋体" w:hint="default"/>
                <w:spacing w:val="-71"/>
                <w:sz w:val="18"/>
                <w:szCs w:val="18"/>
              </w:rPr>
              <w:t> </w:t>
            </w:r>
            <w:r>
              <w:rPr>
                <w:rFonts w:ascii="宋体" w:hAnsi="宋体" w:cs="宋体" w:eastAsia="宋体" w:hint="default"/>
                <w:sz w:val="18"/>
                <w:szCs w:val="18"/>
              </w:rPr>
              <w:t>已披露于巨潮资讯网</w:t>
            </w:r>
            <w:hyperlink r:id="rId13">
              <w:r>
                <w:rPr>
                  <w:rFonts w:ascii="Times New Roman" w:hAnsi="Times New Roman" w:cs="Times New Roman" w:eastAsia="Times New Roman" w:hint="default"/>
                  <w:sz w:val="18"/>
                  <w:szCs w:val="18"/>
                </w:rPr>
                <w:t>www.cninfo.com.cn</w:t>
              </w:r>
            </w:hyperlink>
          </w:p>
        </w:tc>
      </w:tr>
      <w:tr>
        <w:trPr>
          <w:trHeight w:val="1363"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1"/>
              <w:ind w:left="2" w:right="-5"/>
              <w:jc w:val="left"/>
              <w:rPr>
                <w:rFonts w:ascii="宋体" w:hAnsi="宋体" w:cs="宋体" w:eastAsia="宋体" w:hint="default"/>
                <w:sz w:val="18"/>
                <w:szCs w:val="18"/>
              </w:rPr>
            </w:pPr>
            <w:r>
              <w:rPr>
                <w:rFonts w:ascii="宋体" w:hAnsi="宋体" w:cs="宋体" w:eastAsia="宋体" w:hint="default"/>
                <w:spacing w:val="5"/>
                <w:sz w:val="18"/>
                <w:szCs w:val="18"/>
              </w:rPr>
              <w:t>公司于</w:t>
            </w:r>
            <w:r>
              <w:rPr>
                <w:rFonts w:ascii="Times New Roman" w:hAnsi="Times New Roman" w:cs="Times New Roman" w:eastAsia="Times New Roman" w:hint="default"/>
                <w:spacing w:val="5"/>
                <w:sz w:val="18"/>
                <w:szCs w:val="18"/>
              </w:rPr>
              <w:t>2018</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11</w:t>
            </w:r>
            <w:r>
              <w:rPr>
                <w:rFonts w:ascii="宋体" w:hAnsi="宋体" w:cs="宋体" w:eastAsia="宋体" w:hint="default"/>
                <w:spacing w:val="5"/>
                <w:sz w:val="18"/>
                <w:szCs w:val="18"/>
              </w:rPr>
              <w:t>月将持有的控股子公司久其金建</w:t>
            </w:r>
            <w:r>
              <w:rPr>
                <w:rFonts w:ascii="Times New Roman" w:hAnsi="Times New Roman" w:cs="Times New Roman" w:eastAsia="Times New Roman" w:hint="default"/>
                <w:spacing w:val="5"/>
                <w:sz w:val="18"/>
                <w:szCs w:val="18"/>
              </w:rPr>
              <w:t>24%</w:t>
            </w:r>
            <w:r>
              <w:rPr>
                <w:rFonts w:ascii="宋体" w:hAnsi="宋体" w:cs="宋体" w:eastAsia="宋体" w:hint="default"/>
                <w:spacing w:val="5"/>
                <w:sz w:val="18"/>
                <w:szCs w:val="18"/>
              </w:rPr>
              <w:t>的股</w:t>
            </w:r>
            <w:r>
              <w:rPr>
                <w:rFonts w:ascii="宋体" w:hAnsi="宋体" w:cs="宋体" w:eastAsia="宋体" w:hint="default"/>
                <w:spacing w:val="-74"/>
                <w:sz w:val="18"/>
                <w:szCs w:val="18"/>
              </w:rPr>
              <w:t> </w:t>
            </w:r>
            <w:r>
              <w:rPr>
                <w:rFonts w:ascii="宋体" w:hAnsi="宋体" w:cs="宋体" w:eastAsia="宋体" w:hint="default"/>
                <w:spacing w:val="4"/>
                <w:sz w:val="18"/>
                <w:szCs w:val="18"/>
              </w:rPr>
              <w:t>权转让给久其金建的员工持股平台北京华屋伟业科技中心</w:t>
            </w:r>
          </w:p>
          <w:p>
            <w:pPr>
              <w:pStyle w:val="TableParagraph"/>
              <w:spacing w:line="316" w:lineRule="auto" w:before="33"/>
              <w:ind w:left="2" w:right="-20"/>
              <w:jc w:val="left"/>
              <w:rPr>
                <w:rFonts w:ascii="宋体" w:hAnsi="宋体" w:cs="宋体" w:eastAsia="宋体" w:hint="default"/>
                <w:sz w:val="18"/>
                <w:szCs w:val="18"/>
              </w:rPr>
            </w:pPr>
            <w:r>
              <w:rPr>
                <w:rFonts w:ascii="宋体" w:hAnsi="宋体" w:cs="宋体" w:eastAsia="宋体" w:hint="default"/>
                <w:spacing w:val="-3"/>
                <w:sz w:val="18"/>
                <w:szCs w:val="18"/>
              </w:rPr>
              <w:t>（有限合伙）的工商变更登记办理完成，本次股权转让完成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后，久其金建仍为公司控股子公司，公司持有其</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3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7"/>
              <w:jc w:val="left"/>
              <w:rPr>
                <w:rFonts w:ascii="宋体" w:hAnsi="宋体" w:cs="宋体" w:eastAsia="宋体" w:hint="default"/>
                <w:sz w:val="18"/>
                <w:szCs w:val="18"/>
              </w:rPr>
            </w:pPr>
            <w:r>
              <w:rPr>
                <w:rFonts w:ascii="宋体" w:hAnsi="宋体" w:cs="宋体" w:eastAsia="宋体" w:hint="default"/>
                <w:sz w:val="18"/>
                <w:szCs w:val="18"/>
              </w:rPr>
              <w:t>《关于转让控股子公司部分股权的进展公告》</w:t>
            </w:r>
          </w:p>
          <w:p>
            <w:pPr>
              <w:pStyle w:val="TableParagraph"/>
              <w:spacing w:line="340" w:lineRule="auto" w:before="74"/>
              <w:ind w:left="2" w:right="1"/>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（公告编号</w:t>
            </w:r>
            <w:r>
              <w:rPr>
                <w:rFonts w:ascii="Times New Roman" w:hAnsi="Times New Roman" w:cs="Times New Roman" w:eastAsia="Times New Roman" w:hint="default"/>
                <w:spacing w:val="8"/>
                <w:sz w:val="18"/>
                <w:szCs w:val="18"/>
              </w:rPr>
              <w:t>2019-021</w:t>
            </w:r>
            <w:r>
              <w:rPr>
                <w:rFonts w:ascii="宋体" w:hAnsi="宋体" w:cs="宋体" w:eastAsia="宋体" w:hint="default"/>
                <w:spacing w:val="8"/>
                <w:sz w:val="18"/>
                <w:szCs w:val="18"/>
              </w:rPr>
              <w:t>）已披露于巨潮资讯网</w:t>
            </w:r>
            <w:r>
              <w:rPr>
                <w:rFonts w:ascii="宋体" w:hAnsi="宋体" w:cs="宋体" w:eastAsia="宋体" w:hint="default"/>
                <w:spacing w:val="-83"/>
                <w:sz w:val="18"/>
                <w:szCs w:val="18"/>
              </w:rPr>
              <w:t> </w:t>
            </w:r>
            <w:r>
              <w:rPr>
                <w:rFonts w:ascii="宋体" w:hAnsi="宋体" w:cs="宋体" w:eastAsia="宋体" w:hint="default"/>
                <w:spacing w:val="-83"/>
                <w:sz w:val="18"/>
                <w:szCs w:val="18"/>
              </w:rPr>
            </w:r>
            <w:hyperlink r:id="rId13">
              <w:r>
                <w:rPr>
                  <w:rFonts w:ascii="Times New Roman" w:hAnsi="Times New Roman" w:cs="Times New Roman" w:eastAsia="Times New Roman" w:hint="default"/>
                  <w:sz w:val="18"/>
                  <w:szCs w:val="18"/>
                </w:rPr>
                <w:t>www.cninfo.com.cn</w:t>
              </w:r>
            </w:hyperlink>
          </w:p>
        </w:tc>
      </w:tr>
      <w:tr>
        <w:trPr>
          <w:trHeight w:val="1051"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316" w:lineRule="auto"/>
              <w:ind w:left="2" w:right="6"/>
              <w:jc w:val="left"/>
              <w:rPr>
                <w:rFonts w:ascii="宋体" w:hAnsi="宋体" w:cs="宋体" w:eastAsia="宋体" w:hint="default"/>
                <w:sz w:val="18"/>
                <w:szCs w:val="18"/>
              </w:rPr>
            </w:pPr>
            <w:r>
              <w:rPr>
                <w:rFonts w:ascii="宋体" w:hAnsi="宋体" w:cs="宋体" w:eastAsia="宋体" w:hint="default"/>
                <w:spacing w:val="4"/>
                <w:sz w:val="18"/>
                <w:szCs w:val="18"/>
              </w:rPr>
              <w:t>全资子公司华夏电通向中国民生银行股份有限公司北京分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行申请</w:t>
            </w:r>
            <w:r>
              <w:rPr>
                <w:rFonts w:ascii="Times New Roman" w:hAnsi="Times New Roman" w:cs="Times New Roman" w:eastAsia="Times New Roman" w:hint="default"/>
                <w:sz w:val="18"/>
                <w:szCs w:val="18"/>
              </w:rPr>
              <w:t>2,000</w:t>
            </w:r>
            <w:r>
              <w:rPr>
                <w:rFonts w:ascii="宋体" w:hAnsi="宋体" w:cs="宋体" w:eastAsia="宋体" w:hint="default"/>
                <w:sz w:val="18"/>
                <w:szCs w:val="18"/>
              </w:rPr>
              <w:t>万元人民币的综合授信额度，期限</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3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7"/>
              <w:jc w:val="left"/>
              <w:rPr>
                <w:rFonts w:ascii="宋体" w:hAnsi="宋体" w:cs="宋体" w:eastAsia="宋体" w:hint="default"/>
                <w:sz w:val="18"/>
                <w:szCs w:val="18"/>
              </w:rPr>
            </w:pPr>
            <w:r>
              <w:rPr>
                <w:rFonts w:ascii="宋体" w:hAnsi="宋体" w:cs="宋体" w:eastAsia="宋体" w:hint="default"/>
                <w:sz w:val="18"/>
                <w:szCs w:val="18"/>
              </w:rPr>
              <w:t>《关于全资子公司申请银行综合授信的公告》</w:t>
            </w:r>
          </w:p>
          <w:p>
            <w:pPr>
              <w:pStyle w:val="TableParagraph"/>
              <w:spacing w:line="340" w:lineRule="auto" w:before="76"/>
              <w:ind w:left="2" w:right="1"/>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（公告编号</w:t>
            </w:r>
            <w:r>
              <w:rPr>
                <w:rFonts w:ascii="Times New Roman" w:hAnsi="Times New Roman" w:cs="Times New Roman" w:eastAsia="Times New Roman" w:hint="default"/>
                <w:spacing w:val="8"/>
                <w:sz w:val="18"/>
                <w:szCs w:val="18"/>
              </w:rPr>
              <w:t>2019-077</w:t>
            </w:r>
            <w:r>
              <w:rPr>
                <w:rFonts w:ascii="宋体" w:hAnsi="宋体" w:cs="宋体" w:eastAsia="宋体" w:hint="default"/>
                <w:spacing w:val="8"/>
                <w:sz w:val="18"/>
                <w:szCs w:val="18"/>
              </w:rPr>
              <w:t>）已披露于巨潮资讯网</w:t>
            </w:r>
            <w:r>
              <w:rPr>
                <w:rFonts w:ascii="宋体" w:hAnsi="宋体" w:cs="宋体" w:eastAsia="宋体" w:hint="default"/>
                <w:spacing w:val="-83"/>
                <w:sz w:val="18"/>
                <w:szCs w:val="18"/>
              </w:rPr>
              <w:t> </w:t>
            </w:r>
            <w:r>
              <w:rPr>
                <w:rFonts w:ascii="宋体" w:hAnsi="宋体" w:cs="宋体" w:eastAsia="宋体" w:hint="default"/>
                <w:spacing w:val="-83"/>
                <w:sz w:val="18"/>
                <w:szCs w:val="18"/>
              </w:rPr>
            </w:r>
            <w:hyperlink r:id="rId13">
              <w:r>
                <w:rPr>
                  <w:rFonts w:ascii="Times New Roman" w:hAnsi="Times New Roman" w:cs="Times New Roman" w:eastAsia="Times New Roman" w:hint="default"/>
                  <w:sz w:val="18"/>
                  <w:szCs w:val="18"/>
                </w:rPr>
                <w:t>www.cninfo.com.cn</w:t>
              </w:r>
            </w:hyperlink>
          </w:p>
        </w:tc>
      </w:tr>
      <w:tr>
        <w:trPr>
          <w:trHeight w:val="1364"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58"/>
              <w:ind w:left="2" w:right="0"/>
              <w:jc w:val="both"/>
              <w:rPr>
                <w:rFonts w:ascii="宋体" w:hAnsi="宋体" w:cs="宋体" w:eastAsia="宋体" w:hint="default"/>
                <w:sz w:val="18"/>
                <w:szCs w:val="18"/>
              </w:rPr>
            </w:pPr>
            <w:r>
              <w:rPr>
                <w:rFonts w:ascii="宋体" w:hAnsi="宋体" w:cs="宋体" w:eastAsia="宋体" w:hint="default"/>
                <w:spacing w:val="4"/>
                <w:sz w:val="18"/>
                <w:szCs w:val="18"/>
              </w:rPr>
              <w:t>公司及控股子公司久其政务向中信银行股份有限公司总行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营业部申请合计</w:t>
            </w:r>
            <w:r>
              <w:rPr>
                <w:rFonts w:ascii="Times New Roman" w:hAnsi="Times New Roman" w:cs="Times New Roman" w:eastAsia="Times New Roman" w:hint="default"/>
                <w:spacing w:val="2"/>
                <w:sz w:val="18"/>
                <w:szCs w:val="18"/>
              </w:rPr>
              <w:t>5,000</w:t>
            </w:r>
            <w:r>
              <w:rPr>
                <w:rFonts w:ascii="宋体" w:hAnsi="宋体" w:cs="宋体" w:eastAsia="宋体" w:hint="default"/>
                <w:spacing w:val="2"/>
                <w:sz w:val="18"/>
                <w:szCs w:val="18"/>
              </w:rPr>
              <w:t>万元人民币的低风险综合授信额度，</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其中公司可使用</w:t>
            </w:r>
            <w:r>
              <w:rPr>
                <w:rFonts w:ascii="Times New Roman" w:hAnsi="Times New Roman" w:cs="Times New Roman" w:eastAsia="Times New Roman" w:hint="default"/>
                <w:sz w:val="18"/>
                <w:szCs w:val="18"/>
              </w:rPr>
              <w:t>4,000</w:t>
            </w:r>
            <w:r>
              <w:rPr>
                <w:rFonts w:ascii="宋体" w:hAnsi="宋体" w:cs="宋体" w:eastAsia="宋体" w:hint="default"/>
                <w:sz w:val="18"/>
                <w:szCs w:val="18"/>
              </w:rPr>
              <w:t>万元、久其政务可使用</w:t>
            </w:r>
            <w:r>
              <w:rPr>
                <w:rFonts w:ascii="Times New Roman" w:hAnsi="Times New Roman" w:cs="Times New Roman" w:eastAsia="Times New Roman" w:hint="default"/>
                <w:sz w:val="18"/>
                <w:szCs w:val="18"/>
              </w:rPr>
              <w:t>1,000</w:t>
            </w:r>
            <w:r>
              <w:rPr>
                <w:rFonts w:ascii="宋体" w:hAnsi="宋体" w:cs="宋体" w:eastAsia="宋体" w:hint="default"/>
                <w:sz w:val="18"/>
                <w:szCs w:val="18"/>
              </w:rPr>
              <w:t>万元，期</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限为一年。</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3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309" w:lineRule="auto"/>
              <w:ind w:left="2" w:right="-7"/>
              <w:jc w:val="both"/>
              <w:rPr>
                <w:rFonts w:ascii="Times New Roman" w:hAnsi="Times New Roman" w:cs="Times New Roman" w:eastAsia="Times New Roman" w:hint="default"/>
                <w:sz w:val="18"/>
                <w:szCs w:val="18"/>
              </w:rPr>
            </w:pPr>
            <w:r>
              <w:rPr>
                <w:rFonts w:ascii="宋体" w:hAnsi="宋体" w:cs="宋体" w:eastAsia="宋体" w:hint="default"/>
                <w:spacing w:val="8"/>
                <w:sz w:val="18"/>
                <w:szCs w:val="18"/>
              </w:rPr>
              <w:t>《关于公司及子公司申请银行综合授信的公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告》（公告编号</w:t>
            </w:r>
            <w:r>
              <w:rPr>
                <w:rFonts w:ascii="Times New Roman" w:hAnsi="Times New Roman" w:cs="Times New Roman" w:eastAsia="Times New Roman" w:hint="default"/>
                <w:sz w:val="18"/>
                <w:szCs w:val="18"/>
              </w:rPr>
              <w:t>2019-132</w:t>
            </w:r>
            <w:r>
              <w:rPr>
                <w:rFonts w:ascii="宋体" w:hAnsi="宋体" w:cs="宋体" w:eastAsia="宋体" w:hint="default"/>
                <w:sz w:val="18"/>
                <w:szCs w:val="18"/>
              </w:rPr>
              <w:t>）已披露于巨潮资讯</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网</w:t>
            </w:r>
            <w:hyperlink r:id="rId13">
              <w:r>
                <w:rPr>
                  <w:rFonts w:ascii="Times New Roman" w:hAnsi="Times New Roman" w:cs="Times New Roman" w:eastAsia="Times New Roman" w:hint="default"/>
                  <w:sz w:val="18"/>
                  <w:szCs w:val="18"/>
                </w:rPr>
                <w:t>www.cninfo.com.cn</w:t>
              </w:r>
            </w:hyperlink>
          </w:p>
        </w:tc>
      </w:tr>
      <w:tr>
        <w:trPr>
          <w:trHeight w:val="1363"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58"/>
              <w:ind w:left="2" w:right="0"/>
              <w:jc w:val="both"/>
              <w:rPr>
                <w:rFonts w:ascii="宋体" w:hAnsi="宋体" w:cs="宋体" w:eastAsia="宋体" w:hint="default"/>
                <w:sz w:val="18"/>
                <w:szCs w:val="18"/>
              </w:rPr>
            </w:pPr>
            <w:r>
              <w:rPr>
                <w:rFonts w:ascii="宋体" w:hAnsi="宋体" w:cs="宋体" w:eastAsia="宋体" w:hint="default"/>
                <w:spacing w:val="-3"/>
                <w:sz w:val="18"/>
                <w:szCs w:val="18"/>
              </w:rPr>
              <w:t>公司四级全资子公司久其数字传播（香港）有限公司向香港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上海汇丰银行有限公司申请</w:t>
            </w:r>
            <w:r>
              <w:rPr>
                <w:rFonts w:ascii="Times New Roman" w:hAnsi="Times New Roman" w:cs="Times New Roman" w:eastAsia="Times New Roman" w:hint="default"/>
                <w:sz w:val="18"/>
                <w:szCs w:val="18"/>
              </w:rPr>
              <w:t>450</w:t>
            </w:r>
            <w:r>
              <w:rPr>
                <w:rFonts w:ascii="宋体" w:hAnsi="宋体" w:cs="宋体" w:eastAsia="宋体" w:hint="default"/>
                <w:sz w:val="18"/>
                <w:szCs w:val="18"/>
              </w:rPr>
              <w:t>万美元的综合授信额度，同</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2"/>
                <w:sz w:val="18"/>
                <w:szCs w:val="18"/>
              </w:rPr>
              <w:t>时公司为其提供连带责任保证担保。报告期内尚未签署担保</w:t>
            </w:r>
            <w:r>
              <w:rPr>
                <w:rFonts w:ascii="宋体" w:hAnsi="宋体" w:cs="宋体" w:eastAsia="宋体" w:hint="default"/>
                <w:sz w:val="18"/>
                <w:szCs w:val="18"/>
              </w:rPr>
              <w:t> 合同。</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3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309" w:lineRule="auto"/>
              <w:ind w:left="2" w:right="-7"/>
              <w:jc w:val="both"/>
              <w:rPr>
                <w:rFonts w:ascii="Times New Roman" w:hAnsi="Times New Roman" w:cs="Times New Roman" w:eastAsia="Times New Roman" w:hint="default"/>
                <w:sz w:val="18"/>
                <w:szCs w:val="18"/>
              </w:rPr>
            </w:pPr>
            <w:r>
              <w:rPr>
                <w:rFonts w:ascii="宋体" w:hAnsi="宋体" w:cs="宋体" w:eastAsia="宋体" w:hint="default"/>
                <w:spacing w:val="8"/>
                <w:sz w:val="18"/>
                <w:szCs w:val="18"/>
              </w:rPr>
              <w:t>《关于子公司申请银行贷款授信及公司为其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提供担保的公告》（公告编号</w:t>
            </w:r>
            <w:r>
              <w:rPr>
                <w:rFonts w:ascii="Times New Roman" w:hAnsi="Times New Roman" w:cs="Times New Roman" w:eastAsia="Times New Roman" w:hint="default"/>
                <w:sz w:val="18"/>
                <w:szCs w:val="18"/>
              </w:rPr>
              <w:t>2019-133</w:t>
            </w:r>
            <w:r>
              <w:rPr>
                <w:rFonts w:ascii="宋体" w:hAnsi="宋体" w:cs="宋体" w:eastAsia="宋体" w:hint="default"/>
                <w:sz w:val="18"/>
                <w:szCs w:val="18"/>
              </w:rPr>
              <w:t>）已披</w:t>
            </w:r>
            <w:r>
              <w:rPr>
                <w:rFonts w:ascii="宋体" w:hAnsi="宋体" w:cs="宋体" w:eastAsia="宋体" w:hint="default"/>
                <w:spacing w:val="-76"/>
                <w:sz w:val="18"/>
                <w:szCs w:val="18"/>
              </w:rPr>
              <w:t> </w:t>
            </w:r>
            <w:r>
              <w:rPr>
                <w:rFonts w:ascii="宋体" w:hAnsi="宋体" w:cs="宋体" w:eastAsia="宋体" w:hint="default"/>
                <w:sz w:val="18"/>
                <w:szCs w:val="18"/>
              </w:rPr>
              <w:t>露于巨潮资讯网</w:t>
            </w:r>
            <w:hyperlink r:id="rId13">
              <w:r>
                <w:rPr>
                  <w:rFonts w:ascii="Times New Roman" w:hAnsi="Times New Roman" w:cs="Times New Roman" w:eastAsia="Times New Roman" w:hint="default"/>
                  <w:sz w:val="18"/>
                  <w:szCs w:val="18"/>
                </w:rPr>
                <w:t>www.cninfo.com.cn</w:t>
              </w:r>
            </w:hyperlink>
          </w:p>
        </w:tc>
      </w:tr>
    </w:tbl>
    <w:p>
      <w:pPr>
        <w:spacing w:after="0" w:line="309" w:lineRule="auto"/>
        <w:jc w:val="both"/>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2964" w:right="1115"/>
        <w:jc w:val="left"/>
        <w:rPr>
          <w:b w:val="0"/>
          <w:bCs w:val="0"/>
        </w:rPr>
      </w:pPr>
      <w:bookmarkStart w:name="第六节 股份变动及股东情况" w:id="105"/>
      <w:bookmarkEnd w:id="105"/>
      <w:r>
        <w:rPr>
          <w:b w:val="0"/>
          <w:bCs w:val="0"/>
        </w:rPr>
      </w:r>
      <w:bookmarkStart w:name="_bookmark5" w:id="106"/>
      <w:bookmarkEnd w:id="106"/>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15"/>
        <w:jc w:val="left"/>
        <w:rPr>
          <w:b w:val="0"/>
          <w:bCs w:val="0"/>
        </w:rPr>
      </w:pPr>
      <w:bookmarkStart w:name="一、股份变动情况" w:id="107"/>
      <w:bookmarkEnd w:id="107"/>
      <w:r>
        <w:rPr>
          <w:b w:val="0"/>
          <w:bCs w:val="0"/>
        </w:rPr>
      </w:r>
      <w:r>
        <w:rPr/>
        <w:t>一、股份变动情况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5"/>
        <w:jc w:val="left"/>
        <w:rPr>
          <w:b w:val="0"/>
          <w:bCs w:val="0"/>
        </w:rPr>
      </w:pPr>
      <w:bookmarkStart w:name="1、股份变动情况" w:id="108"/>
      <w:bookmarkEnd w:id="108"/>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1979"/>
        <w:gridCol w:w="1043"/>
        <w:gridCol w:w="756"/>
        <w:gridCol w:w="838"/>
        <w:gridCol w:w="449"/>
        <w:gridCol w:w="1030"/>
        <w:gridCol w:w="902"/>
        <w:gridCol w:w="903"/>
        <w:gridCol w:w="1030"/>
        <w:gridCol w:w="756"/>
      </w:tblGrid>
      <w:tr>
        <w:trPr>
          <w:trHeight w:val="206" w:hRule="exact"/>
        </w:trPr>
        <w:tc>
          <w:tcPr>
            <w:tcW w:w="197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4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2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65"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4" w:hRule="exact"/>
        </w:trPr>
        <w:tc>
          <w:tcPr>
            <w:tcW w:w="1979" w:type="dxa"/>
            <w:vMerge w:val="restart"/>
            <w:tcBorders>
              <w:top w:val="nil" w:sz="6" w:space="0" w:color="auto"/>
              <w:left w:val="single" w:sz="4" w:space="0" w:color="000000"/>
              <w:right w:val="single" w:sz="4" w:space="0" w:color="000000"/>
            </w:tcBorders>
            <w:shd w:val="clear" w:color="auto" w:fill="D2D2D2"/>
          </w:tcPr>
          <w:p>
            <w:pPr/>
          </w:p>
        </w:tc>
        <w:tc>
          <w:tcPr>
            <w:tcW w:w="1799" w:type="dxa"/>
            <w:gridSpan w:val="2"/>
            <w:vMerge/>
            <w:tcBorders>
              <w:left w:val="single" w:sz="4" w:space="0" w:color="000000"/>
              <w:bottom w:val="single" w:sz="4" w:space="0" w:color="000000"/>
              <w:right w:val="single" w:sz="4" w:space="0" w:color="000000"/>
            </w:tcBorders>
            <w:shd w:val="clear" w:color="auto" w:fill="D2D2D2"/>
          </w:tcPr>
          <w:p>
            <w:pPr/>
          </w:p>
        </w:tc>
        <w:tc>
          <w:tcPr>
            <w:tcW w:w="4122" w:type="dxa"/>
            <w:gridSpan w:val="5"/>
            <w:vMerge/>
            <w:tcBorders>
              <w:left w:val="single" w:sz="4" w:space="0" w:color="000000"/>
              <w:bottom w:val="single" w:sz="4" w:space="0" w:color="000000"/>
              <w:right w:val="single" w:sz="4" w:space="0" w:color="000000"/>
            </w:tcBorders>
            <w:shd w:val="clear" w:color="auto" w:fill="D2D2D2"/>
          </w:tcPr>
          <w:p>
            <w:pPr/>
          </w:p>
        </w:tc>
        <w:tc>
          <w:tcPr>
            <w:tcW w:w="1786"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979" w:type="dxa"/>
            <w:vMerge/>
            <w:tcBorders>
              <w:left w:val="single" w:sz="4" w:space="0" w:color="000000"/>
              <w:bottom w:val="nil" w:sz="6" w:space="0" w:color="auto"/>
              <w:right w:val="single" w:sz="4" w:space="0" w:color="000000"/>
            </w:tcBorders>
            <w:shd w:val="clear" w:color="auto" w:fill="D2D2D2"/>
          </w:tcPr>
          <w:p>
            <w:pPr/>
          </w:p>
        </w:tc>
        <w:tc>
          <w:tcPr>
            <w:tcW w:w="10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6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6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3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3" w:type="dxa"/>
            <w:vMerge/>
            <w:tcBorders>
              <w:left w:val="single" w:sz="4" w:space="0" w:color="000000"/>
              <w:bottom w:val="single" w:sz="4" w:space="0" w:color="000000"/>
              <w:right w:val="single" w:sz="4" w:space="0" w:color="000000"/>
            </w:tcBorders>
            <w:shd w:val="clear" w:color="auto" w:fill="D2D2D2"/>
          </w:tcPr>
          <w:p>
            <w:pPr/>
          </w:p>
        </w:tc>
        <w:tc>
          <w:tcPr>
            <w:tcW w:w="756" w:type="dxa"/>
            <w:vMerge/>
            <w:tcBorders>
              <w:left w:val="single" w:sz="4" w:space="0" w:color="000000"/>
              <w:bottom w:val="single" w:sz="4" w:space="0" w:color="000000"/>
              <w:right w:val="single" w:sz="4" w:space="0" w:color="000000"/>
            </w:tcBorders>
            <w:shd w:val="clear" w:color="auto" w:fill="D2D2D2"/>
          </w:tcPr>
          <w:p>
            <w:pPr/>
          </w:p>
        </w:tc>
        <w:tc>
          <w:tcPr>
            <w:tcW w:w="838"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1030" w:type="dxa"/>
            <w:vMerge/>
            <w:tcBorders>
              <w:left w:val="single" w:sz="4" w:space="0" w:color="000000"/>
              <w:bottom w:val="single" w:sz="4" w:space="0" w:color="000000"/>
              <w:right w:val="single" w:sz="4" w:space="0" w:color="000000"/>
            </w:tcBorders>
            <w:shd w:val="clear" w:color="auto" w:fill="D2D2D2"/>
          </w:tcPr>
          <w:p>
            <w:pPr/>
          </w:p>
        </w:tc>
        <w:tc>
          <w:tcPr>
            <w:tcW w:w="902" w:type="dxa"/>
            <w:vMerge/>
            <w:tcBorders>
              <w:left w:val="single" w:sz="4" w:space="0" w:color="000000"/>
              <w:bottom w:val="single" w:sz="4" w:space="0" w:color="000000"/>
              <w:right w:val="single" w:sz="4" w:space="0" w:color="000000"/>
            </w:tcBorders>
            <w:shd w:val="clear" w:color="auto" w:fill="D2D2D2"/>
          </w:tcPr>
          <w:p>
            <w:pPr/>
          </w:p>
        </w:tc>
        <w:tc>
          <w:tcPr>
            <w:tcW w:w="903" w:type="dxa"/>
            <w:vMerge/>
            <w:tcBorders>
              <w:left w:val="single" w:sz="4" w:space="0" w:color="000000"/>
              <w:bottom w:val="single" w:sz="4" w:space="0" w:color="000000"/>
              <w:right w:val="single" w:sz="4" w:space="0" w:color="000000"/>
            </w:tcBorders>
            <w:shd w:val="clear" w:color="auto" w:fill="D2D2D2"/>
          </w:tcPr>
          <w:p>
            <w:pPr/>
          </w:p>
        </w:tc>
        <w:tc>
          <w:tcPr>
            <w:tcW w:w="1030" w:type="dxa"/>
            <w:vMerge/>
            <w:tcBorders>
              <w:left w:val="single" w:sz="4" w:space="0" w:color="000000"/>
              <w:bottom w:val="single" w:sz="4" w:space="0" w:color="000000"/>
              <w:right w:val="single" w:sz="4" w:space="0" w:color="000000"/>
            </w:tcBorders>
            <w:shd w:val="clear" w:color="auto" w:fill="D2D2D2"/>
          </w:tcPr>
          <w:p>
            <w:pPr/>
          </w:p>
        </w:tc>
        <w:tc>
          <w:tcPr>
            <w:tcW w:w="75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112,809,847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15.86%</w:t>
            </w:r>
          </w:p>
        </w:tc>
        <w:tc>
          <w:tcPr>
            <w:tcW w:w="838"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-5,766,522</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-5,766,522</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107,043,325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15.05%</w:t>
            </w:r>
          </w:p>
        </w:tc>
      </w:tr>
      <w:tr>
        <w:trPr>
          <w:trHeight w:val="403"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其他内资持股</w:t>
            </w:r>
          </w:p>
        </w:tc>
        <w:tc>
          <w:tcPr>
            <w:tcW w:w="10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84" w:right="0"/>
              <w:jc w:val="center"/>
              <w:rPr>
                <w:rFonts w:ascii="Times New Roman" w:hAnsi="Times New Roman" w:cs="Times New Roman" w:eastAsia="Times New Roman" w:hint="default"/>
                <w:sz w:val="18"/>
                <w:szCs w:val="18"/>
              </w:rPr>
            </w:pPr>
            <w:r>
              <w:rPr>
                <w:rFonts w:ascii="Times New Roman"/>
                <w:sz w:val="18"/>
              </w:rPr>
              <w:t>112,809,847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15.86%</w:t>
            </w:r>
          </w:p>
        </w:tc>
        <w:tc>
          <w:tcPr>
            <w:tcW w:w="838"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-5,766,522</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-5,766,522</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center"/>
              <w:rPr>
                <w:rFonts w:ascii="Times New Roman" w:hAnsi="Times New Roman" w:cs="Times New Roman" w:eastAsia="Times New Roman" w:hint="default"/>
                <w:sz w:val="18"/>
                <w:szCs w:val="18"/>
              </w:rPr>
            </w:pPr>
            <w:r>
              <w:rPr>
                <w:rFonts w:ascii="Times New Roman"/>
                <w:sz w:val="18"/>
              </w:rPr>
              <w:t>107,043,325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15.05%</w:t>
            </w:r>
          </w:p>
        </w:tc>
      </w:tr>
      <w:tr>
        <w:trPr>
          <w:trHeight w:val="401"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112,809,847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15.86%</w:t>
            </w:r>
          </w:p>
        </w:tc>
        <w:tc>
          <w:tcPr>
            <w:tcW w:w="838"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-5,766,522</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-5,766,522</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107,043,325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15.05%</w:t>
            </w:r>
          </w:p>
        </w:tc>
      </w:tr>
      <w:tr>
        <w:trPr>
          <w:trHeight w:val="403"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77" w:right="0"/>
              <w:jc w:val="center"/>
              <w:rPr>
                <w:rFonts w:ascii="Times New Roman" w:hAnsi="Times New Roman" w:cs="Times New Roman" w:eastAsia="Times New Roman" w:hint="default"/>
                <w:sz w:val="18"/>
                <w:szCs w:val="18"/>
              </w:rPr>
            </w:pPr>
            <w:r>
              <w:rPr>
                <w:rFonts w:ascii="Times New Roman"/>
                <w:sz w:val="18"/>
              </w:rPr>
              <w:t>598,416,731</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84.14%</w:t>
            </w:r>
          </w:p>
        </w:tc>
        <w:tc>
          <w:tcPr>
            <w:tcW w:w="838"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5,793,686</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5,793,686</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center"/>
              <w:rPr>
                <w:rFonts w:ascii="Times New Roman" w:hAnsi="Times New Roman" w:cs="Times New Roman" w:eastAsia="Times New Roman" w:hint="default"/>
                <w:sz w:val="18"/>
                <w:szCs w:val="18"/>
              </w:rPr>
            </w:pPr>
            <w:r>
              <w:rPr>
                <w:rFonts w:ascii="Times New Roman"/>
                <w:sz w:val="18"/>
              </w:rPr>
              <w:t>604,210,417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84.95%</w:t>
            </w:r>
          </w:p>
        </w:tc>
      </w:tr>
      <w:tr>
        <w:trPr>
          <w:trHeight w:val="401"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598,416,731</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84.14%</w:t>
            </w:r>
          </w:p>
        </w:tc>
        <w:tc>
          <w:tcPr>
            <w:tcW w:w="838"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5,793,686</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5,793,686</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604,210,417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84.95%</w:t>
            </w:r>
          </w:p>
        </w:tc>
      </w:tr>
      <w:tr>
        <w:trPr>
          <w:trHeight w:val="403"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84" w:right="0"/>
              <w:jc w:val="center"/>
              <w:rPr>
                <w:rFonts w:ascii="Times New Roman" w:hAnsi="Times New Roman" w:cs="Times New Roman" w:eastAsia="Times New Roman" w:hint="default"/>
                <w:sz w:val="18"/>
                <w:szCs w:val="18"/>
              </w:rPr>
            </w:pPr>
            <w:r>
              <w:rPr>
                <w:rFonts w:ascii="Times New Roman"/>
                <w:sz w:val="18"/>
              </w:rPr>
              <w:t>711,226,578</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38"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27,164</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27,164</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 w:right="0"/>
              <w:jc w:val="center"/>
              <w:rPr>
                <w:rFonts w:ascii="Times New Roman" w:hAnsi="Times New Roman" w:cs="Times New Roman" w:eastAsia="Times New Roman" w:hint="default"/>
                <w:sz w:val="18"/>
                <w:szCs w:val="18"/>
              </w:rPr>
            </w:pPr>
            <w:r>
              <w:rPr>
                <w:rFonts w:ascii="Times New Roman"/>
                <w:sz w:val="18"/>
              </w:rPr>
              <w:t>711,253,742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1115"/>
        <w:jc w:val="left"/>
      </w:pPr>
      <w:r>
        <w:rPr/>
        <w:t>股份变动的原因</w:t>
      </w:r>
    </w:p>
    <w:p>
      <w:pPr>
        <w:pStyle w:val="BodyText"/>
        <w:spacing w:line="240" w:lineRule="auto" w:before="115"/>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124" w:firstLine="360"/>
        <w:jc w:val="left"/>
      </w:pPr>
      <w:r>
        <w:rPr/>
        <w:t>（</w:t>
      </w:r>
      <w:r>
        <w:rPr>
          <w:rFonts w:ascii="Times New Roman" w:hAnsi="Times New Roman" w:cs="Times New Roman" w:eastAsia="Times New Roman" w:hint="default"/>
        </w:rPr>
        <w:t>1</w:t>
      </w:r>
      <w:r>
        <w:rPr/>
        <w:t>）公司公开发行的可转换公司债券自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日起进入转股期，部分债券持有人在报告期实施转股导致总股本 增加。</w:t>
      </w:r>
    </w:p>
    <w:p>
      <w:pPr>
        <w:pStyle w:val="BodyText"/>
        <w:spacing w:line="300" w:lineRule="auto" w:before="72"/>
        <w:ind w:right="1124" w:firstLine="360"/>
        <w:jc w:val="left"/>
      </w:pPr>
      <w:r>
        <w:rPr/>
        <w:t>（</w:t>
      </w:r>
      <w:r>
        <w:rPr>
          <w:rFonts w:ascii="Times New Roman" w:hAnsi="Times New Roman" w:cs="Times New Roman" w:eastAsia="Times New Roman" w:hint="default"/>
        </w:rPr>
        <w:t>2</w:t>
      </w:r>
      <w:r>
        <w:rPr/>
        <w:t>）由于交易对手方王新、李勇履行了应收账款回收和补偿义务，公司在报告期为其所持有的第五期有限售条件股份 办理了解除限售。</w:t>
      </w:r>
    </w:p>
    <w:p>
      <w:pPr>
        <w:pStyle w:val="BodyText"/>
        <w:spacing w:line="300" w:lineRule="auto" w:before="70"/>
        <w:ind w:right="1115" w:firstLine="360"/>
        <w:jc w:val="left"/>
      </w:pPr>
      <w:r>
        <w:rPr>
          <w:spacing w:val="-2"/>
        </w:rPr>
        <w:t>（</w:t>
      </w:r>
      <w:r>
        <w:rPr>
          <w:rFonts w:ascii="Times New Roman" w:hAnsi="Times New Roman" w:cs="Times New Roman" w:eastAsia="Times New Roman" w:hint="default"/>
          <w:spacing w:val="-2"/>
        </w:rPr>
        <w:t>3</w:t>
      </w:r>
      <w:r>
        <w:rPr>
          <w:spacing w:val="-2"/>
        </w:rPr>
        <w:t>）由于</w:t>
      </w:r>
      <w:r>
        <w:rPr>
          <w:rFonts w:ascii="Times New Roman" w:hAnsi="Times New Roman" w:cs="Times New Roman" w:eastAsia="Times New Roman" w:hint="default"/>
          <w:spacing w:val="-2"/>
        </w:rPr>
        <w:t>2017</w:t>
      </w:r>
      <w:r>
        <w:rPr>
          <w:spacing w:val="-2"/>
        </w:rPr>
        <w:t>年度限制性股票激励计划首次授予部分第二个解除限售期解除限售条件达成，公司在报告期为</w:t>
      </w:r>
      <w:r>
        <w:rPr>
          <w:rFonts w:ascii="Times New Roman" w:hAnsi="Times New Roman" w:cs="Times New Roman" w:eastAsia="Times New Roman" w:hint="default"/>
          <w:spacing w:val="-2"/>
        </w:rPr>
        <w:t>299</w:t>
      </w:r>
      <w:r>
        <w:rPr>
          <w:spacing w:val="-2"/>
        </w:rPr>
        <w:t>名激励</w:t>
      </w:r>
      <w:r>
        <w:rPr/>
        <w:t> 对象持有的部分限制性股票办理了解除限售。</w:t>
      </w:r>
    </w:p>
    <w:p>
      <w:pPr>
        <w:pStyle w:val="BodyText"/>
        <w:spacing w:line="300" w:lineRule="auto" w:before="72"/>
        <w:ind w:right="1124" w:firstLine="360"/>
        <w:jc w:val="left"/>
      </w:pPr>
      <w:r>
        <w:rPr/>
        <w:t>（</w:t>
      </w:r>
      <w:r>
        <w:rPr>
          <w:rFonts w:ascii="Times New Roman" w:hAnsi="Times New Roman" w:cs="Times New Roman" w:eastAsia="Times New Roman" w:hint="default"/>
        </w:rPr>
        <w:t>4</w:t>
      </w:r>
      <w:r>
        <w:rPr/>
        <w:t>）由于</w:t>
      </w:r>
      <w:r>
        <w:rPr>
          <w:rFonts w:ascii="Times New Roman" w:hAnsi="Times New Roman" w:cs="Times New Roman" w:eastAsia="Times New Roman" w:hint="default"/>
        </w:rPr>
        <w:t>2017</w:t>
      </w:r>
      <w:r>
        <w:rPr/>
        <w:t>年度限制性股票激励计划预留授予部分第一个解除限售期解除限售条件达成，公司在报告期为</w:t>
      </w:r>
      <w:r>
        <w:rPr>
          <w:rFonts w:ascii="Times New Roman" w:hAnsi="Times New Roman" w:cs="Times New Roman" w:eastAsia="Times New Roman" w:hint="default"/>
        </w:rPr>
        <w:t>34</w:t>
      </w:r>
      <w:r>
        <w:rPr/>
        <w:t>名激励 对象持有的部分限制性股票办理了解除限售。</w:t>
      </w:r>
    </w:p>
    <w:p>
      <w:pPr>
        <w:pStyle w:val="BodyText"/>
        <w:spacing w:line="240" w:lineRule="auto" w:before="72"/>
        <w:ind w:left="513" w:right="1115"/>
        <w:jc w:val="left"/>
      </w:pPr>
      <w:r>
        <w:rPr/>
        <w:t>（</w:t>
      </w:r>
      <w:r>
        <w:rPr>
          <w:rFonts w:ascii="Times New Roman" w:hAnsi="Times New Roman" w:cs="Times New Roman" w:eastAsia="Times New Roman" w:hint="default"/>
        </w:rPr>
        <w:t>5</w:t>
      </w:r>
      <w:r>
        <w:rPr/>
        <w:t>）由于董事栗军于</w:t>
      </w:r>
      <w:r>
        <w:rPr>
          <w:rFonts w:ascii="Times New Roman" w:hAnsi="Times New Roman" w:cs="Times New Roman" w:eastAsia="Times New Roman" w:hint="default"/>
        </w:rPr>
        <w:t>2018</w:t>
      </w:r>
      <w:r>
        <w:rPr/>
        <w:t>年减持了其所持有的部分公司股份，导致本报告期初高管锁定股数量减少。</w:t>
      </w:r>
    </w:p>
    <w:p>
      <w:pPr>
        <w:pStyle w:val="BodyText"/>
        <w:spacing w:line="240" w:lineRule="auto" w:before="101"/>
        <w:ind w:left="513" w:right="1115"/>
        <w:jc w:val="left"/>
      </w:pPr>
      <w:r>
        <w:rPr/>
        <w:t>（</w:t>
      </w:r>
      <w:r>
        <w:rPr>
          <w:rFonts w:ascii="Times New Roman" w:hAnsi="Times New Roman" w:cs="Times New Roman" w:eastAsia="Times New Roman" w:hint="default"/>
        </w:rPr>
        <w:t>6</w:t>
      </w:r>
      <w:r>
        <w:rPr/>
        <w:t>）由于王新</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月辞任公司董事职务于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月已满六个月，导致报告期高管锁定股数量减少。</w:t>
      </w:r>
    </w:p>
    <w:p>
      <w:pPr>
        <w:pStyle w:val="BodyText"/>
        <w:spacing w:line="240" w:lineRule="auto" w:before="103"/>
        <w:ind w:left="513" w:right="1115"/>
        <w:jc w:val="left"/>
      </w:pPr>
      <w:r>
        <w:rPr/>
        <w:t>（</w:t>
      </w:r>
      <w:r>
        <w:rPr>
          <w:rFonts w:ascii="Times New Roman" w:hAnsi="Times New Roman" w:cs="Times New Roman" w:eastAsia="Times New Roman" w:hint="default"/>
        </w:rPr>
        <w:t>7</w:t>
      </w:r>
      <w:r>
        <w:rPr/>
        <w:t>）由于董事欧阳曜和监事曾超于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月任期届满后离任，导致报告期末高管锁定股数量增加。</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240" w:lineRule="auto"/>
        <w:ind w:right="1115"/>
        <w:jc w:val="left"/>
      </w:pPr>
      <w:r>
        <w:rPr/>
        <w:t>股份变动的批准情况</w:t>
      </w:r>
    </w:p>
    <w:p>
      <w:pPr>
        <w:pStyle w:val="BodyText"/>
        <w:spacing w:line="240" w:lineRule="auto" w:before="117"/>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ind w:right="1115"/>
        <w:jc w:val="left"/>
      </w:pPr>
      <w:r>
        <w:rPr/>
        <w:t>股份变动的过户情况</w:t>
      </w:r>
    </w:p>
    <w:p>
      <w:pPr>
        <w:pStyle w:val="BodyText"/>
        <w:spacing w:line="240" w:lineRule="auto" w:before="117"/>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ind w:right="1115"/>
        <w:jc w:val="left"/>
      </w:pPr>
      <w:r>
        <w:rPr/>
        <w:t>股份回购的实施进展情况</w:t>
      </w:r>
    </w:p>
    <w:p>
      <w:pPr>
        <w:pStyle w:val="BodyText"/>
        <w:spacing w:line="240" w:lineRule="auto" w:before="117"/>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07" w:lineRule="auto" w:before="44"/>
        <w:ind w:right="1131"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日，公司召开</w:t>
      </w:r>
      <w:r>
        <w:rPr>
          <w:rFonts w:ascii="Times New Roman" w:hAnsi="Times New Roman" w:cs="Times New Roman" w:eastAsia="Times New Roman" w:hint="default"/>
        </w:rPr>
        <w:t>2019</w:t>
      </w:r>
      <w:r>
        <w:rPr/>
        <w:t>年第一次临时股东大会，审议通过了《关于回购公司股份的预案》及《关于提请股东大 </w:t>
      </w:r>
      <w:r>
        <w:rPr>
          <w:spacing w:val="-2"/>
        </w:rPr>
        <w:t>会授权董事会办理本次回购股份相关事项的议案》，同意公司使用自有或自筹资金以集中竞价交易以及法律、法规许可的其</w:t>
      </w:r>
      <w:r>
        <w:rPr>
          <w:spacing w:val="-66"/>
        </w:rPr>
        <w:t> </w:t>
      </w:r>
      <w:r>
        <w:rPr>
          <w:spacing w:val="-66"/>
        </w:rPr>
      </w:r>
      <w:r>
        <w:rPr>
          <w:spacing w:val="-2"/>
        </w:rPr>
        <w:t>他方式回购公司股份。股份回购的资金总额度不超过人民币</w:t>
      </w:r>
      <w:r>
        <w:rPr>
          <w:rFonts w:ascii="Times New Roman" w:hAnsi="Times New Roman" w:cs="Times New Roman" w:eastAsia="Times New Roman" w:hint="default"/>
          <w:spacing w:val="-2"/>
        </w:rPr>
        <w:t>12,000</w:t>
      </w:r>
      <w:r>
        <w:rPr>
          <w:spacing w:val="-2"/>
        </w:rPr>
        <w:t>万元（含）且不低于人民币</w:t>
      </w:r>
      <w:r>
        <w:rPr>
          <w:rFonts w:ascii="Times New Roman" w:hAnsi="Times New Roman" w:cs="Times New Roman" w:eastAsia="Times New Roman" w:hint="default"/>
          <w:spacing w:val="-2"/>
        </w:rPr>
        <w:t>6,000</w:t>
      </w:r>
      <w:r>
        <w:rPr>
          <w:spacing w:val="-2"/>
        </w:rPr>
        <w:t>万元（含），回购价格不</w:t>
      </w:r>
      <w:r>
        <w:rPr>
          <w:spacing w:val="-58"/>
        </w:rPr>
        <w:t> </w:t>
      </w:r>
      <w:r>
        <w:rPr>
          <w:spacing w:val="-58"/>
        </w:rPr>
      </w:r>
      <w:r>
        <w:rPr/>
        <w:t>超过人民币</w:t>
      </w:r>
      <w:r>
        <w:rPr>
          <w:rFonts w:ascii="Times New Roman" w:hAnsi="Times New Roman" w:cs="Times New Roman" w:eastAsia="Times New Roman" w:hint="default"/>
        </w:rPr>
        <w:t>10</w:t>
      </w:r>
      <w:r>
        <w:rPr/>
        <w:t>元</w:t>
      </w:r>
      <w:r>
        <w:rPr>
          <w:rFonts w:ascii="Times New Roman" w:hAnsi="Times New Roman" w:cs="Times New Roman" w:eastAsia="Times New Roman" w:hint="default"/>
        </w:rPr>
        <w:t>/</w:t>
      </w:r>
      <w:r>
        <w:rPr/>
        <w:t>股（含），具体回购数量以回购期满时实际回购的股份数量为准，回购期限为自公司股东大会审议通过本</w:t>
      </w:r>
      <w:r>
        <w:rPr>
          <w:spacing w:val="-50"/>
        </w:rPr>
        <w:t> </w:t>
      </w:r>
      <w:r>
        <w:rPr>
          <w:spacing w:val="-50"/>
        </w:rPr>
      </w:r>
      <w:r>
        <w:rPr>
          <w:spacing w:val="-2"/>
        </w:rPr>
        <w:t>次回购股份方案之日起</w:t>
      </w:r>
      <w:r>
        <w:rPr>
          <w:rFonts w:ascii="Times New Roman" w:hAnsi="Times New Roman" w:cs="Times New Roman" w:eastAsia="Times New Roman" w:hint="default"/>
          <w:spacing w:val="-2"/>
        </w:rPr>
        <w:t>12</w:t>
      </w:r>
      <w:r>
        <w:rPr>
          <w:spacing w:val="-2"/>
        </w:rPr>
        <w:t>个月内。同日，公司召开第六届董事会第三十四次（临时）会议，审议通过了《关于调整公司回购</w:t>
      </w:r>
      <w:r>
        <w:rPr>
          <w:spacing w:val="-65"/>
        </w:rPr>
        <w:t> </w:t>
      </w:r>
      <w:r>
        <w:rPr>
          <w:spacing w:val="-65"/>
        </w:rPr>
      </w:r>
      <w:r>
        <w:rPr>
          <w:spacing w:val="-2"/>
        </w:rPr>
        <w:t>股份方案的议案》，明确了本次回购的股份全部用于后续员工持股计划或者股权激励计划，回购股份的方式为集中竞价交易</w:t>
      </w:r>
      <w:r>
        <w:rPr>
          <w:spacing w:val="-66"/>
        </w:rPr>
        <w:t> </w:t>
      </w:r>
      <w:r>
        <w:rPr>
          <w:spacing w:val="-66"/>
        </w:rPr>
      </w:r>
      <w:r>
        <w:rPr/>
        <w:t>的方式。</w:t>
      </w:r>
    </w:p>
    <w:p>
      <w:pPr>
        <w:pStyle w:val="BodyText"/>
        <w:spacing w:line="300" w:lineRule="auto" w:before="26"/>
        <w:ind w:right="1131" w:firstLine="360"/>
        <w:jc w:val="both"/>
      </w:pP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日首次通过回购专用证券账户以集中竞价交易方式实施股份回购。本报告期，公司累计回购股份数 量为</w:t>
      </w:r>
      <w:r>
        <w:rPr>
          <w:rFonts w:ascii="Times New Roman" w:hAnsi="Times New Roman" w:cs="Times New Roman" w:eastAsia="Times New Roman" w:hint="default"/>
        </w:rPr>
        <w:t>6,566,733</w:t>
      </w:r>
      <w:r>
        <w:rPr/>
        <w:t>股，占公司总股本的</w:t>
      </w:r>
      <w:r>
        <w:rPr>
          <w:rFonts w:ascii="Times New Roman" w:hAnsi="Times New Roman" w:cs="Times New Roman" w:eastAsia="Times New Roman" w:hint="default"/>
        </w:rPr>
        <w:t>0.92%</w:t>
      </w:r>
      <w:r>
        <w:rPr/>
        <w:t>，最高成交价为</w:t>
      </w:r>
      <w:r>
        <w:rPr>
          <w:rFonts w:ascii="Times New Roman" w:hAnsi="Times New Roman" w:cs="Times New Roman" w:eastAsia="Times New Roman" w:hint="default"/>
        </w:rPr>
        <w:t>9.64</w:t>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5.56</w:t>
      </w:r>
      <w:r>
        <w:rPr/>
        <w:t>元</w:t>
      </w:r>
      <w:r>
        <w:rPr>
          <w:rFonts w:ascii="Times New Roman" w:hAnsi="Times New Roman" w:cs="Times New Roman" w:eastAsia="Times New Roman" w:hint="default"/>
        </w:rPr>
        <w:t>/</w:t>
      </w:r>
      <w:r>
        <w:rPr/>
        <w:t>股，成交总金额为</w:t>
      </w:r>
      <w:r>
        <w:rPr>
          <w:rFonts w:ascii="Times New Roman" w:hAnsi="Times New Roman" w:cs="Times New Roman" w:eastAsia="Times New Roman" w:hint="default"/>
        </w:rPr>
        <w:t>47,993,683.04</w:t>
      </w:r>
      <w:r>
        <w:rPr/>
        <w:t>元</w:t>
      </w:r>
    </w:p>
    <w:p>
      <w:pPr>
        <w:pStyle w:val="BodyText"/>
        <w:spacing w:line="300" w:lineRule="auto" w:before="13"/>
        <w:ind w:right="1129"/>
        <w:jc w:val="both"/>
      </w:pPr>
      <w:r>
        <w:rPr/>
        <w:t>（不含交易费用）。截至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22</w:t>
      </w:r>
      <w:r>
        <w:rPr/>
        <w:t>日，本次回购股份方案已实施完毕，公司累计回购股份数量为 </w:t>
      </w:r>
      <w:r>
        <w:rPr>
          <w:rFonts w:ascii="Times New Roman" w:hAnsi="Times New Roman" w:cs="Times New Roman" w:eastAsia="Times New Roman" w:hint="default"/>
        </w:rPr>
        <w:t>29</w:t>
      </w:r>
      <w:r>
        <w:rPr>
          <w:rFonts w:ascii="Times New Roman" w:hAnsi="Times New Roman" w:cs="Times New Roman" w:eastAsia="Times New Roman" w:hint="default"/>
          <w:spacing w:val="5"/>
        </w:rPr>
        <w:t> </w:t>
      </w:r>
      <w:r>
        <w:rPr>
          <w:rFonts w:ascii="Times New Roman" w:hAnsi="Times New Roman" w:cs="Times New Roman" w:eastAsia="Times New Roman" w:hint="default"/>
        </w:rPr>
        <w:t>33</w:t>
      </w:r>
      <w:r>
        <w:rPr/>
        <w:t>股，成交总金 </w:t>
      </w:r>
      <w:r>
        <w:rPr>
          <w:spacing w:val="-1"/>
        </w:rPr>
        <w:t>额为</w:t>
      </w:r>
      <w:r>
        <w:rPr>
          <w:rFonts w:ascii="Times New Roman" w:hAnsi="Times New Roman" w:cs="Times New Roman" w:eastAsia="Times New Roman" w:hint="default"/>
          <w:spacing w:val="-1"/>
        </w:rPr>
        <w:t>60,092,542.04</w:t>
      </w:r>
      <w:r>
        <w:rPr>
          <w:spacing w:val="-1"/>
        </w:rPr>
        <w:t>元（不含交易费用），回购实施情况符合公司股份回购方案及相关法律法规的要求。本次股份回购事项的</w:t>
      </w:r>
      <w:r>
        <w:rPr>
          <w:spacing w:val="-75"/>
        </w:rPr>
        <w:t> </w:t>
      </w:r>
      <w:r>
        <w:rPr>
          <w:spacing w:val="-75"/>
        </w:rPr>
      </w:r>
      <w:r>
        <w:rPr/>
        <w:t>审批及进展情况均已公告，详细内容可查阅公司在巨潮资讯网（</w:t>
      </w:r>
      <w:hyperlink r:id="rId13">
        <w:r>
          <w:rPr>
            <w:rFonts w:ascii="Times New Roman" w:hAnsi="Times New Roman" w:cs="Times New Roman" w:eastAsia="Times New Roman" w:hint="default"/>
          </w:rPr>
          <w:t>www.cninfo.com.cn</w:t>
        </w:r>
      </w:hyperlink>
      <w:r>
        <w:rPr/>
        <w:t>）上披露的相关公告。</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BodyText"/>
        <w:spacing w:line="240" w:lineRule="auto"/>
        <w:ind w:right="0"/>
        <w:jc w:val="both"/>
      </w:pPr>
      <w:r>
        <w:rPr/>
        <w:t>采用集中竞价方式减持回购股份的实施进展情况</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ind w:right="0"/>
        <w:jc w:val="both"/>
      </w:pPr>
      <w:r>
        <w:rPr/>
        <w:t>股份变动对最近一年和最近一期基本每股收益和稀释每股收益、归属于公司普通股股东的每股净资产等财务指标的影响</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126" w:firstLine="288"/>
        <w:jc w:val="both"/>
      </w:pPr>
      <w:r>
        <w:rPr>
          <w:spacing w:val="-2"/>
        </w:rPr>
        <w:t>本报告期股份变动后，按照截至报告期末公司总股本</w:t>
      </w:r>
      <w:r>
        <w:rPr>
          <w:rFonts w:ascii="Times New Roman" w:hAnsi="Times New Roman" w:cs="Times New Roman" w:eastAsia="Times New Roman" w:hint="default"/>
          <w:spacing w:val="-2"/>
        </w:rPr>
        <w:t>711,253,742</w:t>
      </w:r>
      <w:r>
        <w:rPr>
          <w:spacing w:val="-2"/>
        </w:rPr>
        <w:t>股计算。</w:t>
      </w:r>
      <w:r>
        <w:rPr>
          <w:rFonts w:ascii="Times New Roman" w:hAnsi="Times New Roman" w:cs="Times New Roman" w:eastAsia="Times New Roman" w:hint="default"/>
          <w:spacing w:val="-2"/>
        </w:rPr>
        <w:t>2018</w:t>
      </w:r>
      <w:r>
        <w:rPr>
          <w:spacing w:val="-2"/>
        </w:rPr>
        <w:t>年度基本每股收益为</w:t>
      </w:r>
      <w:r>
        <w:rPr>
          <w:rFonts w:ascii="Times New Roman" w:hAnsi="Times New Roman" w:cs="Times New Roman" w:eastAsia="Times New Roman" w:hint="default"/>
          <w:spacing w:val="-2"/>
        </w:rPr>
        <w:t>-1.1831</w:t>
      </w:r>
      <w:r>
        <w:rPr>
          <w:spacing w:val="-2"/>
        </w:rPr>
        <w:t>元</w:t>
      </w:r>
      <w:r>
        <w:rPr>
          <w:rFonts w:ascii="Times New Roman" w:hAnsi="Times New Roman" w:cs="Times New Roman" w:eastAsia="Times New Roman" w:hint="default"/>
          <w:spacing w:val="-2"/>
        </w:rPr>
        <w:t>/</w:t>
      </w:r>
      <w:r>
        <w:rPr>
          <w:spacing w:val="-2"/>
        </w:rPr>
        <w:t>股，稀释每</w:t>
      </w:r>
      <w:r>
        <w:rPr/>
        <w:t> 股收益为</w:t>
      </w:r>
      <w:r>
        <w:rPr>
          <w:rFonts w:ascii="Times New Roman" w:hAnsi="Times New Roman" w:cs="Times New Roman" w:eastAsia="Times New Roman" w:hint="default"/>
        </w:rPr>
        <w:t>-1.1831</w:t>
      </w:r>
      <w:r>
        <w:rPr/>
        <w:t>元</w:t>
      </w:r>
      <w:r>
        <w:rPr>
          <w:rFonts w:ascii="Times New Roman" w:hAnsi="Times New Roman" w:cs="Times New Roman" w:eastAsia="Times New Roman" w:hint="default"/>
        </w:rPr>
        <w:t>/</w:t>
      </w:r>
      <w:r>
        <w:rPr/>
        <w:t>股，归属于公司普通股股东的每股净资产为</w:t>
      </w:r>
      <w:r>
        <w:rPr>
          <w:rFonts w:ascii="Times New Roman" w:hAnsi="Times New Roman" w:cs="Times New Roman" w:eastAsia="Times New Roman" w:hint="default"/>
        </w:rPr>
        <w:t>1.5941</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2019</w:t>
      </w:r>
      <w:r>
        <w:rPr/>
        <w:t>年前三季度基本每股收益为</w:t>
      </w:r>
      <w:r>
        <w:rPr>
          <w:rFonts w:ascii="Times New Roman" w:hAnsi="Times New Roman" w:cs="Times New Roman" w:eastAsia="Times New Roman" w:hint="default"/>
        </w:rPr>
        <w:t>0.0093</w:t>
      </w:r>
      <w:r>
        <w:rPr/>
        <w:t>元</w:t>
      </w:r>
      <w:r>
        <w:rPr>
          <w:rFonts w:ascii="Times New Roman" w:hAnsi="Times New Roman" w:cs="Times New Roman" w:eastAsia="Times New Roman" w:hint="default"/>
        </w:rPr>
        <w:t>/</w:t>
      </w:r>
      <w:r>
        <w:rPr/>
        <w:t>股，</w:t>
      </w:r>
      <w:r>
        <w:rPr>
          <w:spacing w:val="-3"/>
        </w:rPr>
        <w:t> </w:t>
      </w:r>
      <w:r>
        <w:rPr/>
        <w:t>稀释每股收益为</w:t>
      </w:r>
      <w:r>
        <w:rPr>
          <w:rFonts w:ascii="Times New Roman" w:hAnsi="Times New Roman" w:cs="Times New Roman" w:eastAsia="Times New Roman" w:hint="default"/>
        </w:rPr>
        <w:t>0.0093</w:t>
      </w:r>
      <w:r>
        <w:rPr/>
        <w:t>元</w:t>
      </w:r>
      <w:r>
        <w:rPr>
          <w:rFonts w:ascii="Times New Roman" w:hAnsi="Times New Roman" w:cs="Times New Roman" w:eastAsia="Times New Roman" w:hint="default"/>
        </w:rPr>
        <w:t>/</w:t>
      </w:r>
      <w:r>
        <w:rPr/>
        <w:t>股，归属于公司普通股股东的每股净资产为</w:t>
      </w:r>
      <w:r>
        <w:rPr>
          <w:rFonts w:ascii="Times New Roman" w:hAnsi="Times New Roman" w:cs="Times New Roman" w:eastAsia="Times New Roman" w:hint="default"/>
        </w:rPr>
        <w:t>1.5622</w:t>
      </w:r>
      <w:r>
        <w:rPr/>
        <w:t>元</w:t>
      </w:r>
      <w:r>
        <w:rPr>
          <w:rFonts w:ascii="Times New Roman" w:hAnsi="Times New Roman" w:cs="Times New Roman" w:eastAsia="Times New Roman" w:hint="default"/>
        </w:rPr>
        <w:t>/</w:t>
      </w:r>
      <w:r>
        <w:rPr/>
        <w:t>股。</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BodyText"/>
        <w:spacing w:line="240" w:lineRule="auto"/>
        <w:ind w:right="0"/>
        <w:jc w:val="both"/>
      </w:pPr>
      <w:r>
        <w:rPr/>
        <w:t>公司认为必要或证券监管机构要求披露的其他内容</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right="1132" w:firstLine="36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日，公司实际控制人董泰湘与上海海通证券资产管理有限公司（以下简称</w:t>
      </w:r>
      <w:r>
        <w:rPr>
          <w:rFonts w:ascii="Times New Roman" w:hAnsi="Times New Roman" w:cs="Times New Roman" w:eastAsia="Times New Roman" w:hint="default"/>
        </w:rPr>
        <w:t>“</w:t>
      </w:r>
      <w:r>
        <w:rPr/>
        <w:t>海通资管</w:t>
      </w:r>
      <w:r>
        <w:rPr>
          <w:rFonts w:ascii="Times New Roman" w:hAnsi="Times New Roman" w:cs="Times New Roman" w:eastAsia="Times New Roman" w:hint="default"/>
        </w:rPr>
        <w:t>”</w:t>
      </w:r>
      <w:r>
        <w:rPr/>
        <w:t>）签署了《久 </w:t>
      </w:r>
      <w:r>
        <w:rPr>
          <w:spacing w:val="-2"/>
        </w:rPr>
        <w:t>其软件股票转让合同》，董泰湘通过协议转让的方式将其持有的公司股份</w:t>
      </w:r>
      <w:r>
        <w:rPr>
          <w:rFonts w:ascii="Times New Roman" w:hAnsi="Times New Roman" w:cs="Times New Roman" w:eastAsia="Times New Roman" w:hint="default"/>
          <w:spacing w:val="-2"/>
        </w:rPr>
        <w:t>3,600</w:t>
      </w:r>
      <w:r>
        <w:rPr>
          <w:spacing w:val="-2"/>
        </w:rPr>
        <w:t>万股（占公司总股本的</w:t>
      </w:r>
      <w:r>
        <w:rPr>
          <w:rFonts w:ascii="Times New Roman" w:hAnsi="Times New Roman" w:cs="Times New Roman" w:eastAsia="Times New Roman" w:hint="default"/>
          <w:spacing w:val="-2"/>
        </w:rPr>
        <w:t>5.06%</w:t>
      </w:r>
      <w:r>
        <w:rPr>
          <w:spacing w:val="-2"/>
        </w:rPr>
        <w:t>）转让给海通资</w:t>
      </w:r>
      <w:r>
        <w:rPr>
          <w:spacing w:val="-34"/>
        </w:rPr>
        <w:t> </w:t>
      </w:r>
      <w:r>
        <w:rPr>
          <w:spacing w:val="-34"/>
        </w:rPr>
      </w:r>
      <w:r>
        <w:rPr/>
        <w:t>管管理的</w:t>
      </w:r>
      <w:r>
        <w:rPr>
          <w:rFonts w:ascii="Times New Roman" w:hAnsi="Times New Roman" w:cs="Times New Roman" w:eastAsia="Times New Roman" w:hint="default"/>
        </w:rPr>
        <w:t>“</w:t>
      </w:r>
      <w:r>
        <w:rPr/>
        <w:t>海通投融宝</w:t>
      </w:r>
      <w:r>
        <w:rPr>
          <w:rFonts w:ascii="Times New Roman" w:hAnsi="Times New Roman" w:cs="Times New Roman" w:eastAsia="Times New Roman" w:hint="default"/>
        </w:rPr>
        <w:t>1</w:t>
      </w:r>
      <w:r>
        <w:rPr/>
        <w:t>号集合资产管理计划</w:t>
      </w:r>
      <w:r>
        <w:rPr>
          <w:rFonts w:ascii="Times New Roman" w:hAnsi="Times New Roman" w:cs="Times New Roman" w:eastAsia="Times New Roman" w:hint="default"/>
        </w:rPr>
        <w:t>”</w:t>
      </w:r>
      <w:r>
        <w:rPr/>
        <w:t>，转让价格为人民币</w:t>
      </w:r>
      <w:r>
        <w:rPr>
          <w:rFonts w:ascii="Times New Roman" w:hAnsi="Times New Roman" w:cs="Times New Roman" w:eastAsia="Times New Roman" w:hint="default"/>
        </w:rPr>
        <w:t>6.72</w:t>
      </w:r>
      <w:r>
        <w:rPr/>
        <w:t>元</w:t>
      </w:r>
      <w:r>
        <w:rPr>
          <w:rFonts w:ascii="Times New Roman" w:hAnsi="Times New Roman" w:cs="Times New Roman" w:eastAsia="Times New Roman" w:hint="default"/>
        </w:rPr>
        <w:t>/</w:t>
      </w:r>
      <w:r>
        <w:rPr/>
        <w:t>股，转让总价为人民币</w:t>
      </w:r>
      <w:r>
        <w:rPr>
          <w:rFonts w:ascii="Times New Roman" w:hAnsi="Times New Roman" w:cs="Times New Roman" w:eastAsia="Times New Roman" w:hint="default"/>
        </w:rPr>
        <w:t>24,192</w:t>
      </w:r>
      <w:r>
        <w:rPr/>
        <w:t>万元，用于偿还其质</w:t>
      </w:r>
      <w:r>
        <w:rPr>
          <w:spacing w:val="-34"/>
        </w:rPr>
        <w:t> </w:t>
      </w:r>
      <w:r>
        <w:rPr>
          <w:spacing w:val="-34"/>
        </w:rPr>
      </w:r>
      <w:r>
        <w:rPr/>
        <w:t>押融资借款。相关股权过户登记手续已于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日在中国证券登记结算有限责任公司办理完成，具体情况详见公司于</w:t>
      </w:r>
      <w:r>
        <w:rPr>
          <w:spacing w:val="-85"/>
        </w:rPr>
        <w:t> </w:t>
      </w:r>
      <w:r>
        <w:rPr>
          <w:spacing w:val="-85"/>
        </w:rPr>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日在巨潮资讯网（</w:t>
      </w:r>
      <w:hyperlink r:id="rId13">
        <w:r>
          <w:rPr>
            <w:rFonts w:ascii="Times New Roman" w:hAnsi="Times New Roman" w:cs="Times New Roman" w:eastAsia="Times New Roman" w:hint="default"/>
          </w:rPr>
          <w:t>www.cninfo.com.cn</w:t>
        </w:r>
      </w:hyperlink>
      <w:r>
        <w:rPr/>
        <w:t>）上披露的相关公告。</w:t>
      </w:r>
    </w:p>
    <w:p>
      <w:pPr>
        <w:pStyle w:val="BodyText"/>
        <w:spacing w:line="300" w:lineRule="auto" w:before="13"/>
        <w:ind w:right="1127" w:firstLine="36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日，海通资管管理的</w:t>
      </w:r>
      <w:r>
        <w:rPr>
          <w:rFonts w:ascii="Times New Roman" w:hAnsi="Times New Roman" w:cs="Times New Roman" w:eastAsia="Times New Roman" w:hint="default"/>
        </w:rPr>
        <w:t>“</w:t>
      </w:r>
      <w:r>
        <w:rPr/>
        <w:t>海通稳健成长集合资产管理计划</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海通投融宝</w:t>
      </w:r>
      <w:r>
        <w:rPr>
          <w:rFonts w:ascii="Times New Roman" w:hAnsi="Times New Roman" w:cs="Times New Roman" w:eastAsia="Times New Roman" w:hint="default"/>
        </w:rPr>
        <w:t>1</w:t>
      </w:r>
      <w:r>
        <w:rPr/>
        <w:t>号集合资产管理计划</w:t>
      </w:r>
      <w:r>
        <w:rPr>
          <w:rFonts w:ascii="Times New Roman" w:hAnsi="Times New Roman" w:cs="Times New Roman" w:eastAsia="Times New Roman" w:hint="default"/>
        </w:rPr>
        <w:t>”</w:t>
      </w:r>
      <w:r>
        <w:rPr/>
        <w:t>分别以 </w:t>
      </w:r>
      <w:r>
        <w:rPr>
          <w:spacing w:val="-1"/>
        </w:rPr>
        <w:t>集中竞价和大宗交易方式合计减持公司股份</w:t>
      </w:r>
      <w:r>
        <w:rPr>
          <w:rFonts w:ascii="Times New Roman" w:hAnsi="Times New Roman" w:cs="Times New Roman" w:eastAsia="Times New Roman" w:hint="default"/>
          <w:spacing w:val="-1"/>
        </w:rPr>
        <w:t>618,400</w:t>
      </w:r>
      <w:r>
        <w:rPr>
          <w:spacing w:val="-1"/>
        </w:rPr>
        <w:t>股，本次权益变动后海通资管管理的</w:t>
      </w:r>
      <w:r>
        <w:rPr>
          <w:rFonts w:ascii="Times New Roman" w:hAnsi="Times New Roman" w:cs="Times New Roman" w:eastAsia="Times New Roman" w:hint="default"/>
          <w:spacing w:val="-1"/>
        </w:rPr>
        <w:t>“</w:t>
      </w:r>
      <w:r>
        <w:rPr>
          <w:spacing w:val="-1"/>
        </w:rPr>
        <w:t>海通投融宝</w:t>
      </w:r>
      <w:r>
        <w:rPr>
          <w:rFonts w:ascii="Times New Roman" w:hAnsi="Times New Roman" w:cs="Times New Roman" w:eastAsia="Times New Roman" w:hint="default"/>
          <w:spacing w:val="-1"/>
        </w:rPr>
        <w:t>1</w:t>
      </w:r>
      <w:r>
        <w:rPr>
          <w:spacing w:val="-1"/>
        </w:rPr>
        <w:t>号集合资产管理计划</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5"/>
        </w:rPr>
        <w:t> </w:t>
      </w:r>
      <w:r>
        <w:rPr>
          <w:spacing w:val="-2"/>
        </w:rPr>
        <w:t>持有公司股份</w:t>
      </w:r>
      <w:r>
        <w:rPr>
          <w:rFonts w:ascii="Times New Roman" w:hAnsi="Times New Roman" w:cs="Times New Roman" w:eastAsia="Times New Roman" w:hint="default"/>
          <w:spacing w:val="-2"/>
        </w:rPr>
        <w:t>35,561,600</w:t>
      </w:r>
      <w:r>
        <w:rPr>
          <w:spacing w:val="-2"/>
        </w:rPr>
        <w:t>股（占公司总股本的</w:t>
      </w:r>
      <w:r>
        <w:rPr>
          <w:rFonts w:ascii="Times New Roman" w:hAnsi="Times New Roman" w:cs="Times New Roman" w:eastAsia="Times New Roman" w:hint="default"/>
          <w:spacing w:val="-2"/>
        </w:rPr>
        <w:t>4.99999023%</w:t>
      </w:r>
      <w:r>
        <w:rPr>
          <w:spacing w:val="-2"/>
        </w:rPr>
        <w:t>），不再是公司持股</w:t>
      </w:r>
      <w:r>
        <w:rPr>
          <w:rFonts w:ascii="Times New Roman" w:hAnsi="Times New Roman" w:cs="Times New Roman" w:eastAsia="Times New Roman" w:hint="default"/>
          <w:spacing w:val="-2"/>
        </w:rPr>
        <w:t>5%</w:t>
      </w:r>
      <w:r>
        <w:rPr>
          <w:spacing w:val="-2"/>
        </w:rPr>
        <w:t>以上的股东，具体情况详见公司于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7"/>
        </w:rPr>
        <w:t> </w:t>
      </w:r>
      <w:r>
        <w:rPr/>
        <w:t>月</w:t>
      </w:r>
      <w:r>
        <w:rPr>
          <w:rFonts w:ascii="Times New Roman" w:hAnsi="Times New Roman" w:cs="Times New Roman" w:eastAsia="Times New Roman" w:hint="default"/>
        </w:rPr>
        <w:t>13</w:t>
      </w:r>
      <w:r>
        <w:rPr/>
        <w:t>日在巨潮资讯网（</w:t>
      </w:r>
      <w:hyperlink r:id="rId13">
        <w:r>
          <w:rPr>
            <w:rFonts w:ascii="Times New Roman" w:hAnsi="Times New Roman" w:cs="Times New Roman" w:eastAsia="Times New Roman" w:hint="default"/>
          </w:rPr>
          <w:t>www.cninfo.com.cn</w:t>
        </w:r>
      </w:hyperlink>
      <w:r>
        <w:rPr/>
        <w:t>）上披露的相关公告。</w:t>
      </w:r>
    </w:p>
    <w:p>
      <w:pPr>
        <w:pStyle w:val="BodyText"/>
        <w:spacing w:line="300" w:lineRule="auto" w:before="13"/>
        <w:ind w:right="1133" w:firstLine="360"/>
        <w:jc w:val="both"/>
      </w:pPr>
      <w:r>
        <w:rPr/>
        <w:t>（</w:t>
      </w:r>
      <w:r>
        <w:rPr>
          <w:rFonts w:ascii="Times New Roman" w:hAnsi="Times New Roman" w:cs="Times New Roman" w:eastAsia="Times New Roman" w:hint="default"/>
        </w:rPr>
        <w:t>3</w:t>
      </w:r>
      <w:r>
        <w:rPr/>
        <w:t>）公司控股股东久其科技</w:t>
      </w:r>
      <w:r>
        <w:rPr>
          <w:rFonts w:ascii="Times New Roman" w:hAnsi="Times New Roman" w:cs="Times New Roman" w:eastAsia="Times New Roman" w:hint="default"/>
        </w:rPr>
        <w:t>2019</w:t>
      </w:r>
      <w:r>
        <w:rPr/>
        <w:t>年非公开发行的规模为</w:t>
      </w:r>
      <w:r>
        <w:rPr>
          <w:rFonts w:ascii="Times New Roman" w:hAnsi="Times New Roman" w:cs="Times New Roman" w:eastAsia="Times New Roman" w:hint="default"/>
        </w:rPr>
        <w:t>4</w:t>
      </w:r>
      <w:r>
        <w:rPr/>
        <w:t>亿元的可交换公司债券（债券简称：</w:t>
      </w:r>
      <w:r>
        <w:rPr>
          <w:rFonts w:ascii="Times New Roman" w:hAnsi="Times New Roman" w:cs="Times New Roman" w:eastAsia="Times New Roman" w:hint="default"/>
        </w:rPr>
        <w:t>19</w:t>
      </w:r>
      <w:r>
        <w:rPr/>
        <w:t>科投</w:t>
      </w:r>
      <w:r>
        <w:rPr>
          <w:rFonts w:ascii="Times New Roman" w:hAnsi="Times New Roman" w:cs="Times New Roman" w:eastAsia="Times New Roman" w:hint="default"/>
        </w:rPr>
        <w:t>EB</w:t>
      </w:r>
      <w:r>
        <w:rPr/>
        <w:t>，债券代码： </w:t>
      </w:r>
      <w:r>
        <w:rPr>
          <w:rFonts w:ascii="Times New Roman" w:hAnsi="Times New Roman" w:cs="Times New Roman" w:eastAsia="Times New Roman" w:hint="default"/>
          <w:spacing w:val="-1"/>
        </w:rPr>
        <w:t>117128</w:t>
      </w:r>
      <w:r>
        <w:rPr>
          <w:spacing w:val="-1"/>
        </w:rPr>
        <w:t>）于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30</w:t>
      </w:r>
      <w:r>
        <w:rPr>
          <w:spacing w:val="-1"/>
        </w:rPr>
        <w:t>日起进入换股期，报告期内累计换股数量为</w:t>
      </w:r>
      <w:r>
        <w:rPr>
          <w:rFonts w:ascii="Times New Roman" w:hAnsi="Times New Roman" w:cs="Times New Roman" w:eastAsia="Times New Roman" w:hint="default"/>
          <w:spacing w:val="-1"/>
        </w:rPr>
        <w:t>64,329,403</w:t>
      </w:r>
      <w:r>
        <w:rPr>
          <w:spacing w:val="-1"/>
        </w:rPr>
        <w:t>股（占公司总股本的</w:t>
      </w:r>
      <w:r>
        <w:rPr>
          <w:rFonts w:ascii="Times New Roman" w:hAnsi="Times New Roman" w:cs="Times New Roman" w:eastAsia="Times New Roman" w:hint="default"/>
          <w:spacing w:val="-1"/>
        </w:rPr>
        <w:t>9.04%</w:t>
      </w:r>
      <w:r>
        <w:rPr>
          <w:spacing w:val="-1"/>
        </w:rPr>
        <w:t>），具体情况详见</w:t>
      </w:r>
      <w:r>
        <w:rPr>
          <w:spacing w:val="-45"/>
        </w:rPr>
        <w:t> </w:t>
      </w:r>
      <w:r>
        <w:rPr>
          <w:spacing w:val="-45"/>
        </w:rPr>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日在巨潮资讯网（</w:t>
      </w:r>
      <w:hyperlink r:id="rId13">
        <w:r>
          <w:rPr>
            <w:rFonts w:ascii="Times New Roman" w:hAnsi="Times New Roman" w:cs="Times New Roman" w:eastAsia="Times New Roman" w:hint="default"/>
          </w:rPr>
          <w:t>www.cninfo.com.cn</w:t>
        </w:r>
      </w:hyperlink>
      <w:r>
        <w:rPr/>
        <w:t>）上披露的相关公告。</w:t>
      </w:r>
    </w:p>
    <w:p>
      <w:pPr>
        <w:pStyle w:val="BodyText"/>
        <w:spacing w:line="300" w:lineRule="auto" w:before="13"/>
        <w:ind w:right="1128" w:firstLine="360"/>
        <w:jc w:val="both"/>
      </w:pPr>
      <w:r>
        <w:rPr/>
        <w:t>（</w:t>
      </w:r>
      <w:r>
        <w:rPr>
          <w:rFonts w:ascii="Times New Roman" w:hAnsi="Times New Roman" w:cs="Times New Roman" w:eastAsia="Times New Roman" w:hint="default"/>
        </w:rPr>
        <w:t>4</w:t>
      </w:r>
      <w:r>
        <w:rPr/>
        <w:t>）公司实际控制人董泰湘因偿还质押融资借款所需，分别于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日和</w:t>
      </w:r>
      <w:r>
        <w:rPr>
          <w:rFonts w:ascii="Times New Roman" w:hAnsi="Times New Roman" w:cs="Times New Roman" w:eastAsia="Times New Roman" w:hint="default"/>
        </w:rPr>
        <w:t>27</w:t>
      </w:r>
      <w:r>
        <w:rPr/>
        <w:t>日以大宗交易方式减持其持有的公 司股份</w:t>
      </w:r>
      <w:r>
        <w:rPr>
          <w:rFonts w:ascii="Times New Roman" w:hAnsi="Times New Roman" w:cs="Times New Roman" w:eastAsia="Times New Roman" w:hint="default"/>
        </w:rPr>
        <w:t>3,911,900</w:t>
      </w:r>
      <w:r>
        <w:rPr/>
        <w:t>股（占公司总股本的</w:t>
      </w:r>
      <w:r>
        <w:rPr>
          <w:rFonts w:ascii="Times New Roman" w:hAnsi="Times New Roman" w:cs="Times New Roman" w:eastAsia="Times New Roman" w:hint="default"/>
        </w:rPr>
        <w:t>0.55%</w:t>
      </w:r>
      <w:r>
        <w:rPr/>
        <w:t>）和</w:t>
      </w:r>
      <w:r>
        <w:rPr>
          <w:rFonts w:ascii="Times New Roman" w:hAnsi="Times New Roman" w:cs="Times New Roman" w:eastAsia="Times New Roman" w:hint="default"/>
        </w:rPr>
        <w:t>8,633,091</w:t>
      </w:r>
      <w:r>
        <w:rPr/>
        <w:t>股（占公司总股本的</w:t>
      </w:r>
      <w:r>
        <w:rPr>
          <w:rFonts w:ascii="Times New Roman" w:hAnsi="Times New Roman" w:cs="Times New Roman" w:eastAsia="Times New Roman" w:hint="default"/>
        </w:rPr>
        <w:t>1.21%</w:t>
      </w:r>
      <w:r>
        <w:rPr/>
        <w:t>），具体情况详见公司于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16</w:t>
      </w:r>
      <w:r>
        <w:rPr>
          <w:rFonts w:ascii="Times New Roman" w:hAnsi="Times New Roman" w:cs="Times New Roman" w:eastAsia="Times New Roman" w:hint="default"/>
          <w:spacing w:val="6"/>
        </w:rPr>
        <w:t> </w:t>
      </w:r>
      <w:r>
        <w:rPr/>
        <w:t>日和</w:t>
      </w:r>
      <w:r>
        <w:rPr>
          <w:rFonts w:ascii="Times New Roman" w:hAnsi="Times New Roman" w:cs="Times New Roman" w:eastAsia="Times New Roman" w:hint="default"/>
        </w:rPr>
        <w:t>29</w:t>
      </w:r>
      <w:r>
        <w:rPr/>
        <w:t>日在巨潮资讯网（</w:t>
      </w:r>
      <w:hyperlink r:id="rId13">
        <w:r>
          <w:rPr>
            <w:rFonts w:ascii="Times New Roman" w:hAnsi="Times New Roman" w:cs="Times New Roman" w:eastAsia="Times New Roman" w:hint="default"/>
          </w:rPr>
          <w:t>www.cninfo.com.cn</w:t>
        </w:r>
      </w:hyperlink>
      <w:r>
        <w:rPr/>
        <w:t>）上披露的相关公告。</w:t>
      </w:r>
    </w:p>
    <w:p>
      <w:pPr>
        <w:pStyle w:val="BodyText"/>
        <w:spacing w:line="300" w:lineRule="auto" w:before="13"/>
        <w:ind w:right="1131" w:firstLine="360"/>
        <w:jc w:val="both"/>
      </w:pPr>
      <w:r>
        <w:rPr>
          <w:spacing w:val="7"/>
        </w:rPr>
        <w:t>上述权益变动未导致公司控股股东和实际控制人发生变更</w:t>
      </w:r>
      <w:r>
        <w:rPr>
          <w:rFonts w:ascii="Times New Roman" w:hAnsi="Times New Roman" w:cs="Times New Roman" w:eastAsia="Times New Roman" w:hint="default"/>
          <w:spacing w:val="7"/>
        </w:rPr>
        <w:t>,</w:t>
      </w:r>
      <w:r>
        <w:rPr>
          <w:spacing w:val="7"/>
        </w:rPr>
        <w:t>截至</w:t>
      </w:r>
      <w:r>
        <w:rPr>
          <w:rFonts w:ascii="Times New Roman" w:hAnsi="Times New Roman" w:cs="Times New Roman" w:eastAsia="Times New Roman" w:hint="default"/>
          <w:spacing w:val="7"/>
        </w:rPr>
        <w:t>2019</w:t>
      </w:r>
      <w:r>
        <w:rPr>
          <w:spacing w:val="7"/>
        </w:rPr>
        <w:t>年</w:t>
      </w:r>
      <w:r>
        <w:rPr>
          <w:rFonts w:ascii="Times New Roman" w:hAnsi="Times New Roman" w:cs="Times New Roman" w:eastAsia="Times New Roman" w:hint="default"/>
          <w:spacing w:val="7"/>
        </w:rPr>
        <w:t>12</w:t>
      </w:r>
      <w:r>
        <w:rPr>
          <w:spacing w:val="7"/>
        </w:rPr>
        <w:t>月</w:t>
      </w:r>
      <w:r>
        <w:rPr>
          <w:rFonts w:ascii="Times New Roman" w:hAnsi="Times New Roman" w:cs="Times New Roman" w:eastAsia="Times New Roman" w:hint="default"/>
          <w:spacing w:val="7"/>
        </w:rPr>
        <w:t>31</w:t>
      </w:r>
      <w:r>
        <w:rPr>
          <w:spacing w:val="7"/>
        </w:rPr>
        <w:t>日，控股股东久其科技持有公司股份</w:t>
      </w:r>
      <w:r>
        <w:rPr/>
        <w:t> </w:t>
      </w:r>
      <w:r>
        <w:rPr>
          <w:rFonts w:ascii="Times New Roman" w:hAnsi="Times New Roman" w:cs="Times New Roman" w:eastAsia="Times New Roman" w:hint="default"/>
          <w:spacing w:val="-2"/>
        </w:rPr>
        <w:t>100,198,487</w:t>
      </w:r>
      <w:r>
        <w:rPr>
          <w:spacing w:val="-2"/>
        </w:rPr>
        <w:t>股，实际控制人董泰湘和赵福君分别持有公司股份</w:t>
      </w:r>
      <w:r>
        <w:rPr>
          <w:rFonts w:ascii="Times New Roman" w:hAnsi="Times New Roman" w:cs="Times New Roman" w:eastAsia="Times New Roman" w:hint="default"/>
          <w:spacing w:val="-2"/>
        </w:rPr>
        <w:t>59,065,102</w:t>
      </w:r>
      <w:r>
        <w:rPr>
          <w:spacing w:val="-2"/>
        </w:rPr>
        <w:t>股和</w:t>
      </w:r>
      <w:r>
        <w:rPr>
          <w:rFonts w:ascii="Times New Roman" w:hAnsi="Times New Roman" w:cs="Times New Roman" w:eastAsia="Times New Roman" w:hint="default"/>
          <w:spacing w:val="-2"/>
        </w:rPr>
        <w:t>78,265,507</w:t>
      </w:r>
      <w:r>
        <w:rPr>
          <w:spacing w:val="-2"/>
        </w:rPr>
        <w:t>股，公司控股股东和实际控制人合计</w:t>
      </w:r>
      <w:r>
        <w:rPr>
          <w:spacing w:val="-41"/>
        </w:rPr>
        <w:t> </w:t>
      </w:r>
      <w:r>
        <w:rPr>
          <w:spacing w:val="-41"/>
        </w:rPr>
      </w:r>
      <w:r>
        <w:rPr/>
        <w:t>持有公司股份</w:t>
      </w:r>
      <w:r>
        <w:rPr>
          <w:rFonts w:ascii="Times New Roman" w:hAnsi="Times New Roman" w:cs="Times New Roman" w:eastAsia="Times New Roman" w:hint="default"/>
        </w:rPr>
        <w:t>237,529,096</w:t>
      </w:r>
      <w:r>
        <w:rPr/>
        <w:t>股（占公司总股本的</w:t>
      </w:r>
      <w:r>
        <w:rPr>
          <w:rFonts w:ascii="Times New Roman" w:hAnsi="Times New Roman" w:cs="Times New Roman" w:eastAsia="Times New Roman" w:hint="default"/>
        </w:rPr>
        <w:t>33.40%</w:t>
      </w:r>
      <w:r>
        <w:rPr/>
        <w:t>）。</w:t>
      </w:r>
    </w:p>
    <w:p>
      <w:pPr>
        <w:spacing w:after="0" w:line="300" w:lineRule="auto"/>
        <w:jc w:val="both"/>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15"/>
        <w:jc w:val="left"/>
        <w:rPr>
          <w:b w:val="0"/>
          <w:bCs w:val="0"/>
        </w:rPr>
      </w:pPr>
      <w:bookmarkStart w:name="2、限售股份变动情况" w:id="109"/>
      <w:bookmarkEnd w:id="109"/>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before="44"/>
        <w:ind w:left="0" w:right="1119"/>
        <w:jc w:val="right"/>
      </w:pPr>
      <w:r>
        <w:rPr/>
        <w:pict>
          <v:shape style="position:absolute;margin-left:56.400002pt;margin-top:-181.358276pt;width:480.85pt;height:620.6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54"/>
                    <w:gridCol w:w="950"/>
                    <w:gridCol w:w="843"/>
                    <w:gridCol w:w="979"/>
                    <w:gridCol w:w="1071"/>
                    <w:gridCol w:w="1560"/>
                    <w:gridCol w:w="2545"/>
                  </w:tblGrid>
                  <w:tr>
                    <w:trPr>
                      <w:trHeight w:val="713" w:hRule="exact"/>
                    </w:trPr>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0" w:right="108" w:hanging="180"/>
                          <w:jc w:val="left"/>
                          <w:rPr>
                            <w:rFonts w:ascii="宋体" w:hAnsi="宋体" w:cs="宋体" w:eastAsia="宋体" w:hint="default"/>
                            <w:sz w:val="18"/>
                            <w:szCs w:val="18"/>
                          </w:rPr>
                        </w:pPr>
                        <w:r>
                          <w:rPr>
                            <w:rFonts w:ascii="宋体" w:hAnsi="宋体" w:cs="宋体" w:eastAsia="宋体" w:hint="default"/>
                            <w:sz w:val="18"/>
                            <w:szCs w:val="18"/>
                          </w:rPr>
                          <w:t>期初限售 股数</w:t>
                        </w:r>
                      </w:p>
                    </w:tc>
                    <w:tc>
                      <w:tcPr>
                        <w:tcW w:w="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 w:right="53"/>
                          <w:jc w:val="left"/>
                          <w:rPr>
                            <w:rFonts w:ascii="宋体" w:hAnsi="宋体" w:cs="宋体" w:eastAsia="宋体" w:hint="default"/>
                            <w:sz w:val="18"/>
                            <w:szCs w:val="18"/>
                          </w:rPr>
                        </w:pPr>
                        <w:r>
                          <w:rPr>
                            <w:rFonts w:ascii="宋体" w:hAnsi="宋体" w:cs="宋体" w:eastAsia="宋体" w:hint="default"/>
                            <w:sz w:val="18"/>
                            <w:szCs w:val="18"/>
                          </w:rPr>
                          <w:t>本期增加 限售股数</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6" w:right="31"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41" w:right="77"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2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3"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58,699,130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58,699,130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高管股例行限售</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209"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王新</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16,378,304</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4,094,577</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12,283,727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3" w:right="84"/>
                          <w:jc w:val="both"/>
                          <w:rPr>
                            <w:rFonts w:ascii="宋体" w:hAnsi="宋体" w:cs="宋体" w:eastAsia="宋体" w:hint="default"/>
                            <w:sz w:val="18"/>
                            <w:szCs w:val="18"/>
                          </w:rPr>
                        </w:pPr>
                        <w:r>
                          <w:rPr>
                            <w:rFonts w:ascii="宋体" w:hAnsi="宋体" w:cs="宋体" w:eastAsia="宋体" w:hint="default"/>
                            <w:sz w:val="18"/>
                            <w:szCs w:val="18"/>
                          </w:rPr>
                          <w:t>重组项目承诺股份 限售；董事离任股 份限售</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Times New Roman" w:hAnsi="Times New Roman" w:cs="Times New Roman" w:eastAsia="Times New Roman" w:hint="default"/>
                            <w:sz w:val="18"/>
                            <w:szCs w:val="18"/>
                          </w:rPr>
                        </w:pPr>
                        <w:r>
                          <w:rPr>
                            <w:rFonts w:ascii="宋体" w:hAnsi="宋体" w:cs="宋体" w:eastAsia="宋体" w:hint="default"/>
                            <w:spacing w:val="11"/>
                            <w:sz w:val="18"/>
                            <w:szCs w:val="18"/>
                          </w:rPr>
                          <w:t>根据交易协议约定的各项解锁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条件均成就后，</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25</w:t>
                        </w:r>
                      </w:p>
                      <w:p>
                        <w:pPr>
                          <w:pStyle w:val="TableParagraph"/>
                          <w:spacing w:line="248" w:lineRule="exact"/>
                          <w:ind w:left="23" w:right="0"/>
                          <w:jc w:val="both"/>
                          <w:rPr>
                            <w:rFonts w:ascii="宋体" w:hAnsi="宋体" w:cs="宋体" w:eastAsia="宋体" w:hint="default"/>
                            <w:sz w:val="18"/>
                            <w:szCs w:val="18"/>
                          </w:rPr>
                        </w:pPr>
                        <w:r>
                          <w:rPr>
                            <w:rFonts w:ascii="宋体" w:hAnsi="宋体" w:cs="宋体" w:eastAsia="宋体" w:hint="default"/>
                            <w:sz w:val="18"/>
                            <w:szCs w:val="18"/>
                          </w:rPr>
                          <w:t>日已解除限售 </w:t>
                        </w:r>
                        <w:r>
                          <w:rPr>
                            <w:rFonts w:ascii="Times New Roman" w:hAnsi="Times New Roman" w:cs="Times New Roman" w:eastAsia="Times New Roman" w:hint="default"/>
                            <w:sz w:val="18"/>
                            <w:szCs w:val="18"/>
                          </w:rPr>
                          <w:t>1,526,526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股，因</w:t>
                        </w:r>
                      </w:p>
                      <w:p>
                        <w:pPr>
                          <w:pStyle w:val="TableParagraph"/>
                          <w:spacing w:line="309" w:lineRule="auto" w:before="63"/>
                          <w:ind w:left="23" w:right="-10"/>
                          <w:jc w:val="both"/>
                          <w:rPr>
                            <w:rFonts w:ascii="宋体" w:hAnsi="宋体" w:cs="宋体" w:eastAsia="宋体" w:hint="default"/>
                            <w:sz w:val="18"/>
                            <w:szCs w:val="18"/>
                          </w:rPr>
                        </w:pPr>
                        <w:r>
                          <w:rPr>
                            <w:rFonts w:ascii="宋体" w:hAnsi="宋体" w:cs="宋体" w:eastAsia="宋体" w:hint="default"/>
                            <w:sz w:val="18"/>
                            <w:szCs w:val="18"/>
                          </w:rPr>
                          <w:t>辞任董事职务不满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个月，故解</w:t>
                        </w:r>
                        <w:r>
                          <w:rPr>
                            <w:rFonts w:ascii="宋体" w:hAnsi="宋体" w:cs="宋体" w:eastAsia="宋体" w:hint="default"/>
                            <w:sz w:val="18"/>
                            <w:szCs w:val="18"/>
                          </w:rPr>
                          <w:t> 除限售股份转变为高管锁定股；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日（辞任董事职</w:t>
                        </w:r>
                      </w:p>
                      <w:p>
                        <w:pPr>
                          <w:pStyle w:val="TableParagraph"/>
                          <w:spacing w:line="240" w:lineRule="auto" w:before="5"/>
                          <w:ind w:left="23" w:right="0"/>
                          <w:jc w:val="both"/>
                          <w:rPr>
                            <w:rFonts w:ascii="宋体" w:hAnsi="宋体" w:cs="宋体" w:eastAsia="宋体" w:hint="default"/>
                            <w:sz w:val="18"/>
                            <w:szCs w:val="18"/>
                          </w:rPr>
                        </w:pPr>
                        <w:r>
                          <w:rPr>
                            <w:rFonts w:ascii="宋体" w:hAnsi="宋体" w:cs="宋体" w:eastAsia="宋体" w:hint="default"/>
                            <w:spacing w:val="10"/>
                            <w:sz w:val="18"/>
                            <w:szCs w:val="18"/>
                          </w:rPr>
                          <w:t>务满 </w:t>
                        </w:r>
                        <w:r>
                          <w:rPr>
                            <w:rFonts w:ascii="Times New Roman" w:hAnsi="Times New Roman" w:cs="Times New Roman" w:eastAsia="Times New Roman" w:hint="default"/>
                            <w:sz w:val="18"/>
                            <w:szCs w:val="18"/>
                          </w:rPr>
                          <w:t>6 </w:t>
                        </w:r>
                        <w:r>
                          <w:rPr>
                            <w:rFonts w:ascii="Times New Roman" w:hAnsi="Times New Roman" w:cs="Times New Roman" w:eastAsia="Times New Roman" w:hint="default"/>
                            <w:spacing w:val="40"/>
                            <w:sz w:val="18"/>
                            <w:szCs w:val="18"/>
                          </w:rPr>
                          <w:t> </w:t>
                        </w:r>
                        <w:r>
                          <w:rPr>
                            <w:rFonts w:ascii="宋体" w:hAnsi="宋体" w:cs="宋体" w:eastAsia="宋体" w:hint="default"/>
                            <w:spacing w:val="18"/>
                            <w:sz w:val="18"/>
                            <w:szCs w:val="18"/>
                          </w:rPr>
                          <w:t>个月后）已解除限售</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4,094,577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日（原定任期届满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可解除限售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12,283,727 </w:t>
                        </w:r>
                        <w:r>
                          <w:rPr>
                            <w:rFonts w:ascii="宋体" w:hAnsi="宋体" w:cs="宋体" w:eastAsia="宋体" w:hint="default"/>
                            <w:sz w:val="18"/>
                            <w:szCs w:val="18"/>
                          </w:rPr>
                          <w:t>股</w:t>
                        </w:r>
                      </w:p>
                    </w:tc>
                  </w:tr>
                  <w:tr>
                    <w:trPr>
                      <w:trHeight w:val="403"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栗军</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13,993,010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2,745,000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11,248,010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高管股例行限售</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5"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欧阳曜</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13,337,476</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4,445,825</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17,783,301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董事离任股份限售</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pacing w:val="-7"/>
                            <w:sz w:val="18"/>
                            <w:szCs w:val="18"/>
                          </w:rPr>
                          <w:t>日（离任董</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事职务届满</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个月后）可解除限</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17,783,301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404"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施瑞丰</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2,657,199</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2,657,199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高管股例行限售</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5"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李勇</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1,151,588</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1,151,588</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z w:val="18"/>
                            <w:szCs w:val="18"/>
                          </w:rPr>
                          <w:t>重组项目承诺股份 限售</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根据交易协议约定的各项解锁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条件均成就后，</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25</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日已解除限售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1,151,588 </w:t>
                        </w:r>
                        <w:r>
                          <w:rPr>
                            <w:rFonts w:ascii="宋体" w:hAnsi="宋体" w:cs="宋体" w:eastAsia="宋体" w:hint="default"/>
                            <w:sz w:val="18"/>
                            <w:szCs w:val="18"/>
                          </w:rPr>
                          <w:t>股</w:t>
                        </w:r>
                      </w:p>
                    </w:tc>
                  </w:tr>
                  <w:tr>
                    <w:trPr>
                      <w:trHeight w:val="403"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邱安超</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452,607</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452,607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高管股例行限售</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王海霞</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388,456</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388,456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高管股例行限售</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朱晓钧</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312,000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312,000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高管股例行限售</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刘文圣</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201,825</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201,825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高管股例行限售</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8"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曾超</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198,412</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66,138</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264,550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监事离任股份限售</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日（离任监事职</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pacing w:val="2"/>
                            <w:sz w:val="18"/>
                            <w:szCs w:val="18"/>
                          </w:rPr>
                          <w:t>务届满 </w:t>
                        </w:r>
                        <w:r>
                          <w:rPr>
                            <w:rFonts w:ascii="Times New Roman" w:hAnsi="Times New Roman" w:cs="Times New Roman" w:eastAsia="Times New Roman" w:hint="default"/>
                            <w:sz w:val="18"/>
                            <w:szCs w:val="18"/>
                          </w:rPr>
                          <w:t>6 </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个月后）可解除限售</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264,550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2585"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2"/>
                          <w:ind w:left="24" w:right="19"/>
                          <w:jc w:val="left"/>
                          <w:rPr>
                            <w:rFonts w:ascii="宋体" w:hAnsi="宋体" w:cs="宋体" w:eastAsia="宋体" w:hint="default"/>
                            <w:sz w:val="18"/>
                            <w:szCs w:val="18"/>
                          </w:rPr>
                        </w:pPr>
                        <w:r>
                          <w:rPr>
                            <w:rFonts w:ascii="宋体" w:hAnsi="宋体" w:cs="宋体" w:eastAsia="宋体" w:hint="default"/>
                            <w:sz w:val="18"/>
                            <w:szCs w:val="18"/>
                          </w:rPr>
                          <w:t>限制性股票股权激 励首次授予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321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名激 励对象</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4,249,840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1,934,820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2,315,020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z w:val="18"/>
                            <w:szCs w:val="18"/>
                          </w:rPr>
                          <w:t>限制性股票股权激 励</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
                          <w:jc w:val="both"/>
                          <w:rPr>
                            <w:rFonts w:ascii="宋体" w:hAnsi="宋体" w:cs="宋体" w:eastAsia="宋体" w:hint="default"/>
                            <w:sz w:val="18"/>
                            <w:szCs w:val="18"/>
                          </w:rPr>
                        </w:pPr>
                        <w:r>
                          <w:rPr>
                            <w:rFonts w:ascii="宋体" w:hAnsi="宋体" w:cs="宋体" w:eastAsia="宋体" w:hint="default"/>
                            <w:spacing w:val="-9"/>
                            <w:sz w:val="18"/>
                            <w:szCs w:val="18"/>
                          </w:rPr>
                          <w:t>根据公司《</w:t>
                        </w:r>
                        <w:r>
                          <w:rPr>
                            <w:rFonts w:ascii="Times New Roman" w:hAnsi="Times New Roman" w:cs="Times New Roman" w:eastAsia="Times New Roman" w:hint="default"/>
                            <w:spacing w:val="-9"/>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pacing w:val="-1"/>
                            <w:sz w:val="18"/>
                            <w:szCs w:val="18"/>
                          </w:rPr>
                          <w:t>年度限制性股票</w:t>
                        </w:r>
                        <w:r>
                          <w:rPr>
                            <w:rFonts w:ascii="宋体" w:hAnsi="宋体" w:cs="宋体" w:eastAsia="宋体" w:hint="default"/>
                            <w:sz w:val="18"/>
                            <w:szCs w:val="18"/>
                          </w:rPr>
                          <w:t> </w:t>
                        </w:r>
                        <w:r>
                          <w:rPr>
                            <w:rFonts w:ascii="宋体" w:hAnsi="宋体" w:cs="宋体" w:eastAsia="宋体" w:hint="default"/>
                            <w:spacing w:val="-3"/>
                            <w:sz w:val="18"/>
                            <w:szCs w:val="18"/>
                          </w:rPr>
                          <w:t>激励计划》约定的各项解锁条件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9"/>
                            <w:sz w:val="18"/>
                            <w:szCs w:val="18"/>
                          </w:rPr>
                          <w:t>均成就后，</w:t>
                        </w:r>
                        <w:r>
                          <w:rPr>
                            <w:rFonts w:ascii="Times New Roman" w:hAnsi="Times New Roman" w:cs="Times New Roman" w:eastAsia="Times New Roman" w:hint="default"/>
                            <w:spacing w:val="-9"/>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日已</w:t>
                        </w:r>
                        <w:r>
                          <w:rPr>
                            <w:rFonts w:ascii="宋体" w:hAnsi="宋体" w:cs="宋体" w:eastAsia="宋体" w:hint="default"/>
                            <w:sz w:val="18"/>
                            <w:szCs w:val="18"/>
                          </w:rPr>
                        </w:r>
                      </w:p>
                      <w:p>
                        <w:pPr>
                          <w:pStyle w:val="TableParagraph"/>
                          <w:spacing w:line="240" w:lineRule="auto" w:before="5"/>
                          <w:ind w:left="23" w:right="0"/>
                          <w:jc w:val="both"/>
                          <w:rPr>
                            <w:rFonts w:ascii="宋体" w:hAnsi="宋体" w:cs="宋体" w:eastAsia="宋体" w:hint="default"/>
                            <w:sz w:val="18"/>
                            <w:szCs w:val="18"/>
                          </w:rPr>
                        </w:pPr>
                        <w:r>
                          <w:rPr>
                            <w:rFonts w:ascii="宋体" w:hAnsi="宋体" w:cs="宋体" w:eastAsia="宋体" w:hint="default"/>
                            <w:spacing w:val="14"/>
                            <w:sz w:val="18"/>
                            <w:szCs w:val="18"/>
                          </w:rPr>
                          <w:t>解除限售 </w:t>
                        </w:r>
                        <w:r>
                          <w:rPr>
                            <w:rFonts w:ascii="Times New Roman" w:hAnsi="Times New Roman" w:cs="Times New Roman" w:eastAsia="Times New Roman" w:hint="default"/>
                            <w:sz w:val="18"/>
                            <w:szCs w:val="18"/>
                          </w:rPr>
                          <w:t>1,934,820  </w:t>
                        </w:r>
                        <w:r>
                          <w:rPr>
                            <w:rFonts w:ascii="宋体" w:hAnsi="宋体" w:cs="宋体" w:eastAsia="宋体" w:hint="default"/>
                            <w:spacing w:val="8"/>
                            <w:sz w:val="18"/>
                            <w:szCs w:val="18"/>
                          </w:rPr>
                          <w:t>股；</w:t>
                        </w:r>
                        <w:r>
                          <w:rPr>
                            <w:rFonts w:ascii="宋体" w:hAnsi="宋体" w:cs="宋体" w:eastAsia="宋体" w:hint="default"/>
                            <w:spacing w:val="-49"/>
                            <w:sz w:val="18"/>
                            <w:szCs w:val="18"/>
                          </w:rPr>
                          <w:t> </w:t>
                        </w:r>
                        <w:r>
                          <w:rPr>
                            <w:rFonts w:ascii="宋体" w:hAnsi="宋体" w:cs="宋体" w:eastAsia="宋体" w:hint="default"/>
                            <w:spacing w:val="8"/>
                            <w:sz w:val="18"/>
                            <w:szCs w:val="18"/>
                          </w:rPr>
                          <w:t>预计</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日可解除限售</w:t>
                        </w:r>
                      </w:p>
                      <w:p>
                        <w:pPr>
                          <w:pStyle w:val="TableParagraph"/>
                          <w:spacing w:line="309" w:lineRule="auto" w:before="63"/>
                          <w:ind w:left="23" w:right="19"/>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1,939,620</w:t>
                        </w:r>
                        <w:r>
                          <w:rPr>
                            <w:rFonts w:ascii="Times New Roman" w:hAnsi="Times New Roman" w:cs="Times New Roman" w:eastAsia="Times New Roman" w:hint="default"/>
                            <w:spacing w:val="8"/>
                            <w:sz w:val="18"/>
                            <w:szCs w:val="18"/>
                          </w:rPr>
                          <w:t> </w:t>
                        </w:r>
                        <w:r>
                          <w:rPr>
                            <w:rFonts w:ascii="宋体" w:hAnsi="宋体" w:cs="宋体" w:eastAsia="宋体" w:hint="default"/>
                            <w:spacing w:val="-8"/>
                            <w:sz w:val="18"/>
                            <w:szCs w:val="18"/>
                          </w:rPr>
                          <w:t>股（不含因离职或业绩</w:t>
                        </w:r>
                        <w:r>
                          <w:rPr>
                            <w:rFonts w:ascii="宋体" w:hAnsi="宋体" w:cs="宋体" w:eastAsia="宋体" w:hint="default"/>
                            <w:sz w:val="18"/>
                            <w:szCs w:val="18"/>
                          </w:rPr>
                          <w:t> </w:t>
                        </w:r>
                        <w:r>
                          <w:rPr>
                            <w:rFonts w:ascii="宋体" w:hAnsi="宋体" w:cs="宋体" w:eastAsia="宋体" w:hint="default"/>
                            <w:spacing w:val="11"/>
                            <w:sz w:val="18"/>
                            <w:szCs w:val="18"/>
                          </w:rPr>
                          <w:t>未达标而尚未回购注销的限制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性股票）</w:t>
                        </w:r>
                      </w:p>
                    </w:tc>
                  </w:tr>
                </w:tbl>
                <w:p>
                  <w:pPr/>
                </w:p>
              </w:txbxContent>
            </v:textbox>
            <w10:wrap type="none"/>
          </v:shape>
        </w:pict>
      </w:r>
      <w:r>
        <w:rPr/>
        <w:t>）</w:t>
      </w:r>
    </w:p>
    <w:p>
      <w:pPr>
        <w:spacing w:after="0" w:line="240" w:lineRule="auto"/>
        <w:jc w:val="right"/>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654"/>
        <w:gridCol w:w="950"/>
        <w:gridCol w:w="843"/>
        <w:gridCol w:w="979"/>
        <w:gridCol w:w="1071"/>
        <w:gridCol w:w="1560"/>
        <w:gridCol w:w="2545"/>
      </w:tblGrid>
      <w:tr>
        <w:trPr>
          <w:trHeight w:val="713" w:hRule="exact"/>
        </w:trPr>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90" w:right="108" w:hanging="180"/>
              <w:jc w:val="left"/>
              <w:rPr>
                <w:rFonts w:ascii="宋体" w:hAnsi="宋体" w:cs="宋体" w:eastAsia="宋体" w:hint="default"/>
                <w:sz w:val="18"/>
                <w:szCs w:val="18"/>
              </w:rPr>
            </w:pPr>
            <w:r>
              <w:rPr>
                <w:rFonts w:ascii="宋体" w:hAnsi="宋体" w:cs="宋体" w:eastAsia="宋体" w:hint="default"/>
                <w:sz w:val="18"/>
                <w:szCs w:val="18"/>
              </w:rPr>
              <w:t>期初限售 股数</w:t>
            </w:r>
          </w:p>
        </w:tc>
        <w:tc>
          <w:tcPr>
            <w:tcW w:w="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8" w:right="53"/>
              <w:jc w:val="left"/>
              <w:rPr>
                <w:rFonts w:ascii="宋体" w:hAnsi="宋体" w:cs="宋体" w:eastAsia="宋体" w:hint="default"/>
                <w:sz w:val="18"/>
                <w:szCs w:val="18"/>
              </w:rPr>
            </w:pPr>
            <w:r>
              <w:rPr>
                <w:rFonts w:ascii="宋体" w:hAnsi="宋体" w:cs="宋体" w:eastAsia="宋体" w:hint="default"/>
                <w:sz w:val="18"/>
                <w:szCs w:val="18"/>
              </w:rPr>
              <w:t>本期增加 限售股数</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16" w:right="31"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41" w:right="77"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2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2275"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7" w:lineRule="auto"/>
              <w:ind w:left="24" w:right="84"/>
              <w:jc w:val="left"/>
              <w:rPr>
                <w:rFonts w:ascii="宋体" w:hAnsi="宋体" w:cs="宋体" w:eastAsia="宋体" w:hint="default"/>
                <w:sz w:val="18"/>
                <w:szCs w:val="18"/>
              </w:rPr>
            </w:pPr>
            <w:r>
              <w:rPr>
                <w:rFonts w:ascii="宋体" w:hAnsi="宋体" w:cs="宋体" w:eastAsia="宋体" w:hint="default"/>
                <w:sz w:val="18"/>
                <w:szCs w:val="18"/>
              </w:rPr>
              <w:t>限制性股票股权激 励预留授予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名激 励对象</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790,000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352,500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437,500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4"/>
              <w:ind w:left="23" w:right="84"/>
              <w:jc w:val="left"/>
              <w:rPr>
                <w:rFonts w:ascii="宋体" w:hAnsi="宋体" w:cs="宋体" w:eastAsia="宋体" w:hint="default"/>
                <w:sz w:val="18"/>
                <w:szCs w:val="18"/>
              </w:rPr>
            </w:pPr>
            <w:r>
              <w:rPr>
                <w:rFonts w:ascii="宋体" w:hAnsi="宋体" w:cs="宋体" w:eastAsia="宋体" w:hint="default"/>
                <w:sz w:val="18"/>
                <w:szCs w:val="18"/>
              </w:rPr>
              <w:t>限制性股票股权激 励</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19"/>
              <w:jc w:val="both"/>
              <w:rPr>
                <w:rFonts w:ascii="宋体" w:hAnsi="宋体" w:cs="宋体" w:eastAsia="宋体" w:hint="default"/>
                <w:sz w:val="18"/>
                <w:szCs w:val="18"/>
              </w:rPr>
            </w:pPr>
            <w:r>
              <w:rPr>
                <w:rFonts w:ascii="宋体" w:hAnsi="宋体" w:cs="宋体" w:eastAsia="宋体" w:hint="default"/>
                <w:spacing w:val="-9"/>
                <w:sz w:val="18"/>
                <w:szCs w:val="18"/>
              </w:rPr>
              <w:t>根据公司《</w:t>
            </w:r>
            <w:r>
              <w:rPr>
                <w:rFonts w:ascii="Times New Roman" w:hAnsi="Times New Roman" w:cs="Times New Roman" w:eastAsia="Times New Roman" w:hint="default"/>
                <w:spacing w:val="-9"/>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pacing w:val="-1"/>
                <w:sz w:val="18"/>
                <w:szCs w:val="18"/>
              </w:rPr>
              <w:t>年度限制性股票</w:t>
            </w:r>
            <w:r>
              <w:rPr>
                <w:rFonts w:ascii="宋体" w:hAnsi="宋体" w:cs="宋体" w:eastAsia="宋体" w:hint="default"/>
                <w:sz w:val="18"/>
                <w:szCs w:val="18"/>
              </w:rPr>
              <w:t> </w:t>
            </w:r>
            <w:r>
              <w:rPr>
                <w:rFonts w:ascii="宋体" w:hAnsi="宋体" w:cs="宋体" w:eastAsia="宋体" w:hint="default"/>
                <w:spacing w:val="-3"/>
                <w:sz w:val="18"/>
                <w:szCs w:val="18"/>
              </w:rPr>
              <w:t>激励计划》约定的各项解锁条件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8"/>
                <w:sz w:val="18"/>
                <w:szCs w:val="18"/>
              </w:rPr>
              <w:t>均成就后，</w:t>
            </w:r>
            <w:r>
              <w:rPr>
                <w:rFonts w:ascii="Times New Roman" w:hAnsi="Times New Roman" w:cs="Times New Roman" w:eastAsia="Times New Roman" w:hint="default"/>
                <w:spacing w:val="-8"/>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日已</w:t>
            </w:r>
            <w:r>
              <w:rPr>
                <w:rFonts w:ascii="宋体" w:hAnsi="宋体" w:cs="宋体" w:eastAsia="宋体" w:hint="default"/>
                <w:sz w:val="18"/>
                <w:szCs w:val="18"/>
              </w:rPr>
            </w:r>
          </w:p>
          <w:p>
            <w:pPr>
              <w:pStyle w:val="TableParagraph"/>
              <w:spacing w:line="240" w:lineRule="auto" w:before="7"/>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解除限售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352,500</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股；预计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2020</w:t>
            </w:r>
          </w:p>
          <w:p>
            <w:pPr>
              <w:pStyle w:val="TableParagraph"/>
              <w:spacing w:line="309" w:lineRule="auto" w:before="63"/>
              <w:ind w:left="23" w:right="18"/>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日可解除限售</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352,500 </w:t>
            </w:r>
            <w:r>
              <w:rPr>
                <w:rFonts w:ascii="宋体" w:hAnsi="宋体" w:cs="宋体" w:eastAsia="宋体" w:hint="default"/>
                <w:spacing w:val="-3"/>
                <w:sz w:val="18"/>
                <w:szCs w:val="18"/>
              </w:rPr>
              <w:t>股（不含因离职或业绩未达标而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尚未回购注销的限制性股票）</w:t>
            </w:r>
          </w:p>
        </w:tc>
      </w:tr>
      <w:tr>
        <w:trPr>
          <w:trHeight w:val="403" w:hRule="exact"/>
        </w:trPr>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112,809,847</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4,511,963</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10,278,485</w:t>
            </w:r>
          </w:p>
        </w:tc>
        <w:tc>
          <w:tcPr>
            <w:tcW w:w="107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107,043,325</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1115"/>
        <w:jc w:val="left"/>
        <w:rPr>
          <w:b w:val="0"/>
          <w:bCs w:val="0"/>
        </w:rPr>
      </w:pPr>
      <w:bookmarkStart w:name="二、证券发行与上市情况" w:id="110"/>
      <w:bookmarkEnd w:id="110"/>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5"/>
        <w:jc w:val="left"/>
        <w:rPr>
          <w:b w:val="0"/>
          <w:bCs w:val="0"/>
        </w:rPr>
      </w:pPr>
      <w:bookmarkStart w:name="1、报告期内证券发行（不含优先股）情况" w:id="111"/>
      <w:bookmarkEnd w:id="111"/>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15"/>
        <w:jc w:val="left"/>
        <w:rPr>
          <w:b w:val="0"/>
          <w:bCs w:val="0"/>
        </w:rPr>
      </w:pPr>
      <w:bookmarkStart w:name="2、公司股份总数及股东结构的变动、公司资产和负债结构的变动情况说明" w:id="112"/>
      <w:bookmarkEnd w:id="112"/>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513" w:right="1115"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报告期内，受公司可转债转股的影响，本报告期末较期初的股份总数及股东结构发生一定变化，具体详见本节</w:t>
      </w:r>
      <w:r>
        <w:rPr>
          <w:rFonts w:ascii="Times New Roman" w:hAnsi="Times New Roman" w:cs="Times New Roman" w:eastAsia="Times New Roman" w:hint="default"/>
        </w:rPr>
        <w:t>“</w:t>
      </w:r>
      <w:r>
        <w:rPr/>
        <w:t>一、股</w:t>
      </w:r>
    </w:p>
    <w:p>
      <w:pPr>
        <w:pStyle w:val="BodyText"/>
        <w:spacing w:line="228" w:lineRule="exact"/>
        <w:ind w:right="0"/>
        <w:jc w:val="left"/>
      </w:pPr>
      <w:r>
        <w:rPr/>
        <w:t>本变动情况</w:t>
      </w:r>
      <w:r>
        <w:rPr>
          <w:rFonts w:ascii="Times New Roman" w:hAnsi="Times New Roman" w:cs="Times New Roman" w:eastAsia="Times New Roman" w:hint="default"/>
        </w:rPr>
        <w:t>”</w:t>
      </w:r>
      <w:r>
        <w:rPr/>
        <w:t>。报告期公司股份变动情况不涉及公司控股股东和实际控制人发生变化，同时对公司资产和负债结构的变动未</w:t>
      </w:r>
    </w:p>
    <w:p>
      <w:pPr>
        <w:pStyle w:val="BodyText"/>
        <w:spacing w:line="240" w:lineRule="auto" w:before="63"/>
        <w:ind w:right="0"/>
        <w:jc w:val="left"/>
      </w:pPr>
      <w:r>
        <w:rPr/>
        <w:t>造成较大影响。公司报告期资产和负债的变动情况请参照本报告</w:t>
      </w:r>
      <w:r>
        <w:rPr>
          <w:rFonts w:ascii="Times New Roman" w:hAnsi="Times New Roman" w:cs="Times New Roman" w:eastAsia="Times New Roman" w:hint="default"/>
        </w:rPr>
        <w:t>“</w:t>
      </w:r>
      <w:r>
        <w:rPr/>
        <w:t>第四节 经营情况讨论与分析</w:t>
      </w:r>
      <w:r>
        <w:rPr>
          <w:spacing w:val="16"/>
        </w:rPr>
        <w:t> </w:t>
      </w:r>
      <w:r>
        <w:rPr/>
        <w:t>四、资产及负债状况分析</w:t>
      </w:r>
      <w:r>
        <w:rPr>
          <w:rFonts w:ascii="Times New Roman" w:hAnsi="Times New Roman" w:cs="Times New Roman" w:eastAsia="Times New Roman" w:hint="default"/>
        </w:rPr>
        <w:t>”</w:t>
      </w:r>
      <w:r>
        <w:rPr/>
        <w:t>。</w:t>
      </w:r>
    </w:p>
    <w:p>
      <w:pPr>
        <w:spacing w:line="240" w:lineRule="auto" w:before="2"/>
        <w:rPr>
          <w:rFonts w:ascii="宋体" w:hAnsi="宋体" w:cs="宋体" w:eastAsia="宋体" w:hint="default"/>
          <w:sz w:val="26"/>
          <w:szCs w:val="26"/>
        </w:rPr>
      </w:pPr>
    </w:p>
    <w:p>
      <w:pPr>
        <w:pStyle w:val="Heading3"/>
        <w:spacing w:line="240" w:lineRule="auto"/>
        <w:ind w:right="1115"/>
        <w:jc w:val="left"/>
        <w:rPr>
          <w:b w:val="0"/>
          <w:bCs w:val="0"/>
        </w:rPr>
      </w:pPr>
      <w:bookmarkStart w:name="3、现存的内部职工股情况" w:id="113"/>
      <w:bookmarkEnd w:id="113"/>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15"/>
        <w:jc w:val="left"/>
        <w:rPr>
          <w:b w:val="0"/>
          <w:bCs w:val="0"/>
        </w:rPr>
      </w:pPr>
      <w:bookmarkStart w:name="三、股东和实际控制人情况" w:id="114"/>
      <w:bookmarkEnd w:id="114"/>
      <w:r>
        <w:rPr>
          <w:b w:val="0"/>
          <w:bCs w:val="0"/>
        </w:rPr>
      </w: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5"/>
        <w:jc w:val="left"/>
        <w:rPr>
          <w:b w:val="0"/>
          <w:bCs w:val="0"/>
        </w:rPr>
      </w:pPr>
      <w:bookmarkStart w:name="1、公司股东数量及持股情况" w:id="115"/>
      <w:bookmarkEnd w:id="115"/>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93"/>
        <w:gridCol w:w="897"/>
        <w:gridCol w:w="556"/>
        <w:gridCol w:w="844"/>
        <w:gridCol w:w="725"/>
        <w:gridCol w:w="274"/>
        <w:gridCol w:w="992"/>
        <w:gridCol w:w="131"/>
        <w:gridCol w:w="733"/>
        <w:gridCol w:w="127"/>
        <w:gridCol w:w="994"/>
        <w:gridCol w:w="844"/>
        <w:gridCol w:w="963"/>
      </w:tblGrid>
      <w:tr>
        <w:trPr>
          <w:trHeight w:val="161" w:hRule="exact"/>
        </w:trPr>
        <w:tc>
          <w:tcPr>
            <w:tcW w:w="1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7" w:type="dxa"/>
            <w:vMerge w:val="restart"/>
            <w:tcBorders>
              <w:top w:val="single" w:sz="4" w:space="0" w:color="000000"/>
              <w:left w:val="single" w:sz="10" w:space="0" w:color="D2D2D2"/>
              <w:right w:val="single" w:sz="14"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54,698</w:t>
            </w:r>
          </w:p>
        </w:tc>
        <w:tc>
          <w:tcPr>
            <w:tcW w:w="140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3" w:right="115"/>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725" w:type="dxa"/>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61,899</w:t>
            </w:r>
          </w:p>
        </w:tc>
        <w:tc>
          <w:tcPr>
            <w:tcW w:w="139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1" w:right="112"/>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tc>
        <w:tc>
          <w:tcPr>
            <w:tcW w:w="733" w:type="dxa"/>
            <w:vMerge w:val="restart"/>
            <w:tcBorders>
              <w:top w:val="single" w:sz="4" w:space="0" w:color="000000"/>
              <w:left w:val="single" w:sz="12"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96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2" w:right="141"/>
              <w:jc w:val="both"/>
              <w:rPr>
                <w:rFonts w:ascii="宋体" w:hAnsi="宋体" w:cs="宋体" w:eastAsia="宋体" w:hint="default"/>
                <w:sz w:val="18"/>
                <w:szCs w:val="18"/>
              </w:rPr>
            </w:pPr>
            <w:r>
              <w:rPr>
                <w:rFonts w:ascii="宋体" w:hAnsi="宋体" w:cs="宋体" w:eastAsia="宋体" w:hint="default"/>
                <w:sz w:val="18"/>
                <w:szCs w:val="18"/>
              </w:rPr>
              <w:t>年度报告披露日前上一 月末表决权恢复的优先 股股东总数（如有）</w:t>
            </w:r>
          </w:p>
        </w:tc>
        <w:tc>
          <w:tcPr>
            <w:tcW w:w="963"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06" w:hRule="exact"/>
        </w:trPr>
        <w:tc>
          <w:tcPr>
            <w:tcW w:w="14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24" w:right="18"/>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897" w:type="dxa"/>
            <w:vMerge/>
            <w:tcBorders>
              <w:left w:val="single" w:sz="10" w:space="0" w:color="D2D2D2"/>
              <w:right w:val="single" w:sz="14" w:space="0" w:color="D2D2D2"/>
            </w:tcBorders>
          </w:tcPr>
          <w:p>
            <w:pPr/>
          </w:p>
        </w:tc>
        <w:tc>
          <w:tcPr>
            <w:tcW w:w="1400" w:type="dxa"/>
            <w:gridSpan w:val="2"/>
            <w:vMerge/>
            <w:tcBorders>
              <w:left w:val="single" w:sz="4" w:space="0" w:color="000000"/>
              <w:right w:val="single" w:sz="4" w:space="0" w:color="000000"/>
            </w:tcBorders>
            <w:shd w:val="clear" w:color="auto" w:fill="D2D2D2"/>
          </w:tcPr>
          <w:p>
            <w:pPr/>
          </w:p>
        </w:tc>
        <w:tc>
          <w:tcPr>
            <w:tcW w:w="725" w:type="dxa"/>
            <w:vMerge/>
            <w:tcBorders>
              <w:left w:val="single" w:sz="10" w:space="0" w:color="D2D2D2"/>
              <w:right w:val="single" w:sz="13" w:space="0" w:color="D2D2D2"/>
            </w:tcBorders>
          </w:tcPr>
          <w:p>
            <w:pPr/>
          </w:p>
        </w:tc>
        <w:tc>
          <w:tcPr>
            <w:tcW w:w="1396" w:type="dxa"/>
            <w:gridSpan w:val="3"/>
            <w:vMerge/>
            <w:tcBorders>
              <w:left w:val="single" w:sz="4" w:space="0" w:color="000000"/>
              <w:right w:val="single" w:sz="4" w:space="0" w:color="000000"/>
            </w:tcBorders>
            <w:shd w:val="clear" w:color="auto" w:fill="D2D2D2"/>
          </w:tcPr>
          <w:p>
            <w:pPr/>
          </w:p>
        </w:tc>
        <w:tc>
          <w:tcPr>
            <w:tcW w:w="733" w:type="dxa"/>
            <w:vMerge/>
            <w:tcBorders>
              <w:left w:val="single" w:sz="12" w:space="0" w:color="D2D2D2"/>
              <w:right w:val="single" w:sz="13" w:space="0" w:color="D2D2D2"/>
            </w:tcBorders>
          </w:tcPr>
          <w:p>
            <w:pPr/>
          </w:p>
        </w:tc>
        <w:tc>
          <w:tcPr>
            <w:tcW w:w="1966" w:type="dxa"/>
            <w:gridSpan w:val="3"/>
            <w:vMerge/>
            <w:tcBorders>
              <w:left w:val="single" w:sz="4" w:space="0" w:color="000000"/>
              <w:right w:val="single" w:sz="4" w:space="0" w:color="000000"/>
            </w:tcBorders>
            <w:shd w:val="clear" w:color="auto" w:fill="D2D2D2"/>
          </w:tcPr>
          <w:p>
            <w:pPr/>
          </w:p>
        </w:tc>
        <w:tc>
          <w:tcPr>
            <w:tcW w:w="963" w:type="dxa"/>
            <w:vMerge/>
            <w:tcBorders>
              <w:left w:val="single" w:sz="10" w:space="0" w:color="D2D2D2"/>
              <w:right w:val="single" w:sz="4" w:space="0" w:color="000000"/>
            </w:tcBorders>
          </w:tcPr>
          <w:p>
            <w:pPr/>
          </w:p>
        </w:tc>
      </w:tr>
      <w:tr>
        <w:trPr>
          <w:trHeight w:val="162" w:hRule="exact"/>
        </w:trPr>
        <w:tc>
          <w:tcPr>
            <w:tcW w:w="1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7" w:type="dxa"/>
            <w:vMerge/>
            <w:tcBorders>
              <w:left w:val="single" w:sz="10" w:space="0" w:color="D2D2D2"/>
              <w:bottom w:val="single" w:sz="5" w:space="0" w:color="000000"/>
              <w:right w:val="single" w:sz="14" w:space="0" w:color="D2D2D2"/>
            </w:tcBorders>
          </w:tcPr>
          <w:p>
            <w:pPr/>
          </w:p>
        </w:tc>
        <w:tc>
          <w:tcPr>
            <w:tcW w:w="1400" w:type="dxa"/>
            <w:gridSpan w:val="2"/>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10" w:space="0" w:color="D2D2D2"/>
              <w:bottom w:val="single" w:sz="5" w:space="0" w:color="000000"/>
              <w:right w:val="single" w:sz="13" w:space="0" w:color="D2D2D2"/>
            </w:tcBorders>
          </w:tcPr>
          <w:p>
            <w:pPr/>
          </w:p>
        </w:tc>
        <w:tc>
          <w:tcPr>
            <w:tcW w:w="1396" w:type="dxa"/>
            <w:gridSpan w:val="3"/>
            <w:vMerge/>
            <w:tcBorders>
              <w:left w:val="single" w:sz="4" w:space="0" w:color="000000"/>
              <w:bottom w:val="single" w:sz="4" w:space="0" w:color="000000"/>
              <w:right w:val="single" w:sz="4" w:space="0" w:color="000000"/>
            </w:tcBorders>
            <w:shd w:val="clear" w:color="auto" w:fill="D2D2D2"/>
          </w:tcPr>
          <w:p>
            <w:pPr/>
          </w:p>
        </w:tc>
        <w:tc>
          <w:tcPr>
            <w:tcW w:w="733" w:type="dxa"/>
            <w:vMerge/>
            <w:tcBorders>
              <w:left w:val="single" w:sz="12" w:space="0" w:color="D2D2D2"/>
              <w:bottom w:val="single" w:sz="5" w:space="0" w:color="000000"/>
              <w:right w:val="single" w:sz="13" w:space="0" w:color="D2D2D2"/>
            </w:tcBorders>
          </w:tcPr>
          <w:p>
            <w:pPr/>
          </w:p>
        </w:tc>
        <w:tc>
          <w:tcPr>
            <w:tcW w:w="1966" w:type="dxa"/>
            <w:gridSpan w:val="3"/>
            <w:vMerge/>
            <w:tcBorders>
              <w:left w:val="single" w:sz="4" w:space="0" w:color="000000"/>
              <w:bottom w:val="single" w:sz="4" w:space="0" w:color="000000"/>
              <w:right w:val="single" w:sz="4" w:space="0" w:color="000000"/>
            </w:tcBorders>
            <w:shd w:val="clear" w:color="auto" w:fill="D2D2D2"/>
          </w:tcPr>
          <w:p>
            <w:pPr/>
          </w:p>
        </w:tc>
        <w:tc>
          <w:tcPr>
            <w:tcW w:w="963" w:type="dxa"/>
            <w:vMerge/>
            <w:tcBorders>
              <w:left w:val="single" w:sz="10" w:space="0" w:color="D2D2D2"/>
              <w:bottom w:val="single" w:sz="5" w:space="0" w:color="000000"/>
              <w:right w:val="single" w:sz="4" w:space="0" w:color="000000"/>
            </w:tcBorders>
          </w:tcPr>
          <w:p>
            <w:pPr/>
          </w:p>
        </w:tc>
      </w:tr>
      <w:tr>
        <w:trPr>
          <w:trHeight w:val="401" w:hRule="exact"/>
        </w:trPr>
        <w:tc>
          <w:tcPr>
            <w:tcW w:w="9573" w:type="dxa"/>
            <w:gridSpan w:val="13"/>
            <w:tcBorders>
              <w:top w:val="single" w:sz="4" w:space="0" w:color="000000"/>
              <w:left w:val="single" w:sz="4" w:space="0" w:color="000000"/>
              <w:bottom w:val="single" w:sz="1" w:space="0" w:color="FFFFFF"/>
              <w:right w:val="single" w:sz="4" w:space="0" w:color="000000"/>
            </w:tcBorders>
            <w:shd w:val="clear" w:color="auto" w:fill="D2D2D2"/>
          </w:tcPr>
          <w:p>
            <w:pPr>
              <w:pStyle w:val="TableParagraph"/>
              <w:spacing w:line="240" w:lineRule="auto" w:before="50"/>
              <w:ind w:left="3065"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7" w:hRule="exact"/>
        </w:trPr>
        <w:tc>
          <w:tcPr>
            <w:tcW w:w="1493" w:type="dxa"/>
            <w:vMerge w:val="restart"/>
            <w:tcBorders>
              <w:top w:val="single" w:sz="1" w:space="0" w:color="FFFFFF"/>
              <w:left w:val="single" w:sz="4" w:space="0" w:color="000000"/>
              <w:right w:val="single" w:sz="4" w:space="0" w:color="000000"/>
            </w:tcBorders>
            <w:shd w:val="clear" w:color="auto" w:fill="D2D2D2"/>
          </w:tcPr>
          <w:p>
            <w:pPr/>
          </w:p>
        </w:tc>
        <w:tc>
          <w:tcPr>
            <w:tcW w:w="1453" w:type="dxa"/>
            <w:gridSpan w:val="2"/>
            <w:vMerge w:val="restart"/>
            <w:tcBorders>
              <w:top w:val="single" w:sz="1" w:space="0" w:color="FFFFFF"/>
              <w:left w:val="single" w:sz="4" w:space="0" w:color="000000"/>
              <w:right w:val="single" w:sz="4" w:space="0" w:color="000000"/>
            </w:tcBorders>
            <w:shd w:val="clear" w:color="auto" w:fill="D2D2D2"/>
          </w:tcPr>
          <w:p>
            <w:pPr/>
          </w:p>
        </w:tc>
        <w:tc>
          <w:tcPr>
            <w:tcW w:w="844" w:type="dxa"/>
            <w:vMerge w:val="restart"/>
            <w:tcBorders>
              <w:top w:val="single" w:sz="1" w:space="0" w:color="FFFFFF"/>
              <w:left w:val="single" w:sz="4" w:space="0" w:color="000000"/>
              <w:right w:val="single" w:sz="4" w:space="0" w:color="000000"/>
            </w:tcBorders>
            <w:shd w:val="clear" w:color="auto" w:fill="D2D2D2"/>
          </w:tcPr>
          <w:p>
            <w:pPr/>
          </w:p>
        </w:tc>
        <w:tc>
          <w:tcPr>
            <w:tcW w:w="999" w:type="dxa"/>
            <w:gridSpan w:val="2"/>
            <w:tcBorders>
              <w:top w:val="single" w:sz="1" w:space="0" w:color="FFFFFF"/>
              <w:left w:val="single" w:sz="4" w:space="0" w:color="000000"/>
              <w:bottom w:val="nil" w:sz="6" w:space="0" w:color="auto"/>
              <w:right w:val="single" w:sz="4" w:space="0" w:color="000000"/>
            </w:tcBorders>
            <w:shd w:val="clear" w:color="auto" w:fill="D2D2D2"/>
          </w:tcPr>
          <w:p>
            <w:pPr/>
          </w:p>
        </w:tc>
        <w:tc>
          <w:tcPr>
            <w:tcW w:w="992" w:type="dxa"/>
            <w:tcBorders>
              <w:top w:val="single" w:sz="1" w:space="0" w:color="FFFFFF"/>
              <w:left w:val="single" w:sz="4" w:space="0" w:color="000000"/>
              <w:bottom w:val="nil" w:sz="6" w:space="0" w:color="auto"/>
              <w:right w:val="single" w:sz="4" w:space="0" w:color="000000"/>
            </w:tcBorders>
            <w:shd w:val="clear" w:color="auto" w:fill="D2D2D2"/>
          </w:tcPr>
          <w:p>
            <w:pPr/>
          </w:p>
        </w:tc>
        <w:tc>
          <w:tcPr>
            <w:tcW w:w="991" w:type="dxa"/>
            <w:gridSpan w:val="3"/>
            <w:vMerge w:val="restart"/>
            <w:tcBorders>
              <w:top w:val="single" w:sz="1" w:space="0" w:color="FFFFFF"/>
              <w:left w:val="single" w:sz="4" w:space="0" w:color="000000"/>
              <w:right w:val="single" w:sz="4" w:space="0" w:color="000000"/>
            </w:tcBorders>
            <w:shd w:val="clear" w:color="auto" w:fill="D2D2D2"/>
          </w:tcPr>
          <w:p>
            <w:pPr>
              <w:pStyle w:val="TableParagraph"/>
              <w:spacing w:line="316" w:lineRule="auto" w:before="58"/>
              <w:ind w:left="40"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4" w:type="dxa"/>
            <w:vMerge w:val="restart"/>
            <w:tcBorders>
              <w:top w:val="single" w:sz="1" w:space="0" w:color="FFFFFF"/>
              <w:left w:val="single" w:sz="4" w:space="0" w:color="000000"/>
              <w:right w:val="single" w:sz="4" w:space="0" w:color="000000"/>
            </w:tcBorders>
            <w:shd w:val="clear" w:color="auto" w:fill="D2D2D2"/>
          </w:tcPr>
          <w:p>
            <w:pPr>
              <w:pStyle w:val="TableParagraph"/>
              <w:spacing w:line="316" w:lineRule="auto" w:before="58"/>
              <w:ind w:left="40" w:right="4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807" w:type="dxa"/>
            <w:gridSpan w:val="2"/>
            <w:vMerge w:val="restart"/>
            <w:tcBorders>
              <w:top w:val="single" w:sz="1" w:space="0" w:color="FFFFFF"/>
              <w:left w:val="single" w:sz="4" w:space="0" w:color="000000"/>
              <w:right w:val="single" w:sz="4" w:space="0" w:color="000000"/>
            </w:tcBorders>
            <w:shd w:val="clear" w:color="auto" w:fill="D2D2D2"/>
          </w:tcPr>
          <w:p>
            <w:pPr>
              <w:pStyle w:val="TableParagraph"/>
              <w:spacing w:line="240" w:lineRule="auto" w:before="58"/>
              <w:ind w:left="26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93" w:type="dxa"/>
            <w:vMerge/>
            <w:tcBorders>
              <w:left w:val="single" w:sz="4" w:space="0" w:color="000000"/>
              <w:bottom w:val="nil" w:sz="6" w:space="0" w:color="auto"/>
              <w:right w:val="single" w:sz="4" w:space="0" w:color="000000"/>
            </w:tcBorders>
            <w:shd w:val="clear" w:color="auto" w:fill="D2D2D2"/>
          </w:tcPr>
          <w:p>
            <w:pPr/>
          </w:p>
        </w:tc>
        <w:tc>
          <w:tcPr>
            <w:tcW w:w="1453" w:type="dxa"/>
            <w:gridSpan w:val="2"/>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99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26" w:right="4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0" w:right="39"/>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1" w:type="dxa"/>
            <w:gridSpan w:val="3"/>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1807" w:type="dxa"/>
            <w:gridSpan w:val="2"/>
            <w:vMerge/>
            <w:tcBorders>
              <w:left w:val="single" w:sz="4" w:space="0" w:color="000000"/>
              <w:right w:val="single" w:sz="4" w:space="0" w:color="000000"/>
            </w:tcBorders>
            <w:shd w:val="clear" w:color="auto" w:fill="D2D2D2"/>
          </w:tcPr>
          <w:p>
            <w:pPr/>
          </w:p>
        </w:tc>
      </w:tr>
      <w:tr>
        <w:trPr>
          <w:trHeight w:val="142" w:hRule="exact"/>
        </w:trPr>
        <w:tc>
          <w:tcPr>
            <w:tcW w:w="1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5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99" w:type="dxa"/>
            <w:gridSpan w:val="2"/>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991" w:type="dxa"/>
            <w:gridSpan w:val="3"/>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1807" w:type="dxa"/>
            <w:gridSpan w:val="2"/>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93" w:type="dxa"/>
            <w:vMerge/>
            <w:tcBorders>
              <w:left w:val="single" w:sz="4" w:space="0" w:color="000000"/>
              <w:bottom w:val="nil" w:sz="6" w:space="0" w:color="auto"/>
              <w:right w:val="single" w:sz="4" w:space="0" w:color="000000"/>
            </w:tcBorders>
            <w:shd w:val="clear" w:color="auto" w:fill="D2D2D2"/>
          </w:tcPr>
          <w:p>
            <w:pPr/>
          </w:p>
        </w:tc>
        <w:tc>
          <w:tcPr>
            <w:tcW w:w="1453" w:type="dxa"/>
            <w:gridSpan w:val="2"/>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999" w:type="dxa"/>
            <w:gridSpan w:val="2"/>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991" w:type="dxa"/>
            <w:gridSpan w:val="3"/>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6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300"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93" w:type="dxa"/>
            <w:vMerge w:val="restart"/>
            <w:tcBorders>
              <w:top w:val="nil" w:sz="6" w:space="0" w:color="auto"/>
              <w:left w:val="single" w:sz="4" w:space="0" w:color="000000"/>
              <w:right w:val="single" w:sz="4" w:space="0" w:color="000000"/>
            </w:tcBorders>
            <w:shd w:val="clear" w:color="auto" w:fill="D2D2D2"/>
          </w:tcPr>
          <w:p>
            <w:pPr/>
          </w:p>
        </w:tc>
        <w:tc>
          <w:tcPr>
            <w:tcW w:w="1453" w:type="dxa"/>
            <w:gridSpan w:val="2"/>
            <w:vMerge w:val="restart"/>
            <w:tcBorders>
              <w:top w:val="nil" w:sz="6" w:space="0" w:color="auto"/>
              <w:left w:val="single" w:sz="4" w:space="0" w:color="000000"/>
              <w:right w:val="single" w:sz="4" w:space="0" w:color="000000"/>
            </w:tcBorders>
            <w:shd w:val="clear" w:color="auto" w:fill="D2D2D2"/>
          </w:tcPr>
          <w:p>
            <w:pPr/>
          </w:p>
        </w:tc>
        <w:tc>
          <w:tcPr>
            <w:tcW w:w="844" w:type="dxa"/>
            <w:vMerge w:val="restart"/>
            <w:tcBorders>
              <w:top w:val="nil" w:sz="6" w:space="0" w:color="auto"/>
              <w:left w:val="single" w:sz="4" w:space="0" w:color="000000"/>
              <w:right w:val="single" w:sz="4" w:space="0" w:color="000000"/>
            </w:tcBorders>
            <w:shd w:val="clear" w:color="auto" w:fill="D2D2D2"/>
          </w:tcPr>
          <w:p>
            <w:pPr/>
          </w:p>
        </w:tc>
        <w:tc>
          <w:tcPr>
            <w:tcW w:w="999" w:type="dxa"/>
            <w:gridSpan w:val="2"/>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991" w:type="dxa"/>
            <w:gridSpan w:val="3"/>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844" w:type="dxa"/>
            <w:vMerge/>
            <w:tcBorders>
              <w:left w:val="single" w:sz="4" w:space="0" w:color="000000"/>
              <w:right w:val="single" w:sz="4" w:space="0" w:color="000000"/>
            </w:tcBorders>
            <w:shd w:val="clear" w:color="auto" w:fill="D2D2D2"/>
          </w:tcPr>
          <w:p>
            <w:pPr/>
          </w:p>
        </w:tc>
        <w:tc>
          <w:tcPr>
            <w:tcW w:w="963" w:type="dxa"/>
            <w:vMerge/>
            <w:tcBorders>
              <w:left w:val="single" w:sz="4" w:space="0" w:color="000000"/>
              <w:right w:val="single" w:sz="4" w:space="0" w:color="000000"/>
            </w:tcBorders>
            <w:shd w:val="clear" w:color="auto" w:fill="D2D2D2"/>
          </w:tcPr>
          <w:p>
            <w:pPr/>
          </w:p>
        </w:tc>
      </w:tr>
      <w:tr>
        <w:trPr>
          <w:trHeight w:val="161" w:hRule="exact"/>
        </w:trPr>
        <w:tc>
          <w:tcPr>
            <w:tcW w:w="1493" w:type="dxa"/>
            <w:vMerge/>
            <w:tcBorders>
              <w:left w:val="single" w:sz="4" w:space="0" w:color="000000"/>
              <w:bottom w:val="single" w:sz="4" w:space="0" w:color="000000"/>
              <w:right w:val="single" w:sz="4" w:space="0" w:color="000000"/>
            </w:tcBorders>
            <w:shd w:val="clear" w:color="auto" w:fill="D2D2D2"/>
          </w:tcPr>
          <w:p>
            <w:pPr/>
          </w:p>
        </w:tc>
        <w:tc>
          <w:tcPr>
            <w:tcW w:w="1453" w:type="dxa"/>
            <w:gridSpan w:val="2"/>
            <w:vMerge/>
            <w:tcBorders>
              <w:left w:val="single" w:sz="4" w:space="0" w:color="000000"/>
              <w:bottom w:val="single" w:sz="4" w:space="0" w:color="000000"/>
              <w:right w:val="single" w:sz="4" w:space="0" w:color="000000"/>
            </w:tcBorders>
            <w:shd w:val="clear" w:color="auto" w:fill="D2D2D2"/>
          </w:tcPr>
          <w:p>
            <w:pPr/>
          </w:p>
        </w:tc>
        <w:tc>
          <w:tcPr>
            <w:tcW w:w="844" w:type="dxa"/>
            <w:vMerge/>
            <w:tcBorders>
              <w:left w:val="single" w:sz="4" w:space="0" w:color="000000"/>
              <w:bottom w:val="single" w:sz="4" w:space="0" w:color="000000"/>
              <w:right w:val="single" w:sz="4" w:space="0" w:color="000000"/>
            </w:tcBorders>
            <w:shd w:val="clear" w:color="auto" w:fill="D2D2D2"/>
          </w:tcPr>
          <w:p>
            <w:pPr/>
          </w:p>
        </w:tc>
        <w:tc>
          <w:tcPr>
            <w:tcW w:w="99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gridSpan w:val="3"/>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844" w:type="dxa"/>
            <w:vMerge/>
            <w:tcBorders>
              <w:left w:val="single" w:sz="4" w:space="0" w:color="000000"/>
              <w:bottom w:val="single" w:sz="4" w:space="0" w:color="000000"/>
              <w:right w:val="single" w:sz="4" w:space="0" w:color="000000"/>
            </w:tcBorders>
            <w:shd w:val="clear" w:color="auto" w:fill="D2D2D2"/>
          </w:tcPr>
          <w:p>
            <w:pPr/>
          </w:p>
        </w:tc>
        <w:tc>
          <w:tcPr>
            <w:tcW w:w="963"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8"/>
              <w:jc w:val="left"/>
              <w:rPr>
                <w:rFonts w:ascii="宋体" w:hAnsi="宋体" w:cs="宋体" w:eastAsia="宋体" w:hint="default"/>
                <w:sz w:val="18"/>
                <w:szCs w:val="18"/>
              </w:rPr>
            </w:pPr>
            <w:r>
              <w:rPr>
                <w:rFonts w:ascii="宋体" w:hAnsi="宋体" w:cs="宋体" w:eastAsia="宋体" w:hint="default"/>
                <w:sz w:val="18"/>
                <w:szCs w:val="18"/>
              </w:rPr>
              <w:t>北京久其科技投 资有限公司</w:t>
            </w:r>
          </w:p>
        </w:tc>
        <w:tc>
          <w:tcPr>
            <w:tcW w:w="14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14.09%</w:t>
            </w:r>
          </w:p>
        </w:tc>
        <w:tc>
          <w:tcPr>
            <w:tcW w:w="9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100,198,487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-64,329,403</w:t>
            </w:r>
          </w:p>
        </w:tc>
        <w:tc>
          <w:tcPr>
            <w:tcW w:w="9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100,198,487</w:t>
            </w:r>
          </w:p>
        </w:tc>
        <w:tc>
          <w:tcPr>
            <w:tcW w:w="844" w:type="dxa"/>
            <w:tcBorders>
              <w:top w:val="single" w:sz="45" w:space="0" w:color="D2D2D2"/>
              <w:left w:val="single" w:sz="4" w:space="0" w:color="000000"/>
              <w:bottom w:val="single" w:sz="4" w:space="0" w:color="000000"/>
              <w:right w:val="single" w:sz="4" w:space="0" w:color="000000"/>
            </w:tcBorders>
          </w:tcPr>
          <w:p>
            <w:pPr>
              <w:pStyle w:val="TableParagraph"/>
              <w:spacing w:line="240" w:lineRule="auto" w:before="153"/>
              <w:ind w:left="24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63" w:type="dxa"/>
            <w:tcBorders>
              <w:top w:val="single" w:sz="45"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8,000,000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469"/>
        <w:gridCol w:w="1477"/>
        <w:gridCol w:w="850"/>
        <w:gridCol w:w="994"/>
        <w:gridCol w:w="425"/>
        <w:gridCol w:w="566"/>
        <w:gridCol w:w="991"/>
        <w:gridCol w:w="101"/>
        <w:gridCol w:w="893"/>
        <w:gridCol w:w="456"/>
        <w:gridCol w:w="394"/>
        <w:gridCol w:w="958"/>
      </w:tblGrid>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78,265,507</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58,699,130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19,566,377</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49,349,999</w:t>
            </w: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董泰湘</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8.30%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59,065,102</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-48,544,991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8" w:right="0"/>
              <w:jc w:val="left"/>
              <w:rPr>
                <w:rFonts w:ascii="Times New Roman" w:hAnsi="Times New Roman" w:cs="Times New Roman" w:eastAsia="Times New Roman" w:hint="default"/>
                <w:sz w:val="18"/>
                <w:szCs w:val="18"/>
              </w:rPr>
            </w:pPr>
            <w:r>
              <w:rPr>
                <w:rFonts w:ascii="Times New Roman"/>
                <w:sz w:val="18"/>
              </w:rPr>
              <w:t>59,065,102</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center"/>
              <w:rPr>
                <w:rFonts w:ascii="Times New Roman" w:hAnsi="Times New Roman" w:cs="Times New Roman" w:eastAsia="Times New Roman" w:hint="default"/>
                <w:sz w:val="18"/>
                <w:szCs w:val="18"/>
              </w:rPr>
            </w:pPr>
            <w:r>
              <w:rPr>
                <w:rFonts w:ascii="Times New Roman"/>
                <w:sz w:val="18"/>
              </w:rPr>
              <w:t>47,000,000</w:t>
            </w:r>
          </w:p>
        </w:tc>
      </w:tr>
      <w:tr>
        <w:trPr>
          <w:trHeight w:val="1337"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海通证券资管－ 工商银行－海通 投融宝</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号集合资 产管理计划</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28,482,443</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48" w:right="0"/>
              <w:jc w:val="left"/>
              <w:rPr>
                <w:rFonts w:ascii="Times New Roman" w:hAnsi="Times New Roman" w:cs="Times New Roman" w:eastAsia="Times New Roman" w:hint="default"/>
                <w:sz w:val="18"/>
                <w:szCs w:val="18"/>
              </w:rPr>
            </w:pPr>
            <w:r>
              <w:rPr>
                <w:rFonts w:ascii="Times New Roman"/>
                <w:sz w:val="18"/>
              </w:rPr>
              <w:t>28,482,443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48" w:right="0"/>
              <w:jc w:val="left"/>
              <w:rPr>
                <w:rFonts w:ascii="Times New Roman" w:hAnsi="Times New Roman" w:cs="Times New Roman" w:eastAsia="Times New Roman" w:hint="default"/>
                <w:sz w:val="18"/>
                <w:szCs w:val="18"/>
              </w:rPr>
            </w:pPr>
            <w:r>
              <w:rPr>
                <w:rFonts w:ascii="Times New Roman"/>
                <w:sz w:val="18"/>
              </w:rPr>
              <w:t>28,482,443</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欧阳曜</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17,783,301</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17,783,301</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5" w:right="0"/>
              <w:jc w:val="center"/>
              <w:rPr>
                <w:rFonts w:ascii="Times New Roman" w:hAnsi="Times New Roman" w:cs="Times New Roman" w:eastAsia="Times New Roman" w:hint="default"/>
                <w:sz w:val="18"/>
                <w:szCs w:val="18"/>
              </w:rPr>
            </w:pPr>
            <w:r>
              <w:rPr>
                <w:rFonts w:ascii="Times New Roman"/>
                <w:sz w:val="18"/>
              </w:rPr>
              <w:t>9,040,000</w:t>
            </w: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王新</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12,283,727</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9" w:right="0"/>
              <w:jc w:val="left"/>
              <w:rPr>
                <w:rFonts w:ascii="Times New Roman" w:hAnsi="Times New Roman" w:cs="Times New Roman" w:eastAsia="Times New Roman" w:hint="default"/>
                <w:sz w:val="18"/>
                <w:szCs w:val="18"/>
              </w:rPr>
            </w:pPr>
            <w:r>
              <w:rPr>
                <w:rFonts w:ascii="Times New Roman"/>
                <w:sz w:val="18"/>
              </w:rPr>
              <w:t>-4,094,577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12,283,727</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栗军</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1.58%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11,248,047</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9" w:right="0"/>
              <w:jc w:val="left"/>
              <w:rPr>
                <w:rFonts w:ascii="Times New Roman" w:hAnsi="Times New Roman" w:cs="Times New Roman" w:eastAsia="Times New Roman" w:hint="default"/>
                <w:sz w:val="18"/>
                <w:szCs w:val="18"/>
              </w:rPr>
            </w:pPr>
            <w:r>
              <w:rPr>
                <w:rFonts w:ascii="Times New Roman"/>
                <w:sz w:val="18"/>
              </w:rPr>
              <w:t>-3,749,300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11,248,010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37</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5" w:right="0"/>
              <w:jc w:val="center"/>
              <w:rPr>
                <w:rFonts w:ascii="Times New Roman" w:hAnsi="Times New Roman" w:cs="Times New Roman" w:eastAsia="Times New Roman" w:hint="default"/>
                <w:sz w:val="18"/>
                <w:szCs w:val="18"/>
              </w:rPr>
            </w:pPr>
            <w:r>
              <w:rPr>
                <w:rFonts w:ascii="Times New Roman"/>
                <w:sz w:val="18"/>
              </w:rPr>
              <w:t>3,010,000</w:t>
            </w: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李勇</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7,462,006</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9" w:right="0"/>
              <w:jc w:val="left"/>
              <w:rPr>
                <w:rFonts w:ascii="Times New Roman" w:hAnsi="Times New Roman" w:cs="Times New Roman" w:eastAsia="Times New Roman" w:hint="default"/>
                <w:sz w:val="18"/>
                <w:szCs w:val="18"/>
              </w:rPr>
            </w:pPr>
            <w:r>
              <w:rPr>
                <w:rFonts w:ascii="Times New Roman"/>
                <w:sz w:val="18"/>
              </w:rPr>
              <w:t>-4,431,792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7,462,006</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熊科</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0.77%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5,489,310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9" w:right="0"/>
              <w:jc w:val="left"/>
              <w:rPr>
                <w:rFonts w:ascii="Times New Roman" w:hAnsi="Times New Roman" w:cs="Times New Roman" w:eastAsia="Times New Roman" w:hint="default"/>
                <w:sz w:val="18"/>
                <w:szCs w:val="18"/>
              </w:rPr>
            </w:pPr>
            <w:r>
              <w:rPr>
                <w:rFonts w:ascii="Times New Roman"/>
                <w:sz w:val="18"/>
              </w:rPr>
              <w:t>5,489,310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9" w:right="0"/>
              <w:jc w:val="left"/>
              <w:rPr>
                <w:rFonts w:ascii="Times New Roman" w:hAnsi="Times New Roman" w:cs="Times New Roman" w:eastAsia="Times New Roman" w:hint="default"/>
                <w:sz w:val="18"/>
                <w:szCs w:val="18"/>
              </w:rPr>
            </w:pPr>
            <w:r>
              <w:rPr>
                <w:rFonts w:ascii="Times New Roman"/>
                <w:sz w:val="18"/>
              </w:rPr>
              <w:t>5,489,310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施瑞丰</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3,542,932</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2,657,199</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4" w:right="0"/>
              <w:jc w:val="left"/>
              <w:rPr>
                <w:rFonts w:ascii="Times New Roman" w:hAnsi="Times New Roman" w:cs="Times New Roman" w:eastAsia="Times New Roman" w:hint="default"/>
                <w:sz w:val="18"/>
                <w:szCs w:val="18"/>
              </w:rPr>
            </w:pPr>
            <w:r>
              <w:rPr>
                <w:rFonts w:ascii="Times New Roman"/>
                <w:sz w:val="18"/>
              </w:rPr>
              <w:t>885,733</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 w:right="0"/>
              <w:jc w:val="center"/>
              <w:rPr>
                <w:rFonts w:ascii="Times New Roman" w:hAnsi="Times New Roman" w:cs="Times New Roman" w:eastAsia="Times New Roman" w:hint="default"/>
                <w:sz w:val="18"/>
                <w:szCs w:val="18"/>
              </w:rPr>
            </w:pPr>
            <w:r>
              <w:rPr>
                <w:rFonts w:ascii="Times New Roman"/>
                <w:sz w:val="18"/>
              </w:rPr>
              <w:t>3,330,000</w:t>
            </w:r>
          </w:p>
        </w:tc>
      </w:tr>
      <w:tr>
        <w:trPr>
          <w:trHeight w:val="715" w:hRule="exact"/>
        </w:trPr>
        <w:tc>
          <w:tcPr>
            <w:tcW w:w="37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 股东的情况（如有）</w:t>
            </w:r>
          </w:p>
        </w:tc>
        <w:tc>
          <w:tcPr>
            <w:tcW w:w="5778" w:type="dxa"/>
            <w:gridSpan w:val="9"/>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29" w:hRule="exact"/>
        </w:trPr>
        <w:tc>
          <w:tcPr>
            <w:tcW w:w="3795"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5778" w:type="dxa"/>
            <w:gridSpan w:val="9"/>
            <w:vMerge w:val="restart"/>
            <w:tcBorders>
              <w:top w:val="single" w:sz="4" w:space="0" w:color="000000"/>
              <w:left w:val="single" w:sz="10" w:space="0" w:color="D2D2D2"/>
              <w:right w:val="single" w:sz="4" w:space="0" w:color="000000"/>
            </w:tcBorders>
          </w:tcPr>
          <w:p>
            <w:pPr>
              <w:pStyle w:val="TableParagraph"/>
              <w:spacing w:line="314" w:lineRule="auto" w:before="49"/>
              <w:ind w:left="16" w:right="20"/>
              <w:jc w:val="left"/>
              <w:rPr>
                <w:rFonts w:ascii="宋体" w:hAnsi="宋体" w:cs="宋体" w:eastAsia="宋体" w:hint="default"/>
                <w:sz w:val="18"/>
                <w:szCs w:val="18"/>
              </w:rPr>
            </w:pPr>
            <w:r>
              <w:rPr>
                <w:rFonts w:ascii="宋体" w:hAnsi="宋体" w:cs="宋体" w:eastAsia="宋体" w:hint="default"/>
                <w:spacing w:val="-2"/>
                <w:sz w:val="18"/>
                <w:szCs w:val="18"/>
              </w:rPr>
              <w:t>赵福君与董泰湘系夫妻关系，且二人与股东欧阳曜、施瑞丰均为北京久其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科技投资有限公司股东，四人分别直接持有北京久其科技投资有限公司 </w:t>
            </w:r>
            <w:r>
              <w:rPr>
                <w:rFonts w:ascii="Times New Roman" w:hAnsi="Times New Roman" w:cs="Times New Roman" w:eastAsia="Times New Roman" w:hint="default"/>
                <w:sz w:val="18"/>
                <w:szCs w:val="18"/>
              </w:rPr>
              <w:t>2.625%</w:t>
            </w:r>
            <w:r>
              <w:rPr>
                <w:rFonts w:ascii="宋体" w:hAnsi="宋体" w:cs="宋体" w:eastAsia="宋体" w:hint="default"/>
                <w:sz w:val="18"/>
                <w:szCs w:val="18"/>
              </w:rPr>
              <w:t>、</w:t>
            </w:r>
            <w:r>
              <w:rPr>
                <w:rFonts w:ascii="Times New Roman" w:hAnsi="Times New Roman" w:cs="Times New Roman" w:eastAsia="Times New Roman" w:hint="default"/>
                <w:sz w:val="18"/>
                <w:szCs w:val="18"/>
              </w:rPr>
              <w:t>5.25%</w:t>
            </w:r>
            <w:r>
              <w:rPr>
                <w:rFonts w:ascii="宋体" w:hAnsi="宋体" w:cs="宋体" w:eastAsia="宋体" w:hint="default"/>
                <w:sz w:val="18"/>
                <w:szCs w:val="18"/>
              </w:rPr>
              <w:t>、</w:t>
            </w:r>
            <w:r>
              <w:rPr>
                <w:rFonts w:ascii="Times New Roman" w:hAnsi="Times New Roman" w:cs="Times New Roman" w:eastAsia="Times New Roman" w:hint="default"/>
                <w:sz w:val="18"/>
                <w:szCs w:val="18"/>
              </w:rPr>
              <w:t>1.05%</w:t>
            </w:r>
            <w:r>
              <w:rPr>
                <w:rFonts w:ascii="宋体" w:hAnsi="宋体" w:cs="宋体" w:eastAsia="宋体" w:hint="default"/>
                <w:sz w:val="18"/>
                <w:szCs w:val="18"/>
              </w:rPr>
              <w:t>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1.575%</w:t>
            </w:r>
            <w:r>
              <w:rPr>
                <w:rFonts w:ascii="宋体" w:hAnsi="宋体" w:cs="宋体" w:eastAsia="宋体" w:hint="default"/>
                <w:sz w:val="18"/>
                <w:szCs w:val="18"/>
              </w:rPr>
              <w:t>的股权；此外，赵福君和董泰湘通过天 津君泰融汇投资中心（有限合伙）间接持有北京久其科技投资有限公司 </w:t>
            </w:r>
            <w:r>
              <w:rPr>
                <w:rFonts w:ascii="Times New Roman" w:hAnsi="Times New Roman" w:cs="Times New Roman" w:eastAsia="Times New Roman" w:hint="default"/>
                <w:sz w:val="18"/>
                <w:szCs w:val="18"/>
              </w:rPr>
              <w:t>89.5%</w:t>
            </w:r>
            <w:r>
              <w:rPr>
                <w:rFonts w:ascii="宋体" w:hAnsi="宋体" w:cs="宋体" w:eastAsia="宋体" w:hint="default"/>
                <w:sz w:val="18"/>
                <w:szCs w:val="18"/>
              </w:rPr>
              <w:t>股权。</w:t>
            </w:r>
          </w:p>
        </w:tc>
      </w:tr>
      <w:tr>
        <w:trPr>
          <w:trHeight w:val="391" w:hRule="exact"/>
        </w:trPr>
        <w:tc>
          <w:tcPr>
            <w:tcW w:w="3795"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5778" w:type="dxa"/>
            <w:gridSpan w:val="9"/>
            <w:vMerge/>
            <w:tcBorders>
              <w:left w:val="single" w:sz="10" w:space="0" w:color="D2D2D2"/>
              <w:right w:val="single" w:sz="4" w:space="0" w:color="000000"/>
            </w:tcBorders>
          </w:tcPr>
          <w:p>
            <w:pPr/>
          </w:p>
        </w:tc>
      </w:tr>
      <w:tr>
        <w:trPr>
          <w:trHeight w:val="630" w:hRule="exact"/>
        </w:trPr>
        <w:tc>
          <w:tcPr>
            <w:tcW w:w="3795"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5778" w:type="dxa"/>
            <w:gridSpan w:val="9"/>
            <w:vMerge/>
            <w:tcBorders>
              <w:left w:val="single" w:sz="10" w:space="0" w:color="D2D2D2"/>
              <w:bottom w:val="single" w:sz="4" w:space="0" w:color="000000"/>
              <w:right w:val="single" w:sz="4" w:space="0" w:color="000000"/>
            </w:tcBorders>
          </w:tcPr>
          <w:p>
            <w:pPr/>
          </w:p>
        </w:tc>
      </w:tr>
      <w:tr>
        <w:trPr>
          <w:trHeight w:val="397"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12" w:hRule="exact"/>
        </w:trPr>
        <w:tc>
          <w:tcPr>
            <w:tcW w:w="5214"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165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94" w:right="101" w:hanging="89"/>
              <w:jc w:val="left"/>
              <w:rPr>
                <w:rFonts w:ascii="宋体" w:hAnsi="宋体" w:cs="宋体" w:eastAsia="宋体" w:hint="default"/>
                <w:sz w:val="18"/>
                <w:szCs w:val="18"/>
              </w:rPr>
            </w:pPr>
            <w:r>
              <w:rPr>
                <w:rFonts w:ascii="宋体" w:hAnsi="宋体" w:cs="宋体" w:eastAsia="宋体" w:hint="default"/>
                <w:sz w:val="18"/>
                <w:szCs w:val="18"/>
              </w:rPr>
              <w:t>报告期末持有无限 售条件股份数量</w:t>
            </w:r>
          </w:p>
        </w:tc>
        <w:tc>
          <w:tcPr>
            <w:tcW w:w="2701"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5214"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658" w:type="dxa"/>
            <w:gridSpan w:val="3"/>
            <w:vMerge/>
            <w:tcBorders>
              <w:left w:val="single" w:sz="4" w:space="0" w:color="000000"/>
              <w:right w:val="single" w:sz="4" w:space="0" w:color="000000"/>
            </w:tcBorders>
            <w:shd w:val="clear" w:color="auto" w:fill="D2D2D2"/>
          </w:tcPr>
          <w:p>
            <w:pPr/>
          </w:p>
        </w:tc>
        <w:tc>
          <w:tcPr>
            <w:tcW w:w="2701"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5214" w:type="dxa"/>
            <w:gridSpan w:val="5"/>
            <w:vMerge/>
            <w:tcBorders>
              <w:left w:val="single" w:sz="4" w:space="0" w:color="000000"/>
              <w:bottom w:val="nil" w:sz="6" w:space="0" w:color="auto"/>
              <w:right w:val="single" w:sz="4" w:space="0" w:color="000000"/>
            </w:tcBorders>
            <w:shd w:val="clear" w:color="auto" w:fill="D2D2D2"/>
          </w:tcPr>
          <w:p>
            <w:pPr/>
          </w:p>
        </w:tc>
        <w:tc>
          <w:tcPr>
            <w:tcW w:w="1658" w:type="dxa"/>
            <w:gridSpan w:val="3"/>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5214"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658" w:type="dxa"/>
            <w:gridSpan w:val="3"/>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51" w:type="dxa"/>
            <w:gridSpan w:val="2"/>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52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北京久其科技投资有限公司</w:t>
            </w:r>
          </w:p>
        </w:tc>
        <w:tc>
          <w:tcPr>
            <w:tcW w:w="1658" w:type="dxa"/>
            <w:gridSpan w:val="3"/>
            <w:tcBorders>
              <w:top w:val="single" w:sz="18" w:space="0" w:color="D2D2D2"/>
              <w:left w:val="single" w:sz="4" w:space="0" w:color="000000"/>
              <w:bottom w:val="single" w:sz="4" w:space="0" w:color="000000"/>
              <w:right w:val="single" w:sz="4" w:space="0" w:color="000000"/>
            </w:tcBorders>
          </w:tcPr>
          <w:p>
            <w:pPr>
              <w:pStyle w:val="TableParagraph"/>
              <w:spacing w:line="240" w:lineRule="auto" w:before="73"/>
              <w:ind w:left="727" w:right="0"/>
              <w:jc w:val="left"/>
              <w:rPr>
                <w:rFonts w:ascii="Times New Roman" w:hAnsi="Times New Roman" w:cs="Times New Roman" w:eastAsia="Times New Roman" w:hint="default"/>
                <w:sz w:val="18"/>
                <w:szCs w:val="18"/>
              </w:rPr>
            </w:pPr>
            <w:r>
              <w:rPr>
                <w:rFonts w:ascii="Times New Roman"/>
                <w:sz w:val="18"/>
              </w:rPr>
              <w:t>100,198,487</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9" w:right="0"/>
              <w:jc w:val="left"/>
              <w:rPr>
                <w:rFonts w:ascii="Times New Roman" w:hAnsi="Times New Roman" w:cs="Times New Roman" w:eastAsia="Times New Roman" w:hint="default"/>
                <w:sz w:val="18"/>
                <w:szCs w:val="18"/>
              </w:rPr>
            </w:pPr>
            <w:r>
              <w:rPr>
                <w:rFonts w:ascii="Times New Roman"/>
                <w:sz w:val="18"/>
              </w:rPr>
              <w:t>100,198,487</w:t>
            </w:r>
          </w:p>
        </w:tc>
      </w:tr>
      <w:tr>
        <w:trPr>
          <w:trHeight w:val="403" w:hRule="exact"/>
        </w:trPr>
        <w:tc>
          <w:tcPr>
            <w:tcW w:w="52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董泰湘</w:t>
            </w:r>
          </w:p>
        </w:tc>
        <w:tc>
          <w:tcPr>
            <w:tcW w:w="16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5" w:right="0"/>
              <w:jc w:val="left"/>
              <w:rPr>
                <w:rFonts w:ascii="Times New Roman" w:hAnsi="Times New Roman" w:cs="Times New Roman" w:eastAsia="Times New Roman" w:hint="default"/>
                <w:sz w:val="18"/>
                <w:szCs w:val="18"/>
              </w:rPr>
            </w:pPr>
            <w:r>
              <w:rPr>
                <w:rFonts w:ascii="Times New Roman"/>
                <w:sz w:val="18"/>
              </w:rPr>
              <w:t>59,065,102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8" w:right="0"/>
              <w:jc w:val="left"/>
              <w:rPr>
                <w:rFonts w:ascii="Times New Roman" w:hAnsi="Times New Roman" w:cs="Times New Roman" w:eastAsia="Times New Roman" w:hint="default"/>
                <w:sz w:val="18"/>
                <w:szCs w:val="18"/>
              </w:rPr>
            </w:pPr>
            <w:r>
              <w:rPr>
                <w:rFonts w:ascii="Times New Roman"/>
                <w:sz w:val="18"/>
              </w:rPr>
              <w:t>59,065,102</w:t>
            </w:r>
          </w:p>
        </w:tc>
      </w:tr>
      <w:tr>
        <w:trPr>
          <w:trHeight w:val="401" w:hRule="exact"/>
        </w:trPr>
        <w:tc>
          <w:tcPr>
            <w:tcW w:w="52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海通证券资管－工商银行－海通投融宝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号集合资产管理计划</w:t>
            </w:r>
          </w:p>
        </w:tc>
        <w:tc>
          <w:tcPr>
            <w:tcW w:w="16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5" w:right="0"/>
              <w:jc w:val="left"/>
              <w:rPr>
                <w:rFonts w:ascii="Times New Roman" w:hAnsi="Times New Roman" w:cs="Times New Roman" w:eastAsia="Times New Roman" w:hint="default"/>
                <w:sz w:val="18"/>
                <w:szCs w:val="18"/>
              </w:rPr>
            </w:pPr>
            <w:r>
              <w:rPr>
                <w:rFonts w:ascii="Times New Roman"/>
                <w:sz w:val="18"/>
              </w:rPr>
              <w:t>28,482,443</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8" w:right="0"/>
              <w:jc w:val="left"/>
              <w:rPr>
                <w:rFonts w:ascii="Times New Roman" w:hAnsi="Times New Roman" w:cs="Times New Roman" w:eastAsia="Times New Roman" w:hint="default"/>
                <w:sz w:val="18"/>
                <w:szCs w:val="18"/>
              </w:rPr>
            </w:pPr>
            <w:r>
              <w:rPr>
                <w:rFonts w:ascii="Times New Roman"/>
                <w:sz w:val="18"/>
              </w:rPr>
              <w:t>28,482,443</w:t>
            </w:r>
          </w:p>
        </w:tc>
      </w:tr>
      <w:tr>
        <w:trPr>
          <w:trHeight w:val="403" w:hRule="exact"/>
        </w:trPr>
        <w:tc>
          <w:tcPr>
            <w:tcW w:w="52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16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5" w:right="0"/>
              <w:jc w:val="left"/>
              <w:rPr>
                <w:rFonts w:ascii="Times New Roman" w:hAnsi="Times New Roman" w:cs="Times New Roman" w:eastAsia="Times New Roman" w:hint="default"/>
                <w:sz w:val="18"/>
                <w:szCs w:val="18"/>
              </w:rPr>
            </w:pPr>
            <w:r>
              <w:rPr>
                <w:rFonts w:ascii="Times New Roman"/>
                <w:sz w:val="18"/>
              </w:rPr>
              <w:t>19,566,377</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8" w:right="0"/>
              <w:jc w:val="left"/>
              <w:rPr>
                <w:rFonts w:ascii="Times New Roman" w:hAnsi="Times New Roman" w:cs="Times New Roman" w:eastAsia="Times New Roman" w:hint="default"/>
                <w:sz w:val="18"/>
                <w:szCs w:val="18"/>
              </w:rPr>
            </w:pPr>
            <w:r>
              <w:rPr>
                <w:rFonts w:ascii="Times New Roman"/>
                <w:sz w:val="18"/>
              </w:rPr>
              <w:t>19,566,377</w:t>
            </w:r>
          </w:p>
        </w:tc>
      </w:tr>
      <w:tr>
        <w:trPr>
          <w:trHeight w:val="401" w:hRule="exact"/>
        </w:trPr>
        <w:tc>
          <w:tcPr>
            <w:tcW w:w="52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李勇</w:t>
            </w:r>
          </w:p>
        </w:tc>
        <w:tc>
          <w:tcPr>
            <w:tcW w:w="16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7" w:right="0"/>
              <w:jc w:val="left"/>
              <w:rPr>
                <w:rFonts w:ascii="Times New Roman" w:hAnsi="Times New Roman" w:cs="Times New Roman" w:eastAsia="Times New Roman" w:hint="default"/>
                <w:sz w:val="18"/>
                <w:szCs w:val="18"/>
              </w:rPr>
            </w:pPr>
            <w:r>
              <w:rPr>
                <w:rFonts w:ascii="Times New Roman"/>
                <w:sz w:val="18"/>
              </w:rPr>
              <w:t>7,462,006</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9" w:right="0"/>
              <w:jc w:val="left"/>
              <w:rPr>
                <w:rFonts w:ascii="Times New Roman" w:hAnsi="Times New Roman" w:cs="Times New Roman" w:eastAsia="Times New Roman" w:hint="default"/>
                <w:sz w:val="18"/>
                <w:szCs w:val="18"/>
              </w:rPr>
            </w:pPr>
            <w:r>
              <w:rPr>
                <w:rFonts w:ascii="Times New Roman"/>
                <w:sz w:val="18"/>
              </w:rPr>
              <w:t>7,462,006</w:t>
            </w:r>
          </w:p>
        </w:tc>
      </w:tr>
      <w:tr>
        <w:trPr>
          <w:trHeight w:val="403" w:hRule="exact"/>
        </w:trPr>
        <w:tc>
          <w:tcPr>
            <w:tcW w:w="52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熊科</w:t>
            </w:r>
          </w:p>
        </w:tc>
        <w:tc>
          <w:tcPr>
            <w:tcW w:w="16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07" w:right="0"/>
              <w:jc w:val="left"/>
              <w:rPr>
                <w:rFonts w:ascii="Times New Roman" w:hAnsi="Times New Roman" w:cs="Times New Roman" w:eastAsia="Times New Roman" w:hint="default"/>
                <w:sz w:val="18"/>
                <w:szCs w:val="18"/>
              </w:rPr>
            </w:pPr>
            <w:r>
              <w:rPr>
                <w:rFonts w:ascii="Times New Roman"/>
                <w:sz w:val="18"/>
              </w:rPr>
              <w:t>5,489,310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9" w:right="0"/>
              <w:jc w:val="left"/>
              <w:rPr>
                <w:rFonts w:ascii="Times New Roman" w:hAnsi="Times New Roman" w:cs="Times New Roman" w:eastAsia="Times New Roman" w:hint="default"/>
                <w:sz w:val="18"/>
                <w:szCs w:val="18"/>
              </w:rPr>
            </w:pPr>
            <w:r>
              <w:rPr>
                <w:rFonts w:ascii="Times New Roman"/>
                <w:sz w:val="18"/>
              </w:rPr>
              <w:t>5,489,310</w:t>
            </w:r>
          </w:p>
        </w:tc>
      </w:tr>
      <w:tr>
        <w:trPr>
          <w:trHeight w:val="401" w:hRule="exact"/>
        </w:trPr>
        <w:tc>
          <w:tcPr>
            <w:tcW w:w="52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唐森</w:t>
            </w:r>
          </w:p>
        </w:tc>
        <w:tc>
          <w:tcPr>
            <w:tcW w:w="16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7" w:right="0"/>
              <w:jc w:val="left"/>
              <w:rPr>
                <w:rFonts w:ascii="Times New Roman" w:hAnsi="Times New Roman" w:cs="Times New Roman" w:eastAsia="Times New Roman" w:hint="default"/>
                <w:sz w:val="18"/>
                <w:szCs w:val="18"/>
              </w:rPr>
            </w:pPr>
            <w:r>
              <w:rPr>
                <w:rFonts w:ascii="Times New Roman"/>
                <w:sz w:val="18"/>
              </w:rPr>
              <w:t>3,500,000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9" w:right="0"/>
              <w:jc w:val="left"/>
              <w:rPr>
                <w:rFonts w:ascii="Times New Roman" w:hAnsi="Times New Roman" w:cs="Times New Roman" w:eastAsia="Times New Roman" w:hint="default"/>
                <w:sz w:val="18"/>
                <w:szCs w:val="18"/>
              </w:rPr>
            </w:pPr>
            <w:r>
              <w:rPr>
                <w:rFonts w:ascii="Times New Roman"/>
                <w:sz w:val="18"/>
              </w:rPr>
              <w:t>3,500,000</w:t>
            </w:r>
          </w:p>
        </w:tc>
      </w:tr>
      <w:tr>
        <w:trPr>
          <w:trHeight w:val="404" w:hRule="exact"/>
        </w:trPr>
        <w:tc>
          <w:tcPr>
            <w:tcW w:w="52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北京红螺食品有限公司</w:t>
            </w:r>
          </w:p>
        </w:tc>
        <w:tc>
          <w:tcPr>
            <w:tcW w:w="16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07" w:right="0"/>
              <w:jc w:val="left"/>
              <w:rPr>
                <w:rFonts w:ascii="Times New Roman" w:hAnsi="Times New Roman" w:cs="Times New Roman" w:eastAsia="Times New Roman" w:hint="default"/>
                <w:sz w:val="18"/>
                <w:szCs w:val="18"/>
              </w:rPr>
            </w:pPr>
            <w:r>
              <w:rPr>
                <w:rFonts w:ascii="Times New Roman"/>
                <w:sz w:val="18"/>
              </w:rPr>
              <w:t>2,697,841</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99" w:right="0"/>
              <w:jc w:val="left"/>
              <w:rPr>
                <w:rFonts w:ascii="Times New Roman" w:hAnsi="Times New Roman" w:cs="Times New Roman" w:eastAsia="Times New Roman" w:hint="default"/>
                <w:sz w:val="18"/>
                <w:szCs w:val="18"/>
              </w:rPr>
            </w:pPr>
            <w:r>
              <w:rPr>
                <w:rFonts w:ascii="Times New Roman"/>
                <w:sz w:val="18"/>
              </w:rPr>
              <w:t>2,697,841</w:t>
            </w:r>
          </w:p>
        </w:tc>
      </w:tr>
      <w:tr>
        <w:trPr>
          <w:trHeight w:val="401" w:hRule="exact"/>
        </w:trPr>
        <w:tc>
          <w:tcPr>
            <w:tcW w:w="52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沈栋梁</w:t>
            </w:r>
          </w:p>
        </w:tc>
        <w:tc>
          <w:tcPr>
            <w:tcW w:w="16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7" w:right="0"/>
              <w:jc w:val="left"/>
              <w:rPr>
                <w:rFonts w:ascii="Times New Roman" w:hAnsi="Times New Roman" w:cs="Times New Roman" w:eastAsia="Times New Roman" w:hint="default"/>
                <w:sz w:val="18"/>
                <w:szCs w:val="18"/>
              </w:rPr>
            </w:pPr>
            <w:r>
              <w:rPr>
                <w:rFonts w:ascii="Times New Roman"/>
                <w:sz w:val="18"/>
              </w:rPr>
              <w:t>2,307,781</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9" w:right="0"/>
              <w:jc w:val="left"/>
              <w:rPr>
                <w:rFonts w:ascii="Times New Roman" w:hAnsi="Times New Roman" w:cs="Times New Roman" w:eastAsia="Times New Roman" w:hint="default"/>
                <w:sz w:val="18"/>
                <w:szCs w:val="18"/>
              </w:rPr>
            </w:pPr>
            <w:r>
              <w:rPr>
                <w:rFonts w:ascii="Times New Roman"/>
                <w:sz w:val="18"/>
              </w:rPr>
              <w:t>2,307,781</w:t>
            </w:r>
          </w:p>
        </w:tc>
      </w:tr>
      <w:tr>
        <w:trPr>
          <w:trHeight w:val="403" w:hRule="exact"/>
        </w:trPr>
        <w:tc>
          <w:tcPr>
            <w:tcW w:w="52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张赫</w:t>
            </w:r>
          </w:p>
        </w:tc>
        <w:tc>
          <w:tcPr>
            <w:tcW w:w="16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07" w:right="0"/>
              <w:jc w:val="left"/>
              <w:rPr>
                <w:rFonts w:ascii="Times New Roman" w:hAnsi="Times New Roman" w:cs="Times New Roman" w:eastAsia="Times New Roman" w:hint="default"/>
                <w:sz w:val="18"/>
                <w:szCs w:val="18"/>
              </w:rPr>
            </w:pPr>
            <w:r>
              <w:rPr>
                <w:rFonts w:ascii="Times New Roman"/>
                <w:sz w:val="18"/>
              </w:rPr>
              <w:t>2,215,200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9" w:right="0"/>
              <w:jc w:val="left"/>
              <w:rPr>
                <w:rFonts w:ascii="Times New Roman" w:hAnsi="Times New Roman" w:cs="Times New Roman" w:eastAsia="Times New Roman" w:hint="default"/>
                <w:sz w:val="18"/>
                <w:szCs w:val="18"/>
              </w:rPr>
            </w:pPr>
            <w:r>
              <w:rPr>
                <w:rFonts w:ascii="Times New Roman"/>
                <w:sz w:val="18"/>
              </w:rPr>
              <w:t>2,215,200</w:t>
            </w:r>
          </w:p>
        </w:tc>
      </w:tr>
      <w:tr>
        <w:trPr>
          <w:trHeight w:val="1338" w:hRule="exact"/>
        </w:trPr>
        <w:tc>
          <w:tcPr>
            <w:tcW w:w="37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名无限售流通股股东之间，以及前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w:t>
            </w:r>
          </w:p>
          <w:p>
            <w:pPr>
              <w:pStyle w:val="TableParagraph"/>
              <w:spacing w:line="300" w:lineRule="auto" w:before="63"/>
              <w:ind w:left="24" w:right="68"/>
              <w:jc w:val="left"/>
              <w:rPr>
                <w:rFonts w:ascii="宋体" w:hAnsi="宋体" w:cs="宋体" w:eastAsia="宋体" w:hint="default"/>
                <w:sz w:val="18"/>
                <w:szCs w:val="18"/>
              </w:rPr>
            </w:pPr>
            <w:r>
              <w:rPr>
                <w:rFonts w:ascii="宋体" w:hAnsi="宋体" w:cs="宋体" w:eastAsia="宋体" w:hint="default"/>
                <w:sz w:val="18"/>
                <w:szCs w:val="18"/>
              </w:rPr>
              <w:t>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 一致行动的说明</w:t>
            </w:r>
          </w:p>
        </w:tc>
        <w:tc>
          <w:tcPr>
            <w:tcW w:w="577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除全体前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名股东之间的关联关系或一致行动关系以外，未知其他公司</w:t>
            </w:r>
          </w:p>
          <w:p>
            <w:pPr>
              <w:pStyle w:val="TableParagraph"/>
              <w:spacing w:line="309" w:lineRule="auto" w:before="63"/>
              <w:ind w:left="24" w:right="2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名无限售条件普通股股东之间以及前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名股东之间是否存在关联关系，也未知他们是否属于《上市公司收购管理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办法》中规定的一致行动人。</w:t>
            </w:r>
          </w:p>
        </w:tc>
      </w:tr>
      <w:tr>
        <w:trPr>
          <w:trHeight w:val="402" w:hRule="exact"/>
        </w:trPr>
        <w:tc>
          <w:tcPr>
            <w:tcW w:w="37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名普通股股东参与融资融券业务情况说明</w:t>
            </w:r>
          </w:p>
        </w:tc>
        <w:tc>
          <w:tcPr>
            <w:tcW w:w="577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9"/>
        <w:rPr>
          <w:rFonts w:ascii="Times New Roman" w:hAnsi="Times New Roman" w:cs="Times New Roman" w:eastAsia="Times New Roman" w:hint="default"/>
          <w:sz w:val="24"/>
          <w:szCs w:val="24"/>
        </w:rPr>
      </w:pPr>
    </w:p>
    <w:p>
      <w:pPr>
        <w:pStyle w:val="BodyText"/>
        <w:spacing w:line="240" w:lineRule="auto" w:before="44"/>
        <w:ind w:right="1115"/>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4"/>
        <w:ind w:right="111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1"/>
        <w:ind w:right="1115"/>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3"/>
        <w:spacing w:line="240" w:lineRule="auto"/>
        <w:ind w:right="1115"/>
        <w:jc w:val="left"/>
        <w:rPr>
          <w:b w:val="0"/>
          <w:bCs w:val="0"/>
        </w:rPr>
      </w:pPr>
      <w:bookmarkStart w:name="2、公司控股股东情况" w:id="116"/>
      <w:bookmarkEnd w:id="116"/>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594"/>
        <w:jc w:val="left"/>
      </w:pPr>
      <w:r>
        <w:rPr/>
        <w:t>控股股东性质：自然人控股 控股股东类型：法人</w:t>
      </w:r>
    </w:p>
    <w:tbl>
      <w:tblPr>
        <w:tblW w:w="0" w:type="auto"/>
        <w:jc w:val="left"/>
        <w:tblInd w:w="148" w:type="dxa"/>
        <w:tblLayout w:type="fixed"/>
        <w:tblCellMar>
          <w:top w:w="0" w:type="dxa"/>
          <w:left w:w="0" w:type="dxa"/>
          <w:bottom w:w="0" w:type="dxa"/>
          <w:right w:w="0" w:type="dxa"/>
        </w:tblCellMar>
        <w:tblLook w:val="01E0"/>
      </w:tblPr>
      <w:tblGrid>
        <w:gridCol w:w="1587"/>
        <w:gridCol w:w="1376"/>
        <w:gridCol w:w="1183"/>
        <w:gridCol w:w="1488"/>
        <w:gridCol w:w="1481"/>
        <w:gridCol w:w="2554"/>
      </w:tblGrid>
      <w:tr>
        <w:trPr>
          <w:trHeight w:val="715" w:hRule="exact"/>
        </w:trPr>
        <w:tc>
          <w:tcPr>
            <w:tcW w:w="1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12" w:right="26" w:hanging="38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29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40"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3"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1"/>
              <w:jc w:val="left"/>
              <w:rPr>
                <w:rFonts w:ascii="宋体" w:hAnsi="宋体" w:cs="宋体" w:eastAsia="宋体" w:hint="default"/>
                <w:sz w:val="18"/>
                <w:szCs w:val="18"/>
              </w:rPr>
            </w:pPr>
            <w:r>
              <w:rPr>
                <w:rFonts w:ascii="宋体" w:hAnsi="宋体" w:cs="宋体" w:eastAsia="宋体" w:hint="default"/>
                <w:sz w:val="18"/>
                <w:szCs w:val="18"/>
              </w:rPr>
              <w:t>北京久其科技投资 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董泰湘</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9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9111010863361327XD</w:t>
            </w:r>
            <w:r>
              <w:rPr>
                <w:rFonts w:ascii="宋体" w:hAnsi="宋体" w:cs="宋体" w:eastAsia="宋体" w:hint="default"/>
                <w:spacing w:val="-3"/>
                <w:sz w:val="18"/>
                <w:szCs w:val="18"/>
              </w:rPr>
              <w:t>（统一社会信用</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代码）</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8"/>
              <w:jc w:val="left"/>
              <w:rPr>
                <w:rFonts w:ascii="宋体" w:hAnsi="宋体" w:cs="宋体" w:eastAsia="宋体" w:hint="default"/>
                <w:sz w:val="18"/>
                <w:szCs w:val="18"/>
              </w:rPr>
            </w:pPr>
            <w:r>
              <w:rPr>
                <w:rFonts w:ascii="宋体" w:hAnsi="宋体" w:cs="宋体" w:eastAsia="宋体" w:hint="default"/>
                <w:sz w:val="18"/>
                <w:szCs w:val="18"/>
              </w:rPr>
              <w:t>围绕高科技领域开展投资及投 资管理相关工作</w:t>
            </w:r>
          </w:p>
        </w:tc>
      </w:tr>
      <w:tr>
        <w:trPr>
          <w:trHeight w:val="403" w:hRule="exact"/>
        </w:trPr>
        <w:tc>
          <w:tcPr>
            <w:tcW w:w="563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控股股东报告期内控股和参股的其他境内外上市公司的股权情况</w:t>
            </w:r>
          </w:p>
        </w:tc>
        <w:tc>
          <w:tcPr>
            <w:tcW w:w="40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right="1115"/>
        <w:jc w:val="left"/>
      </w:pPr>
      <w:r>
        <w:rPr/>
        <w:t>控股股东报告期内变更</w:t>
      </w:r>
    </w:p>
    <w:p>
      <w:pPr>
        <w:pStyle w:val="BodyText"/>
        <w:spacing w:line="340" w:lineRule="auto" w:before="115"/>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5"/>
        <w:rPr>
          <w:rFonts w:ascii="宋体" w:hAnsi="宋体" w:cs="宋体" w:eastAsia="宋体" w:hint="default"/>
          <w:sz w:val="21"/>
          <w:szCs w:val="21"/>
        </w:rPr>
      </w:pPr>
    </w:p>
    <w:p>
      <w:pPr>
        <w:pStyle w:val="Heading3"/>
        <w:spacing w:line="240" w:lineRule="auto"/>
        <w:ind w:right="1115"/>
        <w:jc w:val="left"/>
        <w:rPr>
          <w:b w:val="0"/>
          <w:bCs w:val="0"/>
        </w:rPr>
      </w:pPr>
      <w:bookmarkStart w:name="3、公司实际控制人及其一致行动人" w:id="117"/>
      <w:bookmarkEnd w:id="117"/>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8414"/>
        <w:jc w:val="left"/>
      </w:pPr>
      <w:r>
        <w:rPr/>
        <w:t>实际控制人性质：境内自然人 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240" w:lineRule="auto" w:before="44"/>
        <w:ind w:left="0" w:right="1139"/>
        <w:jc w:val="right"/>
      </w:pPr>
      <w:r>
        <w:rPr/>
        <w:pict>
          <v:shape style="position:absolute;margin-left:56.459999pt;margin-top:-76.588303pt;width:479.2pt;height:243.45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34"/>
                    <w:gridCol w:w="2269"/>
                    <w:gridCol w:w="2410"/>
                    <w:gridCol w:w="2657"/>
                  </w:tblGrid>
                  <w:tr>
                    <w:trPr>
                      <w:trHeight w:val="401" w:hRule="exact"/>
                    </w:trPr>
                    <w:tc>
                      <w:tcPr>
                        <w:tcW w:w="2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实际控制人姓名</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董泰湘</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中华人民共和国</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赵福君</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中华人民共和国</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38" w:hRule="exact"/>
                    </w:trPr>
                    <w:tc>
                      <w:tcPr>
                        <w:tcW w:w="22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主要职业及职务</w:t>
                        </w:r>
                      </w:p>
                    </w:tc>
                    <w:tc>
                      <w:tcPr>
                        <w:tcW w:w="7336" w:type="dxa"/>
                        <w:gridSpan w:val="3"/>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）董泰湘女士，</w:t>
                        </w:r>
                        <w:r>
                          <w:rPr>
                            <w:rFonts w:ascii="Times New Roman" w:hAnsi="Times New Roman" w:cs="Times New Roman" w:eastAsia="Times New Roman" w:hint="default"/>
                            <w:sz w:val="18"/>
                            <w:szCs w:val="18"/>
                          </w:rPr>
                          <w:t>1964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月出生，研究生学历。曾任久其软件董事长。现任天津君泰融汇 投资中心（有限合伙）执行事务合伙人，北京久其智通数据科技有限公司董事长，久其科技 北京久其移动商务科技有限公司、北京紫金山居文化有限公司执行董事，久其政务、深圳市</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前海方成微电子有限公司董事，北京滑氏红木家具有限公司监事。</w:t>
                        </w:r>
                      </w:p>
                      <w:p>
                        <w:pPr>
                          <w:pStyle w:val="TableParagraph"/>
                          <w:spacing w:line="314" w:lineRule="auto" w:before="63"/>
                          <w:ind w:left="23" w:right="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）赵福君先生，</w:t>
                        </w:r>
                        <w:r>
                          <w:rPr>
                            <w:rFonts w:ascii="Times New Roman" w:hAnsi="Times New Roman" w:cs="Times New Roman" w:eastAsia="Times New Roman" w:hint="default"/>
                            <w:sz w:val="18"/>
                            <w:szCs w:val="18"/>
                          </w:rPr>
                          <w:t>1964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月出生，研究生学历。曾任久其科技经理。现任公司董事长，并 兼任久金所董事长，海南久其研究院、海南久其、上海久其、成都久其、重庆久其、西安久</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其、新疆久其执行董事，久其政务董事，北京紫金山居文化有限公司、北京启顺通达科技有</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限公司、上海移通网络有限公司、上海恒瑞网络信息有限公司监事，中国软件行业协会理事</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会理事、中国信息产业商会互联网众创分会副理事长。</w:t>
                        </w:r>
                      </w:p>
                    </w:tc>
                  </w:tr>
                  <w:tr>
                    <w:trPr>
                      <w:trHeight w:val="715" w:hRule="exact"/>
                    </w:trPr>
                    <w:tc>
                      <w:tcPr>
                        <w:tcW w:w="22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7"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 上市公司情况</w:t>
                        </w:r>
                      </w:p>
                    </w:tc>
                    <w:tc>
                      <w:tcPr>
                        <w:tcW w:w="73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除久其软件外，董泰湘女士和赵福君先生过去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年未曾控股其他境内外上市公司。</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before="44"/>
        <w:ind w:right="1115"/>
        <w:jc w:val="left"/>
      </w:pPr>
      <w:r>
        <w:rPr/>
        <w:t>实际控制人报告期内变更</w:t>
      </w:r>
    </w:p>
    <w:p>
      <w:pPr>
        <w:pStyle w:val="BodyText"/>
        <w:spacing w:line="35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after="0" w:line="35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2"/>
          <w:szCs w:val="12"/>
        </w:rPr>
      </w:pPr>
    </w:p>
    <w:p>
      <w:pPr>
        <w:spacing w:line="3859" w:lineRule="exact"/>
        <w:ind w:left="1977" w:right="0" w:firstLine="0"/>
        <w:rPr>
          <w:rFonts w:ascii="宋体" w:hAnsi="宋体" w:cs="宋体" w:eastAsia="宋体" w:hint="default"/>
          <w:sz w:val="20"/>
          <w:szCs w:val="20"/>
        </w:rPr>
      </w:pPr>
      <w:r>
        <w:rPr>
          <w:rFonts w:ascii="宋体" w:hAnsi="宋体" w:cs="宋体" w:eastAsia="宋体" w:hint="default"/>
          <w:position w:val="-76"/>
          <w:sz w:val="20"/>
          <w:szCs w:val="20"/>
        </w:rPr>
        <w:drawing>
          <wp:inline distT="0" distB="0" distL="0" distR="0">
            <wp:extent cx="3806750" cy="2450782"/>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24" cstate="print"/>
                    <a:stretch>
                      <a:fillRect/>
                    </a:stretch>
                  </pic:blipFill>
                  <pic:spPr>
                    <a:xfrm>
                      <a:off x="0" y="0"/>
                      <a:ext cx="3806750" cy="2450782"/>
                    </a:xfrm>
                    <a:prstGeom prst="rect">
                      <a:avLst/>
                    </a:prstGeom>
                  </pic:spPr>
                </pic:pic>
              </a:graphicData>
            </a:graphic>
          </wp:inline>
        </w:drawing>
      </w:r>
      <w:r>
        <w:rPr>
          <w:rFonts w:ascii="宋体" w:hAnsi="宋体" w:cs="宋体" w:eastAsia="宋体" w:hint="default"/>
          <w:position w:val="-76"/>
          <w:sz w:val="20"/>
          <w:szCs w:val="20"/>
        </w:rPr>
      </w:r>
    </w:p>
    <w:p>
      <w:pPr>
        <w:spacing w:line="240" w:lineRule="auto" w:before="13"/>
        <w:rPr>
          <w:rFonts w:ascii="宋体" w:hAnsi="宋体" w:cs="宋体" w:eastAsia="宋体" w:hint="default"/>
          <w:sz w:val="19"/>
          <w:szCs w:val="19"/>
        </w:rPr>
      </w:pPr>
    </w:p>
    <w:p>
      <w:pPr>
        <w:pStyle w:val="BodyText"/>
        <w:spacing w:line="240" w:lineRule="auto" w:before="44"/>
        <w:ind w:right="1115"/>
        <w:jc w:val="left"/>
      </w:pPr>
      <w:r>
        <w:rPr/>
        <w:t>实际控制人通过信托或其他资产管理方式控制公司</w:t>
      </w:r>
    </w:p>
    <w:p>
      <w:pPr>
        <w:pStyle w:val="BodyText"/>
        <w:spacing w:line="240" w:lineRule="auto" w:before="117"/>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15"/>
        <w:jc w:val="left"/>
        <w:rPr>
          <w:b w:val="0"/>
          <w:bCs w:val="0"/>
        </w:rPr>
      </w:pPr>
      <w:bookmarkStart w:name="4、其他持股在10%以上的法人股东" w:id="118"/>
      <w:bookmarkEnd w:id="118"/>
      <w:r>
        <w:rPr>
          <w:b w:val="0"/>
          <w:bCs w:val="0"/>
        </w:rPr>
      </w: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15"/>
        <w:jc w:val="left"/>
        <w:rPr>
          <w:b w:val="0"/>
          <w:bCs w:val="0"/>
        </w:rPr>
      </w:pPr>
      <w:bookmarkStart w:name="5、控股股东、实际控制人、重组方及其他承诺主体股份限制减持情况" w:id="119"/>
      <w:bookmarkEnd w:id="119"/>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right="1115"/>
        <w:jc w:val="left"/>
      </w:pPr>
      <w:r>
        <w:rPr/>
        <w:t>关于控股股东、实际控制人及其他承诺方股份限制减持情况，详见本报告</w:t>
      </w:r>
      <w:r>
        <w:rPr>
          <w:rFonts w:ascii="Times New Roman" w:hAnsi="Times New Roman" w:cs="Times New Roman" w:eastAsia="Times New Roman" w:hint="default"/>
        </w:rPr>
        <w:t>“</w:t>
      </w:r>
      <w:r>
        <w:rPr/>
        <w:t>第五节 重要事项</w:t>
      </w:r>
      <w:r>
        <w:rPr>
          <w:spacing w:val="-38"/>
        </w:rPr>
        <w:t> </w:t>
      </w:r>
      <w:r>
        <w:rPr/>
        <w:t>三、承诺事项履行情况</w:t>
      </w:r>
      <w:r>
        <w:rPr>
          <w:rFonts w:ascii="Times New Roman" w:hAnsi="Times New Roman" w:cs="Times New Roman" w:eastAsia="Times New Roman" w:hint="default"/>
        </w:rPr>
        <w:t>"</w:t>
      </w:r>
      <w:r>
        <w:rPr/>
        <w:t>。</w:t>
      </w:r>
    </w:p>
    <w:p>
      <w:pPr>
        <w:spacing w:after="0" w:line="24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3285" w:right="1115"/>
        <w:jc w:val="left"/>
        <w:rPr>
          <w:b w:val="0"/>
          <w:bCs w:val="0"/>
        </w:rPr>
      </w:pPr>
      <w:bookmarkStart w:name="第七节 优先股相关情况" w:id="120"/>
      <w:bookmarkEnd w:id="120"/>
      <w:r>
        <w:rPr>
          <w:b w:val="0"/>
          <w:bCs w:val="0"/>
        </w:rPr>
      </w:r>
      <w:bookmarkStart w:name="_bookmark6" w:id="121"/>
      <w:bookmarkEnd w:id="121"/>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340"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4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2642" w:right="1115"/>
        <w:jc w:val="left"/>
        <w:rPr>
          <w:b w:val="0"/>
          <w:bCs w:val="0"/>
        </w:rPr>
      </w:pPr>
      <w:bookmarkStart w:name="第八节 可转换公司债券相关情况" w:id="122"/>
      <w:bookmarkEnd w:id="122"/>
      <w:r>
        <w:rPr>
          <w:b w:val="0"/>
          <w:bCs w:val="0"/>
        </w:rPr>
      </w:r>
      <w:bookmarkStart w:name="_bookmark7" w:id="123"/>
      <w:bookmarkEnd w:id="123"/>
      <w:r>
        <w:rPr>
          <w:b w:val="0"/>
          <w:bCs w:val="0"/>
        </w:rPr>
      </w:r>
      <w:r>
        <w:rPr/>
        <w:t>第八节</w:t>
      </w:r>
      <w:r>
        <w:rPr>
          <w:spacing w:val="-5"/>
        </w:rPr>
        <w:t> </w:t>
      </w:r>
      <w:r>
        <w:rPr/>
        <w:t>可转换公司债券相关情况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240" w:lineRule="auto" w:before="44"/>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15"/>
        <w:jc w:val="left"/>
        <w:rPr>
          <w:b w:val="0"/>
          <w:bCs w:val="0"/>
        </w:rPr>
      </w:pPr>
      <w:bookmarkStart w:name="一、转股价格历次调整情况" w:id="124"/>
      <w:bookmarkEnd w:id="124"/>
      <w:r>
        <w:rPr>
          <w:b w:val="0"/>
          <w:bCs w:val="0"/>
        </w:rPr>
      </w:r>
      <w:r>
        <w:rPr/>
        <w:t>一、转股价格历次调整情况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33" w:firstLine="360"/>
        <w:jc w:val="both"/>
      </w:pPr>
      <w:r>
        <w:rPr>
          <w:rFonts w:ascii="Times New Roman" w:hAnsi="Times New Roman" w:cs="Times New Roman" w:eastAsia="Times New Roman" w:hint="default"/>
        </w:rPr>
        <w:t>1</w:t>
      </w:r>
      <w:r>
        <w:rPr/>
        <w:t>、根据相关法规和《北京久其软件股份有限公司公开发行可转换公司债券募集说明书》（以下简称《可转债募集说明 书》）的规定，公司本次发行的可转债自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日起可转换为公司股份。久其转债的初始转股价格为</w:t>
      </w:r>
      <w:r>
        <w:rPr>
          <w:rFonts w:ascii="Times New Roman" w:hAnsi="Times New Roman" w:cs="Times New Roman" w:eastAsia="Times New Roman" w:hint="default"/>
        </w:rPr>
        <w:t>12.97</w:t>
      </w:r>
      <w:r>
        <w:rPr/>
        <w:t>元</w:t>
      </w:r>
      <w:r>
        <w:rPr>
          <w:rFonts w:ascii="Times New Roman" w:hAnsi="Times New Roman" w:cs="Times New Roman" w:eastAsia="Times New Roman" w:hint="default"/>
        </w:rPr>
        <w:t>/</w:t>
      </w:r>
      <w:r>
        <w:rPr/>
        <w:t>股。</w:t>
      </w:r>
    </w:p>
    <w:p>
      <w:pPr>
        <w:pStyle w:val="BodyText"/>
        <w:spacing w:line="300" w:lineRule="auto" w:before="13"/>
        <w:ind w:right="1128" w:firstLine="360"/>
        <w:jc w:val="both"/>
      </w:pPr>
      <w:r>
        <w:rPr>
          <w:rFonts w:ascii="Times New Roman" w:hAnsi="Times New Roman" w:cs="Times New Roman" w:eastAsia="Times New Roman" w:hint="default"/>
          <w:spacing w:val="-1"/>
        </w:rPr>
        <w:t>2</w:t>
      </w:r>
      <w:r>
        <w:rPr>
          <w:spacing w:val="-1"/>
        </w:rPr>
        <w:t>、因公司实施股权激励限制性股票首次授予而新增的</w:t>
      </w:r>
      <w:r>
        <w:rPr>
          <w:rFonts w:ascii="Times New Roman" w:hAnsi="Times New Roman" w:cs="Times New Roman" w:eastAsia="Times New Roman" w:hint="default"/>
          <w:spacing w:val="-1"/>
        </w:rPr>
        <w:t>707.08</w:t>
      </w:r>
      <w:r>
        <w:rPr>
          <w:spacing w:val="-1"/>
        </w:rPr>
        <w:t>万股股份上市流通日期为</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27</w:t>
      </w:r>
      <w:r>
        <w:rPr>
          <w:spacing w:val="-1"/>
        </w:rPr>
        <w:t>日，久其转债的转股</w:t>
      </w:r>
      <w:r>
        <w:rPr/>
        <w:t> 价格于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日由初始的</w:t>
      </w:r>
      <w:r>
        <w:rPr>
          <w:rFonts w:ascii="Times New Roman" w:hAnsi="Times New Roman" w:cs="Times New Roman" w:eastAsia="Times New Roman" w:hint="default"/>
        </w:rPr>
        <w:t>12.97</w:t>
      </w:r>
      <w:r>
        <w:rPr/>
        <w:t>元</w:t>
      </w:r>
      <w:r>
        <w:rPr>
          <w:rFonts w:ascii="Times New Roman" w:hAnsi="Times New Roman" w:cs="Times New Roman" w:eastAsia="Times New Roman" w:hint="default"/>
        </w:rPr>
        <w:t>/</w:t>
      </w:r>
      <w:r>
        <w:rPr/>
        <w:t>股调整至</w:t>
      </w:r>
      <w:r>
        <w:rPr>
          <w:rFonts w:ascii="Times New Roman" w:hAnsi="Times New Roman" w:cs="Times New Roman" w:eastAsia="Times New Roman" w:hint="default"/>
        </w:rPr>
        <w:t>12.90</w:t>
      </w:r>
      <w:r>
        <w:rPr/>
        <w:t>元</w:t>
      </w:r>
      <w:r>
        <w:rPr>
          <w:rFonts w:ascii="Times New Roman" w:hAnsi="Times New Roman" w:cs="Times New Roman" w:eastAsia="Times New Roman" w:hint="default"/>
        </w:rPr>
        <w:t>/</w:t>
      </w:r>
      <w:r>
        <w:rPr/>
        <w:t>股。</w:t>
      </w:r>
    </w:p>
    <w:p>
      <w:pPr>
        <w:pStyle w:val="BodyText"/>
        <w:spacing w:line="300" w:lineRule="auto" w:before="13"/>
        <w:ind w:right="1128" w:firstLine="360"/>
        <w:jc w:val="both"/>
      </w:pPr>
      <w:r>
        <w:rPr>
          <w:rFonts w:ascii="Times New Roman" w:hAnsi="Times New Roman" w:cs="Times New Roman" w:eastAsia="Times New Roman" w:hint="default"/>
        </w:rPr>
        <w:t>3</w:t>
      </w:r>
      <w:r>
        <w:rPr/>
        <w:t>、因公司已于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4</w:t>
      </w:r>
      <w:r>
        <w:rPr/>
        <w:t>日实施</w:t>
      </w:r>
      <w:r>
        <w:rPr>
          <w:rFonts w:ascii="Times New Roman" w:hAnsi="Times New Roman" w:cs="Times New Roman" w:eastAsia="Times New Roman" w:hint="default"/>
        </w:rPr>
        <w:t>2017</w:t>
      </w:r>
      <w:r>
        <w:rPr/>
        <w:t>年年度权益分派方案，久其转债转股价格将由</w:t>
      </w:r>
      <w:r>
        <w:rPr>
          <w:rFonts w:ascii="Times New Roman" w:hAnsi="Times New Roman" w:cs="Times New Roman" w:eastAsia="Times New Roman" w:hint="default"/>
        </w:rPr>
        <w:t>12.90</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12.87</w:t>
      </w:r>
      <w:r>
        <w:rPr/>
        <w:t>元</w:t>
      </w:r>
      <w:r>
        <w:rPr>
          <w:rFonts w:ascii="Times New Roman" w:hAnsi="Times New Roman" w:cs="Times New Roman" w:eastAsia="Times New Roman" w:hint="default"/>
        </w:rPr>
        <w:t>/</w:t>
      </w:r>
      <w:r>
        <w:rPr/>
        <w:t>股，调整 后的转股价格自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4</w:t>
      </w:r>
      <w:r>
        <w:rPr/>
        <w:t>日（除权除息日）起生效。</w:t>
      </w:r>
    </w:p>
    <w:p>
      <w:pPr>
        <w:pStyle w:val="BodyText"/>
        <w:spacing w:line="300" w:lineRule="auto" w:before="13"/>
        <w:ind w:right="1131" w:firstLine="360"/>
        <w:jc w:val="both"/>
      </w:pPr>
      <w:r>
        <w:rPr>
          <w:rFonts w:ascii="Times New Roman" w:hAnsi="Times New Roman" w:cs="Times New Roman" w:eastAsia="Times New Roman" w:hint="default"/>
          <w:spacing w:val="-2"/>
        </w:rPr>
        <w:t>4</w:t>
      </w:r>
      <w:r>
        <w:rPr>
          <w:spacing w:val="-2"/>
        </w:rPr>
        <w:t>、因公司实施股权激励限制性股票预留授予而新增的</w:t>
      </w:r>
      <w:r>
        <w:rPr>
          <w:rFonts w:ascii="Times New Roman" w:hAnsi="Times New Roman" w:cs="Times New Roman" w:eastAsia="Times New Roman" w:hint="default"/>
          <w:spacing w:val="-2"/>
        </w:rPr>
        <w:t>79</w:t>
      </w:r>
      <w:r>
        <w:rPr>
          <w:spacing w:val="-2"/>
        </w:rPr>
        <w:t>万股股份上市流通日期为</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7</w:t>
      </w:r>
      <w:r>
        <w:rPr>
          <w:spacing w:val="-2"/>
        </w:rPr>
        <w:t>日，久其转债的转股价格</w:t>
      </w:r>
      <w:r>
        <w:rPr/>
        <w:t> 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日由</w:t>
      </w:r>
      <w:r>
        <w:rPr>
          <w:rFonts w:ascii="Times New Roman" w:hAnsi="Times New Roman" w:cs="Times New Roman" w:eastAsia="Times New Roman" w:hint="default"/>
        </w:rPr>
        <w:t>12.87</w:t>
      </w:r>
      <w:r>
        <w:rPr/>
        <w:t>元</w:t>
      </w:r>
      <w:r>
        <w:rPr>
          <w:rFonts w:ascii="Times New Roman" w:hAnsi="Times New Roman" w:cs="Times New Roman" w:eastAsia="Times New Roman" w:hint="default"/>
        </w:rPr>
        <w:t>/</w:t>
      </w:r>
      <w:r>
        <w:rPr/>
        <w:t>股调整至</w:t>
      </w:r>
      <w:r>
        <w:rPr>
          <w:rFonts w:ascii="Times New Roman" w:hAnsi="Times New Roman" w:cs="Times New Roman" w:eastAsia="Times New Roman" w:hint="default"/>
        </w:rPr>
        <w:t>12.86</w:t>
      </w:r>
      <w:r>
        <w:rPr/>
        <w:t>元</w:t>
      </w:r>
      <w:r>
        <w:rPr>
          <w:rFonts w:ascii="Times New Roman" w:hAnsi="Times New Roman" w:cs="Times New Roman" w:eastAsia="Times New Roman" w:hint="default"/>
        </w:rPr>
        <w:t>/</w:t>
      </w:r>
      <w:r>
        <w:rPr/>
        <w:t>股。</w:t>
      </w:r>
    </w:p>
    <w:p>
      <w:pPr>
        <w:pStyle w:val="BodyText"/>
        <w:spacing w:line="300" w:lineRule="auto" w:before="13"/>
        <w:ind w:right="1133" w:firstLine="360"/>
        <w:jc w:val="both"/>
      </w:pPr>
      <w:r>
        <w:rPr>
          <w:rFonts w:ascii="Times New Roman" w:hAnsi="Times New Roman" w:cs="Times New Roman" w:eastAsia="Times New Roman" w:hint="default"/>
        </w:rPr>
        <w:t>5</w:t>
      </w:r>
      <w:r>
        <w:rPr/>
        <w:t>、因公司</w:t>
      </w:r>
      <w:r>
        <w:rPr>
          <w:rFonts w:ascii="Times New Roman" w:hAnsi="Times New Roman" w:cs="Times New Roman" w:eastAsia="Times New Roman" w:hint="default"/>
        </w:rPr>
        <w:t>A</w:t>
      </w:r>
      <w:r>
        <w:rPr/>
        <w:t>股普通股股价已满足《可转债募集说明书》中规定的转股价格向下修正的条件，经公司</w:t>
      </w:r>
      <w:r>
        <w:rPr>
          <w:rFonts w:ascii="Times New Roman" w:hAnsi="Times New Roman" w:cs="Times New Roman" w:eastAsia="Times New Roman" w:hint="default"/>
        </w:rPr>
        <w:t>2019</w:t>
      </w:r>
      <w:r>
        <w:rPr/>
        <w:t>年第二次临时 股东大会和第六届董事会第三十八次（临时）会议审议通过，将久其转债的转股价格由人民币</w:t>
      </w:r>
      <w:r>
        <w:rPr>
          <w:rFonts w:ascii="Times New Roman" w:hAnsi="Times New Roman" w:cs="Times New Roman" w:eastAsia="Times New Roman" w:hint="default"/>
        </w:rPr>
        <w:t>12.86</w:t>
      </w:r>
      <w:r>
        <w:rPr/>
        <w:t>元</w:t>
      </w:r>
      <w:r>
        <w:rPr>
          <w:rFonts w:ascii="Times New Roman" w:hAnsi="Times New Roman" w:cs="Times New Roman" w:eastAsia="Times New Roman" w:hint="default"/>
        </w:rPr>
        <w:t>/</w:t>
      </w:r>
      <w:r>
        <w:rPr/>
        <w:t>股向下修正为人民币 </w:t>
      </w:r>
      <w:r>
        <w:rPr>
          <w:rFonts w:ascii="Times New Roman" w:hAnsi="Times New Roman" w:cs="Times New Roman" w:eastAsia="Times New Roman" w:hint="default"/>
        </w:rPr>
        <w:t>9.48</w:t>
      </w:r>
      <w:r>
        <w:rPr/>
        <w:t>元</w:t>
      </w:r>
      <w:r>
        <w:rPr>
          <w:rFonts w:ascii="Times New Roman" w:hAnsi="Times New Roman" w:cs="Times New Roman" w:eastAsia="Times New Roman" w:hint="default"/>
        </w:rPr>
        <w:t>/</w:t>
      </w:r>
      <w:r>
        <w:rPr/>
        <w:t>股，修正后的转股价格自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日起生效。</w:t>
      </w:r>
    </w:p>
    <w:p>
      <w:pPr>
        <w:spacing w:line="240" w:lineRule="auto" w:before="5"/>
        <w:rPr>
          <w:rFonts w:ascii="宋体" w:hAnsi="宋体" w:cs="宋体" w:eastAsia="宋体" w:hint="default"/>
          <w:sz w:val="20"/>
          <w:szCs w:val="20"/>
        </w:rPr>
      </w:pPr>
    </w:p>
    <w:p>
      <w:pPr>
        <w:pStyle w:val="Heading2"/>
        <w:spacing w:line="240" w:lineRule="auto"/>
        <w:ind w:right="1115"/>
        <w:jc w:val="left"/>
        <w:rPr>
          <w:b w:val="0"/>
          <w:bCs w:val="0"/>
        </w:rPr>
      </w:pPr>
      <w:bookmarkStart w:name="二、累计转股情况" w:id="125"/>
      <w:bookmarkEnd w:id="125"/>
      <w:r>
        <w:rPr>
          <w:b w:val="0"/>
          <w:bCs w:val="0"/>
        </w:rPr>
      </w:r>
      <w:r>
        <w:rPr/>
        <w:t>二、累计转股情况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651"/>
        <w:gridCol w:w="878"/>
        <w:gridCol w:w="818"/>
        <w:gridCol w:w="1181"/>
        <w:gridCol w:w="1116"/>
        <w:gridCol w:w="876"/>
        <w:gridCol w:w="1663"/>
        <w:gridCol w:w="1261"/>
        <w:gridCol w:w="1224"/>
      </w:tblGrid>
      <w:tr>
        <w:trPr>
          <w:trHeight w:val="1028" w:hRule="exact"/>
        </w:trPr>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0" w:right="48" w:hanging="181"/>
              <w:jc w:val="left"/>
              <w:rPr>
                <w:rFonts w:ascii="宋体" w:hAnsi="宋体" w:cs="宋体" w:eastAsia="宋体" w:hint="default"/>
                <w:sz w:val="18"/>
                <w:szCs w:val="18"/>
              </w:rPr>
            </w:pPr>
            <w:r>
              <w:rPr>
                <w:rFonts w:ascii="宋体" w:hAnsi="宋体" w:cs="宋体" w:eastAsia="宋体" w:hint="default"/>
                <w:sz w:val="18"/>
                <w:szCs w:val="18"/>
              </w:rPr>
              <w:t>转债简 称</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4" w:right="72" w:hanging="180"/>
              <w:jc w:val="left"/>
              <w:rPr>
                <w:rFonts w:ascii="宋体" w:hAnsi="宋体" w:cs="宋体" w:eastAsia="宋体" w:hint="default"/>
                <w:sz w:val="18"/>
                <w:szCs w:val="18"/>
              </w:rPr>
            </w:pPr>
            <w:r>
              <w:rPr>
                <w:rFonts w:ascii="宋体" w:hAnsi="宋体" w:cs="宋体" w:eastAsia="宋体" w:hint="default"/>
                <w:sz w:val="18"/>
                <w:szCs w:val="18"/>
              </w:rPr>
              <w:t>转股起止 日期</w:t>
            </w:r>
          </w:p>
        </w:tc>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发行总量</w:t>
            </w:r>
          </w:p>
          <w:p>
            <w:pPr>
              <w:pStyle w:val="TableParagraph"/>
              <w:spacing w:line="240" w:lineRule="auto" w:before="76"/>
              <w:ind w:left="134" w:right="0"/>
              <w:jc w:val="left"/>
              <w:rPr>
                <w:rFonts w:ascii="宋体" w:hAnsi="宋体" w:cs="宋体" w:eastAsia="宋体" w:hint="default"/>
                <w:sz w:val="18"/>
                <w:szCs w:val="18"/>
              </w:rPr>
            </w:pPr>
            <w:r>
              <w:rPr>
                <w:rFonts w:ascii="宋体" w:hAnsi="宋体" w:cs="宋体" w:eastAsia="宋体" w:hint="default"/>
                <w:sz w:val="18"/>
                <w:szCs w:val="18"/>
              </w:rPr>
              <w:t>（张）</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 w:right="0"/>
              <w:jc w:val="center"/>
              <w:rPr>
                <w:rFonts w:ascii="宋体" w:hAnsi="宋体" w:cs="宋体" w:eastAsia="宋体" w:hint="default"/>
                <w:sz w:val="18"/>
                <w:szCs w:val="18"/>
              </w:rPr>
            </w:pPr>
            <w:r>
              <w:rPr>
                <w:rFonts w:ascii="宋体" w:hAnsi="宋体" w:cs="宋体" w:eastAsia="宋体" w:hint="default"/>
                <w:sz w:val="18"/>
                <w:szCs w:val="18"/>
              </w:rPr>
              <w:t>发行总金额</w:t>
            </w:r>
          </w:p>
        </w:tc>
        <w:tc>
          <w:tcPr>
            <w:tcW w:w="1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94" w:right="98" w:hanging="89"/>
              <w:jc w:val="left"/>
              <w:rPr>
                <w:rFonts w:ascii="宋体" w:hAnsi="宋体" w:cs="宋体" w:eastAsia="宋体" w:hint="default"/>
                <w:sz w:val="18"/>
                <w:szCs w:val="18"/>
              </w:rPr>
            </w:pPr>
            <w:r>
              <w:rPr>
                <w:rFonts w:ascii="宋体" w:hAnsi="宋体" w:cs="宋体" w:eastAsia="宋体" w:hint="default"/>
                <w:sz w:val="18"/>
                <w:szCs w:val="18"/>
              </w:rPr>
              <w:t>累计转股金 额（元）</w:t>
            </w:r>
          </w:p>
        </w:tc>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69"/>
              <w:jc w:val="left"/>
              <w:rPr>
                <w:rFonts w:ascii="宋体" w:hAnsi="宋体" w:cs="宋体" w:eastAsia="宋体" w:hint="default"/>
                <w:sz w:val="18"/>
                <w:szCs w:val="18"/>
              </w:rPr>
            </w:pPr>
            <w:r>
              <w:rPr>
                <w:rFonts w:ascii="宋体" w:hAnsi="宋体" w:cs="宋体" w:eastAsia="宋体" w:hint="default"/>
                <w:sz w:val="18"/>
                <w:szCs w:val="18"/>
              </w:rPr>
              <w:t>累计转股 数（股）</w:t>
            </w: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 w:right="101"/>
              <w:jc w:val="both"/>
              <w:rPr>
                <w:rFonts w:ascii="宋体" w:hAnsi="宋体" w:cs="宋体" w:eastAsia="宋体" w:hint="default"/>
                <w:sz w:val="18"/>
                <w:szCs w:val="18"/>
              </w:rPr>
            </w:pPr>
            <w:r>
              <w:rPr>
                <w:rFonts w:ascii="宋体" w:hAnsi="宋体" w:cs="宋体" w:eastAsia="宋体" w:hint="default"/>
                <w:sz w:val="18"/>
                <w:szCs w:val="18"/>
              </w:rPr>
              <w:t>转股数量占转股开 始日前公司已发行 股份总额的比例</w:t>
            </w: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尚未转股金额</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5"/>
              <w:jc w:val="center"/>
              <w:rPr>
                <w:rFonts w:ascii="宋体" w:hAnsi="宋体" w:cs="宋体" w:eastAsia="宋体" w:hint="default"/>
                <w:sz w:val="18"/>
                <w:szCs w:val="18"/>
              </w:rPr>
            </w:pPr>
            <w:r>
              <w:rPr>
                <w:rFonts w:ascii="宋体" w:hAnsi="宋体" w:cs="宋体" w:eastAsia="宋体" w:hint="default"/>
                <w:sz w:val="18"/>
                <w:szCs w:val="18"/>
              </w:rPr>
              <w:t>未转股金额占 发行总金额的 比例</w:t>
            </w:r>
          </w:p>
        </w:tc>
      </w:tr>
      <w:tr>
        <w:trPr>
          <w:trHeight w:val="713" w:hRule="exact"/>
        </w:trPr>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128015</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7,800,000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780,000,000.00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412,300.00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37,454</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0.01%</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779,587,700.00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5" w:right="0"/>
              <w:jc w:val="left"/>
              <w:rPr>
                <w:rFonts w:ascii="Times New Roman" w:hAnsi="Times New Roman" w:cs="Times New Roman" w:eastAsia="Times New Roman" w:hint="default"/>
                <w:sz w:val="18"/>
                <w:szCs w:val="18"/>
              </w:rPr>
            </w:pPr>
            <w:r>
              <w:rPr>
                <w:rFonts w:ascii="Times New Roman"/>
                <w:sz w:val="18"/>
              </w:rPr>
              <w:t>99.95%</w:t>
            </w:r>
          </w:p>
        </w:tc>
      </w:tr>
    </w:tbl>
    <w:p>
      <w:pPr>
        <w:spacing w:line="240" w:lineRule="auto" w:before="1"/>
        <w:rPr>
          <w:rFonts w:ascii="宋体" w:hAnsi="宋体" w:cs="宋体" w:eastAsia="宋体" w:hint="default"/>
          <w:sz w:val="18"/>
          <w:szCs w:val="18"/>
        </w:rPr>
      </w:pPr>
    </w:p>
    <w:p>
      <w:pPr>
        <w:pStyle w:val="Heading2"/>
        <w:spacing w:line="240" w:lineRule="auto" w:before="26"/>
        <w:ind w:right="1115"/>
        <w:jc w:val="left"/>
        <w:rPr>
          <w:b w:val="0"/>
          <w:bCs w:val="0"/>
        </w:rPr>
      </w:pPr>
      <w:bookmarkStart w:name="三、前十名可转债持有人情况" w:id="126"/>
      <w:bookmarkEnd w:id="126"/>
      <w:r>
        <w:rPr>
          <w:b w:val="0"/>
          <w:bCs w:val="0"/>
        </w:rPr>
      </w:r>
      <w:r>
        <w:rPr/>
        <w:t>三、前十名可转债持有人情况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19"/>
        <w:gridCol w:w="3118"/>
        <w:gridCol w:w="1560"/>
        <w:gridCol w:w="1416"/>
        <w:gridCol w:w="1419"/>
        <w:gridCol w:w="1270"/>
      </w:tblGrid>
      <w:tr>
        <w:trPr>
          <w:trHeight w:val="161" w:hRule="exact"/>
        </w:trPr>
        <w:tc>
          <w:tcPr>
            <w:tcW w:w="81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4" w:right="71"/>
              <w:jc w:val="left"/>
              <w:rPr>
                <w:rFonts w:ascii="宋体" w:hAnsi="宋体" w:cs="宋体" w:eastAsia="宋体" w:hint="default"/>
                <w:sz w:val="18"/>
                <w:szCs w:val="18"/>
              </w:rPr>
            </w:pPr>
            <w:r>
              <w:rPr>
                <w:rFonts w:ascii="宋体" w:hAnsi="宋体" w:cs="宋体" w:eastAsia="宋体" w:hint="default"/>
                <w:sz w:val="18"/>
                <w:szCs w:val="18"/>
              </w:rPr>
              <w:t>报告期末持有可 转债数量（张）</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6" w:right="70"/>
              <w:jc w:val="left"/>
              <w:rPr>
                <w:rFonts w:ascii="宋体" w:hAnsi="宋体" w:cs="宋体" w:eastAsia="宋体" w:hint="default"/>
                <w:sz w:val="18"/>
                <w:szCs w:val="18"/>
              </w:rPr>
            </w:pPr>
            <w:r>
              <w:rPr>
                <w:rFonts w:ascii="宋体" w:hAnsi="宋体" w:cs="宋体" w:eastAsia="宋体" w:hint="default"/>
                <w:sz w:val="18"/>
                <w:szCs w:val="18"/>
              </w:rPr>
              <w:t>报告期末持有可 转债金额（元）</w:t>
            </w:r>
          </w:p>
        </w:tc>
        <w:tc>
          <w:tcPr>
            <w:tcW w:w="12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79" w:right="89" w:hanging="92"/>
              <w:jc w:val="left"/>
              <w:rPr>
                <w:rFonts w:ascii="宋体" w:hAnsi="宋体" w:cs="宋体" w:eastAsia="宋体" w:hint="default"/>
                <w:sz w:val="18"/>
                <w:szCs w:val="18"/>
              </w:rPr>
            </w:pPr>
            <w:r>
              <w:rPr>
                <w:rFonts w:ascii="宋体" w:hAnsi="宋体" w:cs="宋体" w:eastAsia="宋体" w:hint="default"/>
                <w:sz w:val="18"/>
                <w:szCs w:val="18"/>
              </w:rPr>
              <w:t>报告期末持有 可转债占比</w:t>
            </w:r>
          </w:p>
        </w:tc>
      </w:tr>
      <w:tr>
        <w:trPr>
          <w:trHeight w:val="391" w:hRule="exact"/>
        </w:trPr>
        <w:tc>
          <w:tcPr>
            <w:tcW w:w="8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835" w:right="0"/>
              <w:jc w:val="left"/>
              <w:rPr>
                <w:rFonts w:ascii="宋体" w:hAnsi="宋体" w:cs="宋体" w:eastAsia="宋体" w:hint="default"/>
                <w:sz w:val="18"/>
                <w:szCs w:val="18"/>
              </w:rPr>
            </w:pPr>
            <w:r>
              <w:rPr>
                <w:rFonts w:ascii="宋体" w:hAnsi="宋体" w:cs="宋体" w:eastAsia="宋体" w:hint="default"/>
                <w:sz w:val="18"/>
                <w:szCs w:val="18"/>
              </w:rPr>
              <w:t>可转债持有人名称</w:t>
            </w:r>
          </w:p>
        </w:tc>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可转债持有人性质</w:t>
            </w:r>
          </w:p>
        </w:tc>
        <w:tc>
          <w:tcPr>
            <w:tcW w:w="141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1270" w:type="dxa"/>
            <w:vMerge/>
            <w:tcBorders>
              <w:left w:val="single" w:sz="4" w:space="0" w:color="000000"/>
              <w:right w:val="single" w:sz="4" w:space="0" w:color="000000"/>
            </w:tcBorders>
            <w:shd w:val="clear" w:color="auto" w:fill="D2D2D2"/>
          </w:tcPr>
          <w:p>
            <w:pPr/>
          </w:p>
        </w:tc>
      </w:tr>
      <w:tr>
        <w:trPr>
          <w:trHeight w:val="161" w:hRule="exact"/>
        </w:trPr>
        <w:tc>
          <w:tcPr>
            <w:tcW w:w="81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27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81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18" w:type="dxa"/>
            <w:vMerge w:val="restart"/>
            <w:tcBorders>
              <w:top w:val="single" w:sz="4" w:space="0" w:color="000000"/>
              <w:left w:val="single" w:sz="9" w:space="0" w:color="D2D2D2"/>
              <w:right w:val="single" w:sz="4" w:space="0" w:color="000000"/>
            </w:tcBorders>
          </w:tcPr>
          <w:p>
            <w:pPr>
              <w:pStyle w:val="TableParagraph"/>
              <w:spacing w:line="316" w:lineRule="auto" w:before="49"/>
              <w:ind w:left="18" w:right="22"/>
              <w:jc w:val="left"/>
              <w:rPr>
                <w:rFonts w:ascii="宋体" w:hAnsi="宋体" w:cs="宋体" w:eastAsia="宋体" w:hint="default"/>
                <w:sz w:val="18"/>
                <w:szCs w:val="18"/>
              </w:rPr>
            </w:pPr>
            <w:r>
              <w:rPr>
                <w:rFonts w:ascii="宋体" w:hAnsi="宋体" w:cs="宋体" w:eastAsia="宋体" w:hint="default"/>
                <w:sz w:val="18"/>
                <w:szCs w:val="18"/>
              </w:rPr>
              <w:t>中国中信集团有限公司企业年金计划－ 中信银行股份有限公司</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9" w:right="0"/>
              <w:jc w:val="left"/>
              <w:rPr>
                <w:rFonts w:ascii="Times New Roman" w:hAnsi="Times New Roman" w:cs="Times New Roman" w:eastAsia="Times New Roman" w:hint="default"/>
                <w:sz w:val="18"/>
                <w:szCs w:val="18"/>
              </w:rPr>
            </w:pPr>
            <w:r>
              <w:rPr>
                <w:rFonts w:ascii="Times New Roman"/>
                <w:sz w:val="18"/>
              </w:rPr>
              <w:t>360,251</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36,025,100.00</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0" w:right="0"/>
              <w:jc w:val="left"/>
              <w:rPr>
                <w:rFonts w:ascii="Times New Roman" w:hAnsi="Times New Roman" w:cs="Times New Roman" w:eastAsia="Times New Roman" w:hint="default"/>
                <w:sz w:val="18"/>
                <w:szCs w:val="18"/>
              </w:rPr>
            </w:pPr>
            <w:r>
              <w:rPr>
                <w:rFonts w:ascii="Times New Roman"/>
                <w:sz w:val="18"/>
              </w:rPr>
              <w:t>4.62%</w:t>
            </w:r>
          </w:p>
        </w:tc>
      </w:tr>
      <w:tr>
        <w:trPr>
          <w:trHeight w:val="394" w:hRule="exact"/>
        </w:trPr>
        <w:tc>
          <w:tcPr>
            <w:tcW w:w="8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w:t>
            </w:r>
          </w:p>
        </w:tc>
        <w:tc>
          <w:tcPr>
            <w:tcW w:w="3118" w:type="dxa"/>
            <w:vMerge/>
            <w:tcBorders>
              <w:left w:val="single" w:sz="9" w:space="0" w:color="D2D2D2"/>
              <w:right w:val="single" w:sz="4" w:space="0" w:color="000000"/>
            </w:tcBorders>
          </w:tcPr>
          <w:p>
            <w:pPr/>
          </w:p>
        </w:tc>
        <w:tc>
          <w:tcPr>
            <w:tcW w:w="1560"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161" w:hRule="exact"/>
        </w:trPr>
        <w:tc>
          <w:tcPr>
            <w:tcW w:w="81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18" w:type="dxa"/>
            <w:vMerge/>
            <w:tcBorders>
              <w:left w:val="single" w:sz="9" w:space="0" w:color="D2D2D2"/>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r>
        <w:trPr>
          <w:trHeight w:val="161" w:hRule="exact"/>
        </w:trPr>
        <w:tc>
          <w:tcPr>
            <w:tcW w:w="81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18" w:type="dxa"/>
            <w:vMerge w:val="restart"/>
            <w:tcBorders>
              <w:top w:val="single" w:sz="4" w:space="0" w:color="000000"/>
              <w:left w:val="single" w:sz="9" w:space="0" w:color="D2D2D2"/>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易方达稳健回报固定收益型养老金产品</w:t>
            </w:r>
          </w:p>
          <w:p>
            <w:pPr>
              <w:pStyle w:val="TableParagraph"/>
              <w:spacing w:line="240" w:lineRule="auto" w:before="76"/>
              <w:ind w:left="18" w:right="0"/>
              <w:jc w:val="left"/>
              <w:rPr>
                <w:rFonts w:ascii="宋体" w:hAnsi="宋体" w:cs="宋体" w:eastAsia="宋体" w:hint="default"/>
                <w:sz w:val="18"/>
                <w:szCs w:val="18"/>
              </w:rPr>
            </w:pPr>
            <w:r>
              <w:rPr>
                <w:rFonts w:ascii="宋体" w:hAnsi="宋体" w:cs="宋体" w:eastAsia="宋体" w:hint="default"/>
                <w:sz w:val="18"/>
                <w:szCs w:val="18"/>
              </w:rPr>
              <w:t>－交通银行股份有限公司</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9" w:right="0"/>
              <w:jc w:val="left"/>
              <w:rPr>
                <w:rFonts w:ascii="Times New Roman" w:hAnsi="Times New Roman" w:cs="Times New Roman" w:eastAsia="Times New Roman" w:hint="default"/>
                <w:sz w:val="18"/>
                <w:szCs w:val="18"/>
              </w:rPr>
            </w:pPr>
            <w:r>
              <w:rPr>
                <w:rFonts w:ascii="Times New Roman"/>
                <w:sz w:val="18"/>
              </w:rPr>
              <w:t>337,388</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33,738,800.00</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0" w:right="0"/>
              <w:jc w:val="left"/>
              <w:rPr>
                <w:rFonts w:ascii="Times New Roman" w:hAnsi="Times New Roman" w:cs="Times New Roman" w:eastAsia="Times New Roman" w:hint="default"/>
                <w:sz w:val="18"/>
                <w:szCs w:val="18"/>
              </w:rPr>
            </w:pPr>
            <w:r>
              <w:rPr>
                <w:rFonts w:ascii="Times New Roman"/>
                <w:sz w:val="18"/>
              </w:rPr>
              <w:t>4.33%</w:t>
            </w:r>
          </w:p>
        </w:tc>
      </w:tr>
      <w:tr>
        <w:trPr>
          <w:trHeight w:val="391" w:hRule="exact"/>
        </w:trPr>
        <w:tc>
          <w:tcPr>
            <w:tcW w:w="8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w:t>
            </w:r>
          </w:p>
        </w:tc>
        <w:tc>
          <w:tcPr>
            <w:tcW w:w="3118" w:type="dxa"/>
            <w:vMerge/>
            <w:tcBorders>
              <w:left w:val="single" w:sz="9" w:space="0" w:color="D2D2D2"/>
              <w:right w:val="single" w:sz="4" w:space="0" w:color="000000"/>
            </w:tcBorders>
          </w:tcPr>
          <w:p>
            <w:pPr/>
          </w:p>
        </w:tc>
        <w:tc>
          <w:tcPr>
            <w:tcW w:w="1560"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161" w:hRule="exact"/>
        </w:trPr>
        <w:tc>
          <w:tcPr>
            <w:tcW w:w="81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18" w:type="dxa"/>
            <w:vMerge/>
            <w:tcBorders>
              <w:left w:val="single" w:sz="9" w:space="0" w:color="D2D2D2"/>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r>
        <w:trPr>
          <w:trHeight w:val="161" w:hRule="exact"/>
        </w:trPr>
        <w:tc>
          <w:tcPr>
            <w:tcW w:w="81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18" w:type="dxa"/>
            <w:vMerge w:val="restart"/>
            <w:tcBorders>
              <w:top w:val="single" w:sz="4" w:space="0" w:color="000000"/>
              <w:left w:val="single" w:sz="9" w:space="0" w:color="D2D2D2"/>
              <w:right w:val="single" w:sz="4" w:space="0" w:color="000000"/>
            </w:tcBorders>
          </w:tcPr>
          <w:p>
            <w:pPr>
              <w:pStyle w:val="TableParagraph"/>
              <w:spacing w:line="316" w:lineRule="auto" w:before="49"/>
              <w:ind w:left="18" w:right="22"/>
              <w:jc w:val="left"/>
              <w:rPr>
                <w:rFonts w:ascii="宋体" w:hAnsi="宋体" w:cs="宋体" w:eastAsia="宋体" w:hint="default"/>
                <w:sz w:val="18"/>
                <w:szCs w:val="18"/>
              </w:rPr>
            </w:pPr>
            <w:r>
              <w:rPr>
                <w:rFonts w:ascii="宋体" w:hAnsi="宋体" w:cs="宋体" w:eastAsia="宋体" w:hint="default"/>
                <w:sz w:val="18"/>
                <w:szCs w:val="18"/>
              </w:rPr>
              <w:t>南方东英资产管理有限公司－南方东英 龙腾中国基金（交易所）</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9" w:right="0"/>
              <w:jc w:val="left"/>
              <w:rPr>
                <w:rFonts w:ascii="Times New Roman" w:hAnsi="Times New Roman" w:cs="Times New Roman" w:eastAsia="Times New Roman" w:hint="default"/>
                <w:sz w:val="18"/>
                <w:szCs w:val="18"/>
              </w:rPr>
            </w:pPr>
            <w:r>
              <w:rPr>
                <w:rFonts w:ascii="Times New Roman"/>
                <w:sz w:val="18"/>
              </w:rPr>
              <w:t>264,510</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26,451,000.00</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0" w:right="0"/>
              <w:jc w:val="left"/>
              <w:rPr>
                <w:rFonts w:ascii="Times New Roman" w:hAnsi="Times New Roman" w:cs="Times New Roman" w:eastAsia="Times New Roman" w:hint="default"/>
                <w:sz w:val="18"/>
                <w:szCs w:val="18"/>
              </w:rPr>
            </w:pPr>
            <w:r>
              <w:rPr>
                <w:rFonts w:ascii="Times New Roman"/>
                <w:sz w:val="18"/>
              </w:rPr>
              <w:t>3.39%</w:t>
            </w:r>
          </w:p>
        </w:tc>
      </w:tr>
      <w:tr>
        <w:trPr>
          <w:trHeight w:val="394" w:hRule="exact"/>
        </w:trPr>
        <w:tc>
          <w:tcPr>
            <w:tcW w:w="8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w:t>
            </w:r>
          </w:p>
        </w:tc>
        <w:tc>
          <w:tcPr>
            <w:tcW w:w="3118" w:type="dxa"/>
            <w:vMerge/>
            <w:tcBorders>
              <w:left w:val="single" w:sz="9" w:space="0" w:color="D2D2D2"/>
              <w:right w:val="single" w:sz="4" w:space="0" w:color="000000"/>
            </w:tcBorders>
          </w:tcPr>
          <w:p>
            <w:pPr/>
          </w:p>
        </w:tc>
        <w:tc>
          <w:tcPr>
            <w:tcW w:w="1560"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161" w:hRule="exact"/>
        </w:trPr>
        <w:tc>
          <w:tcPr>
            <w:tcW w:w="81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18" w:type="dxa"/>
            <w:vMerge/>
            <w:tcBorders>
              <w:left w:val="single" w:sz="9" w:space="0" w:color="D2D2D2"/>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r>
        <w:trPr>
          <w:trHeight w:val="161" w:hRule="exact"/>
        </w:trPr>
        <w:tc>
          <w:tcPr>
            <w:tcW w:w="81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18" w:type="dxa"/>
            <w:vMerge w:val="restart"/>
            <w:tcBorders>
              <w:top w:val="single" w:sz="4" w:space="0" w:color="000000"/>
              <w:left w:val="single" w:sz="9" w:space="0" w:color="D2D2D2"/>
              <w:right w:val="single" w:sz="4" w:space="0" w:color="000000"/>
            </w:tcBorders>
          </w:tcPr>
          <w:p>
            <w:pPr>
              <w:pStyle w:val="TableParagraph"/>
              <w:spacing w:line="314" w:lineRule="auto" w:before="49"/>
              <w:ind w:left="18" w:right="22"/>
              <w:jc w:val="left"/>
              <w:rPr>
                <w:rFonts w:ascii="宋体" w:hAnsi="宋体" w:cs="宋体" w:eastAsia="宋体" w:hint="default"/>
                <w:sz w:val="18"/>
                <w:szCs w:val="18"/>
              </w:rPr>
            </w:pPr>
            <w:r>
              <w:rPr>
                <w:rFonts w:ascii="宋体" w:hAnsi="宋体" w:cs="宋体" w:eastAsia="宋体" w:hint="default"/>
                <w:sz w:val="18"/>
                <w:szCs w:val="18"/>
              </w:rPr>
              <w:t>易方达颐天配置混合型养老金产品－中 国工商银行股份有限公司</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9" w:right="0"/>
              <w:jc w:val="left"/>
              <w:rPr>
                <w:rFonts w:ascii="Times New Roman" w:hAnsi="Times New Roman" w:cs="Times New Roman" w:eastAsia="Times New Roman" w:hint="default"/>
                <w:sz w:val="18"/>
                <w:szCs w:val="18"/>
              </w:rPr>
            </w:pPr>
            <w:r>
              <w:rPr>
                <w:rFonts w:ascii="Times New Roman"/>
                <w:sz w:val="18"/>
              </w:rPr>
              <w:t>155,677</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15,567,700.00</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0" w:right="0"/>
              <w:jc w:val="left"/>
              <w:rPr>
                <w:rFonts w:ascii="Times New Roman" w:hAnsi="Times New Roman" w:cs="Times New Roman" w:eastAsia="Times New Roman" w:hint="default"/>
                <w:sz w:val="18"/>
                <w:szCs w:val="18"/>
              </w:rPr>
            </w:pPr>
            <w:r>
              <w:rPr>
                <w:rFonts w:ascii="Times New Roman"/>
                <w:sz w:val="18"/>
              </w:rPr>
              <w:t>2.00%</w:t>
            </w:r>
          </w:p>
        </w:tc>
      </w:tr>
      <w:tr>
        <w:trPr>
          <w:trHeight w:val="391" w:hRule="exact"/>
        </w:trPr>
        <w:tc>
          <w:tcPr>
            <w:tcW w:w="8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w:t>
            </w:r>
          </w:p>
        </w:tc>
        <w:tc>
          <w:tcPr>
            <w:tcW w:w="3118" w:type="dxa"/>
            <w:vMerge/>
            <w:tcBorders>
              <w:left w:val="single" w:sz="9" w:space="0" w:color="D2D2D2"/>
              <w:right w:val="single" w:sz="4" w:space="0" w:color="000000"/>
            </w:tcBorders>
          </w:tcPr>
          <w:p>
            <w:pPr/>
          </w:p>
        </w:tc>
        <w:tc>
          <w:tcPr>
            <w:tcW w:w="1560"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161" w:hRule="exact"/>
        </w:trPr>
        <w:tc>
          <w:tcPr>
            <w:tcW w:w="81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18" w:type="dxa"/>
            <w:vMerge/>
            <w:tcBorders>
              <w:left w:val="single" w:sz="9" w:space="0" w:color="D2D2D2"/>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807"/>
        <w:gridCol w:w="3118"/>
        <w:gridCol w:w="1560"/>
        <w:gridCol w:w="1416"/>
        <w:gridCol w:w="1419"/>
        <w:gridCol w:w="1270"/>
      </w:tblGrid>
      <w:tr>
        <w:trPr>
          <w:trHeight w:val="161" w:hRule="exact"/>
        </w:trPr>
        <w:tc>
          <w:tcPr>
            <w:tcW w:w="807" w:type="dxa"/>
            <w:tcBorders>
              <w:top w:val="single" w:sz="4" w:space="0" w:color="000000"/>
              <w:left w:val="single" w:sz="4" w:space="0" w:color="000000"/>
              <w:bottom w:val="nil" w:sz="6" w:space="0" w:color="auto"/>
              <w:right w:val="single" w:sz="4" w:space="0" w:color="000000"/>
            </w:tcBorders>
            <w:shd w:val="clear" w:color="auto" w:fill="D2D2D2"/>
          </w:tcPr>
          <w:p>
            <w:pPr/>
          </w:p>
        </w:tc>
        <w:tc>
          <w:tcPr>
            <w:tcW w:w="31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74" w:right="71"/>
              <w:jc w:val="left"/>
              <w:rPr>
                <w:rFonts w:ascii="宋体" w:hAnsi="宋体" w:cs="宋体" w:eastAsia="宋体" w:hint="default"/>
                <w:sz w:val="18"/>
                <w:szCs w:val="18"/>
              </w:rPr>
            </w:pPr>
            <w:r>
              <w:rPr>
                <w:rFonts w:ascii="宋体" w:hAnsi="宋体" w:cs="宋体" w:eastAsia="宋体" w:hint="default"/>
                <w:sz w:val="18"/>
                <w:szCs w:val="18"/>
              </w:rPr>
              <w:t>报告期末持有可 转债数量（张）</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76" w:right="70"/>
              <w:jc w:val="left"/>
              <w:rPr>
                <w:rFonts w:ascii="宋体" w:hAnsi="宋体" w:cs="宋体" w:eastAsia="宋体" w:hint="default"/>
                <w:sz w:val="18"/>
                <w:szCs w:val="18"/>
              </w:rPr>
            </w:pPr>
            <w:r>
              <w:rPr>
                <w:rFonts w:ascii="宋体" w:hAnsi="宋体" w:cs="宋体" w:eastAsia="宋体" w:hint="default"/>
                <w:sz w:val="18"/>
                <w:szCs w:val="18"/>
              </w:rPr>
              <w:t>报告期末持有可 转债金额（元）</w:t>
            </w:r>
          </w:p>
        </w:tc>
        <w:tc>
          <w:tcPr>
            <w:tcW w:w="12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79" w:right="89" w:hanging="92"/>
              <w:jc w:val="left"/>
              <w:rPr>
                <w:rFonts w:ascii="宋体" w:hAnsi="宋体" w:cs="宋体" w:eastAsia="宋体" w:hint="default"/>
                <w:sz w:val="18"/>
                <w:szCs w:val="18"/>
              </w:rPr>
            </w:pPr>
            <w:r>
              <w:rPr>
                <w:rFonts w:ascii="宋体" w:hAnsi="宋体" w:cs="宋体" w:eastAsia="宋体" w:hint="default"/>
                <w:sz w:val="18"/>
                <w:szCs w:val="18"/>
              </w:rPr>
              <w:t>报告期末持有 可转债占比</w:t>
            </w:r>
          </w:p>
        </w:tc>
      </w:tr>
      <w:tr>
        <w:trPr>
          <w:trHeight w:val="392" w:hRule="exact"/>
        </w:trPr>
        <w:tc>
          <w:tcPr>
            <w:tcW w:w="8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序号</w:t>
            </w:r>
          </w:p>
        </w:tc>
        <w:tc>
          <w:tcPr>
            <w:tcW w:w="31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835" w:right="0"/>
              <w:jc w:val="left"/>
              <w:rPr>
                <w:rFonts w:ascii="宋体" w:hAnsi="宋体" w:cs="宋体" w:eastAsia="宋体" w:hint="default"/>
                <w:sz w:val="18"/>
                <w:szCs w:val="18"/>
              </w:rPr>
            </w:pPr>
            <w:r>
              <w:rPr>
                <w:rFonts w:ascii="宋体" w:hAnsi="宋体" w:cs="宋体" w:eastAsia="宋体" w:hint="default"/>
                <w:sz w:val="18"/>
                <w:szCs w:val="18"/>
              </w:rPr>
              <w:t>可转债持有人名称</w:t>
            </w:r>
          </w:p>
        </w:tc>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可转债持有人性质</w:t>
            </w:r>
          </w:p>
        </w:tc>
        <w:tc>
          <w:tcPr>
            <w:tcW w:w="141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1270" w:type="dxa"/>
            <w:vMerge/>
            <w:tcBorders>
              <w:left w:val="single" w:sz="4" w:space="0" w:color="000000"/>
              <w:right w:val="single" w:sz="4" w:space="0" w:color="000000"/>
            </w:tcBorders>
            <w:shd w:val="clear" w:color="auto" w:fill="D2D2D2"/>
          </w:tcPr>
          <w:p>
            <w:pPr/>
          </w:p>
        </w:tc>
      </w:tr>
      <w:tr>
        <w:trPr>
          <w:trHeight w:val="161" w:hRule="exact"/>
        </w:trPr>
        <w:tc>
          <w:tcPr>
            <w:tcW w:w="807" w:type="dxa"/>
            <w:tcBorders>
              <w:top w:val="nil" w:sz="6" w:space="0" w:color="auto"/>
              <w:left w:val="single" w:sz="4" w:space="0" w:color="000000"/>
              <w:bottom w:val="single" w:sz="4" w:space="0" w:color="000000"/>
              <w:right w:val="single" w:sz="4" w:space="0" w:color="000000"/>
            </w:tcBorders>
            <w:shd w:val="clear" w:color="auto" w:fill="D2D2D2"/>
          </w:tcPr>
          <w:p>
            <w:pPr/>
          </w:p>
        </w:tc>
        <w:tc>
          <w:tcPr>
            <w:tcW w:w="31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270"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807" w:type="dxa"/>
            <w:tcBorders>
              <w:top w:val="single" w:sz="4" w:space="0" w:color="000000"/>
              <w:left w:val="single" w:sz="4" w:space="0" w:color="000000"/>
              <w:bottom w:val="nil" w:sz="6" w:space="0" w:color="auto"/>
              <w:right w:val="single" w:sz="4" w:space="0" w:color="000000"/>
            </w:tcBorders>
            <w:shd w:val="clear" w:color="auto" w:fill="D2D2D2"/>
          </w:tcPr>
          <w:p>
            <w:pPr/>
          </w:p>
        </w:tc>
        <w:tc>
          <w:tcPr>
            <w:tcW w:w="3118" w:type="dxa"/>
            <w:vMerge w:val="restart"/>
            <w:tcBorders>
              <w:top w:val="single" w:sz="4" w:space="0" w:color="000000"/>
              <w:left w:val="single" w:sz="9" w:space="0" w:color="D2D2D2"/>
              <w:right w:val="single" w:sz="4" w:space="0" w:color="000000"/>
            </w:tcBorders>
          </w:tcPr>
          <w:p>
            <w:pPr>
              <w:pStyle w:val="TableParagraph"/>
              <w:spacing w:line="314" w:lineRule="auto" w:before="51"/>
              <w:ind w:left="18" w:right="22"/>
              <w:jc w:val="left"/>
              <w:rPr>
                <w:rFonts w:ascii="宋体" w:hAnsi="宋体" w:cs="宋体" w:eastAsia="宋体" w:hint="default"/>
                <w:sz w:val="18"/>
                <w:szCs w:val="18"/>
              </w:rPr>
            </w:pPr>
            <w:r>
              <w:rPr>
                <w:rFonts w:ascii="宋体" w:hAnsi="宋体" w:cs="宋体" w:eastAsia="宋体" w:hint="default"/>
                <w:sz w:val="18"/>
                <w:szCs w:val="18"/>
              </w:rPr>
              <w:t>中国银行－易方达稳健收益债券型证券 投资基金</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9" w:right="0"/>
              <w:jc w:val="left"/>
              <w:rPr>
                <w:rFonts w:ascii="Times New Roman" w:hAnsi="Times New Roman" w:cs="Times New Roman" w:eastAsia="Times New Roman" w:hint="default"/>
                <w:sz w:val="18"/>
                <w:szCs w:val="18"/>
              </w:rPr>
            </w:pPr>
            <w:r>
              <w:rPr>
                <w:rFonts w:ascii="Times New Roman"/>
                <w:sz w:val="18"/>
              </w:rPr>
              <w:t>153,831</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15,383,100.00</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70" w:right="0"/>
              <w:jc w:val="left"/>
              <w:rPr>
                <w:rFonts w:ascii="Times New Roman" w:hAnsi="Times New Roman" w:cs="Times New Roman" w:eastAsia="Times New Roman" w:hint="default"/>
                <w:sz w:val="18"/>
                <w:szCs w:val="18"/>
              </w:rPr>
            </w:pPr>
            <w:r>
              <w:rPr>
                <w:rFonts w:ascii="Times New Roman"/>
                <w:sz w:val="18"/>
              </w:rPr>
              <w:t>1.97%</w:t>
            </w:r>
          </w:p>
        </w:tc>
      </w:tr>
      <w:tr>
        <w:trPr>
          <w:trHeight w:val="391" w:hRule="exact"/>
        </w:trPr>
        <w:tc>
          <w:tcPr>
            <w:tcW w:w="8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8"/>
              <w:jc w:val="center"/>
              <w:rPr>
                <w:rFonts w:ascii="Times New Roman" w:hAnsi="Times New Roman" w:cs="Times New Roman" w:eastAsia="Times New Roman" w:hint="default"/>
                <w:sz w:val="18"/>
                <w:szCs w:val="18"/>
              </w:rPr>
            </w:pPr>
            <w:r>
              <w:rPr>
                <w:rFonts w:ascii="Times New Roman"/>
                <w:sz w:val="18"/>
              </w:rPr>
              <w:t>5</w:t>
            </w:r>
          </w:p>
        </w:tc>
        <w:tc>
          <w:tcPr>
            <w:tcW w:w="3118" w:type="dxa"/>
            <w:vMerge/>
            <w:tcBorders>
              <w:left w:val="single" w:sz="9" w:space="0" w:color="D2D2D2"/>
              <w:right w:val="single" w:sz="4" w:space="0" w:color="000000"/>
            </w:tcBorders>
          </w:tcPr>
          <w:p>
            <w:pPr/>
          </w:p>
        </w:tc>
        <w:tc>
          <w:tcPr>
            <w:tcW w:w="1560"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161" w:hRule="exact"/>
        </w:trPr>
        <w:tc>
          <w:tcPr>
            <w:tcW w:w="807" w:type="dxa"/>
            <w:tcBorders>
              <w:top w:val="nil" w:sz="6" w:space="0" w:color="auto"/>
              <w:left w:val="single" w:sz="4" w:space="0" w:color="000000"/>
              <w:bottom w:val="single" w:sz="4" w:space="0" w:color="000000"/>
              <w:right w:val="single" w:sz="4" w:space="0" w:color="000000"/>
            </w:tcBorders>
            <w:shd w:val="clear" w:color="auto" w:fill="D2D2D2"/>
          </w:tcPr>
          <w:p>
            <w:pPr/>
          </w:p>
        </w:tc>
        <w:tc>
          <w:tcPr>
            <w:tcW w:w="3118" w:type="dxa"/>
            <w:vMerge/>
            <w:tcBorders>
              <w:left w:val="single" w:sz="9" w:space="0" w:color="D2D2D2"/>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r>
        <w:trPr>
          <w:trHeight w:val="161" w:hRule="exact"/>
        </w:trPr>
        <w:tc>
          <w:tcPr>
            <w:tcW w:w="807" w:type="dxa"/>
            <w:tcBorders>
              <w:top w:val="single" w:sz="4" w:space="0" w:color="000000"/>
              <w:left w:val="single" w:sz="4" w:space="0" w:color="000000"/>
              <w:bottom w:val="nil" w:sz="6" w:space="0" w:color="auto"/>
              <w:right w:val="single" w:sz="4" w:space="0" w:color="000000"/>
            </w:tcBorders>
            <w:shd w:val="clear" w:color="auto" w:fill="D2D2D2"/>
          </w:tcPr>
          <w:p>
            <w:pPr/>
          </w:p>
        </w:tc>
        <w:tc>
          <w:tcPr>
            <w:tcW w:w="3118" w:type="dxa"/>
            <w:vMerge w:val="restart"/>
            <w:tcBorders>
              <w:top w:val="single" w:sz="4" w:space="0" w:color="000000"/>
              <w:left w:val="single" w:sz="9" w:space="0" w:color="D2D2D2"/>
              <w:right w:val="single" w:sz="4" w:space="0" w:color="000000"/>
            </w:tcBorders>
          </w:tcPr>
          <w:p>
            <w:pPr>
              <w:pStyle w:val="TableParagraph"/>
              <w:spacing w:line="316" w:lineRule="auto" w:before="49"/>
              <w:ind w:left="18" w:right="22"/>
              <w:jc w:val="left"/>
              <w:rPr>
                <w:rFonts w:ascii="宋体" w:hAnsi="宋体" w:cs="宋体" w:eastAsia="宋体" w:hint="default"/>
                <w:sz w:val="18"/>
                <w:szCs w:val="18"/>
              </w:rPr>
            </w:pPr>
            <w:r>
              <w:rPr>
                <w:rFonts w:ascii="宋体" w:hAnsi="宋体" w:cs="宋体" w:eastAsia="宋体" w:hint="default"/>
                <w:sz w:val="18"/>
                <w:szCs w:val="18"/>
              </w:rPr>
              <w:t>中国工商银行股份有限公司－易方达安 心回报债券型证券投资基金</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9" w:right="0"/>
              <w:jc w:val="left"/>
              <w:rPr>
                <w:rFonts w:ascii="Times New Roman" w:hAnsi="Times New Roman" w:cs="Times New Roman" w:eastAsia="Times New Roman" w:hint="default"/>
                <w:sz w:val="18"/>
                <w:szCs w:val="18"/>
              </w:rPr>
            </w:pPr>
            <w:r>
              <w:rPr>
                <w:rFonts w:ascii="Times New Roman"/>
                <w:sz w:val="18"/>
              </w:rPr>
              <w:t>142,885</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14,288,500.00</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0" w:right="0"/>
              <w:jc w:val="left"/>
              <w:rPr>
                <w:rFonts w:ascii="Times New Roman" w:hAnsi="Times New Roman" w:cs="Times New Roman" w:eastAsia="Times New Roman" w:hint="default"/>
                <w:sz w:val="18"/>
                <w:szCs w:val="18"/>
              </w:rPr>
            </w:pPr>
            <w:r>
              <w:rPr>
                <w:rFonts w:ascii="Times New Roman"/>
                <w:sz w:val="18"/>
              </w:rPr>
              <w:t>1.83%</w:t>
            </w:r>
          </w:p>
        </w:tc>
      </w:tr>
      <w:tr>
        <w:trPr>
          <w:trHeight w:val="391" w:hRule="exact"/>
        </w:trPr>
        <w:tc>
          <w:tcPr>
            <w:tcW w:w="8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8"/>
              <w:jc w:val="center"/>
              <w:rPr>
                <w:rFonts w:ascii="Times New Roman" w:hAnsi="Times New Roman" w:cs="Times New Roman" w:eastAsia="Times New Roman" w:hint="default"/>
                <w:sz w:val="18"/>
                <w:szCs w:val="18"/>
              </w:rPr>
            </w:pPr>
            <w:r>
              <w:rPr>
                <w:rFonts w:ascii="Times New Roman"/>
                <w:sz w:val="18"/>
              </w:rPr>
              <w:t>6</w:t>
            </w:r>
          </w:p>
        </w:tc>
        <w:tc>
          <w:tcPr>
            <w:tcW w:w="3118" w:type="dxa"/>
            <w:vMerge/>
            <w:tcBorders>
              <w:left w:val="single" w:sz="9" w:space="0" w:color="D2D2D2"/>
              <w:right w:val="single" w:sz="4" w:space="0" w:color="000000"/>
            </w:tcBorders>
          </w:tcPr>
          <w:p>
            <w:pPr/>
          </w:p>
        </w:tc>
        <w:tc>
          <w:tcPr>
            <w:tcW w:w="1560"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161" w:hRule="exact"/>
        </w:trPr>
        <w:tc>
          <w:tcPr>
            <w:tcW w:w="807" w:type="dxa"/>
            <w:tcBorders>
              <w:top w:val="nil" w:sz="6" w:space="0" w:color="auto"/>
              <w:left w:val="single" w:sz="4" w:space="0" w:color="000000"/>
              <w:bottom w:val="single" w:sz="4" w:space="0" w:color="000000"/>
              <w:right w:val="single" w:sz="4" w:space="0" w:color="000000"/>
            </w:tcBorders>
            <w:shd w:val="clear" w:color="auto" w:fill="D2D2D2"/>
          </w:tcPr>
          <w:p>
            <w:pPr/>
          </w:p>
        </w:tc>
        <w:tc>
          <w:tcPr>
            <w:tcW w:w="3118" w:type="dxa"/>
            <w:vMerge/>
            <w:tcBorders>
              <w:left w:val="single" w:sz="9" w:space="0" w:color="D2D2D2"/>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r>
        <w:trPr>
          <w:trHeight w:val="163" w:hRule="exact"/>
        </w:trPr>
        <w:tc>
          <w:tcPr>
            <w:tcW w:w="807" w:type="dxa"/>
            <w:tcBorders>
              <w:top w:val="single" w:sz="4" w:space="0" w:color="000000"/>
              <w:left w:val="single" w:sz="4" w:space="0" w:color="000000"/>
              <w:bottom w:val="nil" w:sz="6" w:space="0" w:color="auto"/>
              <w:right w:val="single" w:sz="4" w:space="0" w:color="000000"/>
            </w:tcBorders>
            <w:shd w:val="clear" w:color="auto" w:fill="D2D2D2"/>
          </w:tcPr>
          <w:p>
            <w:pPr/>
          </w:p>
        </w:tc>
        <w:tc>
          <w:tcPr>
            <w:tcW w:w="3118" w:type="dxa"/>
            <w:vMerge w:val="restart"/>
            <w:tcBorders>
              <w:top w:val="single" w:sz="4" w:space="0" w:color="000000"/>
              <w:left w:val="single" w:sz="9" w:space="0" w:color="D2D2D2"/>
              <w:right w:val="single" w:sz="4" w:space="0" w:color="000000"/>
            </w:tcBorders>
          </w:tcPr>
          <w:p>
            <w:pPr>
              <w:pStyle w:val="TableParagraph"/>
              <w:spacing w:line="314" w:lineRule="auto" w:before="51"/>
              <w:ind w:left="18" w:right="22"/>
              <w:jc w:val="left"/>
              <w:rPr>
                <w:rFonts w:ascii="宋体" w:hAnsi="宋体" w:cs="宋体" w:eastAsia="宋体" w:hint="default"/>
                <w:sz w:val="18"/>
                <w:szCs w:val="18"/>
              </w:rPr>
            </w:pPr>
            <w:r>
              <w:rPr>
                <w:rFonts w:ascii="宋体" w:hAnsi="宋体" w:cs="宋体" w:eastAsia="宋体" w:hint="default"/>
                <w:sz w:val="18"/>
                <w:szCs w:val="18"/>
              </w:rPr>
              <w:t>中国民生银行股份有限公司企业年金计 划－中国民生银行股份有限公司</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pacing w:val="-3"/>
                <w:sz w:val="18"/>
              </w:rPr>
              <w:t>139,111</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13,911,100.00</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70" w:right="0"/>
              <w:jc w:val="left"/>
              <w:rPr>
                <w:rFonts w:ascii="Times New Roman" w:hAnsi="Times New Roman" w:cs="Times New Roman" w:eastAsia="Times New Roman" w:hint="default"/>
                <w:sz w:val="18"/>
                <w:szCs w:val="18"/>
              </w:rPr>
            </w:pPr>
            <w:r>
              <w:rPr>
                <w:rFonts w:ascii="Times New Roman"/>
                <w:sz w:val="18"/>
              </w:rPr>
              <w:t>1.78%</w:t>
            </w:r>
          </w:p>
        </w:tc>
      </w:tr>
      <w:tr>
        <w:trPr>
          <w:trHeight w:val="391" w:hRule="exact"/>
        </w:trPr>
        <w:tc>
          <w:tcPr>
            <w:tcW w:w="8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8"/>
              <w:jc w:val="center"/>
              <w:rPr>
                <w:rFonts w:ascii="Times New Roman" w:hAnsi="Times New Roman" w:cs="Times New Roman" w:eastAsia="Times New Roman" w:hint="default"/>
                <w:sz w:val="18"/>
                <w:szCs w:val="18"/>
              </w:rPr>
            </w:pPr>
            <w:r>
              <w:rPr>
                <w:rFonts w:ascii="Times New Roman"/>
                <w:sz w:val="18"/>
              </w:rPr>
              <w:t>7</w:t>
            </w:r>
          </w:p>
        </w:tc>
        <w:tc>
          <w:tcPr>
            <w:tcW w:w="3118" w:type="dxa"/>
            <w:vMerge/>
            <w:tcBorders>
              <w:left w:val="single" w:sz="9" w:space="0" w:color="D2D2D2"/>
              <w:right w:val="single" w:sz="4" w:space="0" w:color="000000"/>
            </w:tcBorders>
          </w:tcPr>
          <w:p>
            <w:pPr/>
          </w:p>
        </w:tc>
        <w:tc>
          <w:tcPr>
            <w:tcW w:w="1560"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161" w:hRule="exact"/>
        </w:trPr>
        <w:tc>
          <w:tcPr>
            <w:tcW w:w="807" w:type="dxa"/>
            <w:tcBorders>
              <w:top w:val="nil" w:sz="6" w:space="0" w:color="auto"/>
              <w:left w:val="single" w:sz="4" w:space="0" w:color="000000"/>
              <w:bottom w:val="single" w:sz="4" w:space="0" w:color="000000"/>
              <w:right w:val="single" w:sz="4" w:space="0" w:color="000000"/>
            </w:tcBorders>
            <w:shd w:val="clear" w:color="auto" w:fill="D2D2D2"/>
          </w:tcPr>
          <w:p>
            <w:pPr/>
          </w:p>
        </w:tc>
        <w:tc>
          <w:tcPr>
            <w:tcW w:w="3118" w:type="dxa"/>
            <w:vMerge/>
            <w:tcBorders>
              <w:left w:val="single" w:sz="9" w:space="0" w:color="D2D2D2"/>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r>
        <w:trPr>
          <w:trHeight w:val="161" w:hRule="exact"/>
        </w:trPr>
        <w:tc>
          <w:tcPr>
            <w:tcW w:w="807" w:type="dxa"/>
            <w:tcBorders>
              <w:top w:val="single" w:sz="4" w:space="0" w:color="000000"/>
              <w:left w:val="single" w:sz="4" w:space="0" w:color="000000"/>
              <w:bottom w:val="nil" w:sz="6" w:space="0" w:color="auto"/>
              <w:right w:val="single" w:sz="4" w:space="0" w:color="000000"/>
            </w:tcBorders>
            <w:shd w:val="clear" w:color="auto" w:fill="D2D2D2"/>
          </w:tcPr>
          <w:p>
            <w:pPr/>
          </w:p>
        </w:tc>
        <w:tc>
          <w:tcPr>
            <w:tcW w:w="3118" w:type="dxa"/>
            <w:vMerge w:val="restart"/>
            <w:tcBorders>
              <w:top w:val="single" w:sz="4" w:space="0" w:color="000000"/>
              <w:left w:val="single" w:sz="9" w:space="0" w:color="D2D2D2"/>
              <w:right w:val="single" w:sz="4" w:space="0" w:color="000000"/>
            </w:tcBorders>
          </w:tcPr>
          <w:p>
            <w:pPr>
              <w:pStyle w:val="TableParagraph"/>
              <w:spacing w:line="316" w:lineRule="auto" w:before="49"/>
              <w:ind w:left="18" w:right="22"/>
              <w:jc w:val="left"/>
              <w:rPr>
                <w:rFonts w:ascii="宋体" w:hAnsi="宋体" w:cs="宋体" w:eastAsia="宋体" w:hint="default"/>
                <w:sz w:val="18"/>
                <w:szCs w:val="18"/>
              </w:rPr>
            </w:pPr>
            <w:r>
              <w:rPr>
                <w:rFonts w:ascii="宋体" w:hAnsi="宋体" w:cs="宋体" w:eastAsia="宋体" w:hint="default"/>
                <w:sz w:val="18"/>
                <w:szCs w:val="18"/>
              </w:rPr>
              <w:t>中国对外经济贸易信托有限公司－外贸 信托－睿郡稳享私募证券投资基金</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9" w:right="0"/>
              <w:jc w:val="left"/>
              <w:rPr>
                <w:rFonts w:ascii="Times New Roman" w:hAnsi="Times New Roman" w:cs="Times New Roman" w:eastAsia="Times New Roman" w:hint="default"/>
                <w:sz w:val="18"/>
                <w:szCs w:val="18"/>
              </w:rPr>
            </w:pPr>
            <w:r>
              <w:rPr>
                <w:rFonts w:ascii="Times New Roman"/>
                <w:sz w:val="18"/>
              </w:rPr>
              <w:t>135,190</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13,519,000.00</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0" w:right="0"/>
              <w:jc w:val="left"/>
              <w:rPr>
                <w:rFonts w:ascii="Times New Roman" w:hAnsi="Times New Roman" w:cs="Times New Roman" w:eastAsia="Times New Roman" w:hint="default"/>
                <w:sz w:val="18"/>
                <w:szCs w:val="18"/>
              </w:rPr>
            </w:pPr>
            <w:r>
              <w:rPr>
                <w:rFonts w:ascii="Times New Roman"/>
                <w:sz w:val="18"/>
              </w:rPr>
              <w:t>1.73%</w:t>
            </w:r>
          </w:p>
        </w:tc>
      </w:tr>
      <w:tr>
        <w:trPr>
          <w:trHeight w:val="391" w:hRule="exact"/>
        </w:trPr>
        <w:tc>
          <w:tcPr>
            <w:tcW w:w="8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8"/>
              <w:jc w:val="center"/>
              <w:rPr>
                <w:rFonts w:ascii="Times New Roman" w:hAnsi="Times New Roman" w:cs="Times New Roman" w:eastAsia="Times New Roman" w:hint="default"/>
                <w:sz w:val="18"/>
                <w:szCs w:val="18"/>
              </w:rPr>
            </w:pPr>
            <w:r>
              <w:rPr>
                <w:rFonts w:ascii="Times New Roman"/>
                <w:sz w:val="18"/>
              </w:rPr>
              <w:t>8</w:t>
            </w:r>
          </w:p>
        </w:tc>
        <w:tc>
          <w:tcPr>
            <w:tcW w:w="3118" w:type="dxa"/>
            <w:vMerge/>
            <w:tcBorders>
              <w:left w:val="single" w:sz="9" w:space="0" w:color="D2D2D2"/>
              <w:right w:val="single" w:sz="4" w:space="0" w:color="000000"/>
            </w:tcBorders>
          </w:tcPr>
          <w:p>
            <w:pPr/>
          </w:p>
        </w:tc>
        <w:tc>
          <w:tcPr>
            <w:tcW w:w="1560"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161" w:hRule="exact"/>
        </w:trPr>
        <w:tc>
          <w:tcPr>
            <w:tcW w:w="807" w:type="dxa"/>
            <w:tcBorders>
              <w:top w:val="nil" w:sz="6" w:space="0" w:color="auto"/>
              <w:left w:val="single" w:sz="4" w:space="0" w:color="000000"/>
              <w:bottom w:val="single" w:sz="4" w:space="0" w:color="000000"/>
              <w:right w:val="single" w:sz="4" w:space="0" w:color="000000"/>
            </w:tcBorders>
            <w:shd w:val="clear" w:color="auto" w:fill="D2D2D2"/>
          </w:tcPr>
          <w:p>
            <w:pPr/>
          </w:p>
        </w:tc>
        <w:tc>
          <w:tcPr>
            <w:tcW w:w="3118" w:type="dxa"/>
            <w:vMerge/>
            <w:tcBorders>
              <w:left w:val="single" w:sz="9" w:space="0" w:color="D2D2D2"/>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r>
        <w:trPr>
          <w:trHeight w:val="163" w:hRule="exact"/>
        </w:trPr>
        <w:tc>
          <w:tcPr>
            <w:tcW w:w="807" w:type="dxa"/>
            <w:tcBorders>
              <w:top w:val="single" w:sz="4" w:space="0" w:color="000000"/>
              <w:left w:val="single" w:sz="4" w:space="0" w:color="000000"/>
              <w:bottom w:val="nil" w:sz="6" w:space="0" w:color="auto"/>
              <w:right w:val="single" w:sz="4" w:space="0" w:color="000000"/>
            </w:tcBorders>
            <w:shd w:val="clear" w:color="auto" w:fill="D2D2D2"/>
          </w:tcPr>
          <w:p>
            <w:pPr/>
          </w:p>
        </w:tc>
        <w:tc>
          <w:tcPr>
            <w:tcW w:w="3118" w:type="dxa"/>
            <w:vMerge w:val="restart"/>
            <w:tcBorders>
              <w:top w:val="single" w:sz="4" w:space="0" w:color="000000"/>
              <w:left w:val="single" w:sz="9" w:space="0" w:color="D2D2D2"/>
              <w:right w:val="single" w:sz="4" w:space="0" w:color="000000"/>
            </w:tcBorders>
          </w:tcPr>
          <w:p>
            <w:pPr>
              <w:pStyle w:val="TableParagraph"/>
              <w:spacing w:line="316" w:lineRule="auto" w:before="51"/>
              <w:ind w:left="18" w:right="22"/>
              <w:jc w:val="left"/>
              <w:rPr>
                <w:rFonts w:ascii="宋体" w:hAnsi="宋体" w:cs="宋体" w:eastAsia="宋体" w:hint="default"/>
                <w:sz w:val="18"/>
                <w:szCs w:val="18"/>
              </w:rPr>
            </w:pPr>
            <w:r>
              <w:rPr>
                <w:rFonts w:ascii="宋体" w:hAnsi="宋体" w:cs="宋体" w:eastAsia="宋体" w:hint="default"/>
                <w:sz w:val="18"/>
                <w:szCs w:val="18"/>
              </w:rPr>
              <w:t>中国光大银行股份有限公司－博时转债 增强债券型证券投资基金</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99" w:right="0"/>
              <w:jc w:val="left"/>
              <w:rPr>
                <w:rFonts w:ascii="Times New Roman" w:hAnsi="Times New Roman" w:cs="Times New Roman" w:eastAsia="Times New Roman" w:hint="default"/>
                <w:sz w:val="18"/>
                <w:szCs w:val="18"/>
              </w:rPr>
            </w:pPr>
            <w:r>
              <w:rPr>
                <w:rFonts w:ascii="Times New Roman"/>
                <w:sz w:val="18"/>
              </w:rPr>
              <w:t>125,641</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12,564,100.00</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70" w:right="0"/>
              <w:jc w:val="left"/>
              <w:rPr>
                <w:rFonts w:ascii="Times New Roman" w:hAnsi="Times New Roman" w:cs="Times New Roman" w:eastAsia="Times New Roman" w:hint="default"/>
                <w:sz w:val="18"/>
                <w:szCs w:val="18"/>
              </w:rPr>
            </w:pPr>
            <w:r>
              <w:rPr>
                <w:rFonts w:ascii="Times New Roman"/>
                <w:sz w:val="18"/>
              </w:rPr>
              <w:t>1.61%</w:t>
            </w:r>
          </w:p>
        </w:tc>
      </w:tr>
      <w:tr>
        <w:trPr>
          <w:trHeight w:val="392" w:hRule="exact"/>
        </w:trPr>
        <w:tc>
          <w:tcPr>
            <w:tcW w:w="8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8"/>
              <w:jc w:val="center"/>
              <w:rPr>
                <w:rFonts w:ascii="Times New Roman" w:hAnsi="Times New Roman" w:cs="Times New Roman" w:eastAsia="Times New Roman" w:hint="default"/>
                <w:sz w:val="18"/>
                <w:szCs w:val="18"/>
              </w:rPr>
            </w:pPr>
            <w:r>
              <w:rPr>
                <w:rFonts w:ascii="Times New Roman"/>
                <w:sz w:val="18"/>
              </w:rPr>
              <w:t>9</w:t>
            </w:r>
          </w:p>
        </w:tc>
        <w:tc>
          <w:tcPr>
            <w:tcW w:w="3118" w:type="dxa"/>
            <w:vMerge/>
            <w:tcBorders>
              <w:left w:val="single" w:sz="9" w:space="0" w:color="D2D2D2"/>
              <w:right w:val="single" w:sz="4" w:space="0" w:color="000000"/>
            </w:tcBorders>
          </w:tcPr>
          <w:p>
            <w:pPr/>
          </w:p>
        </w:tc>
        <w:tc>
          <w:tcPr>
            <w:tcW w:w="1560"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161" w:hRule="exact"/>
        </w:trPr>
        <w:tc>
          <w:tcPr>
            <w:tcW w:w="807" w:type="dxa"/>
            <w:tcBorders>
              <w:top w:val="nil" w:sz="6" w:space="0" w:color="auto"/>
              <w:left w:val="single" w:sz="4" w:space="0" w:color="000000"/>
              <w:bottom w:val="single" w:sz="4" w:space="0" w:color="000000"/>
              <w:right w:val="single" w:sz="4" w:space="0" w:color="000000"/>
            </w:tcBorders>
            <w:shd w:val="clear" w:color="auto" w:fill="D2D2D2"/>
          </w:tcPr>
          <w:p>
            <w:pPr/>
          </w:p>
        </w:tc>
        <w:tc>
          <w:tcPr>
            <w:tcW w:w="3118" w:type="dxa"/>
            <w:vMerge/>
            <w:tcBorders>
              <w:left w:val="single" w:sz="9" w:space="0" w:color="D2D2D2"/>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r>
        <w:trPr>
          <w:trHeight w:val="161" w:hRule="exact"/>
        </w:trPr>
        <w:tc>
          <w:tcPr>
            <w:tcW w:w="807" w:type="dxa"/>
            <w:tcBorders>
              <w:top w:val="single" w:sz="4" w:space="0" w:color="000000"/>
              <w:left w:val="single" w:sz="4" w:space="0" w:color="000000"/>
              <w:bottom w:val="nil" w:sz="6" w:space="0" w:color="auto"/>
              <w:right w:val="single" w:sz="4" w:space="0" w:color="000000"/>
            </w:tcBorders>
            <w:shd w:val="clear" w:color="auto" w:fill="D2D2D2"/>
          </w:tcPr>
          <w:p>
            <w:pPr/>
          </w:p>
        </w:tc>
        <w:tc>
          <w:tcPr>
            <w:tcW w:w="3118" w:type="dxa"/>
            <w:vMerge w:val="restart"/>
            <w:tcBorders>
              <w:top w:val="single" w:sz="4" w:space="0" w:color="000000"/>
              <w:left w:val="single" w:sz="9" w:space="0" w:color="D2D2D2"/>
              <w:right w:val="single" w:sz="4" w:space="0" w:color="000000"/>
            </w:tcBorders>
          </w:tcPr>
          <w:p>
            <w:pPr>
              <w:pStyle w:val="TableParagraph"/>
              <w:spacing w:line="300" w:lineRule="auto" w:before="49"/>
              <w:ind w:left="18" w:right="22"/>
              <w:jc w:val="left"/>
              <w:rPr>
                <w:rFonts w:ascii="宋体" w:hAnsi="宋体" w:cs="宋体" w:eastAsia="宋体" w:hint="default"/>
                <w:sz w:val="18"/>
                <w:szCs w:val="18"/>
              </w:rPr>
            </w:pPr>
            <w:r>
              <w:rPr>
                <w:rFonts w:ascii="宋体" w:hAnsi="宋体" w:cs="宋体" w:eastAsia="宋体" w:hint="default"/>
                <w:sz w:val="18"/>
                <w:szCs w:val="18"/>
              </w:rPr>
              <w:t>国寿养老稳健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号固定收益型养老金产 品－中国工商银行股份有限公司</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9" w:right="0"/>
              <w:jc w:val="left"/>
              <w:rPr>
                <w:rFonts w:ascii="Times New Roman" w:hAnsi="Times New Roman" w:cs="Times New Roman" w:eastAsia="Times New Roman" w:hint="default"/>
                <w:sz w:val="18"/>
                <w:szCs w:val="18"/>
              </w:rPr>
            </w:pPr>
            <w:r>
              <w:rPr>
                <w:rFonts w:ascii="Times New Roman"/>
                <w:sz w:val="18"/>
              </w:rPr>
              <w:t>120,000</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12,000,000.00</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0" w:right="0"/>
              <w:jc w:val="left"/>
              <w:rPr>
                <w:rFonts w:ascii="Times New Roman" w:hAnsi="Times New Roman" w:cs="Times New Roman" w:eastAsia="Times New Roman" w:hint="default"/>
                <w:sz w:val="18"/>
                <w:szCs w:val="18"/>
              </w:rPr>
            </w:pPr>
            <w:r>
              <w:rPr>
                <w:rFonts w:ascii="Times New Roman"/>
                <w:sz w:val="18"/>
              </w:rPr>
              <w:t>1.54%</w:t>
            </w:r>
          </w:p>
        </w:tc>
      </w:tr>
      <w:tr>
        <w:trPr>
          <w:trHeight w:val="391" w:hRule="exact"/>
        </w:trPr>
        <w:tc>
          <w:tcPr>
            <w:tcW w:w="8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10</w:t>
            </w:r>
          </w:p>
        </w:tc>
        <w:tc>
          <w:tcPr>
            <w:tcW w:w="3118" w:type="dxa"/>
            <w:vMerge/>
            <w:tcBorders>
              <w:left w:val="single" w:sz="9" w:space="0" w:color="D2D2D2"/>
              <w:right w:val="single" w:sz="4" w:space="0" w:color="000000"/>
            </w:tcBorders>
          </w:tcPr>
          <w:p>
            <w:pPr/>
          </w:p>
        </w:tc>
        <w:tc>
          <w:tcPr>
            <w:tcW w:w="1560"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163" w:hRule="exact"/>
        </w:trPr>
        <w:tc>
          <w:tcPr>
            <w:tcW w:w="807" w:type="dxa"/>
            <w:tcBorders>
              <w:top w:val="nil" w:sz="6" w:space="0" w:color="auto"/>
              <w:left w:val="single" w:sz="4" w:space="0" w:color="000000"/>
              <w:bottom w:val="single" w:sz="4" w:space="0" w:color="000000"/>
              <w:right w:val="single" w:sz="4" w:space="0" w:color="000000"/>
            </w:tcBorders>
            <w:shd w:val="clear" w:color="auto" w:fill="D2D2D2"/>
          </w:tcPr>
          <w:p>
            <w:pPr/>
          </w:p>
        </w:tc>
        <w:tc>
          <w:tcPr>
            <w:tcW w:w="3118" w:type="dxa"/>
            <w:vMerge/>
            <w:tcBorders>
              <w:left w:val="single" w:sz="9" w:space="0" w:color="D2D2D2"/>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1115"/>
        <w:jc w:val="left"/>
        <w:rPr>
          <w:b w:val="0"/>
          <w:bCs w:val="0"/>
        </w:rPr>
      </w:pPr>
      <w:bookmarkStart w:name="四、担保人盈利能力、资产状况和信用状况发生重大变化的情况" w:id="127"/>
      <w:bookmarkEnd w:id="127"/>
      <w:r>
        <w:rPr>
          <w:b w:val="0"/>
          <w:bCs w:val="0"/>
        </w:rPr>
      </w:r>
      <w:r>
        <w:rPr/>
        <w:t>四、担保人盈利能力、资产状况和信用状况发生重大变化的情况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15"/>
        <w:jc w:val="left"/>
        <w:rPr>
          <w:b w:val="0"/>
          <w:bCs w:val="0"/>
        </w:rPr>
      </w:pPr>
      <w:bookmarkStart w:name="五、报告期末公司的负债情况、资信变化情况以及在未来年度还债的现金安排" w:id="128"/>
      <w:bookmarkEnd w:id="128"/>
      <w:r>
        <w:rPr>
          <w:b w:val="0"/>
          <w:bCs w:val="0"/>
        </w:rPr>
      </w:r>
      <w:r>
        <w:rPr/>
        <w:t>五、报告期末公司的负债情况、资信变化情况以及在未来年度还债的现金安排</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3" w:right="1115"/>
        <w:jc w:val="left"/>
      </w:pPr>
      <w:r>
        <w:rPr/>
        <w:t>（</w:t>
      </w:r>
      <w:r>
        <w:rPr>
          <w:rFonts w:ascii="Times New Roman" w:hAnsi="Times New Roman" w:cs="Times New Roman" w:eastAsia="Times New Roman" w:hint="default"/>
        </w:rPr>
        <w:t>1</w:t>
      </w:r>
      <w:r>
        <w:rPr/>
        <w:t>）截至报告期末公司近</w:t>
      </w:r>
      <w:r>
        <w:rPr>
          <w:rFonts w:ascii="Times New Roman" w:hAnsi="Times New Roman" w:cs="Times New Roman" w:eastAsia="Times New Roman" w:hint="default"/>
        </w:rPr>
        <w:t>2</w:t>
      </w:r>
      <w:r>
        <w:rPr/>
        <w:t>年的主要会计数据和财务指标</w:t>
      </w:r>
    </w:p>
    <w:p>
      <w:pPr>
        <w:spacing w:line="240" w:lineRule="auto" w:before="2"/>
        <w:rPr>
          <w:rFonts w:ascii="宋体" w:hAnsi="宋体" w:cs="宋体" w:eastAsia="宋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3203"/>
        <w:gridCol w:w="2196"/>
        <w:gridCol w:w="2246"/>
        <w:gridCol w:w="2014"/>
      </w:tblGrid>
      <w:tr>
        <w:trPr>
          <w:trHeight w:val="335" w:hRule="exact"/>
        </w:trPr>
        <w:tc>
          <w:tcPr>
            <w:tcW w:w="32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21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left="9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22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20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left="550"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348" w:hRule="exact"/>
        </w:trPr>
        <w:tc>
          <w:tcPr>
            <w:tcW w:w="32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15,501.53</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-70,150.65</w:t>
            </w: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6" w:hRule="exact"/>
        </w:trPr>
        <w:tc>
          <w:tcPr>
            <w:tcW w:w="32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sz w:val="18"/>
                <w:szCs w:val="18"/>
              </w:rPr>
              <w:t>流动比率</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210.98%</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174.37%</w:t>
            </w: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36.61%</w:t>
            </w:r>
          </w:p>
        </w:tc>
      </w:tr>
      <w:tr>
        <w:trPr>
          <w:trHeight w:val="348" w:hRule="exact"/>
        </w:trPr>
        <w:tc>
          <w:tcPr>
            <w:tcW w:w="32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资产负债率</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60.67%</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64.40%</w:t>
            </w: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-3.73%</w:t>
            </w:r>
          </w:p>
        </w:tc>
      </w:tr>
      <w:tr>
        <w:trPr>
          <w:trHeight w:val="346" w:hRule="exact"/>
        </w:trPr>
        <w:tc>
          <w:tcPr>
            <w:tcW w:w="32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sz w:val="18"/>
                <w:szCs w:val="18"/>
              </w:rPr>
              <w:t>速动比率</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208.47%</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172.35%</w:t>
            </w: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36.11%</w:t>
            </w:r>
          </w:p>
        </w:tc>
      </w:tr>
      <w:tr>
        <w:trPr>
          <w:trHeight w:val="348" w:hRule="exact"/>
        </w:trPr>
        <w:tc>
          <w:tcPr>
            <w:tcW w:w="32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宋体" w:hAnsi="宋体" w:cs="宋体" w:eastAsia="宋体" w:hint="default"/>
                <w:sz w:val="18"/>
                <w:szCs w:val="18"/>
              </w:rPr>
              <w:t>全部债务比</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8.42%</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-33.24%</w:t>
            </w: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6" w:hRule="exact"/>
        </w:trPr>
        <w:tc>
          <w:tcPr>
            <w:tcW w:w="32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sz w:val="18"/>
                <w:szCs w:val="18"/>
              </w:rPr>
              <w:t>利息保障倍数</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2.03</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-14.10</w:t>
            </w: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32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利息保障倍数</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2.79</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-13.31</w:t>
            </w: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32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贷款偿还率</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0.00%</w:t>
            </w:r>
          </w:p>
        </w:tc>
      </w:tr>
      <w:tr>
        <w:trPr>
          <w:trHeight w:val="349" w:hRule="exact"/>
        </w:trPr>
        <w:tc>
          <w:tcPr>
            <w:tcW w:w="32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利息偿付率</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27"/>
          <w:szCs w:val="27"/>
        </w:rPr>
      </w:pPr>
    </w:p>
    <w:p>
      <w:pPr>
        <w:pStyle w:val="BodyText"/>
        <w:spacing w:line="240" w:lineRule="auto" w:before="44"/>
        <w:ind w:left="513" w:right="1115"/>
        <w:jc w:val="left"/>
      </w:pPr>
      <w:r>
        <w:rPr/>
        <w:t>上述会计数据和财务指标同比变动超过</w:t>
      </w:r>
      <w:r>
        <w:rPr>
          <w:rFonts w:ascii="Times New Roman" w:hAnsi="Times New Roman" w:cs="Times New Roman" w:eastAsia="Times New Roman" w:hint="default"/>
        </w:rPr>
        <w:t>30%</w:t>
      </w:r>
      <w:r>
        <w:rPr/>
        <w:t>的主要原因：</w:t>
      </w:r>
    </w:p>
    <w:p>
      <w:pPr>
        <w:pStyle w:val="BodyText"/>
        <w:spacing w:line="240" w:lineRule="auto" w:before="103"/>
        <w:ind w:left="513" w:right="1115"/>
        <w:jc w:val="left"/>
      </w:pPr>
      <w:r>
        <w:rPr>
          <w:rFonts w:ascii="Times New Roman" w:hAnsi="Times New Roman" w:cs="Times New Roman" w:eastAsia="Times New Roman" w:hint="default"/>
        </w:rPr>
        <w:t>1</w:t>
      </w:r>
      <w:r>
        <w:rPr/>
        <w:t>、本报告期流动比率和速动比率上升主要系公司偿付股权对价所致。</w:t>
      </w:r>
    </w:p>
    <w:p>
      <w:pPr>
        <w:pStyle w:val="BodyText"/>
        <w:spacing w:line="300" w:lineRule="auto" w:before="101"/>
        <w:ind w:right="1046" w:firstLine="360"/>
        <w:jc w:val="left"/>
      </w:pPr>
      <w:r>
        <w:rPr>
          <w:rFonts w:ascii="Times New Roman" w:hAnsi="Times New Roman" w:cs="Times New Roman" w:eastAsia="Times New Roman" w:hint="default"/>
        </w:rPr>
        <w:t>2</w:t>
      </w:r>
      <w:r>
        <w:rPr/>
        <w:t>、根据中国证券监督管理委员会《公司债券发行与交易管理办法》和《上市公司证券发行管理办法》的相关规定，公 司委托信用评级机构联合信用评级有限公司（以下简称</w:t>
      </w:r>
      <w:r>
        <w:rPr>
          <w:rFonts w:ascii="Times New Roman" w:hAnsi="Times New Roman" w:cs="Times New Roman" w:eastAsia="Times New Roman" w:hint="default"/>
        </w:rPr>
        <w:t>“</w:t>
      </w:r>
      <w:r>
        <w:rPr/>
        <w:t>联合评级</w:t>
      </w:r>
      <w:r>
        <w:rPr>
          <w:rFonts w:ascii="Times New Roman" w:hAnsi="Times New Roman" w:cs="Times New Roman" w:eastAsia="Times New Roman" w:hint="default"/>
        </w:rPr>
        <w:t>”</w:t>
      </w:r>
      <w:r>
        <w:rPr/>
        <w:t>）对公司主体长期信用状况和久其转债进行了跟踪评级。</w:t>
      </w:r>
      <w:r>
        <w:rPr>
          <w:spacing w:val="-69"/>
        </w:rPr>
        <w:t> </w:t>
      </w:r>
      <w:r>
        <w:rPr>
          <w:spacing w:val="-69"/>
        </w:rPr>
      </w:r>
      <w:r>
        <w:rPr/>
        <w:t>联合评级在对公司经营状况、行业发展情况进行综合分析与评估的基础上，于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t>日出具了《北京久其软件股份有</w:t>
      </w:r>
      <w:r>
        <w:rPr>
          <w:spacing w:val="-85"/>
        </w:rPr>
        <w:t> </w:t>
      </w:r>
      <w:r>
        <w:rPr>
          <w:spacing w:val="-85"/>
        </w:rPr>
      </w:r>
      <w:r>
        <w:rPr/>
        <w:t>限公司可转换公司债券</w:t>
      </w:r>
      <w:r>
        <w:rPr>
          <w:rFonts w:ascii="Times New Roman" w:hAnsi="Times New Roman" w:cs="Times New Roman" w:eastAsia="Times New Roman" w:hint="default"/>
        </w:rPr>
        <w:t>2019</w:t>
      </w:r>
      <w:r>
        <w:rPr/>
        <w:t>年跟踪评级报告》，公司主体信用等级为</w:t>
      </w:r>
      <w:r>
        <w:rPr>
          <w:rFonts w:ascii="Times New Roman" w:hAnsi="Times New Roman" w:cs="Times New Roman" w:eastAsia="Times New Roman" w:hint="default"/>
        </w:rPr>
        <w:t>A+</w:t>
      </w:r>
      <w:r>
        <w:rPr/>
        <w:t>，评级展望为</w:t>
      </w:r>
      <w:r>
        <w:rPr>
          <w:rFonts w:ascii="Times New Roman" w:hAnsi="Times New Roman" w:cs="Times New Roman" w:eastAsia="Times New Roman" w:hint="default"/>
        </w:rPr>
        <w:t>“</w:t>
      </w:r>
      <w:r>
        <w:rPr/>
        <w:t>稳定</w:t>
      </w:r>
      <w:r>
        <w:rPr>
          <w:rFonts w:ascii="Times New Roman" w:hAnsi="Times New Roman" w:cs="Times New Roman" w:eastAsia="Times New Roman" w:hint="default"/>
        </w:rPr>
        <w:t>”</w:t>
      </w:r>
      <w:r>
        <w:rPr/>
        <w:t>；同时久其转债的债项信用等</w:t>
      </w:r>
      <w:r>
        <w:rPr>
          <w:spacing w:val="-33"/>
        </w:rPr>
        <w:t> </w:t>
      </w:r>
      <w:r>
        <w:rPr>
          <w:spacing w:val="-33"/>
        </w:rPr>
      </w:r>
      <w:r>
        <w:rPr/>
        <w:t>级为</w:t>
      </w:r>
      <w:r>
        <w:rPr>
          <w:rFonts w:ascii="Times New Roman" w:hAnsi="Times New Roman" w:cs="Times New Roman" w:eastAsia="Times New Roman" w:hint="default"/>
        </w:rPr>
        <w:t>A+</w:t>
      </w:r>
      <w:r>
        <w:rPr/>
        <w:t>。与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日评级结果相比，主体信用等级从</w:t>
      </w:r>
      <w:r>
        <w:rPr>
          <w:rFonts w:ascii="Times New Roman" w:hAnsi="Times New Roman" w:cs="Times New Roman" w:eastAsia="Times New Roman" w:hint="default"/>
        </w:rPr>
        <w:t>AA-</w:t>
      </w:r>
      <w:r>
        <w:rPr/>
        <w:t>降为</w:t>
      </w:r>
      <w:r>
        <w:rPr>
          <w:rFonts w:ascii="Times New Roman" w:hAnsi="Times New Roman" w:cs="Times New Roman" w:eastAsia="Times New Roman" w:hint="default"/>
        </w:rPr>
        <w:t>A+</w:t>
      </w:r>
      <w:r>
        <w:rPr/>
        <w:t>，久其转债的信用等级从</w:t>
      </w:r>
      <w:r>
        <w:rPr>
          <w:rFonts w:ascii="Times New Roman" w:hAnsi="Times New Roman" w:cs="Times New Roman" w:eastAsia="Times New Roman" w:hint="default"/>
        </w:rPr>
        <w:t>AA</w:t>
      </w:r>
      <w:r>
        <w:rPr/>
        <w:t>降为</w:t>
      </w:r>
      <w:r>
        <w:rPr>
          <w:rFonts w:ascii="Times New Roman" w:hAnsi="Times New Roman" w:cs="Times New Roman" w:eastAsia="Times New Roman" w:hint="default"/>
        </w:rPr>
        <w:t>A+</w:t>
      </w:r>
      <w:r>
        <w:rPr/>
        <w:t>。变化原因系联</w:t>
      </w:r>
    </w:p>
    <w:p>
      <w:pPr>
        <w:spacing w:after="0" w:line="30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1115"/>
        <w:jc w:val="left"/>
      </w:pPr>
      <w:r>
        <w:rPr/>
        <w:t>合评级认为公司</w:t>
      </w:r>
      <w:r>
        <w:rPr>
          <w:rFonts w:ascii="Times New Roman" w:hAnsi="Times New Roman" w:cs="Times New Roman" w:eastAsia="Times New Roman" w:hint="default"/>
        </w:rPr>
        <w:t>2018</w:t>
      </w:r>
      <w:r>
        <w:rPr/>
        <w:t>年计提大额商誉减值，导致公司营业利润出现大额亏损，资产和净资产规模大幅下降。</w:t>
      </w:r>
    </w:p>
    <w:p>
      <w:pPr>
        <w:pStyle w:val="BodyText"/>
        <w:spacing w:line="240" w:lineRule="auto" w:before="63"/>
        <w:ind w:left="513" w:right="1115"/>
        <w:jc w:val="left"/>
      </w:pPr>
      <w:r>
        <w:rPr>
          <w:rFonts w:ascii="Times New Roman" w:hAnsi="Times New Roman" w:cs="Times New Roman" w:eastAsia="Times New Roman" w:hint="default"/>
          <w:spacing w:val="4"/>
        </w:rPr>
        <w:t>3</w:t>
      </w:r>
      <w:r>
        <w:rPr>
          <w:spacing w:val="4"/>
        </w:rPr>
        <w:t>、公司</w:t>
      </w:r>
      <w:r>
        <w:rPr>
          <w:rFonts w:ascii="Times New Roman" w:hAnsi="Times New Roman" w:cs="Times New Roman" w:eastAsia="Times New Roman" w:hint="default"/>
          <w:spacing w:val="4"/>
        </w:rPr>
        <w:t>2019</w:t>
      </w:r>
      <w:r>
        <w:rPr>
          <w:spacing w:val="4"/>
        </w:rPr>
        <w:t>年度归属于上市公司股东的净利润为</w:t>
      </w:r>
      <w:r>
        <w:rPr>
          <w:rFonts w:ascii="Times New Roman" w:hAnsi="Times New Roman" w:cs="Times New Roman" w:eastAsia="Times New Roman" w:hint="default"/>
          <w:spacing w:val="4"/>
        </w:rPr>
        <w:t>5,226.49</w:t>
      </w:r>
      <w:r>
        <w:rPr>
          <w:spacing w:val="4"/>
        </w:rPr>
        <w:t>万元，较上年实现扭亏为盈，同时</w:t>
      </w:r>
      <w:r>
        <w:rPr>
          <w:rFonts w:ascii="Times New Roman" w:hAnsi="Times New Roman" w:cs="Times New Roman" w:eastAsia="Times New Roman" w:hint="default"/>
          <w:spacing w:val="4"/>
        </w:rPr>
        <w:t>2019</w:t>
      </w:r>
      <w:r>
        <w:rPr>
          <w:spacing w:val="4"/>
        </w:rPr>
        <w:t>年末资产负债率为</w:t>
      </w:r>
    </w:p>
    <w:p>
      <w:pPr>
        <w:pStyle w:val="BodyText"/>
        <w:spacing w:line="240" w:lineRule="auto" w:before="63"/>
        <w:ind w:right="1115"/>
        <w:jc w:val="left"/>
      </w:pPr>
      <w:r>
        <w:rPr>
          <w:rFonts w:ascii="Times New Roman" w:hAnsi="Times New Roman" w:cs="Times New Roman" w:eastAsia="Times New Roman" w:hint="default"/>
        </w:rPr>
        <w:t>60.67%</w:t>
      </w:r>
      <w:r>
        <w:rPr/>
        <w:t>，较上年的</w:t>
      </w:r>
      <w:r>
        <w:rPr>
          <w:rFonts w:ascii="Times New Roman" w:hAnsi="Times New Roman" w:cs="Times New Roman" w:eastAsia="Times New Roman" w:hint="default"/>
        </w:rPr>
        <w:t>64.40%</w:t>
      </w:r>
      <w:r>
        <w:rPr/>
        <w:t>有所改善，公司整体偿债能力较上年增强。</w:t>
      </w:r>
    </w:p>
    <w:p>
      <w:pPr>
        <w:spacing w:after="0" w:line="24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1679" w:right="1115"/>
        <w:jc w:val="left"/>
        <w:rPr>
          <w:b w:val="0"/>
          <w:bCs w:val="0"/>
        </w:rPr>
      </w:pPr>
      <w:bookmarkStart w:name="第九节 董事、监事、高级管理人员和员工情况" w:id="129"/>
      <w:bookmarkEnd w:id="129"/>
      <w:r>
        <w:rPr>
          <w:b w:val="0"/>
          <w:bCs w:val="0"/>
        </w:rPr>
      </w:r>
      <w:bookmarkStart w:name="_bookmark8" w:id="130"/>
      <w:bookmarkEnd w:id="130"/>
      <w:r>
        <w:rPr>
          <w:b w:val="0"/>
          <w:bCs w:val="0"/>
        </w:rPr>
      </w:r>
      <w:r>
        <w:rPr/>
        <w:t>第九节</w:t>
      </w:r>
      <w:r>
        <w:rPr>
          <w:spacing w:val="-8"/>
        </w:rPr>
        <w:t> </w:t>
      </w:r>
      <w:r>
        <w:rPr/>
        <w:t>董事、监事、高级管理人员和员工情况</w:t>
      </w:r>
      <w:r>
        <w:rPr>
          <w:b w:val="0"/>
          <w:bCs w:val="0"/>
        </w:rPr>
      </w:r>
    </w:p>
    <w:p>
      <w:pPr>
        <w:spacing w:line="240" w:lineRule="auto" w:before="13"/>
        <w:rPr>
          <w:rFonts w:ascii="宋体" w:hAnsi="宋体" w:cs="宋体" w:eastAsia="宋体" w:hint="default"/>
          <w:b/>
          <w:bCs/>
          <w:sz w:val="38"/>
          <w:szCs w:val="38"/>
        </w:rPr>
      </w:pPr>
    </w:p>
    <w:p>
      <w:pPr>
        <w:pStyle w:val="Heading2"/>
        <w:spacing w:line="240" w:lineRule="auto"/>
        <w:ind w:right="1115"/>
        <w:jc w:val="left"/>
        <w:rPr>
          <w:b w:val="0"/>
          <w:bCs w:val="0"/>
        </w:rPr>
      </w:pPr>
      <w:bookmarkStart w:name="一、董事、监事和高级管理人员持股变动" w:id="131"/>
      <w:bookmarkEnd w:id="131"/>
      <w:r>
        <w:rPr>
          <w:b w:val="0"/>
          <w:bCs w:val="0"/>
        </w:rPr>
      </w: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1010"/>
        <w:gridCol w:w="566"/>
        <w:gridCol w:w="569"/>
        <w:gridCol w:w="566"/>
        <w:gridCol w:w="991"/>
        <w:gridCol w:w="994"/>
        <w:gridCol w:w="883"/>
        <w:gridCol w:w="818"/>
        <w:gridCol w:w="778"/>
        <w:gridCol w:w="638"/>
        <w:gridCol w:w="958"/>
      </w:tblGrid>
      <w:tr>
        <w:trPr>
          <w:trHeight w:val="1025"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00" w:right="38"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00" w:right="41"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76" w:right="74"/>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 w:right="4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3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1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 w:right="41"/>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19"/>
              <w:ind w:left="4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78,265,507</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78,265,507</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栗军</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14,997,347</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3,749,300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11,248,047</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施瑞丰</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3,542,932</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3,542,932</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邱安超</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both"/>
              <w:rPr>
                <w:rFonts w:ascii="宋体" w:hAnsi="宋体" w:cs="宋体" w:eastAsia="宋体" w:hint="default"/>
                <w:sz w:val="18"/>
                <w:szCs w:val="18"/>
              </w:rPr>
            </w:pPr>
            <w:r>
              <w:rPr>
                <w:rFonts w:ascii="宋体" w:hAnsi="宋体" w:cs="宋体" w:eastAsia="宋体" w:hint="default"/>
                <w:sz w:val="18"/>
                <w:szCs w:val="18"/>
              </w:rPr>
              <w:t>董事、高级 副总裁、财 务总监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603,476</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603,476</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欧阳曜</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董事、高级 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17,783,301</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17,783,301</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王元京</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戴金平</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李岳军</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王劲岩</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蒋硕</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任德宝</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曾超</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264,550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264,550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刘文圣</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269,100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269,100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朱晓钧</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416,000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416,000</w:t>
            </w: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王海霞</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高级副总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517,942</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517,942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800"/>
        <w:gridCol w:w="1010"/>
        <w:gridCol w:w="566"/>
        <w:gridCol w:w="569"/>
        <w:gridCol w:w="566"/>
        <w:gridCol w:w="991"/>
        <w:gridCol w:w="994"/>
        <w:gridCol w:w="883"/>
        <w:gridCol w:w="818"/>
        <w:gridCol w:w="778"/>
        <w:gridCol w:w="638"/>
        <w:gridCol w:w="958"/>
      </w:tblGrid>
      <w:tr>
        <w:trPr>
          <w:trHeight w:val="1025"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00" w:right="38"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00" w:right="41"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76" w:right="74"/>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 w:right="4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7"/>
              <w:ind w:left="13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7"/>
              <w:ind w:left="11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5" w:right="41"/>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17"/>
              <w:ind w:left="4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674"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74"/>
              <w:jc w:val="left"/>
              <w:rPr>
                <w:rFonts w:ascii="宋体" w:hAnsi="宋体" w:cs="宋体" w:eastAsia="宋体" w:hint="default"/>
                <w:sz w:val="18"/>
                <w:szCs w:val="18"/>
              </w:rPr>
            </w:pPr>
            <w:r>
              <w:rPr>
                <w:rFonts w:ascii="宋体" w:hAnsi="宋体" w:cs="宋体" w:eastAsia="宋体" w:hint="default"/>
                <w:sz w:val="18"/>
                <w:szCs w:val="18"/>
              </w:rPr>
              <w:t>裁、董事会 秘书</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3"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116,660,15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3,749,300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112,910,855</w:t>
            </w:r>
          </w:p>
        </w:tc>
      </w:tr>
    </w:tbl>
    <w:p>
      <w:pPr>
        <w:spacing w:line="240" w:lineRule="auto" w:before="1"/>
        <w:rPr>
          <w:rFonts w:ascii="宋体" w:hAnsi="宋体" w:cs="宋体" w:eastAsia="宋体" w:hint="default"/>
          <w:b/>
          <w:bCs/>
          <w:sz w:val="18"/>
          <w:szCs w:val="18"/>
        </w:rPr>
      </w:pPr>
    </w:p>
    <w:p>
      <w:pPr>
        <w:pStyle w:val="Heading2"/>
        <w:spacing w:line="240" w:lineRule="auto" w:before="26"/>
        <w:ind w:right="1115"/>
        <w:jc w:val="left"/>
        <w:rPr>
          <w:b w:val="0"/>
          <w:bCs w:val="0"/>
        </w:rPr>
      </w:pPr>
      <w:bookmarkStart w:name="二、公司董事、监事、高级管理人员变动情况" w:id="132"/>
      <w:bookmarkEnd w:id="132"/>
      <w:r>
        <w:rPr>
          <w:b w:val="0"/>
          <w:bCs w:val="0"/>
        </w:rPr>
      </w: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19"/>
        <w:gridCol w:w="1133"/>
        <w:gridCol w:w="1136"/>
        <w:gridCol w:w="1702"/>
        <w:gridCol w:w="4779"/>
      </w:tblGrid>
      <w:tr>
        <w:trPr>
          <w:trHeight w:val="404" w:hRule="exact"/>
        </w:trPr>
        <w:tc>
          <w:tcPr>
            <w:tcW w:w="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6"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类型</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1"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欧阳曜</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董事欧阳曜先生的任期于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日届满。</w:t>
            </w:r>
          </w:p>
        </w:tc>
      </w:tr>
      <w:tr>
        <w:trPr>
          <w:trHeight w:val="403"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曾超</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监事曾超先生的任期于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日届满。</w:t>
            </w:r>
          </w:p>
        </w:tc>
      </w:tr>
      <w:tr>
        <w:trPr>
          <w:trHeight w:val="1025"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任德宝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0"/>
              <w:jc w:val="both"/>
              <w:rPr>
                <w:rFonts w:ascii="宋体" w:hAnsi="宋体" w:cs="宋体" w:eastAsia="宋体" w:hint="default"/>
                <w:sz w:val="18"/>
                <w:szCs w:val="18"/>
              </w:rPr>
            </w:pPr>
            <w:r>
              <w:rPr>
                <w:rFonts w:ascii="宋体" w:hAnsi="宋体" w:cs="宋体" w:eastAsia="宋体" w:hint="default"/>
                <w:sz w:val="18"/>
                <w:szCs w:val="18"/>
              </w:rPr>
              <w:t>为保证监事会的正常运作，根据《公司法》和《公司章程》 </w:t>
            </w:r>
            <w:r>
              <w:rPr>
                <w:rFonts w:ascii="宋体" w:hAnsi="宋体" w:cs="宋体" w:eastAsia="宋体" w:hint="default"/>
                <w:spacing w:val="-3"/>
                <w:sz w:val="18"/>
                <w:szCs w:val="18"/>
              </w:rPr>
              <w:t>的有关规定，经公司</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年第一次职工代表大会选举，任德 宝先生成为公司第七届监事会职工代表监事。</w:t>
            </w:r>
          </w:p>
        </w:tc>
      </w:tr>
    </w:tbl>
    <w:p>
      <w:pPr>
        <w:spacing w:line="240" w:lineRule="auto" w:before="1"/>
        <w:rPr>
          <w:rFonts w:ascii="宋体" w:hAnsi="宋体" w:cs="宋体" w:eastAsia="宋体" w:hint="default"/>
          <w:sz w:val="18"/>
          <w:szCs w:val="18"/>
        </w:rPr>
      </w:pPr>
    </w:p>
    <w:p>
      <w:pPr>
        <w:pStyle w:val="Heading2"/>
        <w:spacing w:line="240" w:lineRule="auto" w:before="26"/>
        <w:ind w:right="1115"/>
        <w:jc w:val="left"/>
        <w:rPr>
          <w:b w:val="0"/>
          <w:bCs w:val="0"/>
        </w:rPr>
      </w:pPr>
      <w:bookmarkStart w:name="三、任职情况" w:id="133"/>
      <w:bookmarkEnd w:id="133"/>
      <w:r>
        <w:rPr>
          <w:b w:val="0"/>
          <w:bCs w:val="0"/>
        </w:rPr>
      </w: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15"/>
        <w:jc w:val="left"/>
      </w:pPr>
      <w:r>
        <w:rPr/>
        <w:t>公司现任董事、监事、高级管理人员专业背景、主要工作经历以及目前在公司的主要职责</w:t>
      </w:r>
    </w:p>
    <w:p>
      <w:pPr>
        <w:pStyle w:val="Heading4"/>
        <w:spacing w:line="240" w:lineRule="auto" w:before="117"/>
        <w:ind w:right="1115"/>
        <w:jc w:val="left"/>
        <w:rPr>
          <w:b w:val="0"/>
          <w:bCs w:val="0"/>
        </w:rPr>
      </w:pPr>
      <w:r>
        <w:rPr/>
        <w:t>（一）董事会成员</w:t>
      </w:r>
      <w:r>
        <w:rPr>
          <w:b w:val="0"/>
          <w:bCs w:val="0"/>
        </w:rPr>
      </w:r>
    </w:p>
    <w:p>
      <w:pPr>
        <w:pStyle w:val="BodyText"/>
        <w:spacing w:line="312" w:lineRule="auto" w:before="77"/>
        <w:ind w:right="1129" w:firstLine="360"/>
        <w:jc w:val="both"/>
      </w:pPr>
      <w:r>
        <w:rPr>
          <w:rFonts w:ascii="Times New Roman" w:hAnsi="Times New Roman" w:cs="Times New Roman" w:eastAsia="Times New Roman" w:hint="default"/>
          <w:spacing w:val="-2"/>
        </w:rPr>
        <w:t>1</w:t>
      </w:r>
      <w:r>
        <w:rPr>
          <w:spacing w:val="-2"/>
        </w:rPr>
        <w:t>、赵福君先生，</w:t>
      </w:r>
      <w:r>
        <w:rPr>
          <w:rFonts w:ascii="Times New Roman" w:hAnsi="Times New Roman" w:cs="Times New Roman" w:eastAsia="Times New Roman" w:hint="default"/>
          <w:spacing w:val="-2"/>
        </w:rPr>
        <w:t>1964</w:t>
      </w:r>
      <w:r>
        <w:rPr>
          <w:spacing w:val="-2"/>
        </w:rPr>
        <w:t>年</w:t>
      </w:r>
      <w:r>
        <w:rPr>
          <w:rFonts w:ascii="Times New Roman" w:hAnsi="Times New Roman" w:cs="Times New Roman" w:eastAsia="Times New Roman" w:hint="default"/>
          <w:spacing w:val="-2"/>
        </w:rPr>
        <w:t>8</w:t>
      </w:r>
      <w:r>
        <w:rPr>
          <w:spacing w:val="-2"/>
        </w:rPr>
        <w:t>月出生，研究生学历。</w:t>
      </w:r>
      <w:r>
        <w:rPr>
          <w:rFonts w:ascii="Times New Roman" w:hAnsi="Times New Roman" w:cs="Times New Roman" w:eastAsia="Times New Roman" w:hint="default"/>
          <w:spacing w:val="-2"/>
        </w:rPr>
        <w:t>1999</w:t>
      </w:r>
      <w:r>
        <w:rPr>
          <w:spacing w:val="-2"/>
        </w:rPr>
        <w:t>年创立久其软件，现任公司董事长，并兼任久金所董事长，成都久</w:t>
      </w:r>
      <w:r>
        <w:rPr/>
        <w:t> </w:t>
      </w:r>
      <w:r>
        <w:rPr>
          <w:spacing w:val="-2"/>
        </w:rPr>
        <w:t>其、重庆久其、海南久其研究院、海南久其、上海久其、西安久其、新疆久其执行董事，久其政务董事，北京紫金山居文化</w:t>
      </w:r>
      <w:r>
        <w:rPr>
          <w:spacing w:val="-65"/>
        </w:rPr>
        <w:t> </w:t>
      </w:r>
      <w:r>
        <w:rPr>
          <w:spacing w:val="-65"/>
        </w:rPr>
      </w:r>
      <w:r>
        <w:rPr>
          <w:spacing w:val="-2"/>
        </w:rPr>
        <w:t>有限公司、北京启顺通达科技有限公司、上海移通网络有限公司、上海恒瑞网络信息有限公司监事，中国软件行业协会理事</w:t>
      </w:r>
      <w:r>
        <w:rPr>
          <w:spacing w:val="-65"/>
        </w:rPr>
        <w:t> </w:t>
      </w:r>
      <w:r>
        <w:rPr>
          <w:spacing w:val="-65"/>
        </w:rPr>
      </w:r>
      <w:r>
        <w:rPr/>
        <w:t>会理事，中国信息产业商会互联网众创分会副理事长。</w:t>
      </w:r>
    </w:p>
    <w:p>
      <w:pPr>
        <w:pStyle w:val="BodyText"/>
        <w:spacing w:line="309" w:lineRule="auto" w:before="22"/>
        <w:ind w:right="1130" w:firstLine="360"/>
        <w:jc w:val="both"/>
      </w:pPr>
      <w:r>
        <w:rPr>
          <w:rFonts w:ascii="Times New Roman" w:hAnsi="Times New Roman" w:cs="Times New Roman" w:eastAsia="Times New Roman" w:hint="default"/>
          <w:spacing w:val="-2"/>
        </w:rPr>
        <w:t>2</w:t>
      </w:r>
      <w:r>
        <w:rPr>
          <w:spacing w:val="-2"/>
        </w:rPr>
        <w:t>、栗军先生，</w:t>
      </w:r>
      <w:r>
        <w:rPr>
          <w:rFonts w:ascii="Times New Roman" w:hAnsi="Times New Roman" w:cs="Times New Roman" w:eastAsia="Times New Roman" w:hint="default"/>
          <w:spacing w:val="-2"/>
        </w:rPr>
        <w:t>1969</w:t>
      </w:r>
      <w:r>
        <w:rPr>
          <w:spacing w:val="-2"/>
        </w:rPr>
        <w:t>年</w:t>
      </w:r>
      <w:r>
        <w:rPr>
          <w:rFonts w:ascii="Times New Roman" w:hAnsi="Times New Roman" w:cs="Times New Roman" w:eastAsia="Times New Roman" w:hint="default"/>
          <w:spacing w:val="-2"/>
        </w:rPr>
        <w:t>4</w:t>
      </w:r>
      <w:r>
        <w:rPr>
          <w:spacing w:val="-2"/>
        </w:rPr>
        <w:t>月出生，硕士学位。现任公司副董事长，并兼任华夏电通董事长，北京华夏电通信息技术有限公</w:t>
      </w:r>
      <w:r>
        <w:rPr/>
        <w:t> </w:t>
      </w:r>
      <w:r>
        <w:rPr>
          <w:spacing w:val="-2"/>
        </w:rPr>
        <w:t>司、亿起联科技、上海亿起联科技有限公司、点入传媒科技（天津）有限公司执行董事，久其数字、瑞意恒动、中交信通网</w:t>
      </w:r>
      <w:r>
        <w:rPr>
          <w:spacing w:val="-65"/>
        </w:rPr>
        <w:t> </w:t>
      </w:r>
      <w:r>
        <w:rPr>
          <w:spacing w:val="-65"/>
        </w:rPr>
      </w:r>
      <w:r>
        <w:rPr/>
        <w:t>络科技有限公司董事。</w:t>
      </w:r>
    </w:p>
    <w:p>
      <w:pPr>
        <w:pStyle w:val="BodyText"/>
        <w:spacing w:line="300" w:lineRule="auto" w:before="24"/>
        <w:ind w:right="1129" w:firstLine="360"/>
        <w:jc w:val="both"/>
      </w:pPr>
      <w:r>
        <w:rPr>
          <w:rFonts w:ascii="Times New Roman" w:hAnsi="Times New Roman" w:cs="Times New Roman" w:eastAsia="Times New Roman" w:hint="default"/>
          <w:spacing w:val="-2"/>
        </w:rPr>
        <w:t>3</w:t>
      </w:r>
      <w:r>
        <w:rPr>
          <w:spacing w:val="-2"/>
        </w:rPr>
        <w:t>、施瑞丰先生，</w:t>
      </w:r>
      <w:r>
        <w:rPr>
          <w:rFonts w:ascii="Times New Roman" w:hAnsi="Times New Roman" w:cs="Times New Roman" w:eastAsia="Times New Roman" w:hint="default"/>
          <w:spacing w:val="-2"/>
        </w:rPr>
        <w:t>1972</w:t>
      </w:r>
      <w:r>
        <w:rPr>
          <w:spacing w:val="-2"/>
        </w:rPr>
        <w:t>年</w:t>
      </w:r>
      <w:r>
        <w:rPr>
          <w:rFonts w:ascii="Times New Roman" w:hAnsi="Times New Roman" w:cs="Times New Roman" w:eastAsia="Times New Roman" w:hint="default"/>
          <w:spacing w:val="-2"/>
        </w:rPr>
        <w:t>9</w:t>
      </w:r>
      <w:r>
        <w:rPr>
          <w:spacing w:val="-2"/>
        </w:rPr>
        <w:t>月出生，本科学历。</w:t>
      </w:r>
      <w:r>
        <w:rPr>
          <w:rFonts w:ascii="Times New Roman" w:hAnsi="Times New Roman" w:cs="Times New Roman" w:eastAsia="Times New Roman" w:hint="default"/>
          <w:spacing w:val="-2"/>
        </w:rPr>
        <w:t>1999</w:t>
      </w:r>
      <w:r>
        <w:rPr>
          <w:spacing w:val="-2"/>
        </w:rPr>
        <w:t>年加入公司，现任公司董事、总裁，并兼任久其金建董事长，北京中</w:t>
      </w:r>
      <w:r>
        <w:rPr/>
        <w:t> 民颐养科技服务有限公司、雄安久其数字科技有限公司执行董事，久其政务董事。</w:t>
      </w:r>
    </w:p>
    <w:p>
      <w:pPr>
        <w:pStyle w:val="BodyText"/>
        <w:spacing w:line="300" w:lineRule="auto" w:before="31"/>
        <w:ind w:right="1129" w:firstLine="360"/>
        <w:jc w:val="both"/>
      </w:pPr>
      <w:r>
        <w:rPr>
          <w:rFonts w:ascii="Times New Roman" w:hAnsi="Times New Roman" w:cs="Times New Roman" w:eastAsia="Times New Roman" w:hint="default"/>
          <w:spacing w:val="-2"/>
        </w:rPr>
        <w:t>4</w:t>
      </w:r>
      <w:r>
        <w:rPr>
          <w:spacing w:val="-2"/>
        </w:rPr>
        <w:t>、邱安超先生，</w:t>
      </w:r>
      <w:r>
        <w:rPr>
          <w:rFonts w:ascii="Times New Roman" w:hAnsi="Times New Roman" w:cs="Times New Roman" w:eastAsia="Times New Roman" w:hint="default"/>
          <w:spacing w:val="-2"/>
        </w:rPr>
        <w:t>1968</w:t>
      </w:r>
      <w:r>
        <w:rPr>
          <w:spacing w:val="-2"/>
        </w:rPr>
        <w:t>年</w:t>
      </w:r>
      <w:r>
        <w:rPr>
          <w:rFonts w:ascii="Times New Roman" w:hAnsi="Times New Roman" w:cs="Times New Roman" w:eastAsia="Times New Roman" w:hint="default"/>
          <w:spacing w:val="-2"/>
        </w:rPr>
        <w:t>9</w:t>
      </w:r>
      <w:r>
        <w:rPr>
          <w:spacing w:val="-2"/>
        </w:rPr>
        <w:t>月出生，本科学历，高级经济师，中国注册会计师非执业会员。</w:t>
      </w:r>
      <w:r>
        <w:rPr>
          <w:rFonts w:ascii="Times New Roman" w:hAnsi="Times New Roman" w:cs="Times New Roman" w:eastAsia="Times New Roman" w:hint="default"/>
          <w:spacing w:val="-2"/>
        </w:rPr>
        <w:t>2000</w:t>
      </w:r>
      <w:r>
        <w:rPr>
          <w:spacing w:val="-2"/>
        </w:rPr>
        <w:t>年加入公司，现任公司董</w:t>
      </w:r>
      <w:r>
        <w:rPr/>
        <w:t> 事、高级副总裁、财务总监，并兼任久其政务董事长、久金保执行董事。</w:t>
      </w:r>
    </w:p>
    <w:p>
      <w:pPr>
        <w:pStyle w:val="BodyText"/>
        <w:spacing w:line="309" w:lineRule="auto" w:before="32"/>
        <w:ind w:right="1131" w:firstLine="360"/>
        <w:jc w:val="both"/>
      </w:pPr>
      <w:r>
        <w:rPr>
          <w:rFonts w:ascii="Times New Roman" w:hAnsi="Times New Roman" w:cs="Times New Roman" w:eastAsia="Times New Roman" w:hint="default"/>
          <w:spacing w:val="-2"/>
        </w:rPr>
        <w:t>5</w:t>
      </w:r>
      <w:r>
        <w:rPr>
          <w:spacing w:val="-2"/>
        </w:rPr>
        <w:t>、王元京先生，</w:t>
      </w:r>
      <w:r>
        <w:rPr>
          <w:rFonts w:ascii="Times New Roman" w:hAnsi="Times New Roman" w:cs="Times New Roman" w:eastAsia="Times New Roman" w:hint="default"/>
          <w:spacing w:val="-2"/>
        </w:rPr>
        <w:t>1950</w:t>
      </w:r>
      <w:r>
        <w:rPr>
          <w:spacing w:val="-2"/>
        </w:rPr>
        <w:t>年</w:t>
      </w:r>
      <w:r>
        <w:rPr>
          <w:rFonts w:ascii="Times New Roman" w:hAnsi="Times New Roman" w:cs="Times New Roman" w:eastAsia="Times New Roman" w:hint="default"/>
          <w:spacing w:val="-2"/>
        </w:rPr>
        <w:t>1</w:t>
      </w:r>
      <w:r>
        <w:rPr>
          <w:spacing w:val="-2"/>
        </w:rPr>
        <w:t>月出生，本科学历，高级工程师。现任公司独立董事。曾任北京市政府办公厅办公自动化室主</w:t>
      </w:r>
      <w:r>
        <w:rPr/>
        <w:t> </w:t>
      </w:r>
      <w:r>
        <w:rPr>
          <w:spacing w:val="-2"/>
        </w:rPr>
        <w:t>任，北京市政府信息中心主任，北京市信息技术与办公决策发展研究所所长，北京市无线电管理局副局长，北京无线电协会</w:t>
      </w:r>
      <w:r>
        <w:rPr>
          <w:spacing w:val="-65"/>
        </w:rPr>
        <w:t> </w:t>
      </w:r>
      <w:r>
        <w:rPr>
          <w:spacing w:val="-65"/>
        </w:rPr>
      </w:r>
      <w:r>
        <w:rPr/>
        <w:t>会长，华夏电通独立董事。</w:t>
      </w:r>
    </w:p>
    <w:p>
      <w:pPr>
        <w:pStyle w:val="BodyText"/>
        <w:spacing w:line="309" w:lineRule="auto" w:before="24"/>
        <w:ind w:right="1131" w:firstLine="360"/>
        <w:jc w:val="both"/>
      </w:pPr>
      <w:r>
        <w:rPr>
          <w:rFonts w:ascii="Times New Roman" w:hAnsi="Times New Roman" w:cs="Times New Roman" w:eastAsia="Times New Roman" w:hint="default"/>
          <w:spacing w:val="-2"/>
        </w:rPr>
        <w:t>6</w:t>
      </w:r>
      <w:r>
        <w:rPr>
          <w:spacing w:val="-2"/>
        </w:rPr>
        <w:t>、戴金平女士，</w:t>
      </w:r>
      <w:r>
        <w:rPr>
          <w:rFonts w:ascii="Times New Roman" w:hAnsi="Times New Roman" w:cs="Times New Roman" w:eastAsia="Times New Roman" w:hint="default"/>
          <w:spacing w:val="-2"/>
        </w:rPr>
        <w:t>1965</w:t>
      </w:r>
      <w:r>
        <w:rPr>
          <w:spacing w:val="-2"/>
        </w:rPr>
        <w:t>年</w:t>
      </w:r>
      <w:r>
        <w:rPr>
          <w:rFonts w:ascii="Times New Roman" w:hAnsi="Times New Roman" w:cs="Times New Roman" w:eastAsia="Times New Roman" w:hint="default"/>
          <w:spacing w:val="-2"/>
        </w:rPr>
        <w:t>1</w:t>
      </w:r>
      <w:r>
        <w:rPr>
          <w:spacing w:val="-2"/>
        </w:rPr>
        <w:t>月出生，研究生学历，博士生导师、教授。曾任南开大学国际经济研究所所长、金融工程学院</w:t>
      </w:r>
      <w:r>
        <w:rPr/>
        <w:t> </w:t>
      </w:r>
      <w:r>
        <w:rPr>
          <w:spacing w:val="-2"/>
        </w:rPr>
        <w:t>副院长、金融发展研究院副院长。现任南开大学国家经济研究院副院长、跨国公司研究中心副主任，并兼任北方国际信托股</w:t>
      </w:r>
      <w:r>
        <w:rPr>
          <w:spacing w:val="-65"/>
        </w:rPr>
        <w:t> </w:t>
      </w:r>
      <w:r>
        <w:rPr>
          <w:spacing w:val="-65"/>
        </w:rPr>
      </w:r>
      <w:r>
        <w:rPr/>
        <w:t>份有限公司、天津国有资本投资运营有限公司、天津滨海农村商业银行、平安证券股份有限公司和公司独立董事。</w:t>
      </w:r>
    </w:p>
    <w:p>
      <w:pPr>
        <w:pStyle w:val="BodyText"/>
        <w:spacing w:line="309" w:lineRule="auto" w:before="24"/>
        <w:ind w:right="1129" w:firstLine="360"/>
        <w:jc w:val="both"/>
      </w:pPr>
      <w:r>
        <w:rPr>
          <w:rFonts w:ascii="Times New Roman" w:hAnsi="Times New Roman" w:cs="Times New Roman" w:eastAsia="Times New Roman" w:hint="default"/>
        </w:rPr>
        <w:t>7</w:t>
      </w:r>
      <w:r>
        <w:rPr/>
        <w:t>、李岳军先生，</w:t>
      </w:r>
      <w:r>
        <w:rPr>
          <w:rFonts w:ascii="Times New Roman" w:hAnsi="Times New Roman" w:cs="Times New Roman" w:eastAsia="Times New Roman" w:hint="default"/>
        </w:rPr>
        <w:t>1966</w:t>
      </w:r>
      <w:r>
        <w:rPr/>
        <w:t>年出生，本科学历，中国注册会计师、注册资产评估师。曾任岳华会计师事务所总经理，中瑞岳 </w:t>
      </w:r>
      <w:r>
        <w:rPr>
          <w:spacing w:val="-5"/>
        </w:rPr>
        <w:t>华会计师事务所有限公司副董事长，中节能太阳能科技股份有限公司独立董事。现任中审众环会计师事务所（特殊普通合伙）</w:t>
      </w:r>
      <w:r>
        <w:rPr>
          <w:spacing w:val="-75"/>
        </w:rPr>
        <w:t> </w:t>
      </w:r>
      <w:r>
        <w:rPr>
          <w:spacing w:val="-75"/>
        </w:rPr>
      </w:r>
      <w:r>
        <w:rPr>
          <w:spacing w:val="-2"/>
        </w:rPr>
        <w:t>合伙人，并兼任丽日方中（北京）投资管理有限公司监事，北京岳华中天房地产评估有限公司、岳华会计师事务所有限责任</w:t>
      </w:r>
    </w:p>
    <w:p>
      <w:pPr>
        <w:spacing w:after="0" w:line="309" w:lineRule="auto"/>
        <w:jc w:val="both"/>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4"/>
        <w:ind w:right="1115"/>
        <w:jc w:val="left"/>
      </w:pPr>
      <w:r>
        <w:rPr>
          <w:spacing w:val="-2"/>
        </w:rPr>
        <w:t>公司、众环（北京）管理股份有限公司董事，唐山港集团股份有限公司、沈阳惠天热电股份有限公司、北京煜邦电力技术股</w:t>
      </w:r>
      <w:r>
        <w:rPr>
          <w:spacing w:val="-70"/>
        </w:rPr>
        <w:t> </w:t>
      </w:r>
      <w:r>
        <w:rPr>
          <w:spacing w:val="-70"/>
        </w:rPr>
      </w:r>
      <w:r>
        <w:rPr/>
        <w:t>份有限公司和公司独立董事。</w:t>
      </w:r>
    </w:p>
    <w:p>
      <w:pPr>
        <w:spacing w:line="240" w:lineRule="auto" w:before="2"/>
        <w:rPr>
          <w:rFonts w:ascii="宋体" w:hAnsi="宋体" w:cs="宋体" w:eastAsia="宋体" w:hint="default"/>
          <w:sz w:val="25"/>
          <w:szCs w:val="25"/>
        </w:rPr>
      </w:pPr>
    </w:p>
    <w:p>
      <w:pPr>
        <w:pStyle w:val="Heading4"/>
        <w:spacing w:line="240" w:lineRule="auto"/>
        <w:ind w:right="1115"/>
        <w:jc w:val="left"/>
        <w:rPr>
          <w:b w:val="0"/>
          <w:bCs w:val="0"/>
        </w:rPr>
      </w:pPr>
      <w:r>
        <w:rPr/>
        <w:t>（二）监事会成员</w:t>
      </w:r>
      <w:r>
        <w:rPr>
          <w:b w:val="0"/>
          <w:bCs w:val="0"/>
        </w:rPr>
      </w:r>
    </w:p>
    <w:p>
      <w:pPr>
        <w:pStyle w:val="BodyText"/>
        <w:spacing w:line="240" w:lineRule="auto" w:before="76"/>
        <w:ind w:left="513" w:right="1115"/>
        <w:jc w:val="left"/>
      </w:pPr>
      <w:r>
        <w:rPr>
          <w:rFonts w:ascii="Times New Roman" w:hAnsi="Times New Roman" w:cs="Times New Roman" w:eastAsia="Times New Roman" w:hint="default"/>
        </w:rPr>
        <w:t>1</w:t>
      </w:r>
      <w:r>
        <w:rPr/>
        <w:t>、王劲岩女士，</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4</w:t>
      </w:r>
      <w:r>
        <w:rPr/>
        <w:t>月出生，本科学历。</w:t>
      </w:r>
      <w:r>
        <w:rPr>
          <w:rFonts w:ascii="Times New Roman" w:hAnsi="Times New Roman" w:cs="Times New Roman" w:eastAsia="Times New Roman" w:hint="default"/>
        </w:rPr>
        <w:t>1999</w:t>
      </w:r>
      <w:r>
        <w:rPr/>
        <w:t>年加入公司，现任公司监事会主席、工会主席。</w:t>
      </w:r>
    </w:p>
    <w:p>
      <w:pPr>
        <w:pStyle w:val="BodyText"/>
        <w:spacing w:line="240" w:lineRule="auto" w:before="63"/>
        <w:ind w:left="513" w:right="1115"/>
        <w:jc w:val="left"/>
      </w:pPr>
      <w:r>
        <w:rPr>
          <w:rFonts w:ascii="Times New Roman" w:hAnsi="Times New Roman" w:cs="Times New Roman" w:eastAsia="Times New Roman" w:hint="default"/>
        </w:rPr>
        <w:t>2</w:t>
      </w:r>
      <w:r>
        <w:rPr/>
        <w:t>、蒋硕先生，</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1</w:t>
      </w:r>
      <w:r>
        <w:rPr/>
        <w:t>月出生，大专学历。</w:t>
      </w:r>
      <w:r>
        <w:rPr>
          <w:rFonts w:ascii="Times New Roman" w:hAnsi="Times New Roman" w:cs="Times New Roman" w:eastAsia="Times New Roman" w:hint="default"/>
        </w:rPr>
        <w:t>1999</w:t>
      </w:r>
      <w:r>
        <w:rPr/>
        <w:t>年加入公司，现任公司监事，就职于通信高科技事业部。</w:t>
      </w:r>
    </w:p>
    <w:p>
      <w:pPr>
        <w:pStyle w:val="BodyText"/>
        <w:spacing w:line="240" w:lineRule="auto" w:before="63"/>
        <w:ind w:left="513" w:right="1115"/>
        <w:jc w:val="left"/>
      </w:pPr>
      <w:r>
        <w:rPr>
          <w:rFonts w:ascii="Times New Roman" w:hAnsi="Times New Roman" w:cs="Times New Roman" w:eastAsia="Times New Roman" w:hint="default"/>
        </w:rPr>
        <w:t>3</w:t>
      </w:r>
      <w:r>
        <w:rPr/>
        <w:t>、任德宝先生，男，</w:t>
      </w:r>
      <w:r>
        <w:rPr>
          <w:rFonts w:ascii="Times New Roman" w:hAnsi="Times New Roman" w:cs="Times New Roman" w:eastAsia="Times New Roman" w:hint="default"/>
        </w:rPr>
        <w:t>1976</w:t>
      </w:r>
      <w:r>
        <w:rPr/>
        <w:t>年</w:t>
      </w:r>
      <w:r>
        <w:rPr>
          <w:rFonts w:ascii="Times New Roman" w:hAnsi="Times New Roman" w:cs="Times New Roman" w:eastAsia="Times New Roman" w:hint="default"/>
        </w:rPr>
        <w:t>7</w:t>
      </w:r>
      <w:r>
        <w:rPr/>
        <w:t>月出生，本科学历。</w:t>
      </w:r>
      <w:r>
        <w:rPr>
          <w:rFonts w:ascii="Times New Roman" w:hAnsi="Times New Roman" w:cs="Times New Roman" w:eastAsia="Times New Roman" w:hint="default"/>
        </w:rPr>
        <w:t>2002</w:t>
      </w:r>
      <w:r>
        <w:rPr/>
        <w:t>年加入公司，现任公司监事，品牌推广部经理。</w:t>
      </w:r>
    </w:p>
    <w:p>
      <w:pPr>
        <w:spacing w:line="240" w:lineRule="auto" w:before="0"/>
        <w:rPr>
          <w:rFonts w:ascii="宋体" w:hAnsi="宋体" w:cs="宋体" w:eastAsia="宋体" w:hint="default"/>
          <w:sz w:val="18"/>
          <w:szCs w:val="18"/>
        </w:rPr>
      </w:pPr>
    </w:p>
    <w:p>
      <w:pPr>
        <w:pStyle w:val="Heading4"/>
        <w:spacing w:line="240" w:lineRule="auto" w:before="139"/>
        <w:ind w:right="1115"/>
        <w:jc w:val="left"/>
        <w:rPr>
          <w:b w:val="0"/>
          <w:bCs w:val="0"/>
        </w:rPr>
      </w:pPr>
      <w:r>
        <w:rPr/>
        <w:t>（三）高级管理人员</w:t>
      </w:r>
      <w:r>
        <w:rPr>
          <w:b w:val="0"/>
          <w:bCs w:val="0"/>
        </w:rPr>
      </w:r>
    </w:p>
    <w:p>
      <w:pPr>
        <w:pStyle w:val="BodyText"/>
        <w:spacing w:line="240" w:lineRule="auto" w:before="76"/>
        <w:ind w:left="513" w:right="1115"/>
        <w:jc w:val="left"/>
      </w:pPr>
      <w:r>
        <w:rPr>
          <w:rFonts w:ascii="Times New Roman" w:hAnsi="Times New Roman" w:cs="Times New Roman" w:eastAsia="Times New Roman" w:hint="default"/>
        </w:rPr>
        <w:t>1</w:t>
      </w:r>
      <w:r>
        <w:rPr/>
        <w:t>、施瑞丰先生简历见董事会成员简历。</w:t>
      </w:r>
    </w:p>
    <w:p>
      <w:pPr>
        <w:pStyle w:val="BodyText"/>
        <w:spacing w:line="240" w:lineRule="auto" w:before="63"/>
        <w:ind w:left="513" w:right="1115"/>
        <w:jc w:val="left"/>
      </w:pPr>
      <w:r>
        <w:rPr>
          <w:rFonts w:ascii="Times New Roman" w:hAnsi="Times New Roman" w:cs="Times New Roman" w:eastAsia="Times New Roman" w:hint="default"/>
        </w:rPr>
        <w:t>2</w:t>
      </w:r>
      <w:r>
        <w:rPr/>
        <w:t>、邱安超先生简历见董事会成员简历。</w:t>
      </w:r>
    </w:p>
    <w:p>
      <w:pPr>
        <w:pStyle w:val="BodyText"/>
        <w:spacing w:line="300" w:lineRule="auto" w:before="63"/>
        <w:ind w:right="1115" w:firstLine="360"/>
        <w:jc w:val="left"/>
      </w:pPr>
      <w:r>
        <w:rPr>
          <w:rFonts w:ascii="Times New Roman" w:hAnsi="Times New Roman" w:cs="Times New Roman" w:eastAsia="Times New Roman" w:hint="default"/>
          <w:spacing w:val="-2"/>
        </w:rPr>
        <w:t>3</w:t>
      </w:r>
      <w:r>
        <w:rPr>
          <w:spacing w:val="-2"/>
        </w:rPr>
        <w:t>、刘文圣先生，</w:t>
      </w:r>
      <w:r>
        <w:rPr>
          <w:rFonts w:ascii="Times New Roman" w:hAnsi="Times New Roman" w:cs="Times New Roman" w:eastAsia="Times New Roman" w:hint="default"/>
          <w:spacing w:val="-2"/>
        </w:rPr>
        <w:t>1974</w:t>
      </w:r>
      <w:r>
        <w:rPr>
          <w:spacing w:val="-2"/>
        </w:rPr>
        <w:t>年</w:t>
      </w:r>
      <w:r>
        <w:rPr>
          <w:rFonts w:ascii="Times New Roman" w:hAnsi="Times New Roman" w:cs="Times New Roman" w:eastAsia="Times New Roman" w:hint="default"/>
          <w:spacing w:val="-2"/>
        </w:rPr>
        <w:t>4</w:t>
      </w:r>
      <w:r>
        <w:rPr>
          <w:spacing w:val="-2"/>
        </w:rPr>
        <w:t>月出生，研究生学历。</w:t>
      </w:r>
      <w:r>
        <w:rPr>
          <w:rFonts w:ascii="Times New Roman" w:hAnsi="Times New Roman" w:cs="Times New Roman" w:eastAsia="Times New Roman" w:hint="default"/>
          <w:spacing w:val="-2"/>
        </w:rPr>
        <w:t>2002</w:t>
      </w:r>
      <w:r>
        <w:rPr>
          <w:spacing w:val="-2"/>
        </w:rPr>
        <w:t>年加入公司，现任久其软件高级副总裁、久其研究院执行院长及产</w:t>
      </w:r>
      <w:r>
        <w:rPr/>
        <w:t> 品中心总经理，并兼任久其智通、瑞意恒动董事。</w:t>
      </w:r>
    </w:p>
    <w:p>
      <w:pPr>
        <w:pStyle w:val="BodyText"/>
        <w:spacing w:line="240" w:lineRule="auto" w:before="31"/>
        <w:ind w:left="513" w:right="0"/>
        <w:jc w:val="left"/>
      </w:pPr>
      <w:r>
        <w:rPr>
          <w:rFonts w:ascii="Times New Roman" w:hAnsi="Times New Roman" w:cs="Times New Roman" w:eastAsia="Times New Roman" w:hint="default"/>
        </w:rPr>
        <w:t>4</w:t>
      </w:r>
      <w:r>
        <w:rPr/>
        <w:t>、朱晓钧先生，</w:t>
      </w:r>
      <w:r>
        <w:rPr>
          <w:rFonts w:ascii="Times New Roman" w:hAnsi="Times New Roman" w:cs="Times New Roman" w:eastAsia="Times New Roman" w:hint="default"/>
        </w:rPr>
        <w:t>1976</w:t>
      </w:r>
      <w:r>
        <w:rPr/>
        <w:t>年</w:t>
      </w:r>
      <w:r>
        <w:rPr>
          <w:rFonts w:ascii="Times New Roman" w:hAnsi="Times New Roman" w:cs="Times New Roman" w:eastAsia="Times New Roman" w:hint="default"/>
        </w:rPr>
        <w:t>3</w:t>
      </w:r>
      <w:r>
        <w:rPr/>
        <w:t>月出生，本科学历。</w:t>
      </w:r>
      <w:r>
        <w:rPr>
          <w:rFonts w:ascii="Times New Roman" w:hAnsi="Times New Roman" w:cs="Times New Roman" w:eastAsia="Times New Roman" w:hint="default"/>
        </w:rPr>
        <w:t>1999</w:t>
      </w:r>
      <w:r>
        <w:rPr/>
        <w:t>年加入公司，现任久其软件高级副总裁、通信高科技事业部总经理。</w:t>
      </w:r>
    </w:p>
    <w:p>
      <w:pPr>
        <w:pStyle w:val="BodyText"/>
        <w:spacing w:line="300" w:lineRule="auto" w:before="63"/>
        <w:ind w:right="1115" w:firstLine="360"/>
        <w:jc w:val="left"/>
      </w:pPr>
      <w:r>
        <w:rPr>
          <w:rFonts w:ascii="Times New Roman" w:hAnsi="Times New Roman" w:cs="Times New Roman" w:eastAsia="Times New Roman" w:hint="default"/>
          <w:spacing w:val="-2"/>
        </w:rPr>
        <w:t>5</w:t>
      </w:r>
      <w:r>
        <w:rPr>
          <w:spacing w:val="-2"/>
        </w:rPr>
        <w:t>、王海霞女士，</w:t>
      </w:r>
      <w:r>
        <w:rPr>
          <w:rFonts w:ascii="Times New Roman" w:hAnsi="Times New Roman" w:cs="Times New Roman" w:eastAsia="Times New Roman" w:hint="default"/>
          <w:spacing w:val="-2"/>
        </w:rPr>
        <w:t>1977</w:t>
      </w:r>
      <w:r>
        <w:rPr>
          <w:spacing w:val="-2"/>
        </w:rPr>
        <w:t>年</w:t>
      </w:r>
      <w:r>
        <w:rPr>
          <w:rFonts w:ascii="Times New Roman" w:hAnsi="Times New Roman" w:cs="Times New Roman" w:eastAsia="Times New Roman" w:hint="default"/>
          <w:spacing w:val="-2"/>
        </w:rPr>
        <w:t>4</w:t>
      </w:r>
      <w:r>
        <w:rPr>
          <w:spacing w:val="-2"/>
        </w:rPr>
        <w:t>月出生，本科学历。</w:t>
      </w:r>
      <w:r>
        <w:rPr>
          <w:rFonts w:ascii="Times New Roman" w:hAnsi="Times New Roman" w:cs="Times New Roman" w:eastAsia="Times New Roman" w:hint="default"/>
          <w:spacing w:val="-2"/>
        </w:rPr>
        <w:t>2001</w:t>
      </w:r>
      <w:r>
        <w:rPr>
          <w:spacing w:val="-2"/>
        </w:rPr>
        <w:t>年加入公司，现任久其软件高级副总裁、董事会秘书，并兼任久其数</w:t>
      </w:r>
      <w:r>
        <w:rPr/>
        <w:t> 字董事，海南久其、久金保、新疆久其监事。</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240" w:lineRule="auto"/>
        <w:ind w:right="1115"/>
        <w:jc w:val="left"/>
      </w:pPr>
      <w:r>
        <w:rPr/>
        <w:t>在股东单位任职情况</w:t>
      </w:r>
    </w:p>
    <w:p>
      <w:pPr>
        <w:pStyle w:val="BodyText"/>
        <w:spacing w:line="340" w:lineRule="auto" w:before="117"/>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在其他单位任职情况</w:t>
      </w:r>
    </w:p>
    <w:p>
      <w:pPr>
        <w:pStyle w:val="BodyText"/>
        <w:spacing w:line="240" w:lineRule="auto" w:before="39"/>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34"/>
        <w:gridCol w:w="2703"/>
        <w:gridCol w:w="1277"/>
        <w:gridCol w:w="1618"/>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06"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3" w:hanging="180"/>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栗军</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中交信通网络科技有限公司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戴金平</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北方国际信托股份有限公司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戴金平</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平安证券股份有限公司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戴金平</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天津国有资本投资运营有限公司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戴金平</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天津滨海农村商业银行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李岳军</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沈阳惠天热电股份有限公司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李岳军</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北京煜邦电力技术股份有限公司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李岳军</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唐山港集团股份有限公司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1115"/>
        <w:jc w:val="left"/>
      </w:pPr>
      <w:r>
        <w:rPr/>
        <w:t>公司现任及报告期内离任董事、监事和高级管理人员近三年证券监管机构处罚的情况</w:t>
      </w:r>
    </w:p>
    <w:p>
      <w:pPr>
        <w:pStyle w:val="BodyText"/>
        <w:spacing w:line="240" w:lineRule="auto" w:before="115"/>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15"/>
        <w:jc w:val="left"/>
        <w:rPr>
          <w:b w:val="0"/>
          <w:bCs w:val="0"/>
        </w:rPr>
      </w:pPr>
      <w:bookmarkStart w:name="四、董事、监事、高级管理人员报酬情况" w:id="134"/>
      <w:bookmarkEnd w:id="134"/>
      <w:r>
        <w:rPr>
          <w:b w:val="0"/>
          <w:bCs w:val="0"/>
        </w:rPr>
      </w:r>
      <w:r>
        <w:rPr/>
        <w:t>四、董事、监事、高级管理人员报酬情况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董事、监事、高级管理人员报酬的决策程序、确定依据、实际支付情况</w:t>
      </w:r>
    </w:p>
    <w:p>
      <w:pPr>
        <w:pStyle w:val="BodyText"/>
        <w:spacing w:line="300" w:lineRule="auto" w:before="117"/>
        <w:ind w:right="1124" w:firstLine="360"/>
        <w:jc w:val="left"/>
      </w:pPr>
      <w:r>
        <w:rPr>
          <w:rFonts w:ascii="Times New Roman" w:hAnsi="Times New Roman" w:cs="Times New Roman" w:eastAsia="Times New Roman" w:hint="default"/>
        </w:rPr>
        <w:t>1</w:t>
      </w:r>
      <w:r>
        <w:rPr/>
        <w:t>、根据公司《董事、监事和高级管理人员薪酬管理制度》的规定，在公司担任具体工作职务的非独立董事、监事和高 级管理人员，按其所任职务和岗位级别的标准领取薪酬。未在公司内部任职的非独立董事、监事，公司不另行发放薪酬。</w:t>
      </w:r>
    </w:p>
    <w:p>
      <w:pPr>
        <w:pStyle w:val="BodyText"/>
        <w:spacing w:line="240" w:lineRule="auto" w:before="31"/>
        <w:ind w:left="513" w:right="1115"/>
        <w:jc w:val="left"/>
      </w:pPr>
      <w:r>
        <w:rPr>
          <w:rFonts w:ascii="Times New Roman" w:hAnsi="Times New Roman" w:cs="Times New Roman" w:eastAsia="Times New Roman" w:hint="default"/>
        </w:rPr>
        <w:t>2</w:t>
      </w:r>
      <w:r>
        <w:rPr/>
        <w:t>、公司独立董事按照由股东大会审议通过的《独立董事津贴办法》领取津贴。</w:t>
      </w:r>
    </w:p>
    <w:p>
      <w:pPr>
        <w:pStyle w:val="BodyText"/>
        <w:spacing w:line="240" w:lineRule="auto" w:before="63"/>
        <w:ind w:left="513" w:right="0"/>
        <w:jc w:val="left"/>
      </w:pPr>
      <w:r>
        <w:rPr>
          <w:rFonts w:ascii="Times New Roman" w:hAnsi="Times New Roman" w:cs="Times New Roman" w:eastAsia="Times New Roman" w:hint="default"/>
        </w:rPr>
        <w:t>3</w:t>
      </w:r>
      <w:r>
        <w:rPr/>
        <w:t>、在公司内部任职的非独立董事、监事和高级管理人员的薪酬总额由基本薪酬和绩效薪酬两部分构成；其中，基本薪</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4"/>
        <w:ind w:right="1115"/>
        <w:jc w:val="left"/>
      </w:pPr>
      <w:r>
        <w:rPr>
          <w:spacing w:val="-2"/>
        </w:rPr>
        <w:t>酬按照公司人力资源相关制度，依个人工作职务、岗位级别标准确定；绩效薪酬在每个会计年度结束之后，根据公司的绩效</w:t>
      </w:r>
      <w:r>
        <w:rPr>
          <w:spacing w:val="-64"/>
        </w:rPr>
        <w:t> </w:t>
      </w:r>
      <w:r>
        <w:rPr>
          <w:spacing w:val="-64"/>
        </w:rPr>
      </w:r>
      <w:r>
        <w:rPr/>
        <w:t>评价标准，及其个人绩效完成情况，依考核结果按年发放。</w:t>
      </w:r>
    </w:p>
    <w:p>
      <w:pPr>
        <w:pStyle w:val="BodyText"/>
        <w:spacing w:line="240" w:lineRule="auto" w:before="58"/>
        <w:ind w:right="1115"/>
        <w:jc w:val="left"/>
      </w:pPr>
      <w:r>
        <w:rPr/>
        <w:t>公司报告期内董事、监事和高级管理人员报酬情况</w:t>
      </w:r>
    </w:p>
    <w:p>
      <w:pPr>
        <w:pStyle w:val="BodyText"/>
        <w:spacing w:line="240" w:lineRule="auto" w:before="115"/>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2710"/>
        <w:gridCol w:w="994"/>
        <w:gridCol w:w="850"/>
        <w:gridCol w:w="917"/>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05"/>
              <w:jc w:val="right"/>
              <w:rPr>
                <w:rFonts w:ascii="宋体" w:hAnsi="宋体" w:cs="宋体" w:eastAsia="宋体" w:hint="default"/>
                <w:sz w:val="18"/>
                <w:szCs w:val="18"/>
              </w:rPr>
            </w:pPr>
            <w:r>
              <w:rPr>
                <w:rFonts w:ascii="宋体" w:hAnsi="宋体" w:cs="宋体" w:eastAsia="宋体" w:hint="default"/>
                <w:sz w:val="18"/>
                <w:szCs w:val="18"/>
              </w:rPr>
              <w:t>赵福君</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56</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41.16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栗军</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51</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05"/>
              <w:jc w:val="right"/>
              <w:rPr>
                <w:rFonts w:ascii="宋体" w:hAnsi="宋体" w:cs="宋体" w:eastAsia="宋体" w:hint="default"/>
                <w:sz w:val="18"/>
                <w:szCs w:val="18"/>
              </w:rPr>
            </w:pPr>
            <w:r>
              <w:rPr>
                <w:rFonts w:ascii="宋体" w:hAnsi="宋体" w:cs="宋体" w:eastAsia="宋体" w:hint="default"/>
                <w:sz w:val="18"/>
                <w:szCs w:val="18"/>
              </w:rPr>
              <w:t>施瑞丰</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董事、总裁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48</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87.57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05"/>
              <w:jc w:val="right"/>
              <w:rPr>
                <w:rFonts w:ascii="宋体" w:hAnsi="宋体" w:cs="宋体" w:eastAsia="宋体" w:hint="default"/>
                <w:sz w:val="18"/>
                <w:szCs w:val="18"/>
              </w:rPr>
            </w:pPr>
            <w:r>
              <w:rPr>
                <w:rFonts w:ascii="宋体" w:hAnsi="宋体" w:cs="宋体" w:eastAsia="宋体" w:hint="default"/>
                <w:sz w:val="18"/>
                <w:szCs w:val="18"/>
              </w:rPr>
              <w:t>邱安超</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董事、高级副总裁、财务总监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52</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97.04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05"/>
              <w:jc w:val="right"/>
              <w:rPr>
                <w:rFonts w:ascii="宋体" w:hAnsi="宋体" w:cs="宋体" w:eastAsia="宋体" w:hint="default"/>
                <w:sz w:val="18"/>
                <w:szCs w:val="18"/>
              </w:rPr>
            </w:pPr>
            <w:r>
              <w:rPr>
                <w:rFonts w:ascii="宋体" w:hAnsi="宋体" w:cs="宋体" w:eastAsia="宋体" w:hint="default"/>
                <w:sz w:val="18"/>
                <w:szCs w:val="18"/>
              </w:rPr>
              <w:t>欧阳曜</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董事、高级副总裁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 w:right="0"/>
              <w:jc w:val="center"/>
              <w:rPr>
                <w:rFonts w:ascii="Times New Roman" w:hAnsi="Times New Roman" w:cs="Times New Roman" w:eastAsia="Times New Roman" w:hint="default"/>
                <w:sz w:val="18"/>
                <w:szCs w:val="18"/>
              </w:rPr>
            </w:pPr>
            <w:r>
              <w:rPr>
                <w:rFonts w:ascii="Times New Roman"/>
                <w:sz w:val="18"/>
              </w:rPr>
              <w:t>44</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134.63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05"/>
              <w:jc w:val="right"/>
              <w:rPr>
                <w:rFonts w:ascii="宋体" w:hAnsi="宋体" w:cs="宋体" w:eastAsia="宋体" w:hint="default"/>
                <w:sz w:val="18"/>
                <w:szCs w:val="18"/>
              </w:rPr>
            </w:pPr>
            <w:r>
              <w:rPr>
                <w:rFonts w:ascii="宋体" w:hAnsi="宋体" w:cs="宋体" w:eastAsia="宋体" w:hint="default"/>
                <w:sz w:val="18"/>
                <w:szCs w:val="18"/>
              </w:rPr>
              <w:t>王元京</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70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05"/>
              <w:jc w:val="right"/>
              <w:rPr>
                <w:rFonts w:ascii="宋体" w:hAnsi="宋体" w:cs="宋体" w:eastAsia="宋体" w:hint="default"/>
                <w:sz w:val="18"/>
                <w:szCs w:val="18"/>
              </w:rPr>
            </w:pPr>
            <w:r>
              <w:rPr>
                <w:rFonts w:ascii="宋体" w:hAnsi="宋体" w:cs="宋体" w:eastAsia="宋体" w:hint="default"/>
                <w:sz w:val="18"/>
                <w:szCs w:val="18"/>
              </w:rPr>
              <w:t>戴金平</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55</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05"/>
              <w:jc w:val="right"/>
              <w:rPr>
                <w:rFonts w:ascii="宋体" w:hAnsi="宋体" w:cs="宋体" w:eastAsia="宋体" w:hint="default"/>
                <w:sz w:val="18"/>
                <w:szCs w:val="18"/>
              </w:rPr>
            </w:pPr>
            <w:r>
              <w:rPr>
                <w:rFonts w:ascii="宋体" w:hAnsi="宋体" w:cs="宋体" w:eastAsia="宋体" w:hint="default"/>
                <w:sz w:val="18"/>
                <w:szCs w:val="18"/>
              </w:rPr>
              <w:t>李岳军</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54</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05"/>
              <w:jc w:val="right"/>
              <w:rPr>
                <w:rFonts w:ascii="宋体" w:hAnsi="宋体" w:cs="宋体" w:eastAsia="宋体" w:hint="default"/>
                <w:sz w:val="18"/>
                <w:szCs w:val="18"/>
              </w:rPr>
            </w:pPr>
            <w:r>
              <w:rPr>
                <w:rFonts w:ascii="宋体" w:hAnsi="宋体" w:cs="宋体" w:eastAsia="宋体" w:hint="default"/>
                <w:sz w:val="18"/>
                <w:szCs w:val="18"/>
              </w:rPr>
              <w:t>王劲岩</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45</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39.55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蒋硕</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49</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05"/>
              <w:jc w:val="right"/>
              <w:rPr>
                <w:rFonts w:ascii="宋体" w:hAnsi="宋体" w:cs="宋体" w:eastAsia="宋体" w:hint="default"/>
                <w:sz w:val="18"/>
                <w:szCs w:val="18"/>
              </w:rPr>
            </w:pPr>
            <w:r>
              <w:rPr>
                <w:rFonts w:ascii="宋体" w:hAnsi="宋体" w:cs="宋体" w:eastAsia="宋体" w:hint="default"/>
                <w:sz w:val="18"/>
                <w:szCs w:val="18"/>
              </w:rPr>
              <w:t>任德宝</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44</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31.06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曾超</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42</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05"/>
              <w:jc w:val="right"/>
              <w:rPr>
                <w:rFonts w:ascii="宋体" w:hAnsi="宋体" w:cs="宋体" w:eastAsia="宋体" w:hint="default"/>
                <w:sz w:val="18"/>
                <w:szCs w:val="18"/>
              </w:rPr>
            </w:pPr>
            <w:r>
              <w:rPr>
                <w:rFonts w:ascii="宋体" w:hAnsi="宋体" w:cs="宋体" w:eastAsia="宋体" w:hint="default"/>
                <w:sz w:val="18"/>
                <w:szCs w:val="18"/>
              </w:rPr>
              <w:t>刘文圣</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高级副总裁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46</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91.54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05"/>
              <w:jc w:val="right"/>
              <w:rPr>
                <w:rFonts w:ascii="宋体" w:hAnsi="宋体" w:cs="宋体" w:eastAsia="宋体" w:hint="default"/>
                <w:sz w:val="18"/>
                <w:szCs w:val="18"/>
              </w:rPr>
            </w:pPr>
            <w:r>
              <w:rPr>
                <w:rFonts w:ascii="宋体" w:hAnsi="宋体" w:cs="宋体" w:eastAsia="宋体" w:hint="default"/>
                <w:sz w:val="18"/>
                <w:szCs w:val="18"/>
              </w:rPr>
              <w:t>朱晓钧</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高级副总裁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44</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113.79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05"/>
              <w:jc w:val="right"/>
              <w:rPr>
                <w:rFonts w:ascii="宋体" w:hAnsi="宋体" w:cs="宋体" w:eastAsia="宋体" w:hint="default"/>
                <w:sz w:val="18"/>
                <w:szCs w:val="18"/>
              </w:rPr>
            </w:pPr>
            <w:r>
              <w:rPr>
                <w:rFonts w:ascii="宋体" w:hAnsi="宋体" w:cs="宋体" w:eastAsia="宋体" w:hint="default"/>
                <w:sz w:val="18"/>
                <w:szCs w:val="18"/>
              </w:rPr>
              <w:t>王海霞</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高级副总裁、董事会秘书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43</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85.54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989.48</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19"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1115"/>
        <w:jc w:val="left"/>
      </w:pPr>
      <w:r>
        <w:rPr/>
        <w:t>公司董事、高级管理人员报告期内被授予的股权激励情况</w:t>
      </w:r>
    </w:p>
    <w:p>
      <w:pPr>
        <w:pStyle w:val="BodyText"/>
        <w:spacing w:line="240" w:lineRule="auto" w:before="115"/>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15"/>
        <w:jc w:val="left"/>
        <w:rPr>
          <w:b w:val="0"/>
          <w:bCs w:val="0"/>
        </w:rPr>
      </w:pPr>
      <w:bookmarkStart w:name="五、公司员工情况" w:id="135"/>
      <w:bookmarkEnd w:id="135"/>
      <w:r>
        <w:rPr>
          <w:b w:val="0"/>
          <w:bCs w:val="0"/>
        </w:rPr>
      </w: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5"/>
        <w:jc w:val="left"/>
        <w:rPr>
          <w:b w:val="0"/>
          <w:bCs w:val="0"/>
        </w:rPr>
      </w:pPr>
      <w:bookmarkStart w:name="1、员工数量、专业构成及教育程度" w:id="136"/>
      <w:bookmarkEnd w:id="136"/>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7"/>
        <w:gridCol w:w="4791"/>
      </w:tblGrid>
      <w:tr>
        <w:trPr>
          <w:trHeight w:val="404"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1,930</w:t>
            </w:r>
          </w:p>
        </w:tc>
      </w:tr>
      <w:tr>
        <w:trPr>
          <w:trHeight w:val="401"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子公司在职员工的数量（人）</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1,278</w:t>
            </w:r>
          </w:p>
        </w:tc>
      </w:tr>
      <w:tr>
        <w:trPr>
          <w:trHeight w:val="403"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3,208</w:t>
            </w:r>
          </w:p>
        </w:tc>
      </w:tr>
      <w:tr>
        <w:trPr>
          <w:trHeight w:val="401"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3,208</w:t>
            </w:r>
          </w:p>
        </w:tc>
      </w:tr>
      <w:tr>
        <w:trPr>
          <w:trHeight w:val="408"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4"/>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1"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2,307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运营人员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385</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3,208</w:t>
            </w:r>
          </w:p>
        </w:tc>
      </w:tr>
      <w:tr>
        <w:trPr>
          <w:trHeight w:val="39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2,454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3,208</w:t>
            </w:r>
          </w:p>
        </w:tc>
      </w:tr>
    </w:tbl>
    <w:p>
      <w:pPr>
        <w:spacing w:line="240" w:lineRule="auto" w:before="3"/>
        <w:rPr>
          <w:rFonts w:ascii="宋体" w:hAnsi="宋体" w:cs="宋体" w:eastAsia="宋体" w:hint="default"/>
          <w:b/>
          <w:bCs/>
          <w:sz w:val="19"/>
          <w:szCs w:val="19"/>
        </w:rPr>
      </w:pPr>
    </w:p>
    <w:p>
      <w:pPr>
        <w:pStyle w:val="Heading3"/>
        <w:spacing w:line="240" w:lineRule="auto" w:before="36"/>
        <w:ind w:right="1115"/>
        <w:jc w:val="left"/>
        <w:rPr>
          <w:b w:val="0"/>
          <w:bCs w:val="0"/>
        </w:rPr>
      </w:pPr>
      <w:bookmarkStart w:name="2、薪酬政策" w:id="137"/>
      <w:bookmarkEnd w:id="137"/>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2"/>
        <w:rPr>
          <w:rFonts w:ascii="宋体" w:hAnsi="宋体" w:cs="宋体" w:eastAsia="宋体" w:hint="default"/>
          <w:b/>
          <w:bCs/>
          <w:sz w:val="26"/>
          <w:szCs w:val="26"/>
        </w:rPr>
      </w:pPr>
    </w:p>
    <w:p>
      <w:pPr>
        <w:pStyle w:val="BodyText"/>
        <w:spacing w:line="314" w:lineRule="auto"/>
        <w:ind w:right="1129" w:firstLine="360"/>
        <w:jc w:val="both"/>
      </w:pPr>
      <w:r>
        <w:rPr>
          <w:spacing w:val="-2"/>
        </w:rPr>
        <w:t>公司的薪酬政策与绩效考核挂钩，以业绩导向为原则，强调公司、责任中心业绩目标与员工个人绩效目标的一致性。同</w:t>
      </w:r>
      <w:r>
        <w:rPr/>
        <w:t> </w:t>
      </w:r>
      <w:r>
        <w:rPr>
          <w:spacing w:val="-2"/>
        </w:rPr>
        <w:t>时，注重</w:t>
      </w:r>
      <w:r>
        <w:rPr>
          <w:rFonts w:ascii="Times New Roman" w:hAnsi="Times New Roman" w:cs="Times New Roman" w:eastAsia="Times New Roman" w:hint="default"/>
          <w:spacing w:val="-2"/>
        </w:rPr>
        <w:t>“</w:t>
      </w:r>
      <w:r>
        <w:rPr>
          <w:spacing w:val="-2"/>
        </w:rPr>
        <w:t>外部均衡性、内部均衡性、个体均衡性</w:t>
      </w:r>
      <w:r>
        <w:rPr>
          <w:rFonts w:ascii="Times New Roman" w:hAnsi="Times New Roman" w:cs="Times New Roman" w:eastAsia="Times New Roman" w:hint="default"/>
          <w:spacing w:val="-2"/>
        </w:rPr>
        <w:t>”</w:t>
      </w:r>
      <w:r>
        <w:rPr>
          <w:spacing w:val="-2"/>
        </w:rPr>
        <w:t>，保证了员工薪酬的公平性和激励作用，以达到公司与员工共同进步、共</w:t>
      </w:r>
      <w:r>
        <w:rPr>
          <w:spacing w:val="-42"/>
        </w:rPr>
        <w:t> </w:t>
      </w:r>
      <w:r>
        <w:rPr>
          <w:spacing w:val="-42"/>
        </w:rPr>
      </w:r>
      <w:r>
        <w:rPr>
          <w:spacing w:val="-2"/>
        </w:rPr>
        <w:t>同发展的双赢目的。各业务主体围绕年度目标计划根据各自业务特点制定绩效考核标准，并通过重点工作事项、月度和季度</w:t>
      </w:r>
      <w:r>
        <w:rPr>
          <w:spacing w:val="-63"/>
        </w:rPr>
        <w:t> </w:t>
      </w:r>
      <w:r>
        <w:rPr>
          <w:spacing w:val="-63"/>
        </w:rPr>
      </w:r>
      <w:r>
        <w:rPr>
          <w:spacing w:val="-2"/>
        </w:rPr>
        <w:t>经营分析会议、员工评价指标统计等管理措施，实现对公司整体业绩的有效跟踪和管理，落实公司经营计划。并且公司通过</w:t>
      </w:r>
      <w:r>
        <w:rPr>
          <w:spacing w:val="-65"/>
        </w:rPr>
        <w:t> </w:t>
      </w:r>
      <w:r>
        <w:rPr>
          <w:spacing w:val="-65"/>
        </w:rPr>
      </w:r>
      <w:r>
        <w:rPr/>
        <w:t>项目激励、岗位激励以及股权激励计划等方式逐步推进多层次、差异化的薪酬与激励措施，调动员工积极性。</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BodyText"/>
        <w:spacing w:line="319" w:lineRule="auto"/>
        <w:ind w:right="1115"/>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公司报告期内职工薪酬总额为</w:t>
      </w:r>
      <w:r>
        <w:rPr>
          <w:rFonts w:ascii="Times New Roman" w:hAnsi="Times New Roman" w:cs="Times New Roman" w:eastAsia="Times New Roman" w:hint="default"/>
        </w:rPr>
        <w:t>68,755.34</w:t>
      </w:r>
      <w:r>
        <w:rPr/>
        <w:t>万元，占公司成本总额的比重为</w:t>
      </w:r>
      <w:r>
        <w:rPr>
          <w:rFonts w:ascii="Times New Roman" w:hAnsi="Times New Roman" w:cs="Times New Roman" w:eastAsia="Times New Roman" w:hint="default"/>
        </w:rPr>
        <w:t>22.87%</w:t>
      </w:r>
      <w:r>
        <w:rPr/>
        <w:t>，利润对职工薪酬变化较为敏感。截至报告</w:t>
      </w:r>
      <w:r>
        <w:rPr>
          <w:spacing w:val="-19"/>
        </w:rPr>
        <w:t> </w:t>
      </w:r>
      <w:r>
        <w:rPr>
          <w:spacing w:val="-19"/>
        </w:rPr>
      </w:r>
      <w:r>
        <w:rPr>
          <w:spacing w:val="-1"/>
        </w:rPr>
        <w:t>期末，公司核心技术人员共</w:t>
      </w:r>
      <w:r>
        <w:rPr>
          <w:rFonts w:ascii="Times New Roman" w:hAnsi="Times New Roman" w:cs="Times New Roman" w:eastAsia="Times New Roman" w:hint="default"/>
          <w:spacing w:val="-1"/>
        </w:rPr>
        <w:t>209</w:t>
      </w:r>
      <w:r>
        <w:rPr>
          <w:spacing w:val="-1"/>
        </w:rPr>
        <w:t>名，占人员总数的</w:t>
      </w:r>
      <w:r>
        <w:rPr>
          <w:rFonts w:ascii="Times New Roman" w:hAnsi="Times New Roman" w:cs="Times New Roman" w:eastAsia="Times New Roman" w:hint="default"/>
          <w:spacing w:val="-1"/>
        </w:rPr>
        <w:t>6.51%</w:t>
      </w:r>
      <w:r>
        <w:rPr>
          <w:spacing w:val="-1"/>
        </w:rPr>
        <w:t>，比重较上年增加</w:t>
      </w:r>
      <w:r>
        <w:rPr>
          <w:rFonts w:ascii="Times New Roman" w:hAnsi="Times New Roman" w:cs="Times New Roman" w:eastAsia="Times New Roman" w:hint="default"/>
          <w:spacing w:val="-1"/>
        </w:rPr>
        <w:t>1.36%</w:t>
      </w:r>
      <w:r>
        <w:rPr>
          <w:spacing w:val="-1"/>
        </w:rPr>
        <w:t>；核心技术人员薪酬占比</w:t>
      </w:r>
      <w:r>
        <w:rPr>
          <w:rFonts w:ascii="Times New Roman" w:hAnsi="Times New Roman" w:cs="Times New Roman" w:eastAsia="Times New Roman" w:hint="default"/>
          <w:spacing w:val="-1"/>
        </w:rPr>
        <w:t>13.49%</w:t>
      </w:r>
      <w:r>
        <w:rPr>
          <w:spacing w:val="-1"/>
        </w:rPr>
        <w:t>，比重较上</w:t>
      </w:r>
    </w:p>
    <w:p>
      <w:pPr>
        <w:pStyle w:val="BodyText"/>
        <w:spacing w:line="246" w:lineRule="exact"/>
        <w:ind w:right="1115"/>
        <w:jc w:val="left"/>
      </w:pPr>
      <w:r>
        <w:rPr/>
        <w:t>年增加</w:t>
      </w:r>
      <w:r>
        <w:rPr>
          <w:rFonts w:ascii="Times New Roman" w:hAnsi="Times New Roman" w:cs="Times New Roman" w:eastAsia="Times New Roman" w:hint="default"/>
        </w:rPr>
        <w:t>5.91%</w:t>
      </w:r>
      <w:r>
        <w:rPr/>
        <w:t>。</w:t>
      </w:r>
    </w:p>
    <w:p>
      <w:pPr>
        <w:spacing w:line="240" w:lineRule="auto" w:before="2"/>
        <w:rPr>
          <w:rFonts w:ascii="宋体" w:hAnsi="宋体" w:cs="宋体" w:eastAsia="宋体" w:hint="default"/>
          <w:sz w:val="26"/>
          <w:szCs w:val="26"/>
        </w:rPr>
      </w:pPr>
    </w:p>
    <w:p>
      <w:pPr>
        <w:pStyle w:val="Heading3"/>
        <w:spacing w:line="240" w:lineRule="auto"/>
        <w:ind w:right="1115"/>
        <w:jc w:val="left"/>
        <w:rPr>
          <w:b w:val="0"/>
          <w:bCs w:val="0"/>
        </w:rPr>
      </w:pPr>
      <w:bookmarkStart w:name="3、培训计划" w:id="138"/>
      <w:bookmarkEnd w:id="138"/>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5"/>
        <w:rPr>
          <w:rFonts w:ascii="宋体" w:hAnsi="宋体" w:cs="宋体" w:eastAsia="宋体" w:hint="default"/>
          <w:b/>
          <w:bCs/>
          <w:sz w:val="26"/>
          <w:szCs w:val="26"/>
        </w:rPr>
      </w:pPr>
    </w:p>
    <w:p>
      <w:pPr>
        <w:pStyle w:val="BodyText"/>
        <w:spacing w:line="304" w:lineRule="auto"/>
        <w:ind w:right="1034" w:firstLine="360"/>
        <w:jc w:val="left"/>
      </w:pPr>
      <w:r>
        <w:rPr/>
        <w:t>报告期，公司开展了人才盘点</w:t>
      </w:r>
      <w:r>
        <w:rPr>
          <w:rFonts w:ascii="Times New Roman" w:hAnsi="Times New Roman" w:cs="Times New Roman" w:eastAsia="Times New Roman" w:hint="default"/>
        </w:rPr>
        <w:t>“</w:t>
      </w:r>
      <w:r>
        <w:rPr/>
        <w:t>星河计划</w:t>
      </w:r>
      <w:r>
        <w:rPr>
          <w:rFonts w:ascii="Times New Roman" w:hAnsi="Times New Roman" w:cs="Times New Roman" w:eastAsia="Times New Roman" w:hint="default"/>
        </w:rPr>
        <w:t>”</w:t>
      </w:r>
      <w:r>
        <w:rPr/>
        <w:t>，对人岗匹配和员工绩效达成及能力进行了综合的评估，盘点的结果应用于薪 酬体系优化、人才发展及培训的落地和执行。公司教育中心按照各岗位评估情况制定员工培训计划，在完善培训制度体系、</w:t>
      </w:r>
      <w:r>
        <w:rPr>
          <w:spacing w:val="-83"/>
        </w:rPr>
        <w:t> </w:t>
      </w:r>
      <w:r>
        <w:rPr>
          <w:spacing w:val="-83"/>
        </w:rPr>
      </w:r>
      <w:r>
        <w:rPr>
          <w:spacing w:val="-3"/>
        </w:rPr>
        <w:t>讲师体系和课程体系的同时，通过自主设立的在线学习平台</w:t>
      </w:r>
      <w:r>
        <w:rPr>
          <w:rFonts w:ascii="Times New Roman" w:hAnsi="Times New Roman" w:cs="Times New Roman" w:eastAsia="Times New Roman" w:hint="default"/>
          <w:spacing w:val="-3"/>
        </w:rPr>
        <w:t>——“</w:t>
      </w:r>
      <w:r>
        <w:rPr>
          <w:spacing w:val="-3"/>
        </w:rPr>
        <w:t>久其云学堂</w:t>
      </w:r>
      <w:r>
        <w:rPr>
          <w:rFonts w:ascii="Times New Roman" w:hAnsi="Times New Roman" w:cs="Times New Roman" w:eastAsia="Times New Roman" w:hint="default"/>
          <w:spacing w:val="-3"/>
        </w:rPr>
        <w:t>”</w:t>
      </w:r>
      <w:r>
        <w:rPr>
          <w:spacing w:val="-3"/>
        </w:rPr>
        <w:t>，努力提升培训效率、扩大培训范围，建立</w:t>
      </w:r>
      <w:r>
        <w:rPr>
          <w:rFonts w:ascii="Times New Roman" w:hAnsi="Times New Roman" w:cs="Times New Roman" w:eastAsia="Times New Roman" w:hint="default"/>
          <w:spacing w:val="-3"/>
        </w:rPr>
        <w:t>“</w:t>
      </w:r>
      <w:r>
        <w:rPr>
          <w:spacing w:val="-3"/>
        </w:rPr>
        <w:t>学</w:t>
      </w:r>
      <w:r>
        <w:rPr>
          <w:spacing w:val="-63"/>
        </w:rPr>
        <w:t> </w:t>
      </w:r>
      <w:r>
        <w:rPr/>
        <w:t>习型组织</w:t>
      </w:r>
      <w:r>
        <w:rPr>
          <w:rFonts w:ascii="Times New Roman" w:hAnsi="Times New Roman" w:cs="Times New Roman" w:eastAsia="Times New Roman" w:hint="default"/>
        </w:rPr>
        <w:t>”</w:t>
      </w:r>
      <w:r>
        <w:rPr/>
        <w:t>。除外部采购管理培训课程外，公司各部门自主设计和录制精品课程，总结实操经验，分享专业知识，平台中课</w:t>
      </w:r>
      <w:r>
        <w:rPr>
          <w:spacing w:val="-76"/>
        </w:rPr>
        <w:t> </w:t>
      </w:r>
      <w:r>
        <w:rPr>
          <w:spacing w:val="-76"/>
        </w:rPr>
      </w:r>
      <w:r>
        <w:rPr/>
        <w:t>程体系化、连贯性进一步加强。教育中心落实执行岗前培训和分支机构培训，并基于</w:t>
      </w:r>
      <w:r>
        <w:rPr>
          <w:rFonts w:ascii="Times New Roman" w:hAnsi="Times New Roman" w:cs="Times New Roman" w:eastAsia="Times New Roman" w:hint="default"/>
        </w:rPr>
        <w:t>“</w:t>
      </w:r>
      <w:r>
        <w:rPr/>
        <w:t>久其云学堂</w:t>
      </w:r>
      <w:r>
        <w:rPr>
          <w:rFonts w:ascii="Times New Roman" w:hAnsi="Times New Roman" w:cs="Times New Roman" w:eastAsia="Times New Roman" w:hint="default"/>
        </w:rPr>
        <w:t>”</w:t>
      </w:r>
      <w:r>
        <w:rPr/>
        <w:t>开展针对技术人员、管理 人员的专题培训和针对全员的素质能力培训。通过</w:t>
      </w:r>
      <w:r>
        <w:rPr>
          <w:rFonts w:ascii="Times New Roman" w:hAnsi="Times New Roman" w:cs="Times New Roman" w:eastAsia="Times New Roman" w:hint="default"/>
        </w:rPr>
        <w:t>“</w:t>
      </w:r>
      <w:r>
        <w:rPr/>
        <w:t>远程授课</w:t>
      </w:r>
      <w:r>
        <w:rPr>
          <w:rFonts w:ascii="Times New Roman" w:hAnsi="Times New Roman" w:cs="Times New Roman" w:eastAsia="Times New Roman" w:hint="default"/>
        </w:rPr>
        <w:t>+</w:t>
      </w:r>
      <w:r>
        <w:rPr/>
        <w:t>任务单</w:t>
      </w:r>
      <w:r>
        <w:rPr>
          <w:rFonts w:ascii="Times New Roman" w:hAnsi="Times New Roman" w:cs="Times New Roman" w:eastAsia="Times New Roman" w:hint="default"/>
        </w:rPr>
        <w:t>+</w:t>
      </w:r>
      <w:r>
        <w:rPr/>
        <w:t>视频资料</w:t>
      </w:r>
      <w:r>
        <w:rPr>
          <w:rFonts w:ascii="Times New Roman" w:hAnsi="Times New Roman" w:cs="Times New Roman" w:eastAsia="Times New Roman" w:hint="default"/>
        </w:rPr>
        <w:t>+</w:t>
      </w:r>
      <w:r>
        <w:rPr/>
        <w:t>答疑</w:t>
      </w:r>
      <w:r>
        <w:rPr>
          <w:rFonts w:ascii="Times New Roman" w:hAnsi="Times New Roman" w:cs="Times New Roman" w:eastAsia="Times New Roman" w:hint="default"/>
        </w:rPr>
        <w:t>”</w:t>
      </w:r>
      <w:r>
        <w:rPr/>
        <w:t>的方式，继续加强分支机构实施岗位 </w:t>
      </w:r>
      <w:r>
        <w:rPr>
          <w:spacing w:val="-2"/>
        </w:rPr>
        <w:t>技术人员的培养。此外，教育中心还积极开展了校企合作，与哈尔滨工程大学、北京交通大学、北京石油化工学院等高校开</w:t>
      </w:r>
      <w:r>
        <w:rPr>
          <w:spacing w:val="-67"/>
        </w:rPr>
        <w:t> </w:t>
      </w:r>
      <w:r>
        <w:rPr>
          <w:spacing w:val="-67"/>
        </w:rPr>
      </w:r>
      <w:r>
        <w:rPr/>
        <w:t>展了深度合作，通过开展定制班的合作模式，将公司的产品及业务培训前置到学校</w:t>
      </w:r>
      <w:r>
        <w:rPr>
          <w:rFonts w:ascii="Times New Roman" w:hAnsi="Times New Roman" w:cs="Times New Roman" w:eastAsia="Times New Roman" w:hint="default"/>
        </w:rPr>
        <w:t>/</w:t>
      </w:r>
      <w:r>
        <w:rPr/>
        <w:t>培训机构的课程中，降低公司的培训成</w:t>
      </w:r>
      <w:r>
        <w:rPr>
          <w:spacing w:val="-48"/>
        </w:rPr>
        <w:t> </w:t>
      </w:r>
      <w:r>
        <w:rPr>
          <w:spacing w:val="-48"/>
        </w:rPr>
      </w:r>
      <w:r>
        <w:rPr/>
        <w:t>本及人工成本，同时扩大公司的影响力与品牌形象。</w:t>
      </w:r>
    </w:p>
    <w:p>
      <w:pPr>
        <w:spacing w:after="0" w:line="304"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15"/>
        <w:jc w:val="left"/>
        <w:rPr>
          <w:b w:val="0"/>
          <w:bCs w:val="0"/>
        </w:rPr>
      </w:pPr>
      <w:bookmarkStart w:name="4、劳务外包情况" w:id="139"/>
      <w:bookmarkEnd w:id="139"/>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976"/>
        <w:jc w:val="center"/>
        <w:rPr>
          <w:b w:val="0"/>
          <w:bCs w:val="0"/>
        </w:rPr>
      </w:pPr>
      <w:bookmarkStart w:name="第十节 公司治理" w:id="140"/>
      <w:bookmarkEnd w:id="140"/>
      <w:r>
        <w:rPr>
          <w:b w:val="0"/>
          <w:bCs w:val="0"/>
        </w:rPr>
      </w:r>
      <w:bookmarkStart w:name="_bookmark9" w:id="141"/>
      <w:bookmarkEnd w:id="141"/>
      <w:r>
        <w:rPr>
          <w:b w:val="0"/>
          <w:bCs w:val="0"/>
        </w:rPr>
      </w:r>
      <w:r>
        <w:rPr/>
        <w:t>第十节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15"/>
        <w:jc w:val="left"/>
        <w:rPr>
          <w:b w:val="0"/>
          <w:bCs w:val="0"/>
        </w:rPr>
      </w:pPr>
      <w:bookmarkStart w:name="一、公司治理的基本状况" w:id="142"/>
      <w:bookmarkEnd w:id="142"/>
      <w:r>
        <w:rPr>
          <w:b w:val="0"/>
          <w:bCs w:val="0"/>
        </w:rPr>
      </w: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firstLine="360"/>
        <w:jc w:val="both"/>
      </w:pPr>
      <w:r>
        <w:rPr>
          <w:spacing w:val="-2"/>
        </w:rPr>
        <w:t>报告期内，公司严格按照《公司法》《证券法》《上市公司治理准则》《深圳证券交易所股票上市规则》《深圳证券交</w:t>
      </w:r>
      <w:r>
        <w:rPr/>
        <w:t> </w:t>
      </w:r>
      <w:r>
        <w:rPr>
          <w:spacing w:val="-2"/>
        </w:rPr>
        <w:t>易所上市公司规范运作指引》等相关法律、法规的规定，不断完善公司法人治理结构，健全内部控制体系，并根据中国证监</w:t>
      </w:r>
      <w:r>
        <w:rPr>
          <w:spacing w:val="-67"/>
        </w:rPr>
        <w:t> </w:t>
      </w:r>
      <w:r>
        <w:rPr>
          <w:spacing w:val="-67"/>
        </w:rPr>
      </w:r>
      <w:r>
        <w:rPr>
          <w:spacing w:val="-2"/>
        </w:rPr>
        <w:t>会最新发布的《上市公司章程指引》，对《公司章程》《股东大会议事规则》《董事会议事规则》《独立董事津贴办法》等</w:t>
      </w:r>
      <w:r>
        <w:rPr>
          <w:spacing w:val="-67"/>
        </w:rPr>
        <w:t> </w:t>
      </w:r>
      <w:r>
        <w:rPr>
          <w:spacing w:val="-67"/>
        </w:rPr>
      </w:r>
      <w:r>
        <w:rPr/>
        <w:t>制度的部分条款进行了修订。</w:t>
      </w:r>
    </w:p>
    <w:p>
      <w:pPr>
        <w:spacing w:line="240" w:lineRule="auto" w:before="4"/>
        <w:rPr>
          <w:rFonts w:ascii="宋体" w:hAnsi="宋体" w:cs="宋体" w:eastAsia="宋体" w:hint="default"/>
          <w:sz w:val="25"/>
          <w:szCs w:val="25"/>
        </w:rPr>
      </w:pPr>
    </w:p>
    <w:p>
      <w:pPr>
        <w:pStyle w:val="BodyText"/>
        <w:spacing w:line="300" w:lineRule="auto"/>
        <w:ind w:left="513" w:right="1115"/>
        <w:jc w:val="left"/>
      </w:pPr>
      <w:r>
        <w:rPr>
          <w:rFonts w:ascii="Times New Roman" w:hAnsi="Times New Roman" w:cs="Times New Roman" w:eastAsia="Times New Roman" w:hint="default"/>
          <w:b/>
          <w:bCs/>
        </w:rPr>
        <w:t>1</w:t>
      </w:r>
      <w:r>
        <w:rPr>
          <w:rFonts w:ascii="宋体" w:hAnsi="宋体" w:cs="宋体" w:eastAsia="宋体" w:hint="default"/>
          <w:b/>
          <w:bCs/>
        </w:rPr>
        <w:t>、关于股东与股东大会</w:t>
      </w:r>
      <w:r>
        <w:rPr>
          <w:rFonts w:ascii="宋体" w:hAnsi="宋体" w:cs="宋体" w:eastAsia="宋体" w:hint="default"/>
          <w:b/>
          <w:bCs/>
          <w:w w:val="99"/>
        </w:rPr>
        <w:t> </w:t>
      </w:r>
      <w:r>
        <w:rPr>
          <w:spacing w:val="-2"/>
        </w:rPr>
        <w:t>公司严格按照《公司法》《公司章程》及《股东大会议事规则》的要求，规范股东大会的召集、召开、提案提交及表决</w:t>
      </w:r>
    </w:p>
    <w:p>
      <w:pPr>
        <w:pStyle w:val="BodyText"/>
        <w:spacing w:line="240" w:lineRule="auto" w:before="31"/>
        <w:ind w:right="0"/>
        <w:jc w:val="left"/>
      </w:pPr>
      <w:r>
        <w:rPr/>
        <w:t>等程序，依法规范运作，保障股东的合法权益，确保股东特别是中小股东能够充分行使股东权利，未出现违法违规的情况。</w:t>
      </w:r>
    </w:p>
    <w:p>
      <w:pPr>
        <w:spacing w:line="240" w:lineRule="auto" w:before="0"/>
        <w:rPr>
          <w:rFonts w:ascii="宋体" w:hAnsi="宋体" w:cs="宋体" w:eastAsia="宋体" w:hint="default"/>
          <w:sz w:val="18"/>
          <w:szCs w:val="18"/>
        </w:rPr>
      </w:pPr>
    </w:p>
    <w:p>
      <w:pPr>
        <w:pStyle w:val="BodyText"/>
        <w:spacing w:line="300" w:lineRule="auto" w:before="153"/>
        <w:ind w:left="513" w:right="1115"/>
        <w:jc w:val="left"/>
      </w:pPr>
      <w:r>
        <w:rPr>
          <w:rFonts w:ascii="Times New Roman" w:hAnsi="Times New Roman" w:cs="Times New Roman" w:eastAsia="Times New Roman" w:hint="default"/>
          <w:b/>
          <w:bCs/>
        </w:rPr>
        <w:t>2</w:t>
      </w:r>
      <w:r>
        <w:rPr>
          <w:rFonts w:ascii="宋体" w:hAnsi="宋体" w:cs="宋体" w:eastAsia="宋体" w:hint="default"/>
          <w:b/>
          <w:bCs/>
        </w:rPr>
        <w:t>、关于公司与控股股东</w:t>
      </w:r>
      <w:r>
        <w:rPr>
          <w:rFonts w:ascii="宋体" w:hAnsi="宋体" w:cs="宋体" w:eastAsia="宋体" w:hint="default"/>
          <w:b/>
          <w:bCs/>
          <w:w w:val="99"/>
        </w:rPr>
        <w:t> </w:t>
      </w:r>
      <w:r>
        <w:rPr>
          <w:spacing w:val="-2"/>
        </w:rPr>
        <w:t>公司拥有独立的业务和经营自主能力，在业务、人员、资产、机构、财务上独立于控股股东，公司董事会、监事会和内</w:t>
      </w:r>
    </w:p>
    <w:p>
      <w:pPr>
        <w:pStyle w:val="BodyText"/>
        <w:spacing w:line="240" w:lineRule="auto" w:before="31"/>
        <w:ind w:right="0"/>
        <w:jc w:val="left"/>
      </w:pPr>
      <w:r>
        <w:rPr/>
        <w:t>部机构独立运作</w:t>
      </w:r>
      <w:r>
        <w:rPr>
          <w:spacing w:val="-87"/>
        </w:rPr>
        <w:t>。</w:t>
      </w:r>
      <w:r>
        <w:rPr/>
        <w:t>公司控股股东能严格规范自己的行为</w:t>
      </w:r>
      <w:r>
        <w:rPr>
          <w:spacing w:val="-87"/>
        </w:rPr>
        <w:t>，</w:t>
      </w:r>
      <w:r>
        <w:rPr/>
        <w:t>没有超越公司股东大会直接或间接干预公司决策和经营活动的行为。</w:t>
      </w:r>
    </w:p>
    <w:p>
      <w:pPr>
        <w:spacing w:line="240" w:lineRule="auto" w:before="0"/>
        <w:rPr>
          <w:rFonts w:ascii="宋体" w:hAnsi="宋体" w:cs="宋体" w:eastAsia="宋体" w:hint="default"/>
          <w:sz w:val="18"/>
          <w:szCs w:val="18"/>
        </w:rPr>
      </w:pPr>
    </w:p>
    <w:p>
      <w:pPr>
        <w:pStyle w:val="BodyText"/>
        <w:spacing w:line="300" w:lineRule="auto" w:before="153"/>
        <w:ind w:left="513" w:right="1115"/>
        <w:jc w:val="left"/>
      </w:pPr>
      <w:r>
        <w:rPr>
          <w:rFonts w:ascii="Times New Roman" w:hAnsi="Times New Roman" w:cs="Times New Roman" w:eastAsia="Times New Roman" w:hint="default"/>
          <w:b/>
          <w:bCs/>
        </w:rPr>
        <w:t>3</w:t>
      </w:r>
      <w:r>
        <w:rPr>
          <w:rFonts w:ascii="宋体" w:hAnsi="宋体" w:cs="宋体" w:eastAsia="宋体" w:hint="default"/>
          <w:b/>
          <w:bCs/>
        </w:rPr>
        <w:t>、关于董事和董事会</w:t>
      </w:r>
      <w:r>
        <w:rPr>
          <w:rFonts w:ascii="宋体" w:hAnsi="宋体" w:cs="宋体" w:eastAsia="宋体" w:hint="default"/>
          <w:b/>
          <w:bCs/>
          <w:w w:val="99"/>
        </w:rPr>
        <w:t> </w:t>
      </w:r>
      <w:r>
        <w:rPr>
          <w:spacing w:val="-2"/>
        </w:rPr>
        <w:t>报告期末，公司董事会由</w:t>
      </w:r>
      <w:r>
        <w:rPr>
          <w:rFonts w:ascii="Times New Roman" w:hAnsi="Times New Roman" w:cs="Times New Roman" w:eastAsia="Times New Roman" w:hint="default"/>
          <w:spacing w:val="-2"/>
        </w:rPr>
        <w:t>7</w:t>
      </w:r>
      <w:r>
        <w:rPr>
          <w:spacing w:val="-2"/>
        </w:rPr>
        <w:t>名董事组成，其中独立董事</w:t>
      </w:r>
      <w:r>
        <w:rPr>
          <w:rFonts w:ascii="Times New Roman" w:hAnsi="Times New Roman" w:cs="Times New Roman" w:eastAsia="Times New Roman" w:hint="default"/>
          <w:spacing w:val="-2"/>
        </w:rPr>
        <w:t>3</w:t>
      </w:r>
      <w:r>
        <w:rPr>
          <w:spacing w:val="-2"/>
        </w:rPr>
        <w:t>名。董事会的人数及人员构成符合相关法律、法规的要求。董事</w:t>
      </w:r>
    </w:p>
    <w:p>
      <w:pPr>
        <w:pStyle w:val="BodyText"/>
        <w:spacing w:line="316" w:lineRule="auto" w:before="13"/>
        <w:ind w:right="1115"/>
        <w:jc w:val="left"/>
      </w:pPr>
      <w:r>
        <w:rPr>
          <w:spacing w:val="-2"/>
        </w:rPr>
        <w:t>会按照《公司法》《董事会议事规则》及《深圳证券交易所上市公司规范运作指引》的要求召集组织会议，全体董事能够依</w:t>
      </w:r>
      <w:r>
        <w:rPr>
          <w:spacing w:val="-71"/>
        </w:rPr>
        <w:t> </w:t>
      </w:r>
      <w:r>
        <w:rPr>
          <w:spacing w:val="-71"/>
        </w:rPr>
      </w:r>
      <w:r>
        <w:rPr/>
        <w:t>法行使职权，认真履行董事诚实守信、勤勉尽责的义务，认真出席董事会和股东大会。</w:t>
      </w:r>
    </w:p>
    <w:p>
      <w:pPr>
        <w:pStyle w:val="BodyText"/>
        <w:spacing w:line="316" w:lineRule="auto" w:before="19"/>
        <w:ind w:right="1132" w:firstLine="360"/>
        <w:jc w:val="both"/>
      </w:pPr>
      <w:r>
        <w:rPr>
          <w:spacing w:val="-2"/>
        </w:rPr>
        <w:t>董事会下设的战略发展委员会、审计委员会、薪酬与考核委员会和提名委员会，能够严格按照有关议事规则的要求召集</w:t>
      </w:r>
      <w:r>
        <w:rPr/>
        <w:t> </w:t>
      </w:r>
      <w:r>
        <w:rPr>
          <w:spacing w:val="-5"/>
        </w:rPr>
        <w:t>并组织会议，在董事会授权范围内，积极发挥专门委员会的专业作用，协助董事会履行职责，有效提升了董事会的履职能力，</w:t>
      </w:r>
      <w:r>
        <w:rPr>
          <w:spacing w:val="-78"/>
        </w:rPr>
        <w:t> </w:t>
      </w:r>
      <w:r>
        <w:rPr>
          <w:spacing w:val="-78"/>
        </w:rPr>
      </w:r>
      <w:r>
        <w:rPr/>
        <w:t>进一步完善了公司治理结构。</w:t>
      </w:r>
    </w:p>
    <w:p>
      <w:pPr>
        <w:spacing w:line="240" w:lineRule="auto" w:before="4"/>
        <w:rPr>
          <w:rFonts w:ascii="宋体" w:hAnsi="宋体" w:cs="宋体" w:eastAsia="宋体" w:hint="default"/>
          <w:sz w:val="25"/>
          <w:szCs w:val="25"/>
        </w:rPr>
      </w:pPr>
    </w:p>
    <w:p>
      <w:pPr>
        <w:pStyle w:val="BodyText"/>
        <w:spacing w:line="300" w:lineRule="auto"/>
        <w:ind w:left="513" w:right="1115"/>
        <w:jc w:val="left"/>
      </w:pPr>
      <w:r>
        <w:rPr>
          <w:rFonts w:ascii="Times New Roman" w:hAnsi="Times New Roman" w:cs="Times New Roman" w:eastAsia="Times New Roman" w:hint="default"/>
          <w:b/>
          <w:bCs/>
        </w:rPr>
        <w:t>4</w:t>
      </w:r>
      <w:r>
        <w:rPr>
          <w:rFonts w:ascii="宋体" w:hAnsi="宋体" w:cs="宋体" w:eastAsia="宋体" w:hint="default"/>
          <w:b/>
          <w:bCs/>
        </w:rPr>
        <w:t>、关于监事和监事会</w:t>
      </w:r>
      <w:r>
        <w:rPr>
          <w:rFonts w:ascii="宋体" w:hAnsi="宋体" w:cs="宋体" w:eastAsia="宋体" w:hint="default"/>
          <w:b/>
          <w:bCs/>
          <w:w w:val="99"/>
        </w:rPr>
        <w:t> </w:t>
      </w:r>
      <w:r>
        <w:rPr>
          <w:spacing w:val="-2"/>
        </w:rPr>
        <w:t>公司监事会设监事</w:t>
      </w:r>
      <w:r>
        <w:rPr>
          <w:rFonts w:ascii="Times New Roman" w:hAnsi="Times New Roman" w:cs="Times New Roman" w:eastAsia="Times New Roman" w:hint="default"/>
          <w:spacing w:val="-2"/>
        </w:rPr>
        <w:t>3</w:t>
      </w:r>
      <w:r>
        <w:rPr>
          <w:spacing w:val="-2"/>
        </w:rPr>
        <w:t>名，其中职工代表监事</w:t>
      </w:r>
      <w:r>
        <w:rPr>
          <w:rFonts w:ascii="Times New Roman" w:hAnsi="Times New Roman" w:cs="Times New Roman" w:eastAsia="Times New Roman" w:hint="default"/>
          <w:spacing w:val="-2"/>
        </w:rPr>
        <w:t>1</w:t>
      </w:r>
      <w:r>
        <w:rPr>
          <w:spacing w:val="-2"/>
        </w:rPr>
        <w:t>名，监事会的人数和构成符合相关法律、法规的要求。监事会严格按照《公</w:t>
      </w:r>
    </w:p>
    <w:p>
      <w:pPr>
        <w:pStyle w:val="BodyText"/>
        <w:spacing w:line="316" w:lineRule="auto" w:before="13"/>
        <w:ind w:right="1129"/>
        <w:jc w:val="left"/>
      </w:pPr>
      <w:r>
        <w:rPr>
          <w:spacing w:val="-5"/>
        </w:rPr>
        <w:t>司章程》和《监事会议事规则》要求，对公司财务状况、募集资金使用、董事和高级管理人员履职的合法合规性进行了监督，</w:t>
      </w:r>
      <w:r>
        <w:rPr>
          <w:spacing w:val="-81"/>
        </w:rPr>
        <w:t> </w:t>
      </w:r>
      <w:r>
        <w:rPr>
          <w:spacing w:val="-81"/>
        </w:rPr>
      </w:r>
      <w:r>
        <w:rPr/>
        <w:t>切实履行了职责。</w:t>
      </w:r>
    </w:p>
    <w:p>
      <w:pPr>
        <w:spacing w:line="240" w:lineRule="auto" w:before="4"/>
        <w:rPr>
          <w:rFonts w:ascii="宋体" w:hAnsi="宋体" w:cs="宋体" w:eastAsia="宋体" w:hint="default"/>
          <w:sz w:val="25"/>
          <w:szCs w:val="25"/>
        </w:rPr>
      </w:pPr>
    </w:p>
    <w:p>
      <w:pPr>
        <w:pStyle w:val="BodyText"/>
        <w:spacing w:line="300" w:lineRule="auto"/>
        <w:ind w:left="513" w:right="1115"/>
        <w:jc w:val="left"/>
      </w:pPr>
      <w:r>
        <w:rPr>
          <w:rFonts w:ascii="Times New Roman" w:hAnsi="Times New Roman" w:cs="Times New Roman" w:eastAsia="Times New Roman" w:hint="default"/>
          <w:b/>
          <w:bCs/>
        </w:rPr>
        <w:t>5</w:t>
      </w:r>
      <w:r>
        <w:rPr>
          <w:rFonts w:ascii="宋体" w:hAnsi="宋体" w:cs="宋体" w:eastAsia="宋体" w:hint="default"/>
          <w:b/>
          <w:bCs/>
        </w:rPr>
        <w:t>、关于相关利益者</w:t>
      </w:r>
      <w:r>
        <w:rPr>
          <w:rFonts w:ascii="宋体" w:hAnsi="宋体" w:cs="宋体" w:eastAsia="宋体" w:hint="default"/>
          <w:b/>
          <w:bCs/>
          <w:w w:val="99"/>
        </w:rPr>
        <w:t> </w:t>
      </w:r>
      <w:r>
        <w:rPr>
          <w:spacing w:val="-2"/>
        </w:rPr>
        <w:t>公司充分尊重和维护相关利益者的合法权益，实现社会、股东、公司、员工等各方利益的协调平衡，诚信对待供应商和</w:t>
      </w:r>
    </w:p>
    <w:p>
      <w:pPr>
        <w:pStyle w:val="BodyText"/>
        <w:spacing w:line="240" w:lineRule="auto" w:before="31"/>
        <w:ind w:right="1115"/>
        <w:jc w:val="left"/>
      </w:pPr>
      <w:r>
        <w:rPr/>
        <w:t>客户，坚持与相关利益者互利共赢的原则，共同推动公司持续、稳健发展。</w:t>
      </w:r>
    </w:p>
    <w:p>
      <w:pPr>
        <w:spacing w:line="240" w:lineRule="auto" w:before="0"/>
        <w:rPr>
          <w:rFonts w:ascii="宋体" w:hAnsi="宋体" w:cs="宋体" w:eastAsia="宋体" w:hint="default"/>
          <w:sz w:val="18"/>
          <w:szCs w:val="18"/>
        </w:rPr>
      </w:pPr>
    </w:p>
    <w:p>
      <w:pPr>
        <w:pStyle w:val="BodyText"/>
        <w:spacing w:line="300" w:lineRule="auto" w:before="153"/>
        <w:ind w:left="513" w:right="1115"/>
        <w:jc w:val="left"/>
      </w:pPr>
      <w:r>
        <w:rPr>
          <w:rFonts w:ascii="Times New Roman" w:hAnsi="Times New Roman" w:cs="Times New Roman" w:eastAsia="Times New Roman" w:hint="default"/>
          <w:b/>
          <w:bCs/>
        </w:rPr>
        <w:t>6</w:t>
      </w:r>
      <w:r>
        <w:rPr>
          <w:rFonts w:ascii="宋体" w:hAnsi="宋体" w:cs="宋体" w:eastAsia="宋体" w:hint="default"/>
          <w:b/>
          <w:bCs/>
        </w:rPr>
        <w:t>、关于内部审计工作</w:t>
      </w:r>
      <w:r>
        <w:rPr>
          <w:rFonts w:ascii="宋体" w:hAnsi="宋体" w:cs="宋体" w:eastAsia="宋体" w:hint="default"/>
          <w:b/>
          <w:bCs/>
          <w:w w:val="99"/>
        </w:rPr>
        <w:t> </w:t>
      </w:r>
      <w:r>
        <w:rPr>
          <w:spacing w:val="-6"/>
        </w:rPr>
        <w:t>公司按照《公司法》《审计法》《审计署关于内部审计工作的规定》《深圳证券交易所上市公司规范运作指引》的要求，</w:t>
      </w:r>
    </w:p>
    <w:p>
      <w:pPr>
        <w:pStyle w:val="BodyText"/>
        <w:spacing w:line="316" w:lineRule="auto" w:before="31"/>
        <w:ind w:right="1115"/>
        <w:jc w:val="left"/>
      </w:pPr>
      <w:r>
        <w:rPr>
          <w:spacing w:val="-2"/>
        </w:rPr>
        <w:t>制定了《内部审计制度》，设立了审计部，并配备了专职的内部审计人员，对公司日常运营进行有效监控，并对公司内控的</w:t>
      </w:r>
      <w:r>
        <w:rPr>
          <w:spacing w:val="-70"/>
        </w:rPr>
        <w:t> </w:t>
      </w:r>
      <w:r>
        <w:rPr>
          <w:spacing w:val="-70"/>
        </w:rPr>
      </w:r>
      <w:r>
        <w:rPr/>
        <w:t>完整性、合理性及其实施的有效性进行检查和评估。</w:t>
      </w:r>
    </w:p>
    <w:p>
      <w:pPr>
        <w:spacing w:line="240" w:lineRule="auto" w:before="4"/>
        <w:rPr>
          <w:rFonts w:ascii="宋体" w:hAnsi="宋体" w:cs="宋体" w:eastAsia="宋体" w:hint="default"/>
          <w:sz w:val="25"/>
          <w:szCs w:val="25"/>
        </w:rPr>
      </w:pPr>
    </w:p>
    <w:p>
      <w:pPr>
        <w:pStyle w:val="BodyText"/>
        <w:spacing w:line="300" w:lineRule="auto"/>
        <w:ind w:left="513" w:right="1115"/>
        <w:jc w:val="left"/>
      </w:pPr>
      <w:r>
        <w:rPr>
          <w:rFonts w:ascii="Times New Roman" w:hAnsi="Times New Roman" w:cs="Times New Roman" w:eastAsia="Times New Roman" w:hint="default"/>
          <w:b/>
          <w:bCs/>
        </w:rPr>
        <w:t>7</w:t>
      </w:r>
      <w:r>
        <w:rPr>
          <w:rFonts w:ascii="宋体" w:hAnsi="宋体" w:cs="宋体" w:eastAsia="宋体" w:hint="default"/>
          <w:b/>
          <w:bCs/>
        </w:rPr>
        <w:t>、关于内部控制管理</w:t>
      </w:r>
      <w:r>
        <w:rPr>
          <w:rFonts w:ascii="宋体" w:hAnsi="宋体" w:cs="宋体" w:eastAsia="宋体" w:hint="default"/>
          <w:b/>
          <w:bCs/>
          <w:w w:val="99"/>
        </w:rPr>
        <w:t> </w:t>
      </w:r>
      <w:r>
        <w:rPr>
          <w:spacing w:val="-2"/>
        </w:rPr>
        <w:t>公司根据《企业内部控制基本规范》及其配套指引，结合公司《分子公司管理制度》《关联交易决策制度》《对外投资</w:t>
      </w:r>
    </w:p>
    <w:p>
      <w:pPr>
        <w:pStyle w:val="BodyText"/>
        <w:spacing w:line="240" w:lineRule="auto" w:before="31"/>
        <w:ind w:right="0"/>
        <w:jc w:val="left"/>
      </w:pPr>
      <w:r>
        <w:rPr/>
        <w:t>管理制度》《对外担保管理制度》等要求，不断建立健全并有效实施内部控制，保证资产安全，财务报告及相关信息真实完</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1115"/>
        <w:jc w:val="left"/>
      </w:pPr>
      <w:r>
        <w:rPr/>
        <w:t>整，经营管理合法合规，通过提高经营效率和效果，促进公司未来发展战略的实现。</w:t>
      </w:r>
    </w:p>
    <w:p>
      <w:pPr>
        <w:spacing w:line="240" w:lineRule="auto" w:before="0"/>
        <w:rPr>
          <w:rFonts w:ascii="宋体" w:hAnsi="宋体" w:cs="宋体" w:eastAsia="宋体" w:hint="default"/>
          <w:sz w:val="18"/>
          <w:szCs w:val="18"/>
        </w:rPr>
      </w:pPr>
    </w:p>
    <w:p>
      <w:pPr>
        <w:spacing w:line="300" w:lineRule="auto" w:before="153"/>
        <w:ind w:left="513" w:right="1115"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8</w:t>
      </w:r>
      <w:r>
        <w:rPr>
          <w:rFonts w:ascii="宋体" w:hAnsi="宋体" w:cs="宋体" w:eastAsia="宋体" w:hint="default"/>
          <w:b/>
          <w:bCs/>
          <w:sz w:val="18"/>
          <w:szCs w:val="18"/>
        </w:rPr>
        <w:t>、关于信息披露与投资者关系管理</w:t>
      </w:r>
      <w:r>
        <w:rPr>
          <w:rFonts w:ascii="宋体" w:hAnsi="宋体" w:cs="宋体" w:eastAsia="宋体" w:hint="default"/>
          <w:b/>
          <w:bCs/>
          <w:w w:val="99"/>
          <w:sz w:val="18"/>
          <w:szCs w:val="18"/>
        </w:rPr>
        <w:t> </w:t>
      </w:r>
      <w:r>
        <w:rPr>
          <w:rFonts w:ascii="宋体" w:hAnsi="宋体" w:cs="宋体" w:eastAsia="宋体" w:hint="default"/>
          <w:spacing w:val="-2"/>
          <w:sz w:val="18"/>
          <w:szCs w:val="18"/>
        </w:rPr>
        <w:t>公司严格按照中国证监会《上市公司信息披露管理办法》《深圳证券交易所上市公司规范运作指引》的规定，以及公司</w:t>
      </w:r>
    </w:p>
    <w:p>
      <w:pPr>
        <w:pStyle w:val="BodyText"/>
        <w:spacing w:line="316" w:lineRule="auto" w:before="31"/>
        <w:ind w:right="1040"/>
        <w:jc w:val="both"/>
      </w:pPr>
      <w:r>
        <w:rPr>
          <w:spacing w:val="-2"/>
        </w:rPr>
        <w:t>《信息披露制度》《投资者关系管理制度》的要求，履行信息披露义务。公司董事会秘书为信息披露及投资者关系管理的负</w:t>
      </w:r>
      <w:r>
        <w:rPr>
          <w:spacing w:val="-67"/>
        </w:rPr>
        <w:t> </w:t>
      </w:r>
      <w:r>
        <w:rPr>
          <w:spacing w:val="-67"/>
        </w:rPr>
      </w:r>
      <w:r>
        <w:rPr>
          <w:spacing w:val="-2"/>
        </w:rPr>
        <w:t>责人，通过采用投资者专线电话、电子邮箱、现场接待及互动易平台等多种方式，实现与广大投资者及时、高效的沟通；并</w:t>
      </w:r>
      <w:r>
        <w:rPr>
          <w:spacing w:val="-70"/>
        </w:rPr>
        <w:t> </w:t>
      </w:r>
      <w:r>
        <w:rPr>
          <w:spacing w:val="-70"/>
        </w:rPr>
      </w:r>
      <w:r>
        <w:rPr/>
        <w:t>及时通过互动易平台向广大股东展示投资者关系活动记录表，着力于提高公司信息披露的透明度及公平性。《中国证券报》</w:t>
      </w:r>
    </w:p>
    <w:p>
      <w:pPr>
        <w:pStyle w:val="BodyText"/>
        <w:spacing w:line="300" w:lineRule="auto" w:before="19"/>
        <w:ind w:right="1115"/>
        <w:jc w:val="left"/>
      </w:pPr>
      <w:r>
        <w:rPr/>
        <w:t>《证券时报》为公司信息披露的指定报纸，巨潮资讯网（</w:t>
      </w:r>
      <w:hyperlink r:id="rId13">
        <w:r>
          <w:rPr>
            <w:rFonts w:ascii="Times New Roman" w:hAnsi="Times New Roman" w:cs="Times New Roman" w:eastAsia="Times New Roman" w:hint="default"/>
          </w:rPr>
          <w:t>www.cninfo.com.cn</w:t>
        </w:r>
      </w:hyperlink>
      <w:r>
        <w:rPr/>
        <w:t>）为公司信息披露的指定网站，严格按照有关</w:t>
      </w:r>
      <w:r>
        <w:rPr>
          <w:spacing w:val="-27"/>
        </w:rPr>
        <w:t> </w:t>
      </w:r>
      <w:r>
        <w:rPr>
          <w:spacing w:val="-27"/>
        </w:rPr>
      </w:r>
      <w:r>
        <w:rPr/>
        <w:t>规定真实、准确、完整、及时地披露有关信息，确保公司所有股东能够平等地获得信息。</w:t>
      </w:r>
    </w:p>
    <w:p>
      <w:pPr>
        <w:spacing w:line="240" w:lineRule="auto" w:before="0"/>
        <w:rPr>
          <w:rFonts w:ascii="宋体" w:hAnsi="宋体" w:cs="宋体" w:eastAsia="宋体" w:hint="default"/>
          <w:sz w:val="18"/>
          <w:szCs w:val="18"/>
        </w:rPr>
      </w:pPr>
    </w:p>
    <w:p>
      <w:pPr>
        <w:pStyle w:val="BodyText"/>
        <w:spacing w:line="240" w:lineRule="auto" w:before="148"/>
        <w:ind w:right="1115"/>
        <w:jc w:val="left"/>
      </w:pPr>
      <w:r>
        <w:rPr/>
        <w:t>公司治理的实际状况与中国证监会发布的有关上市公司治理的规范性文件是否存在重大差异</w:t>
      </w:r>
    </w:p>
    <w:p>
      <w:pPr>
        <w:pStyle w:val="BodyText"/>
        <w:spacing w:line="340" w:lineRule="auto" w:before="115"/>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1115"/>
        <w:jc w:val="left"/>
        <w:rPr>
          <w:b w:val="0"/>
          <w:bCs w:val="0"/>
        </w:rPr>
      </w:pPr>
      <w:bookmarkStart w:name="二、公司相对于控股股东在业务、人员、资产、机构、财务等方面的独立情况" w:id="143"/>
      <w:bookmarkEnd w:id="143"/>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2" w:firstLine="360"/>
        <w:jc w:val="both"/>
      </w:pPr>
      <w:r>
        <w:rPr>
          <w:spacing w:val="-2"/>
        </w:rPr>
        <w:t>公司的控股股东是北京久其科技投资有限公司，该控股股东行为规范，没有超越股东大会直接或间接干预公司的决策和</w:t>
      </w:r>
      <w:r>
        <w:rPr/>
        <w:t> </w:t>
      </w:r>
      <w:r>
        <w:rPr>
          <w:spacing w:val="-5"/>
        </w:rPr>
        <w:t>经营活动。公司董事会、监事会、经理会能够独立运作，公司与控股股东在业务、人员、资产、机构、财务等方面完全分开，</w:t>
      </w:r>
      <w:r>
        <w:rPr>
          <w:spacing w:val="-81"/>
        </w:rPr>
        <w:t> </w:t>
      </w:r>
      <w:r>
        <w:rPr>
          <w:spacing w:val="-81"/>
        </w:rPr>
      </w:r>
      <w:r>
        <w:rPr/>
        <w:t>具有独立完整的业务及自主经营能力。</w:t>
      </w:r>
    </w:p>
    <w:p>
      <w:pPr>
        <w:pStyle w:val="BodyText"/>
        <w:spacing w:line="316" w:lineRule="auto" w:before="19"/>
        <w:ind w:right="1132" w:firstLine="360"/>
        <w:jc w:val="both"/>
      </w:pPr>
      <w:r>
        <w:rPr>
          <w:rFonts w:ascii="宋体" w:hAnsi="宋体" w:cs="宋体" w:eastAsia="宋体" w:hint="default"/>
          <w:b/>
          <w:bCs/>
          <w:spacing w:val="-2"/>
        </w:rPr>
        <w:t>业务独立情况</w:t>
      </w:r>
      <w:r>
        <w:rPr>
          <w:spacing w:val="-2"/>
        </w:rPr>
        <w:t>：公司独立从事业务经营，拥有独立产品研发、销售采购和技术服务运作体系和独立的商标权、著作权等</w:t>
      </w:r>
      <w:r>
        <w:rPr/>
        <w:t> 知识产权，与控股股东及其关联企业不存在依赖关系。</w:t>
      </w:r>
    </w:p>
    <w:p>
      <w:pPr>
        <w:pStyle w:val="BodyText"/>
        <w:spacing w:line="316" w:lineRule="auto" w:before="19"/>
        <w:ind w:left="513" w:right="1115"/>
        <w:jc w:val="left"/>
      </w:pPr>
      <w:r>
        <w:rPr>
          <w:rFonts w:ascii="宋体" w:hAnsi="宋体" w:cs="宋体" w:eastAsia="宋体" w:hint="default"/>
          <w:b/>
          <w:bCs/>
        </w:rPr>
        <w:t>人员独立情况</w:t>
      </w:r>
      <w:r>
        <w:rPr/>
        <w:t>：公司的人事管理和绩效管理完全独立，与控股股东及其关联企业不存在依赖关系。 </w:t>
      </w:r>
      <w:r>
        <w:rPr>
          <w:rFonts w:ascii="宋体" w:hAnsi="宋体" w:cs="宋体" w:eastAsia="宋体" w:hint="default"/>
          <w:b/>
          <w:bCs/>
          <w:spacing w:val="-2"/>
        </w:rPr>
        <w:t>资产独立情况</w:t>
      </w:r>
      <w:r>
        <w:rPr>
          <w:spacing w:val="-2"/>
        </w:rPr>
        <w:t>：公司所拥有的生产经营场所房屋所有权、土地使用权、相关配套设施、工业产权和非专利技术等有形和</w:t>
      </w:r>
    </w:p>
    <w:p>
      <w:pPr>
        <w:pStyle w:val="BodyText"/>
        <w:spacing w:line="316" w:lineRule="auto" w:before="19"/>
        <w:ind w:left="513" w:right="1115" w:hanging="361"/>
        <w:jc w:val="left"/>
      </w:pPr>
      <w:r>
        <w:rPr/>
        <w:t>无形资产完全独立于控股股东及其关联企业。 </w:t>
      </w:r>
      <w:r>
        <w:rPr>
          <w:rFonts w:ascii="宋体" w:hAnsi="宋体" w:cs="宋体" w:eastAsia="宋体" w:hint="default"/>
          <w:b/>
          <w:bCs/>
        </w:rPr>
        <w:t>机构独立情况</w:t>
      </w:r>
      <w:r>
        <w:rPr/>
        <w:t>：公司与控股股东及其关联企业在机构设置方面不存在交叉关联及上下级关系情况。 </w:t>
      </w:r>
      <w:r>
        <w:rPr>
          <w:rFonts w:ascii="宋体" w:hAnsi="宋体" w:cs="宋体" w:eastAsia="宋体" w:hint="default"/>
          <w:b/>
          <w:bCs/>
          <w:spacing w:val="-2"/>
        </w:rPr>
        <w:t>财务独立情况</w:t>
      </w:r>
      <w:r>
        <w:rPr>
          <w:spacing w:val="-2"/>
        </w:rPr>
        <w:t>：公司拥有独立的财务会计部门，独立的会计核算体系和财务管理制度。公司独立做出财务决策，并拥有</w:t>
      </w:r>
    </w:p>
    <w:p>
      <w:pPr>
        <w:pStyle w:val="BodyText"/>
        <w:spacing w:line="240" w:lineRule="auto" w:before="19"/>
        <w:ind w:right="1115"/>
        <w:jc w:val="left"/>
      </w:pPr>
      <w:r>
        <w:rPr/>
        <w:t>独立银行账户，依法独立纳税。</w:t>
      </w:r>
    </w:p>
    <w:p>
      <w:pPr>
        <w:spacing w:line="240" w:lineRule="auto" w:before="3"/>
        <w:rPr>
          <w:rFonts w:ascii="宋体" w:hAnsi="宋体" w:cs="宋体" w:eastAsia="宋体" w:hint="default"/>
          <w:sz w:val="25"/>
          <w:szCs w:val="25"/>
        </w:rPr>
      </w:pPr>
    </w:p>
    <w:p>
      <w:pPr>
        <w:pStyle w:val="Heading2"/>
        <w:spacing w:line="240" w:lineRule="auto"/>
        <w:ind w:right="1115"/>
        <w:jc w:val="left"/>
        <w:rPr>
          <w:b w:val="0"/>
          <w:bCs w:val="0"/>
        </w:rPr>
      </w:pPr>
      <w:bookmarkStart w:name="三、同业竞争情况" w:id="144"/>
      <w:bookmarkEnd w:id="144"/>
      <w:r>
        <w:rPr>
          <w:b w:val="0"/>
          <w:bCs w:val="0"/>
        </w:rPr>
      </w: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15"/>
        <w:jc w:val="left"/>
        <w:rPr>
          <w:b w:val="0"/>
          <w:bCs w:val="0"/>
        </w:rPr>
      </w:pPr>
      <w:bookmarkStart w:name="四、报告期内召开的年度股东大会和临时股东大会的有关情况" w:id="145"/>
      <w:bookmarkEnd w:id="145"/>
      <w:r>
        <w:rPr>
          <w:b w:val="0"/>
          <w:bCs w:val="0"/>
        </w:rPr>
      </w: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5"/>
        <w:jc w:val="left"/>
        <w:rPr>
          <w:b w:val="0"/>
          <w:bCs w:val="0"/>
        </w:rPr>
      </w:pPr>
      <w:bookmarkStart w:name="1、本报告期股东大会情况" w:id="146"/>
      <w:bookmarkEnd w:id="146"/>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20"/>
        <w:gridCol w:w="677"/>
        <w:gridCol w:w="956"/>
        <w:gridCol w:w="967"/>
        <w:gridCol w:w="967"/>
        <w:gridCol w:w="4782"/>
      </w:tblGrid>
      <w:tr>
        <w:trPr>
          <w:trHeight w:val="715" w:hRule="exact"/>
        </w:trPr>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4" w:right="60" w:hanging="180"/>
              <w:jc w:val="left"/>
              <w:rPr>
                <w:rFonts w:ascii="宋体" w:hAnsi="宋体" w:cs="宋体" w:eastAsia="宋体" w:hint="default"/>
                <w:sz w:val="18"/>
                <w:szCs w:val="18"/>
              </w:rPr>
            </w:pPr>
            <w:r>
              <w:rPr>
                <w:rFonts w:ascii="宋体" w:hAnsi="宋体" w:cs="宋体" w:eastAsia="宋体" w:hint="default"/>
                <w:sz w:val="18"/>
                <w:szCs w:val="18"/>
              </w:rPr>
              <w:t>会议类 型</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2" w:right="19" w:hanging="269"/>
              <w:jc w:val="left"/>
              <w:rPr>
                <w:rFonts w:ascii="宋体" w:hAnsi="宋体" w:cs="宋体" w:eastAsia="宋体" w:hint="default"/>
                <w:sz w:val="18"/>
                <w:szCs w:val="18"/>
              </w:rPr>
            </w:pPr>
            <w:r>
              <w:rPr>
                <w:rFonts w:ascii="宋体" w:hAnsi="宋体" w:cs="宋体" w:eastAsia="宋体" w:hint="default"/>
                <w:sz w:val="18"/>
                <w:szCs w:val="18"/>
              </w:rPr>
              <w:t>投资者参与 比例</w:t>
            </w:r>
          </w:p>
        </w:tc>
        <w:tc>
          <w:tcPr>
            <w:tcW w:w="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3"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 临时股东大会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01"/>
              <w:jc w:val="left"/>
              <w:rPr>
                <w:rFonts w:ascii="宋体" w:hAnsi="宋体" w:cs="宋体" w:eastAsia="宋体" w:hint="default"/>
                <w:sz w:val="18"/>
                <w:szCs w:val="18"/>
              </w:rPr>
            </w:pPr>
            <w:r>
              <w:rPr>
                <w:rFonts w:ascii="宋体" w:hAnsi="宋体" w:cs="宋体" w:eastAsia="宋体" w:hint="default"/>
                <w:sz w:val="18"/>
                <w:szCs w:val="18"/>
              </w:rPr>
              <w:t>临时股 东大会</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49.69%</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w:t>
            </w:r>
            <w:r>
              <w:rPr>
                <w:rFonts w:ascii="宋体" w:hAnsi="宋体" w:cs="宋体" w:eastAsia="宋体" w:hint="default"/>
                <w:spacing w:val="-3"/>
                <w:sz w:val="18"/>
                <w:szCs w:val="18"/>
              </w:rPr>
              <w:t>会</w:t>
            </w:r>
            <w:r>
              <w:rPr>
                <w:rFonts w:ascii="宋体" w:hAnsi="宋体" w:cs="宋体" w:eastAsia="宋体" w:hint="default"/>
                <w:sz w:val="18"/>
                <w:szCs w:val="18"/>
              </w:rPr>
              <w:t>决议公告</w:t>
            </w:r>
            <w:r>
              <w:rPr>
                <w:rFonts w:ascii="宋体" w:hAnsi="宋体" w:cs="宋体" w:eastAsia="宋体" w:hint="default"/>
                <w:spacing w:val="-92"/>
                <w:sz w:val="18"/>
                <w:szCs w:val="18"/>
              </w:rPr>
              <w:t>》</w:t>
            </w:r>
            <w:r>
              <w:rPr>
                <w:rFonts w:ascii="宋体" w:hAnsi="宋体" w:cs="宋体" w:eastAsia="宋体" w:hint="default"/>
                <w:sz w:val="18"/>
                <w:szCs w:val="18"/>
              </w:rPr>
              <w:t>（公告编号</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2019-016</w:t>
            </w:r>
            <w:r>
              <w:rPr>
                <w:rFonts w:ascii="宋体" w:hAnsi="宋体" w:cs="宋体" w:eastAsia="宋体" w:hint="default"/>
                <w:sz w:val="18"/>
                <w:szCs w:val="18"/>
              </w:rPr>
              <w:t>）已披露于巨潮资讯网</w:t>
            </w:r>
            <w:r>
              <w:rPr>
                <w:rFonts w:ascii="宋体" w:hAnsi="宋体" w:cs="宋体" w:eastAsia="宋体" w:hint="default"/>
                <w:spacing w:val="-68"/>
                <w:sz w:val="18"/>
                <w:szCs w:val="18"/>
              </w:rPr>
              <w:t> </w:t>
            </w:r>
            <w:hyperlink r:id="rId13">
              <w:r>
                <w:rPr>
                  <w:rFonts w:ascii="Times New Roman" w:hAnsi="Times New Roman" w:cs="Times New Roman" w:eastAsia="Times New Roman" w:hint="default"/>
                  <w:sz w:val="18"/>
                  <w:szCs w:val="18"/>
                </w:rPr>
                <w:t>www.cninfo.com.cn</w:t>
              </w:r>
            </w:hyperlink>
          </w:p>
        </w:tc>
      </w:tr>
      <w:tr>
        <w:trPr>
          <w:trHeight w:val="715"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 临时股东大会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1"/>
              <w:jc w:val="left"/>
              <w:rPr>
                <w:rFonts w:ascii="宋体" w:hAnsi="宋体" w:cs="宋体" w:eastAsia="宋体" w:hint="default"/>
                <w:sz w:val="18"/>
                <w:szCs w:val="18"/>
              </w:rPr>
            </w:pPr>
            <w:r>
              <w:rPr>
                <w:rFonts w:ascii="宋体" w:hAnsi="宋体" w:cs="宋体" w:eastAsia="宋体" w:hint="default"/>
                <w:sz w:val="18"/>
                <w:szCs w:val="18"/>
              </w:rPr>
              <w:t>临时股 东大会</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49.57%</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w:t>
            </w:r>
            <w:r>
              <w:rPr>
                <w:rFonts w:ascii="宋体" w:hAnsi="宋体" w:cs="宋体" w:eastAsia="宋体" w:hint="default"/>
                <w:spacing w:val="-3"/>
                <w:sz w:val="18"/>
                <w:szCs w:val="18"/>
              </w:rPr>
              <w:t>会</w:t>
            </w:r>
            <w:r>
              <w:rPr>
                <w:rFonts w:ascii="宋体" w:hAnsi="宋体" w:cs="宋体" w:eastAsia="宋体" w:hint="default"/>
                <w:sz w:val="18"/>
                <w:szCs w:val="18"/>
              </w:rPr>
              <w:t>决议公告</w:t>
            </w:r>
            <w:r>
              <w:rPr>
                <w:rFonts w:ascii="宋体" w:hAnsi="宋体" w:cs="宋体" w:eastAsia="宋体" w:hint="default"/>
                <w:spacing w:val="-92"/>
                <w:sz w:val="18"/>
                <w:szCs w:val="18"/>
              </w:rPr>
              <w:t>》</w:t>
            </w:r>
            <w:r>
              <w:rPr>
                <w:rFonts w:ascii="宋体" w:hAnsi="宋体" w:cs="宋体" w:eastAsia="宋体" w:hint="default"/>
                <w:sz w:val="18"/>
                <w:szCs w:val="18"/>
              </w:rPr>
              <w:t>（公告编号</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2019-050</w:t>
            </w:r>
            <w:r>
              <w:rPr>
                <w:rFonts w:ascii="宋体" w:hAnsi="宋体" w:cs="宋体" w:eastAsia="宋体" w:hint="default"/>
                <w:sz w:val="18"/>
                <w:szCs w:val="18"/>
              </w:rPr>
              <w:t>）已披露于巨潮资讯网</w:t>
            </w:r>
            <w:r>
              <w:rPr>
                <w:rFonts w:ascii="宋体" w:hAnsi="宋体" w:cs="宋体" w:eastAsia="宋体" w:hint="default"/>
                <w:spacing w:val="-68"/>
                <w:sz w:val="18"/>
                <w:szCs w:val="18"/>
              </w:rPr>
              <w:t> </w:t>
            </w:r>
            <w:hyperlink r:id="rId13">
              <w:r>
                <w:rPr>
                  <w:rFonts w:ascii="Times New Roman" w:hAnsi="Times New Roman" w:cs="Times New Roman" w:eastAsia="Times New Roman" w:hint="default"/>
                  <w:sz w:val="18"/>
                  <w:szCs w:val="18"/>
                </w:rPr>
                <w:t>www.cninfo.com.cn</w:t>
              </w:r>
            </w:hyperlink>
          </w:p>
        </w:tc>
      </w:tr>
      <w:tr>
        <w:trPr>
          <w:trHeight w:val="401"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3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年度股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49.51%</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1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67"/>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年度股东大会决议公</w:t>
            </w:r>
            <w:r>
              <w:rPr>
                <w:rFonts w:ascii="宋体" w:hAnsi="宋体" w:cs="宋体" w:eastAsia="宋体" w:hint="default"/>
                <w:spacing w:val="-3"/>
                <w:sz w:val="18"/>
                <w:szCs w:val="18"/>
              </w:rPr>
              <w:t>告</w:t>
            </w:r>
            <w:r>
              <w:rPr>
                <w:rFonts w:ascii="宋体" w:hAnsi="宋体" w:cs="宋体" w:eastAsia="宋体" w:hint="default"/>
                <w:spacing w:val="-92"/>
                <w:sz w:val="18"/>
                <w:szCs w:val="18"/>
              </w:rPr>
              <w:t>》</w:t>
            </w:r>
            <w:r>
              <w:rPr>
                <w:rFonts w:ascii="宋体" w:hAnsi="宋体" w:cs="宋体" w:eastAsia="宋体" w:hint="default"/>
                <w:sz w:val="18"/>
                <w:szCs w:val="18"/>
              </w:rPr>
              <w:t>（公告编号</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66</w:t>
            </w:r>
            <w:r>
              <w:rPr>
                <w:rFonts w:ascii="宋体" w:hAnsi="宋体" w:cs="宋体" w:eastAsia="宋体" w:hint="default"/>
                <w:sz w:val="18"/>
                <w:szCs w:val="18"/>
              </w:rPr>
              <w:t>）已披</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320"/>
        <w:gridCol w:w="677"/>
        <w:gridCol w:w="956"/>
        <w:gridCol w:w="967"/>
        <w:gridCol w:w="967"/>
        <w:gridCol w:w="4782"/>
      </w:tblGrid>
      <w:tr>
        <w:trPr>
          <w:trHeight w:val="713" w:hRule="exact"/>
        </w:trPr>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4" w:right="60" w:hanging="180"/>
              <w:jc w:val="left"/>
              <w:rPr>
                <w:rFonts w:ascii="宋体" w:hAnsi="宋体" w:cs="宋体" w:eastAsia="宋体" w:hint="default"/>
                <w:sz w:val="18"/>
                <w:szCs w:val="18"/>
              </w:rPr>
            </w:pPr>
            <w:r>
              <w:rPr>
                <w:rFonts w:ascii="宋体" w:hAnsi="宋体" w:cs="宋体" w:eastAsia="宋体" w:hint="default"/>
                <w:sz w:val="18"/>
                <w:szCs w:val="18"/>
              </w:rPr>
              <w:t>会议类 型</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92" w:right="19" w:hanging="269"/>
              <w:jc w:val="left"/>
              <w:rPr>
                <w:rFonts w:ascii="宋体" w:hAnsi="宋体" w:cs="宋体" w:eastAsia="宋体" w:hint="default"/>
                <w:sz w:val="18"/>
                <w:szCs w:val="18"/>
              </w:rPr>
            </w:pPr>
            <w:r>
              <w:rPr>
                <w:rFonts w:ascii="宋体" w:hAnsi="宋体" w:cs="宋体" w:eastAsia="宋体" w:hint="default"/>
                <w:sz w:val="18"/>
                <w:szCs w:val="18"/>
              </w:rPr>
              <w:t>投资者参与 比例</w:t>
            </w:r>
          </w:p>
        </w:tc>
        <w:tc>
          <w:tcPr>
            <w:tcW w:w="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24"/>
              <w:jc w:val="righ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2"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大会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东大会</w:t>
            </w:r>
          </w:p>
        </w:tc>
        <w:tc>
          <w:tcPr>
            <w:tcW w:w="956"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94"/>
              <w:jc w:val="right"/>
              <w:rPr>
                <w:rFonts w:ascii="Times New Roman" w:hAnsi="Times New Roman" w:cs="Times New Roman" w:eastAsia="Times New Roman" w:hint="default"/>
                <w:sz w:val="18"/>
                <w:szCs w:val="18"/>
              </w:rPr>
            </w:pPr>
            <w:r>
              <w:rPr>
                <w:rFonts w:ascii="宋体" w:hAnsi="宋体" w:cs="宋体" w:eastAsia="宋体" w:hint="default"/>
                <w:sz w:val="18"/>
                <w:szCs w:val="18"/>
              </w:rPr>
              <w:t>露于巨潮资讯网</w:t>
            </w:r>
            <w:r>
              <w:rPr>
                <w:rFonts w:ascii="宋体" w:hAnsi="宋体" w:cs="宋体" w:eastAsia="宋体" w:hint="default"/>
                <w:spacing w:val="-67"/>
                <w:sz w:val="18"/>
                <w:szCs w:val="18"/>
              </w:rPr>
              <w:t> </w:t>
            </w:r>
            <w:hyperlink r:id="rId13">
              <w:r>
                <w:rPr>
                  <w:rFonts w:ascii="Times New Roman" w:hAnsi="Times New Roman" w:cs="Times New Roman" w:eastAsia="Times New Roman" w:hint="default"/>
                  <w:sz w:val="18"/>
                  <w:szCs w:val="18"/>
                </w:rPr>
                <w:t>www.cninfo.com.cn</w:t>
              </w:r>
            </w:hyperlink>
          </w:p>
        </w:tc>
      </w:tr>
      <w:tr>
        <w:trPr>
          <w:trHeight w:val="715"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 临时股东大会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1"/>
              <w:jc w:val="left"/>
              <w:rPr>
                <w:rFonts w:ascii="宋体" w:hAnsi="宋体" w:cs="宋体" w:eastAsia="宋体" w:hint="default"/>
                <w:sz w:val="18"/>
                <w:szCs w:val="18"/>
              </w:rPr>
            </w:pPr>
            <w:r>
              <w:rPr>
                <w:rFonts w:ascii="宋体" w:hAnsi="宋体" w:cs="宋体" w:eastAsia="宋体" w:hint="default"/>
                <w:sz w:val="18"/>
                <w:szCs w:val="18"/>
              </w:rPr>
              <w:t>临时股 东大会</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49.67%</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年第三次临时股东大</w:t>
            </w:r>
            <w:r>
              <w:rPr>
                <w:rFonts w:ascii="宋体" w:hAnsi="宋体" w:cs="宋体" w:eastAsia="宋体" w:hint="default"/>
                <w:spacing w:val="-3"/>
                <w:sz w:val="18"/>
                <w:szCs w:val="18"/>
              </w:rPr>
              <w:t>会</w:t>
            </w:r>
            <w:r>
              <w:rPr>
                <w:rFonts w:ascii="宋体" w:hAnsi="宋体" w:cs="宋体" w:eastAsia="宋体" w:hint="default"/>
                <w:sz w:val="18"/>
                <w:szCs w:val="18"/>
              </w:rPr>
              <w:t>决议公告</w:t>
            </w:r>
            <w:r>
              <w:rPr>
                <w:rFonts w:ascii="宋体" w:hAnsi="宋体" w:cs="宋体" w:eastAsia="宋体" w:hint="default"/>
                <w:spacing w:val="-92"/>
                <w:sz w:val="18"/>
                <w:szCs w:val="18"/>
              </w:rPr>
              <w:t>》</w:t>
            </w:r>
            <w:r>
              <w:rPr>
                <w:rFonts w:ascii="宋体" w:hAnsi="宋体" w:cs="宋体" w:eastAsia="宋体" w:hint="default"/>
                <w:sz w:val="18"/>
                <w:szCs w:val="18"/>
              </w:rPr>
              <w:t>（公告编号</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2019-082</w:t>
            </w:r>
            <w:r>
              <w:rPr>
                <w:rFonts w:ascii="宋体" w:hAnsi="宋体" w:cs="宋体" w:eastAsia="宋体" w:hint="default"/>
                <w:sz w:val="18"/>
                <w:szCs w:val="18"/>
              </w:rPr>
              <w:t>）已披露于巨潮资讯网</w:t>
            </w:r>
            <w:r>
              <w:rPr>
                <w:rFonts w:ascii="宋体" w:hAnsi="宋体" w:cs="宋体" w:eastAsia="宋体" w:hint="default"/>
                <w:spacing w:val="-68"/>
                <w:sz w:val="18"/>
                <w:szCs w:val="18"/>
              </w:rPr>
              <w:t> </w:t>
            </w:r>
            <w:hyperlink r:id="rId13">
              <w:r>
                <w:rPr>
                  <w:rFonts w:ascii="Times New Roman" w:hAnsi="Times New Roman" w:cs="Times New Roman" w:eastAsia="Times New Roman" w:hint="default"/>
                  <w:sz w:val="18"/>
                  <w:szCs w:val="18"/>
                </w:rPr>
                <w:t>www.cninfo.com.cn</w:t>
              </w:r>
            </w:hyperlink>
          </w:p>
        </w:tc>
      </w:tr>
      <w:tr>
        <w:trPr>
          <w:trHeight w:val="713"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 临时股东大会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1"/>
              <w:jc w:val="left"/>
              <w:rPr>
                <w:rFonts w:ascii="宋体" w:hAnsi="宋体" w:cs="宋体" w:eastAsia="宋体" w:hint="default"/>
                <w:sz w:val="18"/>
                <w:szCs w:val="18"/>
              </w:rPr>
            </w:pPr>
            <w:r>
              <w:rPr>
                <w:rFonts w:ascii="宋体" w:hAnsi="宋体" w:cs="宋体" w:eastAsia="宋体" w:hint="default"/>
                <w:sz w:val="18"/>
                <w:szCs w:val="18"/>
              </w:rPr>
              <w:t>临时股 东大会</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26.84%</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年第四次临时股东大</w:t>
            </w:r>
            <w:r>
              <w:rPr>
                <w:rFonts w:ascii="宋体" w:hAnsi="宋体" w:cs="宋体" w:eastAsia="宋体" w:hint="default"/>
                <w:spacing w:val="-3"/>
                <w:sz w:val="18"/>
                <w:szCs w:val="18"/>
              </w:rPr>
              <w:t>会</w:t>
            </w:r>
            <w:r>
              <w:rPr>
                <w:rFonts w:ascii="宋体" w:hAnsi="宋体" w:cs="宋体" w:eastAsia="宋体" w:hint="default"/>
                <w:sz w:val="18"/>
                <w:szCs w:val="18"/>
              </w:rPr>
              <w:t>决议公告</w:t>
            </w:r>
            <w:r>
              <w:rPr>
                <w:rFonts w:ascii="宋体" w:hAnsi="宋体" w:cs="宋体" w:eastAsia="宋体" w:hint="default"/>
                <w:spacing w:val="-92"/>
                <w:sz w:val="18"/>
                <w:szCs w:val="18"/>
              </w:rPr>
              <w:t>》</w:t>
            </w:r>
            <w:r>
              <w:rPr>
                <w:rFonts w:ascii="宋体" w:hAnsi="宋体" w:cs="宋体" w:eastAsia="宋体" w:hint="default"/>
                <w:sz w:val="18"/>
                <w:szCs w:val="18"/>
              </w:rPr>
              <w:t>（公告编号</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2019-110</w:t>
            </w:r>
            <w:r>
              <w:rPr>
                <w:rFonts w:ascii="宋体" w:hAnsi="宋体" w:cs="宋体" w:eastAsia="宋体" w:hint="default"/>
                <w:sz w:val="18"/>
                <w:szCs w:val="18"/>
              </w:rPr>
              <w:t>）已披露于巨潮资讯网</w:t>
            </w:r>
            <w:r>
              <w:rPr>
                <w:rFonts w:ascii="宋体" w:hAnsi="宋体" w:cs="宋体" w:eastAsia="宋体" w:hint="default"/>
                <w:spacing w:val="-75"/>
                <w:sz w:val="18"/>
                <w:szCs w:val="18"/>
              </w:rPr>
              <w:t> </w:t>
            </w:r>
            <w:hyperlink r:id="rId13">
              <w:r>
                <w:rPr>
                  <w:rFonts w:ascii="Times New Roman" w:hAnsi="Times New Roman" w:cs="Times New Roman" w:eastAsia="Times New Roman" w:hint="default"/>
                  <w:sz w:val="18"/>
                  <w:szCs w:val="18"/>
                </w:rPr>
                <w:t>www.cninfo.com.cn</w:t>
              </w:r>
            </w:hyperlink>
          </w:p>
        </w:tc>
      </w:tr>
      <w:tr>
        <w:trPr>
          <w:trHeight w:val="715"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年第五次 临时股东大会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1"/>
              <w:jc w:val="left"/>
              <w:rPr>
                <w:rFonts w:ascii="宋体" w:hAnsi="宋体" w:cs="宋体" w:eastAsia="宋体" w:hint="default"/>
                <w:sz w:val="18"/>
                <w:szCs w:val="18"/>
              </w:rPr>
            </w:pPr>
            <w:r>
              <w:rPr>
                <w:rFonts w:ascii="宋体" w:hAnsi="宋体" w:cs="宋体" w:eastAsia="宋体" w:hint="default"/>
                <w:sz w:val="18"/>
                <w:szCs w:val="18"/>
              </w:rPr>
              <w:t>临时股 东大会</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37.15%</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年第五次临时股东大</w:t>
            </w:r>
            <w:r>
              <w:rPr>
                <w:rFonts w:ascii="宋体" w:hAnsi="宋体" w:cs="宋体" w:eastAsia="宋体" w:hint="default"/>
                <w:spacing w:val="-3"/>
                <w:sz w:val="18"/>
                <w:szCs w:val="18"/>
              </w:rPr>
              <w:t>会</w:t>
            </w:r>
            <w:r>
              <w:rPr>
                <w:rFonts w:ascii="宋体" w:hAnsi="宋体" w:cs="宋体" w:eastAsia="宋体" w:hint="default"/>
                <w:sz w:val="18"/>
                <w:szCs w:val="18"/>
              </w:rPr>
              <w:t>决议公告</w:t>
            </w:r>
            <w:r>
              <w:rPr>
                <w:rFonts w:ascii="宋体" w:hAnsi="宋体" w:cs="宋体" w:eastAsia="宋体" w:hint="default"/>
                <w:spacing w:val="-92"/>
                <w:sz w:val="18"/>
                <w:szCs w:val="18"/>
              </w:rPr>
              <w:t>》</w:t>
            </w:r>
            <w:r>
              <w:rPr>
                <w:rFonts w:ascii="宋体" w:hAnsi="宋体" w:cs="宋体" w:eastAsia="宋体" w:hint="default"/>
                <w:sz w:val="18"/>
                <w:szCs w:val="18"/>
              </w:rPr>
              <w:t>（公告编号</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2019-129</w:t>
            </w:r>
            <w:r>
              <w:rPr>
                <w:rFonts w:ascii="宋体" w:hAnsi="宋体" w:cs="宋体" w:eastAsia="宋体" w:hint="default"/>
                <w:sz w:val="18"/>
                <w:szCs w:val="18"/>
              </w:rPr>
              <w:t>）已披露于巨潮资讯网</w:t>
            </w:r>
            <w:r>
              <w:rPr>
                <w:rFonts w:ascii="宋体" w:hAnsi="宋体" w:cs="宋体" w:eastAsia="宋体" w:hint="default"/>
                <w:spacing w:val="-68"/>
                <w:sz w:val="18"/>
                <w:szCs w:val="18"/>
              </w:rPr>
              <w:t> </w:t>
            </w:r>
            <w:hyperlink r:id="rId13">
              <w:r>
                <w:rPr>
                  <w:rFonts w:ascii="Times New Roman" w:hAnsi="Times New Roman" w:cs="Times New Roman" w:eastAsia="Times New Roman" w:hint="default"/>
                  <w:sz w:val="18"/>
                  <w:szCs w:val="18"/>
                </w:rPr>
                <w:t>www.cninfo.com.cn</w:t>
              </w:r>
            </w:hyperlink>
          </w:p>
        </w:tc>
      </w:tr>
    </w:tbl>
    <w:p>
      <w:pPr>
        <w:spacing w:line="240" w:lineRule="auto" w:before="3"/>
        <w:rPr>
          <w:rFonts w:ascii="宋体" w:hAnsi="宋体" w:cs="宋体" w:eastAsia="宋体" w:hint="default"/>
          <w:b/>
          <w:bCs/>
          <w:sz w:val="19"/>
          <w:szCs w:val="19"/>
        </w:rPr>
      </w:pPr>
    </w:p>
    <w:p>
      <w:pPr>
        <w:pStyle w:val="Heading3"/>
        <w:spacing w:line="240" w:lineRule="auto" w:before="36"/>
        <w:ind w:right="1115"/>
        <w:jc w:val="left"/>
        <w:rPr>
          <w:b w:val="0"/>
          <w:bCs w:val="0"/>
        </w:rPr>
      </w:pPr>
      <w:bookmarkStart w:name="2、表决权恢复的优先股股东请求召开临时股东大会" w:id="147"/>
      <w:bookmarkEnd w:id="147"/>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15"/>
        <w:jc w:val="left"/>
        <w:rPr>
          <w:b w:val="0"/>
          <w:bCs w:val="0"/>
        </w:rPr>
      </w:pPr>
      <w:bookmarkStart w:name="五、报告期内独立董事履行职责的情况" w:id="148"/>
      <w:bookmarkEnd w:id="148"/>
      <w:r>
        <w:rPr>
          <w:b w:val="0"/>
          <w:bCs w:val="0"/>
        </w:rPr>
      </w: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5"/>
        <w:jc w:val="left"/>
        <w:rPr>
          <w:b w:val="0"/>
          <w:bCs w:val="0"/>
        </w:rPr>
      </w:pPr>
      <w:bookmarkStart w:name="1、独立董事出席董事会及股东大会的情况" w:id="149"/>
      <w:bookmarkEnd w:id="149"/>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1"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戴金平</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7" w:right="0"/>
              <w:jc w:val="left"/>
              <w:rPr>
                <w:rFonts w:ascii="Times New Roman" w:hAnsi="Times New Roman" w:cs="Times New Roman" w:eastAsia="Times New Roman" w:hint="default"/>
                <w:sz w:val="18"/>
                <w:szCs w:val="18"/>
              </w:rPr>
            </w:pPr>
            <w:r>
              <w:rPr>
                <w:rFonts w:ascii="Times New Roman"/>
                <w:sz w:val="18"/>
              </w:rPr>
              <w:t>15</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李岳军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7" w:right="0"/>
              <w:jc w:val="left"/>
              <w:rPr>
                <w:rFonts w:ascii="Times New Roman" w:hAnsi="Times New Roman" w:cs="Times New Roman" w:eastAsia="Times New Roman" w:hint="default"/>
                <w:sz w:val="18"/>
                <w:szCs w:val="18"/>
              </w:rPr>
            </w:pPr>
            <w:r>
              <w:rPr>
                <w:rFonts w:ascii="Times New Roman"/>
                <w:sz w:val="18"/>
              </w:rPr>
              <w:t>15</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王元京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7" w:right="0"/>
              <w:jc w:val="left"/>
              <w:rPr>
                <w:rFonts w:ascii="Times New Roman" w:hAnsi="Times New Roman" w:cs="Times New Roman" w:eastAsia="Times New Roman" w:hint="default"/>
                <w:sz w:val="18"/>
                <w:szCs w:val="18"/>
              </w:rPr>
            </w:pPr>
            <w:r>
              <w:rPr>
                <w:rFonts w:ascii="Times New Roman"/>
                <w:sz w:val="18"/>
              </w:rPr>
              <w:t>15</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r>
    </w:tbl>
    <w:p>
      <w:pPr>
        <w:pStyle w:val="BodyText"/>
        <w:spacing w:line="360" w:lineRule="auto" w:before="49"/>
        <w:ind w:left="515" w:right="4991" w:hanging="363"/>
        <w:jc w:val="left"/>
      </w:pPr>
      <w:r>
        <w:rPr/>
        <w:t>连续两次未亲自出席董事会的说明 报告期内，公司独立董事不存在连续两次未亲自出席董事会的情况。</w:t>
      </w:r>
    </w:p>
    <w:p>
      <w:pPr>
        <w:spacing w:line="240" w:lineRule="auto" w:before="2"/>
        <w:rPr>
          <w:rFonts w:ascii="宋体" w:hAnsi="宋体" w:cs="宋体" w:eastAsia="宋体" w:hint="default"/>
          <w:sz w:val="20"/>
          <w:szCs w:val="20"/>
        </w:rPr>
      </w:pPr>
    </w:p>
    <w:p>
      <w:pPr>
        <w:pStyle w:val="Heading3"/>
        <w:spacing w:line="240" w:lineRule="auto"/>
        <w:ind w:right="1115"/>
        <w:jc w:val="left"/>
        <w:rPr>
          <w:b w:val="0"/>
          <w:bCs w:val="0"/>
        </w:rPr>
      </w:pPr>
      <w:bookmarkStart w:name="2、独立董事对公司有关事项提出异议的情况" w:id="150"/>
      <w:bookmarkEnd w:id="150"/>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独立董事对公司有关事项是否提出异议</w:t>
      </w:r>
    </w:p>
    <w:p>
      <w:pPr>
        <w:pStyle w:val="BodyText"/>
        <w:spacing w:line="338" w:lineRule="auto" w:before="117"/>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7"/>
        <w:rPr>
          <w:rFonts w:ascii="宋体" w:hAnsi="宋体" w:cs="宋体" w:eastAsia="宋体" w:hint="default"/>
          <w:sz w:val="21"/>
          <w:szCs w:val="21"/>
        </w:rPr>
      </w:pPr>
    </w:p>
    <w:p>
      <w:pPr>
        <w:pStyle w:val="Heading3"/>
        <w:spacing w:line="240" w:lineRule="auto"/>
        <w:ind w:right="1115"/>
        <w:jc w:val="left"/>
        <w:rPr>
          <w:b w:val="0"/>
          <w:bCs w:val="0"/>
        </w:rPr>
      </w:pPr>
      <w:bookmarkStart w:name="3、独立董事履行职责的其他说明" w:id="151"/>
      <w:bookmarkEnd w:id="151"/>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独立董事对公司有关建议是否被采纳</w:t>
      </w:r>
    </w:p>
    <w:p>
      <w:pPr>
        <w:pStyle w:val="BodyText"/>
        <w:spacing w:line="338" w:lineRule="auto" w:before="117"/>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16" w:lineRule="auto" w:before="43"/>
        <w:ind w:right="1115" w:firstLine="288"/>
        <w:jc w:val="left"/>
      </w:pPr>
      <w:r>
        <w:rPr>
          <w:spacing w:val="-1"/>
        </w:rPr>
        <w:t>报告期内，公司独立董事严格按照《公司法》《上市公司治理准则》《深圳证券交易所上市公司规范运作指引》等法律</w:t>
      </w:r>
      <w:r>
        <w:rPr/>
        <w:t> </w:t>
      </w:r>
      <w:r>
        <w:rPr>
          <w:spacing w:val="-2"/>
        </w:rPr>
        <w:t>法规及《公司章程》《独立董事工作制度》的要求，忠实履行职责，充分发挥独立董事作用，维护公司股东尤其是中小股东</w:t>
      </w:r>
    </w:p>
    <w:p>
      <w:pPr>
        <w:spacing w:after="0" w:line="316"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4"/>
        <w:ind w:right="1131"/>
        <w:jc w:val="both"/>
      </w:pPr>
      <w:r>
        <w:rPr>
          <w:spacing w:val="-2"/>
        </w:rPr>
        <w:t>的利益。公司独立董事在报告期内通过参与公司董事会及其专门委员会、现场会谈考察等方式，及时了解公司经营状况、财</w:t>
      </w:r>
      <w:r>
        <w:rPr>
          <w:spacing w:val="-64"/>
        </w:rPr>
        <w:t> </w:t>
      </w:r>
      <w:r>
        <w:rPr>
          <w:spacing w:val="-64"/>
        </w:rPr>
      </w:r>
      <w:r>
        <w:rPr>
          <w:spacing w:val="-2"/>
        </w:rPr>
        <w:t>务状况、内部控制建设以及重大事项进展等情况，并提出建议。公司采纳了独立董事相关建议，并委托经营管理层组织相关</w:t>
      </w:r>
      <w:r>
        <w:rPr>
          <w:spacing w:val="-65"/>
        </w:rPr>
        <w:t> </w:t>
      </w:r>
      <w:r>
        <w:rPr>
          <w:spacing w:val="-65"/>
        </w:rPr>
      </w:r>
      <w:r>
        <w:rPr/>
        <w:t>工作的开展。</w:t>
      </w:r>
    </w:p>
    <w:p>
      <w:pPr>
        <w:spacing w:line="240" w:lineRule="auto" w:before="9"/>
        <w:rPr>
          <w:rFonts w:ascii="宋体" w:hAnsi="宋体" w:cs="宋体" w:eastAsia="宋体" w:hint="default"/>
          <w:sz w:val="20"/>
          <w:szCs w:val="20"/>
        </w:rPr>
      </w:pPr>
    </w:p>
    <w:p>
      <w:pPr>
        <w:pStyle w:val="Heading2"/>
        <w:spacing w:line="240" w:lineRule="auto"/>
        <w:ind w:right="0"/>
        <w:jc w:val="both"/>
        <w:rPr>
          <w:b w:val="0"/>
          <w:bCs w:val="0"/>
        </w:rPr>
      </w:pPr>
      <w:bookmarkStart w:name="六、董事会下设专门委员会在报告期内履行职责情况" w:id="152"/>
      <w:bookmarkEnd w:id="152"/>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513" w:right="1115"/>
        <w:jc w:val="left"/>
      </w:pPr>
      <w:r>
        <w:rPr>
          <w:rFonts w:ascii="Times New Roman" w:hAnsi="Times New Roman" w:cs="Times New Roman" w:eastAsia="Times New Roman" w:hint="default"/>
          <w:b/>
          <w:bCs/>
        </w:rPr>
        <w:t>1</w:t>
      </w:r>
      <w:r>
        <w:rPr>
          <w:rFonts w:ascii="宋体" w:hAnsi="宋体" w:cs="宋体" w:eastAsia="宋体" w:hint="default"/>
          <w:b/>
          <w:bCs/>
        </w:rPr>
        <w:t>、董事会审计委员会</w:t>
      </w:r>
      <w:r>
        <w:rPr>
          <w:rFonts w:ascii="宋体" w:hAnsi="宋体" w:cs="宋体" w:eastAsia="宋体" w:hint="default"/>
          <w:b/>
          <w:bCs/>
          <w:w w:val="99"/>
        </w:rPr>
        <w:t> </w:t>
      </w:r>
      <w:r>
        <w:rPr>
          <w:spacing w:val="-2"/>
        </w:rPr>
        <w:t>报告期内，公司董事会审计委员会召开会议</w:t>
      </w:r>
      <w:r>
        <w:rPr>
          <w:rFonts w:ascii="Times New Roman" w:hAnsi="Times New Roman" w:cs="Times New Roman" w:eastAsia="Times New Roman" w:hint="default"/>
          <w:spacing w:val="-2"/>
        </w:rPr>
        <w:t>10</w:t>
      </w:r>
      <w:r>
        <w:rPr>
          <w:spacing w:val="-2"/>
        </w:rPr>
        <w:t>次。在</w:t>
      </w:r>
      <w:r>
        <w:rPr>
          <w:rFonts w:ascii="Times New Roman" w:hAnsi="Times New Roman" w:cs="Times New Roman" w:eastAsia="Times New Roman" w:hint="default"/>
          <w:spacing w:val="-2"/>
        </w:rPr>
        <w:t>2018</w:t>
      </w:r>
      <w:r>
        <w:rPr>
          <w:spacing w:val="-2"/>
        </w:rPr>
        <w:t>年度报告编制期间，审计委员会委员通过审议财务报表、审计</w:t>
      </w:r>
    </w:p>
    <w:p>
      <w:pPr>
        <w:pStyle w:val="BodyText"/>
        <w:spacing w:line="300" w:lineRule="auto" w:before="13"/>
        <w:ind w:right="1131"/>
        <w:jc w:val="both"/>
      </w:pPr>
      <w:r>
        <w:rPr>
          <w:spacing w:val="-2"/>
        </w:rPr>
        <w:t>报告及内部控制报告等文件，并与经营管理层和年审会计师现场沟通的方式，指导公司</w:t>
      </w:r>
      <w:r>
        <w:rPr>
          <w:rFonts w:ascii="Times New Roman" w:hAnsi="Times New Roman" w:cs="Times New Roman" w:eastAsia="Times New Roman" w:hint="default"/>
          <w:spacing w:val="-2"/>
        </w:rPr>
        <w:t>2018</w:t>
      </w:r>
      <w:r>
        <w:rPr>
          <w:spacing w:val="-2"/>
        </w:rPr>
        <w:t>年度审计工作的开展。通过审议</w:t>
      </w:r>
      <w:r>
        <w:rPr>
          <w:spacing w:val="-63"/>
        </w:rPr>
        <w:t> </w:t>
      </w:r>
      <w:r>
        <w:rPr>
          <w:spacing w:val="-63"/>
        </w:rPr>
      </w:r>
      <w:r>
        <w:rPr>
          <w:spacing w:val="-2"/>
        </w:rPr>
        <w:t>公司</w:t>
      </w:r>
      <w:r>
        <w:rPr>
          <w:rFonts w:ascii="Times New Roman" w:hAnsi="Times New Roman" w:cs="Times New Roman" w:eastAsia="Times New Roman" w:hint="default"/>
          <w:spacing w:val="-2"/>
        </w:rPr>
        <w:t>2018</w:t>
      </w:r>
      <w:r>
        <w:rPr>
          <w:spacing w:val="-2"/>
        </w:rPr>
        <w:t>年度、</w:t>
      </w:r>
      <w:r>
        <w:rPr>
          <w:rFonts w:ascii="Times New Roman" w:hAnsi="Times New Roman" w:cs="Times New Roman" w:eastAsia="Times New Roman" w:hint="default"/>
          <w:spacing w:val="-2"/>
        </w:rPr>
        <w:t>2019</w:t>
      </w:r>
      <w:r>
        <w:rPr>
          <w:spacing w:val="-2"/>
        </w:rPr>
        <w:t>年第一季度、半年度和第三季度的财务报表、内部审计工作报告，以及</w:t>
      </w:r>
      <w:r>
        <w:rPr>
          <w:rFonts w:ascii="Times New Roman" w:hAnsi="Times New Roman" w:cs="Times New Roman" w:eastAsia="Times New Roman" w:hint="default"/>
          <w:spacing w:val="-2"/>
        </w:rPr>
        <w:t>2020</w:t>
      </w:r>
      <w:r>
        <w:rPr>
          <w:spacing w:val="-2"/>
        </w:rPr>
        <w:t>年度内部审计工作计划，加</w:t>
      </w:r>
      <w:r>
        <w:rPr>
          <w:spacing w:val="-61"/>
        </w:rPr>
        <w:t> </w:t>
      </w:r>
      <w:r>
        <w:rPr>
          <w:spacing w:val="-61"/>
        </w:rPr>
      </w:r>
      <w:r>
        <w:rPr>
          <w:spacing w:val="-5"/>
        </w:rPr>
        <w:t>强对公司财务和内部审计的监督和核查。此外，还对公司计提资产减值准备、会计政策变更等事项提供了专业的意见和建议。</w:t>
      </w:r>
    </w:p>
    <w:p>
      <w:pPr>
        <w:spacing w:line="240" w:lineRule="auto" w:before="4"/>
        <w:rPr>
          <w:rFonts w:ascii="宋体" w:hAnsi="宋体" w:cs="宋体" w:eastAsia="宋体" w:hint="default"/>
          <w:sz w:val="26"/>
          <w:szCs w:val="26"/>
        </w:rPr>
      </w:pPr>
    </w:p>
    <w:p>
      <w:pPr>
        <w:pStyle w:val="BodyText"/>
        <w:spacing w:line="300" w:lineRule="auto"/>
        <w:ind w:left="513" w:right="1115"/>
        <w:jc w:val="left"/>
        <w:rPr>
          <w:rFonts w:ascii="Times New Roman" w:hAnsi="Times New Roman" w:cs="Times New Roman" w:eastAsia="Times New Roman" w:hint="default"/>
        </w:rPr>
      </w:pPr>
      <w:r>
        <w:rPr>
          <w:rFonts w:ascii="Times New Roman" w:hAnsi="Times New Roman" w:cs="Times New Roman" w:eastAsia="Times New Roman" w:hint="default"/>
          <w:b/>
          <w:bCs/>
        </w:rPr>
        <w:t>2</w:t>
      </w:r>
      <w:r>
        <w:rPr>
          <w:rFonts w:ascii="宋体" w:hAnsi="宋体" w:cs="宋体" w:eastAsia="宋体" w:hint="default"/>
          <w:b/>
          <w:bCs/>
        </w:rPr>
        <w:t>、董事会薪酬与考核委员会</w:t>
      </w:r>
      <w:r>
        <w:rPr>
          <w:rFonts w:ascii="宋体" w:hAnsi="宋体" w:cs="宋体" w:eastAsia="宋体" w:hint="default"/>
          <w:b/>
          <w:bCs/>
          <w:w w:val="99"/>
        </w:rPr>
        <w:t> </w:t>
      </w:r>
      <w:r>
        <w:rPr>
          <w:spacing w:val="-4"/>
        </w:rPr>
        <w:t>报告期内，公司董事会薪酬与考核委员会召开会议</w:t>
      </w:r>
      <w:r>
        <w:rPr>
          <w:rFonts w:ascii="Times New Roman" w:hAnsi="Times New Roman" w:cs="Times New Roman" w:eastAsia="Times New Roman" w:hint="default"/>
          <w:spacing w:val="-4"/>
        </w:rPr>
        <w:t>3</w:t>
      </w:r>
      <w:r>
        <w:rPr>
          <w:spacing w:val="-4"/>
        </w:rPr>
        <w:t>次。根据公司</w:t>
      </w:r>
      <w:r>
        <w:rPr>
          <w:rFonts w:ascii="Times New Roman" w:hAnsi="Times New Roman" w:cs="Times New Roman" w:eastAsia="Times New Roman" w:hint="default"/>
          <w:spacing w:val="-4"/>
        </w:rPr>
        <w:t>2018</w:t>
      </w:r>
      <w:r>
        <w:rPr>
          <w:spacing w:val="-4"/>
        </w:rPr>
        <w:t>年度业绩情况，对公司董事、高级管理人员的</w:t>
      </w:r>
      <w:r>
        <w:rPr>
          <w:rFonts w:ascii="Times New Roman" w:hAnsi="Times New Roman" w:cs="Times New Roman" w:eastAsia="Times New Roman" w:hint="default"/>
          <w:spacing w:val="-4"/>
        </w:rPr>
        <w:t>2018</w:t>
      </w:r>
    </w:p>
    <w:p>
      <w:pPr>
        <w:pStyle w:val="BodyText"/>
        <w:spacing w:line="300" w:lineRule="auto" w:before="13"/>
        <w:ind w:right="1115"/>
        <w:jc w:val="left"/>
      </w:pPr>
      <w:r>
        <w:rPr>
          <w:spacing w:val="-2"/>
        </w:rPr>
        <w:t>年度绩效考核情况进行审查。审议了公司</w:t>
      </w:r>
      <w:r>
        <w:rPr>
          <w:rFonts w:ascii="Times New Roman" w:hAnsi="Times New Roman" w:cs="Times New Roman" w:eastAsia="Times New Roman" w:hint="default"/>
          <w:spacing w:val="-2"/>
        </w:rPr>
        <w:t>2017</w:t>
      </w:r>
      <w:r>
        <w:rPr>
          <w:spacing w:val="-2"/>
        </w:rPr>
        <w:t>年度限制性股票激励计划激励对象</w:t>
      </w:r>
      <w:r>
        <w:rPr>
          <w:rFonts w:ascii="Times New Roman" w:hAnsi="Times New Roman" w:cs="Times New Roman" w:eastAsia="Times New Roman" w:hint="default"/>
          <w:spacing w:val="-2"/>
        </w:rPr>
        <w:t>2018</w:t>
      </w:r>
      <w:r>
        <w:rPr>
          <w:spacing w:val="-2"/>
        </w:rPr>
        <w:t>年度的绩效考核结果，并对首次授予部</w:t>
      </w:r>
      <w:r>
        <w:rPr>
          <w:spacing w:val="-60"/>
        </w:rPr>
        <w:t> </w:t>
      </w:r>
      <w:r>
        <w:rPr>
          <w:spacing w:val="-60"/>
        </w:rPr>
      </w:r>
      <w:r>
        <w:rPr/>
        <w:t>分第二个解除限售期和预留授予部分第一个解除限售期解除限售条件成就的情况进行了确认。</w:t>
      </w:r>
    </w:p>
    <w:p>
      <w:pPr>
        <w:spacing w:line="240" w:lineRule="auto" w:before="3"/>
        <w:rPr>
          <w:rFonts w:ascii="宋体" w:hAnsi="宋体" w:cs="宋体" w:eastAsia="宋体" w:hint="default"/>
          <w:sz w:val="26"/>
          <w:szCs w:val="26"/>
        </w:rPr>
      </w:pPr>
    </w:p>
    <w:p>
      <w:pPr>
        <w:pStyle w:val="BodyText"/>
        <w:spacing w:line="300" w:lineRule="auto"/>
        <w:ind w:left="513" w:right="1843"/>
        <w:jc w:val="left"/>
      </w:pPr>
      <w:r>
        <w:rPr>
          <w:rFonts w:ascii="Times New Roman" w:hAnsi="Times New Roman" w:cs="Times New Roman" w:eastAsia="Times New Roman" w:hint="default"/>
          <w:b/>
          <w:bCs/>
        </w:rPr>
        <w:t>3</w:t>
      </w:r>
      <w:r>
        <w:rPr>
          <w:rFonts w:ascii="宋体" w:hAnsi="宋体" w:cs="宋体" w:eastAsia="宋体" w:hint="default"/>
          <w:b/>
          <w:bCs/>
        </w:rPr>
        <w:t>、董事会提名委员会</w:t>
      </w:r>
      <w:r>
        <w:rPr>
          <w:rFonts w:ascii="宋体" w:hAnsi="宋体" w:cs="宋体" w:eastAsia="宋体" w:hint="default"/>
          <w:b/>
          <w:bCs/>
          <w:w w:val="99"/>
        </w:rPr>
        <w:t> </w:t>
      </w:r>
      <w:r>
        <w:rPr/>
        <w:t>报告期内，公司董事会提名委员召开会议</w:t>
      </w:r>
      <w:r>
        <w:rPr>
          <w:rFonts w:ascii="Times New Roman" w:hAnsi="Times New Roman" w:cs="Times New Roman" w:eastAsia="Times New Roman" w:hint="default"/>
        </w:rPr>
        <w:t>1</w:t>
      </w:r>
      <w:r>
        <w:rPr/>
        <w:t>次，对第七届董事和高级管理人员候选人的任职资格进行了审查。</w:t>
      </w:r>
    </w:p>
    <w:p>
      <w:pPr>
        <w:spacing w:line="240" w:lineRule="auto" w:before="5"/>
        <w:rPr>
          <w:rFonts w:ascii="宋体" w:hAnsi="宋体" w:cs="宋体" w:eastAsia="宋体" w:hint="default"/>
          <w:sz w:val="20"/>
          <w:szCs w:val="20"/>
        </w:rPr>
      </w:pPr>
    </w:p>
    <w:p>
      <w:pPr>
        <w:pStyle w:val="Heading2"/>
        <w:spacing w:line="240" w:lineRule="auto"/>
        <w:ind w:right="0"/>
        <w:jc w:val="both"/>
        <w:rPr>
          <w:b w:val="0"/>
          <w:bCs w:val="0"/>
        </w:rPr>
      </w:pPr>
      <w:bookmarkStart w:name="七、监事会工作情况" w:id="153"/>
      <w:bookmarkEnd w:id="153"/>
      <w:r>
        <w:rPr>
          <w:b w:val="0"/>
          <w:bCs w:val="0"/>
        </w:rPr>
      </w:r>
      <w:r>
        <w:rPr/>
        <w:t>七、监事会工作情况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pStyle w:val="BodyText"/>
        <w:spacing w:line="338" w:lineRule="auto" w:before="117"/>
        <w:ind w:right="76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line="240" w:lineRule="auto" w:before="8"/>
        <w:rPr>
          <w:rFonts w:ascii="宋体" w:hAnsi="宋体" w:cs="宋体" w:eastAsia="宋体" w:hint="default"/>
          <w:sz w:val="19"/>
          <w:szCs w:val="19"/>
        </w:rPr>
      </w:pPr>
    </w:p>
    <w:p>
      <w:pPr>
        <w:pStyle w:val="Heading2"/>
        <w:spacing w:line="240" w:lineRule="auto"/>
        <w:ind w:right="0"/>
        <w:jc w:val="both"/>
        <w:rPr>
          <w:b w:val="0"/>
          <w:bCs w:val="0"/>
        </w:rPr>
      </w:pPr>
      <w:bookmarkStart w:name="八、高级管理人员的考评及激励情况" w:id="154"/>
      <w:bookmarkEnd w:id="154"/>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1" w:firstLine="360"/>
        <w:jc w:val="both"/>
      </w:pPr>
      <w:r>
        <w:rPr>
          <w:spacing w:val="-2"/>
        </w:rPr>
        <w:t>公司董事会薪酬与考核委员会负责在每个会计年度结束后对董事和高级管理人员进行考核评价；其中，对高级管理人员</w:t>
      </w:r>
      <w:r>
        <w:rPr/>
        <w:t> </w:t>
      </w:r>
      <w:r>
        <w:rPr>
          <w:spacing w:val="-2"/>
        </w:rPr>
        <w:t>的绩效评定由公司人力资源部门进行，董事会薪酬与考核委员会根据考核结果复评。公司人力资源部门负责制定公司高级管</w:t>
      </w:r>
      <w:r>
        <w:rPr>
          <w:spacing w:val="-64"/>
        </w:rPr>
        <w:t> </w:t>
      </w:r>
      <w:r>
        <w:rPr>
          <w:spacing w:val="-64"/>
        </w:rPr>
      </w:r>
      <w:r>
        <w:rPr>
          <w:spacing w:val="-2"/>
        </w:rPr>
        <w:t>理人员的考核标准，并执行具体的薪酬方案。此外，根据公司绩效管理相关制度，分管业务部门的高级管理人员的绩效考核</w:t>
      </w:r>
      <w:r>
        <w:rPr>
          <w:spacing w:val="-64"/>
        </w:rPr>
        <w:t> </w:t>
      </w:r>
      <w:r>
        <w:rPr>
          <w:spacing w:val="-64"/>
        </w:rPr>
      </w:r>
      <w:r>
        <w:rPr>
          <w:spacing w:val="-2"/>
        </w:rPr>
        <w:t>按照其与公司签订的绩效责任书的完成情况进行绩效评价；分管职能部门的高级管理人员的绩效考核按照其分管部门的年度</w:t>
      </w:r>
      <w:r>
        <w:rPr>
          <w:spacing w:val="-64"/>
        </w:rPr>
        <w:t> </w:t>
      </w:r>
      <w:r>
        <w:rPr>
          <w:spacing w:val="-64"/>
        </w:rPr>
      </w:r>
      <w:r>
        <w:rPr/>
        <w:t>重点工作计划完成情况进行考核评价。</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bookmarkStart w:name="九、内部控制评价报告" w:id="155"/>
      <w:bookmarkEnd w:id="155"/>
      <w:r>
        <w:rPr>
          <w:b w:val="0"/>
          <w:bCs w:val="0"/>
        </w:rPr>
      </w:r>
      <w:r>
        <w:rPr/>
        <w:t>九、内部控制评价报告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报告期内发现的内部控制重大缺陷的具体情况" w:id="156"/>
      <w:bookmarkEnd w:id="156"/>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300" w:lineRule="auto"/>
        <w:ind w:right="1131" w:firstLine="360"/>
        <w:jc w:val="both"/>
      </w:pPr>
      <w:r>
        <w:rPr/>
        <w:t>报告期内，公司已采取有效措施对</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年度存在的</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个财务报告内部控制缺陷和</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个非财务报告重大缺陷进行整改， 主要情况如下：</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Heading4"/>
        <w:spacing w:line="240" w:lineRule="auto"/>
        <w:ind w:right="1115"/>
        <w:jc w:val="left"/>
        <w:rPr>
          <w:b w:val="0"/>
          <w:bCs w:val="0"/>
        </w:rPr>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年度因上海移通导致的财务报告和非财务报告内控缺陷</w:t>
      </w:r>
      <w:r>
        <w:rPr>
          <w:b w:val="0"/>
          <w:bCs w:val="0"/>
        </w:rPr>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b/>
          <w:bCs/>
          <w:sz w:val="21"/>
          <w:szCs w:val="21"/>
        </w:rPr>
      </w:pPr>
    </w:p>
    <w:p>
      <w:pPr>
        <w:pStyle w:val="BodyText"/>
        <w:spacing w:line="300" w:lineRule="auto" w:before="44"/>
        <w:ind w:right="1121" w:firstLine="360"/>
        <w:jc w:val="left"/>
      </w:pPr>
      <w:r>
        <w:rPr>
          <w:spacing w:val="-3"/>
        </w:rPr>
        <w:t>公司通过对上海移通业务合同等资料的核查，已对 </w:t>
      </w:r>
      <w:r>
        <w:rPr>
          <w:rFonts w:ascii="Times New Roman" w:hAnsi="Times New Roman" w:cs="Times New Roman" w:eastAsia="Times New Roman" w:hint="default"/>
        </w:rPr>
        <w:t>2018</w:t>
      </w:r>
      <w:r>
        <w:rPr>
          <w:rFonts w:ascii="Times New Roman" w:hAnsi="Times New Roman" w:cs="Times New Roman" w:eastAsia="Times New Roman" w:hint="default"/>
          <w:spacing w:val="-13"/>
        </w:rPr>
        <w:t> </w:t>
      </w:r>
      <w:r>
        <w:rPr>
          <w:spacing w:val="-5"/>
        </w:rPr>
        <w:t>年度不符合《企业会计准则》和公司会计政策规定的营业收入、</w:t>
      </w:r>
      <w:r>
        <w:rPr/>
        <w:t> 营业成本、其他应付款等财务数据进行了相应调整。</w:t>
      </w:r>
    </w:p>
    <w:p>
      <w:pPr>
        <w:pStyle w:val="BodyText"/>
        <w:spacing w:line="357" w:lineRule="auto" w:before="72"/>
        <w:ind w:left="513" w:right="1033"/>
        <w:jc w:val="left"/>
      </w:pPr>
      <w:r>
        <w:rPr/>
        <w:t>报告期内，公司进一步加强了对各分子公司的监管，督促各分子公司严格执行各项管理制度，保证内控制度落实到位。</w:t>
      </w:r>
      <w:r>
        <w:rPr>
          <w:spacing w:val="-86"/>
        </w:rPr>
        <w:t> </w:t>
      </w:r>
      <w:r>
        <w:rPr>
          <w:spacing w:val="-86"/>
        </w:rPr>
      </w:r>
      <w:r>
        <w:rPr>
          <w:spacing w:val="-3"/>
        </w:rPr>
        <w:t>为维护中小股东及上市公司利益，尽快消除</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年度保留意见所涉及事项对公司的不利影响，公司于</w:t>
      </w:r>
      <w:r>
        <w:rPr>
          <w:spacing w:val="-5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月将上</w:t>
      </w:r>
    </w:p>
    <w:p>
      <w:pPr>
        <w:pStyle w:val="BodyText"/>
        <w:spacing w:line="214" w:lineRule="exact"/>
        <w:ind w:right="0"/>
        <w:jc w:val="both"/>
      </w:pPr>
      <w:r>
        <w:rPr/>
        <w:t>海移通</w:t>
      </w:r>
      <w:r>
        <w:rPr>
          <w:spacing w:val="-32"/>
        </w:rPr>
        <w:t> </w:t>
      </w:r>
      <w:r>
        <w:rPr>
          <w:rFonts w:ascii="Times New Roman" w:hAnsi="Times New Roman" w:cs="Times New Roman" w:eastAsia="Times New Roman" w:hint="default"/>
          <w:spacing w:val="1"/>
        </w:rPr>
        <w:t>100</w:t>
      </w:r>
      <w:r>
        <w:rPr>
          <w:rFonts w:ascii="Times New Roman" w:hAnsi="Times New Roman" w:cs="Times New Roman" w:eastAsia="Times New Roman" w:hint="default"/>
          <w:spacing w:val="-2"/>
        </w:rPr>
        <w:t>%</w:t>
      </w:r>
      <w:r>
        <w:rPr/>
        <w:t>股权对外转让</w:t>
      </w:r>
      <w:r>
        <w:rPr>
          <w:spacing w:val="-3"/>
        </w:rPr>
        <w:t>，</w:t>
      </w:r>
      <w:r>
        <w:rPr/>
        <w:t>交易对手方为特殊目的主体关联方北京启顺通达科技有限公司（以下简</w:t>
      </w:r>
      <w:r>
        <w:rPr>
          <w:spacing w:val="1"/>
        </w:rPr>
        <w:t>称</w:t>
      </w:r>
      <w:r>
        <w:rPr>
          <w:rFonts w:ascii="Times New Roman" w:hAnsi="Times New Roman" w:cs="Times New Roman" w:eastAsia="Times New Roman" w:hint="default"/>
          <w:spacing w:val="-1"/>
          <w:w w:val="100"/>
        </w:rPr>
        <w:t>“</w:t>
      </w:r>
      <w:r>
        <w:rPr/>
        <w:t>启顺通达</w:t>
      </w:r>
      <w:r>
        <w:rPr>
          <w:rFonts w:ascii="Times New Roman" w:hAnsi="Times New Roman" w:cs="Times New Roman" w:eastAsia="Times New Roman" w:hint="default"/>
          <w:spacing w:val="-1"/>
          <w:w w:val="100"/>
        </w:rPr>
        <w:t>”</w:t>
      </w:r>
      <w:r>
        <w:rPr>
          <w:spacing w:val="-92"/>
        </w:rPr>
        <w:t>）</w:t>
      </w:r>
      <w:r>
        <w:rPr/>
        <w:t>。</w:t>
      </w:r>
      <w:r>
        <w:rPr>
          <w:spacing w:val="2"/>
        </w:rPr>
        <w:t>此</w:t>
      </w:r>
      <w:r>
        <w:rPr/>
        <w:t>外，</w:t>
      </w:r>
    </w:p>
    <w:p>
      <w:pPr>
        <w:pStyle w:val="BodyText"/>
        <w:spacing w:line="309" w:lineRule="auto" w:before="63"/>
        <w:ind w:right="1130"/>
        <w:jc w:val="both"/>
        <w:rPr>
          <w:rFonts w:ascii="Times New Roman" w:hAnsi="Times New Roman" w:cs="Times New Roman" w:eastAsia="Times New Roman" w:hint="default"/>
        </w:rPr>
      </w:pPr>
      <w:r>
        <w:rPr/>
        <w:t>公司拟接受启顺通达和控股股东因上海移通</w:t>
      </w:r>
      <w:r>
        <w:rPr>
          <w:spacing w:val="28"/>
        </w:rPr>
        <w:t> </w:t>
      </w:r>
      <w:r>
        <w:rPr>
          <w:rFonts w:ascii="Times New Roman" w:hAnsi="Times New Roman" w:cs="Times New Roman" w:eastAsia="Times New Roman" w:hint="default"/>
        </w:rPr>
        <w:t>49%</w:t>
      </w:r>
      <w:r>
        <w:rPr/>
        <w:t>股权存在重大问题时对公司造成损失的补偿安排，公司与控股股东、上海</w:t>
      </w:r>
      <w:r>
        <w:rPr>
          <w:spacing w:val="-86"/>
        </w:rPr>
        <w:t> </w:t>
      </w:r>
      <w:r>
        <w:rPr>
          <w:spacing w:val="-86"/>
        </w:rPr>
      </w:r>
      <w:r>
        <w:rPr>
          <w:spacing w:val="-2"/>
        </w:rPr>
        <w:t>移通和启顺通达共同签订了《关于上海移通网络有限公司的诉讼及赔偿款分配安排协议》，且控股股东签署了《北京久其科</w:t>
      </w:r>
      <w:r>
        <w:rPr>
          <w:spacing w:val="-65"/>
        </w:rPr>
        <w:t> </w:t>
      </w:r>
      <w:r>
        <w:rPr>
          <w:spacing w:val="-65"/>
        </w:rPr>
      </w:r>
      <w:r>
        <w:rPr>
          <w:spacing w:val="-3"/>
        </w:rPr>
        <w:t>技投资有限公司关于就北京启顺通达科技有限公司之承诺向北京久其软件股份有限公司承担补足责任的承诺函》。截至</w:t>
      </w:r>
      <w:r>
        <w:rPr>
          <w:spacing w:val="-15"/>
        </w:rPr>
        <w:t> </w:t>
      </w:r>
      <w:r>
        <w:rPr>
          <w:rFonts w:ascii="Times New Roman" w:hAnsi="Times New Roman" w:cs="Times New Roman" w:eastAsia="Times New Roman" w:hint="default"/>
        </w:rPr>
        <w:t>2019</w:t>
      </w:r>
    </w:p>
    <w:p>
      <w:pPr>
        <w:pStyle w:val="BodyText"/>
        <w:spacing w:line="300" w:lineRule="auto" w:before="5"/>
        <w:ind w:right="1131"/>
        <w:jc w:val="both"/>
      </w:pPr>
      <w:r>
        <w:rPr/>
        <w:t>年</w:t>
      </w:r>
      <w:r>
        <w:rPr>
          <w:spacing w:val="-36"/>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月</w:t>
      </w:r>
      <w:r>
        <w:rPr>
          <w:spacing w:val="-36"/>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日，相关资产交割工作已完成，上海移通不再纳入公司的合并报表范围，</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年度保留意见所涉事项对公司的 影响已经消除，并且有利于公司提升整体资产经营的稳定性，增加上市公司内部控制的可靠性。</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spacing w:line="338" w:lineRule="auto" w:before="0"/>
        <w:ind w:left="513" w:right="1115"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年度因久金保导致的财务报告内控缺陷</w:t>
      </w:r>
      <w:r>
        <w:rPr>
          <w:rFonts w:ascii="宋体" w:hAnsi="宋体" w:cs="宋体" w:eastAsia="宋体" w:hint="default"/>
          <w:b/>
          <w:bCs/>
          <w:w w:val="99"/>
          <w:sz w:val="18"/>
          <w:szCs w:val="18"/>
        </w:rPr>
        <w:t> </w:t>
      </w:r>
      <w:r>
        <w:rPr>
          <w:rFonts w:ascii="宋体" w:hAnsi="宋体" w:cs="宋体" w:eastAsia="宋体" w:hint="default"/>
          <w:spacing w:val="-2"/>
          <w:sz w:val="18"/>
          <w:szCs w:val="18"/>
        </w:rPr>
        <w:t>在久金保坏账风险出现后，公司成立了专项工作小组监督风险项目的后续进展，重新梳理项目控制过程中的疏漏点并制</w:t>
      </w:r>
    </w:p>
    <w:p>
      <w:pPr>
        <w:pStyle w:val="BodyText"/>
        <w:spacing w:line="316" w:lineRule="auto" w:before="2"/>
        <w:ind w:right="1135"/>
        <w:jc w:val="both"/>
      </w:pPr>
      <w:r>
        <w:rPr>
          <w:spacing w:val="-2"/>
        </w:rPr>
        <w:t>定相关追偿策略，进而使用了实地核查、提起民事诉讼、补充刑侦证据等手段，力争最大程度减少可能发生的损失。对于可</w:t>
      </w:r>
      <w:r>
        <w:rPr>
          <w:spacing w:val="-67"/>
        </w:rPr>
        <w:t> </w:t>
      </w:r>
      <w:r>
        <w:rPr>
          <w:spacing w:val="-67"/>
        </w:rPr>
      </w:r>
      <w:r>
        <w:rPr/>
        <w:t>能发生的坏账损失已在当期报表中进行了相应的会计估计。</w:t>
      </w:r>
    </w:p>
    <w:p>
      <w:pPr>
        <w:pStyle w:val="BodyText"/>
        <w:spacing w:line="312" w:lineRule="auto" w:before="59"/>
        <w:ind w:right="1034" w:firstLine="360"/>
        <w:jc w:val="left"/>
      </w:pPr>
      <w:r>
        <w:rPr>
          <w:spacing w:val="-1"/>
        </w:rPr>
        <w:t>报告期内，久金保发布了《久金保保理制度体系</w:t>
      </w:r>
      <w:r>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37"/>
        </w:rPr>
        <w:t> </w:t>
      </w:r>
      <w:r>
        <w:rPr>
          <w:spacing w:val="-4"/>
        </w:rPr>
        <w:t>版本》，弥补了在制度体系建设方面的不足，特别是针对尽职调查</w:t>
      </w:r>
      <w:r>
        <w:rPr/>
        <w:t> 和应收账款验证、真实性验证、供应链贸易证据链等方面。目前久金保新形成了集业务管理、业务指引、风险管理与审查、</w:t>
      </w:r>
      <w:r>
        <w:rPr>
          <w:spacing w:val="-83"/>
        </w:rPr>
        <w:t> </w:t>
      </w:r>
      <w:r>
        <w:rPr>
          <w:spacing w:val="-83"/>
        </w:rPr>
      </w:r>
      <w:r>
        <w:rPr>
          <w:spacing w:val="-2"/>
        </w:rPr>
        <w:t>放款管理、贷后尽调、监控预警、档案管理等多个重要环节的业务规范和执行标准；并通过管理信息系统支持保理业务各个</w:t>
      </w:r>
      <w:r>
        <w:rPr>
          <w:spacing w:val="-64"/>
        </w:rPr>
        <w:t> </w:t>
      </w:r>
      <w:r>
        <w:rPr>
          <w:spacing w:val="-64"/>
        </w:rPr>
      </w:r>
      <w:r>
        <w:rPr/>
        <w:t>环节，实现全流程业务办理系统化，做到系统替代制度。</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BodyText"/>
        <w:spacing w:line="300" w:lineRule="auto"/>
        <w:ind w:right="1117" w:firstLine="360"/>
        <w:jc w:val="left"/>
      </w:pPr>
      <w:r>
        <w:rPr/>
        <w:t>经过上述整改，于内部控制评价报告基准日，公司</w:t>
      </w:r>
      <w:r>
        <w:rPr>
          <w:spacing w:val="-4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年度财务报告内部控制重大缺陷及非财务报告内部控制重大缺 陷均已得到整改完善。</w:t>
      </w:r>
    </w:p>
    <w:p>
      <w:pPr>
        <w:spacing w:line="240" w:lineRule="auto" w:before="10"/>
        <w:rPr>
          <w:rFonts w:ascii="宋体" w:hAnsi="宋体" w:cs="宋体" w:eastAsia="宋体" w:hint="default"/>
          <w:sz w:val="23"/>
          <w:szCs w:val="23"/>
        </w:rPr>
      </w:pPr>
    </w:p>
    <w:p>
      <w:pPr>
        <w:pStyle w:val="Heading3"/>
        <w:spacing w:line="240" w:lineRule="auto"/>
        <w:ind w:right="0"/>
        <w:jc w:val="both"/>
        <w:rPr>
          <w:b w:val="0"/>
          <w:bCs w:val="0"/>
        </w:rPr>
      </w:pPr>
      <w:bookmarkStart w:name="2、内控自我评价报告" w:id="157"/>
      <w:bookmarkEnd w:id="157"/>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102"/>
        <w:gridCol w:w="4100"/>
        <w:gridCol w:w="1145"/>
        <w:gridCol w:w="3224"/>
      </w:tblGrid>
      <w:tr>
        <w:trPr>
          <w:trHeight w:val="402" w:hRule="exact"/>
        </w:trPr>
        <w:tc>
          <w:tcPr>
            <w:tcW w:w="52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43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162" w:hRule="exact"/>
        </w:trPr>
        <w:tc>
          <w:tcPr>
            <w:tcW w:w="520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369" w:type="dxa"/>
            <w:gridSpan w:val="2"/>
            <w:vMerge w:val="restart"/>
            <w:tcBorders>
              <w:top w:val="single" w:sz="4" w:space="0" w:color="000000"/>
              <w:left w:val="single" w:sz="10" w:space="0" w:color="D2D2D2"/>
              <w:right w:val="single" w:sz="4" w:space="0" w:color="000000"/>
            </w:tcBorders>
          </w:tcPr>
          <w:p>
            <w:pPr>
              <w:pStyle w:val="TableParagraph"/>
              <w:spacing w:line="297" w:lineRule="auto" w:before="50"/>
              <w:ind w:left="28" w:right="86"/>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《北京久其软件股份有限公司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年度内部控制评价 报告》披露于巨潮资讯网</w:t>
            </w:r>
            <w:r>
              <w:rPr>
                <w:rFonts w:ascii="宋体" w:hAnsi="宋体" w:cs="宋体" w:eastAsia="宋体" w:hint="default"/>
                <w:spacing w:val="-66"/>
                <w:sz w:val="18"/>
                <w:szCs w:val="18"/>
              </w:rPr>
              <w:t> </w:t>
            </w:r>
            <w:hyperlink r:id="rId13">
              <w:r>
                <w:rPr>
                  <w:rFonts w:ascii="Times New Roman" w:hAnsi="Times New Roman" w:cs="Times New Roman" w:eastAsia="Times New Roman" w:hint="default"/>
                  <w:sz w:val="18"/>
                  <w:szCs w:val="18"/>
                </w:rPr>
                <w:t>www.cninfo.com.cn</w:t>
              </w:r>
            </w:hyperlink>
          </w:p>
        </w:tc>
      </w:tr>
      <w:tr>
        <w:trPr>
          <w:trHeight w:val="391" w:hRule="exact"/>
        </w:trPr>
        <w:tc>
          <w:tcPr>
            <w:tcW w:w="520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4369" w:type="dxa"/>
            <w:gridSpan w:val="2"/>
            <w:vMerge/>
            <w:tcBorders>
              <w:left w:val="single" w:sz="10" w:space="0" w:color="D2D2D2"/>
              <w:right w:val="single" w:sz="4" w:space="0" w:color="000000"/>
            </w:tcBorders>
          </w:tcPr>
          <w:p>
            <w:pPr/>
          </w:p>
        </w:tc>
      </w:tr>
      <w:tr>
        <w:trPr>
          <w:trHeight w:val="161" w:hRule="exact"/>
        </w:trPr>
        <w:tc>
          <w:tcPr>
            <w:tcW w:w="520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369" w:type="dxa"/>
            <w:gridSpan w:val="2"/>
            <w:vMerge/>
            <w:tcBorders>
              <w:left w:val="single" w:sz="10" w:space="0" w:color="D2D2D2"/>
              <w:bottom w:val="single" w:sz="4" w:space="0" w:color="000000"/>
              <w:right w:val="single" w:sz="4" w:space="0" w:color="000000"/>
            </w:tcBorders>
          </w:tcPr>
          <w:p>
            <w:pPr/>
          </w:p>
        </w:tc>
      </w:tr>
      <w:tr>
        <w:trPr>
          <w:trHeight w:val="402" w:hRule="exact"/>
        </w:trPr>
        <w:tc>
          <w:tcPr>
            <w:tcW w:w="52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纳入评价范围单位资产总额占公司合并财务报表资产总额的比例</w:t>
            </w:r>
          </w:p>
        </w:tc>
        <w:tc>
          <w:tcPr>
            <w:tcW w:w="43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7" w:hRule="exact"/>
        </w:trPr>
        <w:tc>
          <w:tcPr>
            <w:tcW w:w="52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纳入评价范围单位营业收入占公司合并财务报表营业收入的比例</w:t>
            </w:r>
          </w:p>
        </w:tc>
        <w:tc>
          <w:tcPr>
            <w:tcW w:w="43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7"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65"/>
              <w:jc w:val="right"/>
              <w:rPr>
                <w:rFonts w:ascii="宋体" w:hAnsi="宋体" w:cs="宋体" w:eastAsia="宋体" w:hint="default"/>
                <w:sz w:val="18"/>
                <w:szCs w:val="18"/>
              </w:rPr>
            </w:pPr>
            <w:r>
              <w:rPr>
                <w:rFonts w:ascii="宋体" w:hAnsi="宋体" w:cs="宋体" w:eastAsia="宋体" w:hint="default"/>
                <w:sz w:val="18"/>
                <w:szCs w:val="18"/>
              </w:rPr>
              <w:t>类别</w:t>
            </w:r>
          </w:p>
        </w:tc>
        <w:tc>
          <w:tcPr>
            <w:tcW w:w="52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253" w:hRule="exact"/>
        </w:trPr>
        <w:tc>
          <w:tcPr>
            <w:tcW w:w="1102" w:type="dxa"/>
            <w:tcBorders>
              <w:top w:val="single" w:sz="4" w:space="0" w:color="000000"/>
              <w:left w:val="single" w:sz="4" w:space="0" w:color="000000"/>
              <w:bottom w:val="nil" w:sz="6" w:space="0" w:color="auto"/>
              <w:right w:val="single" w:sz="4" w:space="0" w:color="000000"/>
            </w:tcBorders>
            <w:shd w:val="clear" w:color="auto" w:fill="D2D2D2"/>
          </w:tcPr>
          <w:p>
            <w:pPr/>
          </w:p>
        </w:tc>
        <w:tc>
          <w:tcPr>
            <w:tcW w:w="5245" w:type="dxa"/>
            <w:gridSpan w:val="2"/>
            <w:vMerge w:val="restart"/>
            <w:tcBorders>
              <w:top w:val="single" w:sz="4" w:space="0" w:color="000000"/>
              <w:left w:val="single" w:sz="9" w:space="0" w:color="D2D2D2"/>
              <w:right w:val="single" w:sz="4" w:space="0" w:color="000000"/>
            </w:tcBorders>
          </w:tcPr>
          <w:p>
            <w:pPr>
              <w:pStyle w:val="TableParagraph"/>
              <w:spacing w:line="304" w:lineRule="auto" w:before="68"/>
              <w:ind w:left="18" w:right="17"/>
              <w:jc w:val="both"/>
              <w:rPr>
                <w:rFonts w:ascii="宋体" w:hAnsi="宋体" w:cs="宋体" w:eastAsia="宋体" w:hint="default"/>
                <w:sz w:val="18"/>
                <w:szCs w:val="18"/>
              </w:rPr>
            </w:pPr>
            <w:r>
              <w:rPr>
                <w:rFonts w:ascii="宋体" w:hAnsi="宋体" w:cs="宋体" w:eastAsia="宋体" w:hint="default"/>
                <w:spacing w:val="-2"/>
                <w:sz w:val="18"/>
                <w:szCs w:val="18"/>
              </w:rPr>
              <w:t>财务报告相关的内部控制重大缺陷的迹象包括：</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公司董事、监事</w:t>
            </w:r>
            <w:r>
              <w:rPr>
                <w:rFonts w:ascii="宋体" w:hAnsi="宋体" w:cs="宋体" w:eastAsia="宋体" w:hint="default"/>
                <w:sz w:val="18"/>
                <w:szCs w:val="18"/>
              </w:rPr>
              <w:t> </w:t>
            </w:r>
            <w:r>
              <w:rPr>
                <w:rFonts w:ascii="宋体" w:hAnsi="宋体" w:cs="宋体" w:eastAsia="宋体" w:hint="default"/>
                <w:spacing w:val="2"/>
                <w:sz w:val="18"/>
                <w:szCs w:val="18"/>
              </w:rPr>
              <w:t>和高级管理人员的舞弊行为。</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公司更正已公布的财务报告。</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30"/>
                <w:sz w:val="18"/>
                <w:szCs w:val="18"/>
              </w:rPr>
              <w:t> </w:t>
            </w:r>
            <w:r>
              <w:rPr>
                <w:rFonts w:ascii="Times New Roman" w:hAnsi="Times New Roman" w:cs="Times New Roman" w:eastAsia="Times New Roman" w:hint="default"/>
                <w:spacing w:val="-30"/>
                <w:sz w:val="18"/>
                <w:szCs w:val="18"/>
              </w:rPr>
            </w:r>
            <w:r>
              <w:rPr>
                <w:rFonts w:ascii="宋体" w:hAnsi="宋体" w:cs="宋体" w:eastAsia="宋体" w:hint="default"/>
                <w:spacing w:val="4"/>
                <w:sz w:val="18"/>
                <w:szCs w:val="18"/>
              </w:rPr>
              <w:t>注册会计师发现的却未被公司内部控制识别的当期财务报告中的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重大错报。</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审计委员会和审计部门对公司的对外财务报告和财务</w:t>
            </w:r>
            <w:r>
              <w:rPr>
                <w:rFonts w:ascii="宋体" w:hAnsi="宋体" w:cs="宋体" w:eastAsia="宋体" w:hint="default"/>
                <w:sz w:val="18"/>
                <w:szCs w:val="18"/>
              </w:rPr>
              <w:t> </w:t>
            </w:r>
            <w:r>
              <w:rPr>
                <w:rFonts w:ascii="宋体" w:hAnsi="宋体" w:cs="宋体" w:eastAsia="宋体" w:hint="default"/>
                <w:spacing w:val="-2"/>
                <w:sz w:val="18"/>
                <w:szCs w:val="18"/>
              </w:rPr>
              <w:t>报告内部控制监督无效。财务报告相关的内部控制重要缺陷的迹象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包括：</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pacing w:val="2"/>
                <w:sz w:val="18"/>
                <w:szCs w:val="18"/>
              </w:rPr>
              <w:t>未依照公认会计准则选择和应用会计政策。</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0"/>
                <w:sz w:val="18"/>
                <w:szCs w:val="18"/>
              </w:rPr>
              <w:t> </w:t>
            </w:r>
            <w:r>
              <w:rPr>
                <w:rFonts w:ascii="宋体" w:hAnsi="宋体" w:cs="宋体" w:eastAsia="宋体" w:hint="default"/>
                <w:spacing w:val="2"/>
                <w:sz w:val="18"/>
                <w:szCs w:val="18"/>
              </w:rPr>
              <w:t>未建立</w:t>
            </w:r>
            <w:r>
              <w:rPr>
                <w:rFonts w:ascii="宋体" w:hAnsi="宋体" w:cs="宋体" w:eastAsia="宋体" w:hint="default"/>
                <w:spacing w:val="-87"/>
                <w:sz w:val="18"/>
                <w:szCs w:val="18"/>
              </w:rPr>
              <w:t> </w:t>
            </w:r>
            <w:r>
              <w:rPr>
                <w:rFonts w:ascii="宋体" w:hAnsi="宋体" w:cs="宋体" w:eastAsia="宋体" w:hint="default"/>
                <w:sz w:val="18"/>
                <w:szCs w:val="18"/>
              </w:rPr>
              <w:t>反舞弊程序和控制措施。</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对于非常规或特殊交易的账务处理没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有建立相应的控制机制或没有实施且没有相应的补偿性控制。</w:t>
            </w:r>
            <w:r>
              <w:rPr>
                <w:rFonts w:ascii="Times New Roman" w:hAnsi="Times New Roman" w:cs="Times New Roman" w:eastAsia="Times New Roman" w:hint="default"/>
                <w:spacing w:val="3"/>
                <w:sz w:val="18"/>
                <w:szCs w:val="18"/>
              </w:rPr>
              <w:t>(4)</w:t>
            </w:r>
            <w:r>
              <w:rPr>
                <w:rFonts w:ascii="Times New Roman" w:hAnsi="Times New Roman" w:cs="Times New Roman" w:eastAsia="Times New Roman" w:hint="default"/>
                <w:spacing w:val="-34"/>
                <w:sz w:val="18"/>
                <w:szCs w:val="18"/>
              </w:rPr>
              <w:t> </w:t>
            </w:r>
            <w:r>
              <w:rPr>
                <w:rFonts w:ascii="Times New Roman" w:hAnsi="Times New Roman" w:cs="Times New Roman" w:eastAsia="Times New Roman" w:hint="default"/>
                <w:spacing w:val="-34"/>
                <w:sz w:val="18"/>
                <w:szCs w:val="18"/>
              </w:rPr>
            </w:r>
            <w:r>
              <w:rPr>
                <w:rFonts w:ascii="宋体" w:hAnsi="宋体" w:cs="宋体" w:eastAsia="宋体" w:hint="default"/>
                <w:spacing w:val="4"/>
                <w:sz w:val="18"/>
                <w:szCs w:val="18"/>
              </w:rPr>
              <w:t>对于期末财务报告过程的控制存在一项或多项缺陷且不能合理保</w:t>
            </w:r>
          </w:p>
        </w:tc>
        <w:tc>
          <w:tcPr>
            <w:tcW w:w="3224"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20"/>
              <w:jc w:val="both"/>
              <w:rPr>
                <w:rFonts w:ascii="宋体" w:hAnsi="宋体" w:cs="宋体" w:eastAsia="宋体" w:hint="default"/>
                <w:sz w:val="18"/>
                <w:szCs w:val="18"/>
              </w:rPr>
            </w:pPr>
            <w:r>
              <w:rPr>
                <w:rFonts w:ascii="宋体" w:hAnsi="宋体" w:cs="宋体" w:eastAsia="宋体" w:hint="default"/>
                <w:spacing w:val="6"/>
                <w:sz w:val="18"/>
                <w:szCs w:val="18"/>
              </w:rPr>
              <w:t>非财务报告缺陷认定主要以缺陷对业务</w:t>
            </w:r>
            <w:r>
              <w:rPr>
                <w:rFonts w:ascii="宋体" w:hAnsi="宋体" w:cs="宋体" w:eastAsia="宋体" w:hint="default"/>
                <w:sz w:val="18"/>
                <w:szCs w:val="18"/>
              </w:rPr>
              <w:t> </w:t>
            </w:r>
            <w:r>
              <w:rPr>
                <w:rFonts w:ascii="宋体" w:hAnsi="宋体" w:cs="宋体" w:eastAsia="宋体" w:hint="default"/>
                <w:spacing w:val="-5"/>
                <w:sz w:val="18"/>
                <w:szCs w:val="18"/>
              </w:rPr>
              <w:t>流程有效性的影响程度、发生的可能性作</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判定。非财务报告重大缺陷存在的迹象包</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括：违反国家法律法规或规范性文件、重</w:t>
            </w:r>
            <w:r>
              <w:rPr>
                <w:rFonts w:ascii="宋体" w:hAnsi="宋体" w:cs="宋体" w:eastAsia="宋体" w:hint="default"/>
                <w:sz w:val="18"/>
                <w:szCs w:val="18"/>
              </w:rPr>
              <w:t> </w:t>
            </w:r>
            <w:r>
              <w:rPr>
                <w:rFonts w:ascii="宋体" w:hAnsi="宋体" w:cs="宋体" w:eastAsia="宋体" w:hint="default"/>
                <w:spacing w:val="-5"/>
                <w:sz w:val="18"/>
                <w:szCs w:val="18"/>
              </w:rPr>
              <w:t>大决策程序不科学、制度缺失可能导致系</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6"/>
                <w:sz w:val="18"/>
                <w:szCs w:val="18"/>
              </w:rPr>
              <w:t>统性失效、重大或重要缺陷不能得到整</w:t>
            </w:r>
            <w:r>
              <w:rPr>
                <w:rFonts w:ascii="宋体" w:hAnsi="宋体" w:cs="宋体" w:eastAsia="宋体" w:hint="default"/>
                <w:sz w:val="18"/>
                <w:szCs w:val="18"/>
              </w:rPr>
              <w:t> </w:t>
            </w:r>
            <w:r>
              <w:rPr>
                <w:rFonts w:ascii="宋体" w:hAnsi="宋体" w:cs="宋体" w:eastAsia="宋体" w:hint="default"/>
                <w:spacing w:val="-4"/>
                <w:sz w:val="18"/>
                <w:szCs w:val="18"/>
              </w:rPr>
              <w:t>改、其他对公司负面影响重大的情形。除</w:t>
            </w:r>
            <w:r>
              <w:rPr>
                <w:rFonts w:ascii="宋体" w:hAnsi="宋体" w:cs="宋体" w:eastAsia="宋体" w:hint="default"/>
                <w:sz w:val="18"/>
                <w:szCs w:val="18"/>
              </w:rPr>
              <w:t> </w:t>
            </w:r>
            <w:r>
              <w:rPr>
                <w:rFonts w:ascii="宋体" w:hAnsi="宋体" w:cs="宋体" w:eastAsia="宋体" w:hint="default"/>
                <w:spacing w:val="-5"/>
                <w:sz w:val="18"/>
                <w:szCs w:val="18"/>
              </w:rPr>
              <w:t>此以外，其他情形按影响程度分别确定为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重要缺陷或一般缺陷。</w:t>
            </w:r>
          </w:p>
        </w:tc>
      </w:tr>
      <w:tr>
        <w:trPr>
          <w:trHeight w:val="391" w:hRule="exact"/>
        </w:trPr>
        <w:tc>
          <w:tcPr>
            <w:tcW w:w="11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46"/>
              <w:jc w:val="right"/>
              <w:rPr>
                <w:rFonts w:ascii="宋体" w:hAnsi="宋体" w:cs="宋体" w:eastAsia="宋体" w:hint="default"/>
                <w:sz w:val="18"/>
                <w:szCs w:val="18"/>
              </w:rPr>
            </w:pPr>
            <w:r>
              <w:rPr>
                <w:rFonts w:ascii="宋体" w:hAnsi="宋体" w:cs="宋体" w:eastAsia="宋体" w:hint="default"/>
                <w:sz w:val="18"/>
                <w:szCs w:val="18"/>
              </w:rPr>
              <w:t>定性标准</w:t>
            </w:r>
          </w:p>
        </w:tc>
        <w:tc>
          <w:tcPr>
            <w:tcW w:w="5245" w:type="dxa"/>
            <w:gridSpan w:val="2"/>
            <w:vMerge/>
            <w:tcBorders>
              <w:left w:val="single" w:sz="9" w:space="0" w:color="D2D2D2"/>
              <w:right w:val="single" w:sz="4" w:space="0" w:color="000000"/>
            </w:tcBorders>
          </w:tcPr>
          <w:p>
            <w:pPr/>
          </w:p>
        </w:tc>
        <w:tc>
          <w:tcPr>
            <w:tcW w:w="3224" w:type="dxa"/>
            <w:vMerge/>
            <w:tcBorders>
              <w:left w:val="single" w:sz="4" w:space="0" w:color="000000"/>
              <w:right w:val="single" w:sz="4" w:space="0" w:color="000000"/>
            </w:tcBorders>
          </w:tcPr>
          <w:p>
            <w:pPr/>
          </w:p>
        </w:tc>
      </w:tr>
      <w:tr>
        <w:trPr>
          <w:trHeight w:val="1253" w:hRule="exact"/>
        </w:trPr>
        <w:tc>
          <w:tcPr>
            <w:tcW w:w="1102" w:type="dxa"/>
            <w:tcBorders>
              <w:top w:val="nil" w:sz="6" w:space="0" w:color="auto"/>
              <w:left w:val="single" w:sz="4" w:space="0" w:color="000000"/>
              <w:bottom w:val="single" w:sz="4" w:space="0" w:color="000000"/>
              <w:right w:val="single" w:sz="4" w:space="0" w:color="000000"/>
            </w:tcBorders>
            <w:shd w:val="clear" w:color="auto" w:fill="D2D2D2"/>
          </w:tcPr>
          <w:p>
            <w:pPr/>
          </w:p>
        </w:tc>
        <w:tc>
          <w:tcPr>
            <w:tcW w:w="5245" w:type="dxa"/>
            <w:gridSpan w:val="2"/>
            <w:vMerge/>
            <w:tcBorders>
              <w:left w:val="single" w:sz="9" w:space="0" w:color="D2D2D2"/>
              <w:bottom w:val="single" w:sz="4" w:space="0" w:color="000000"/>
              <w:right w:val="single" w:sz="4" w:space="0" w:color="000000"/>
            </w:tcBorders>
          </w:tcPr>
          <w:p>
            <w:pPr/>
          </w:p>
        </w:tc>
        <w:tc>
          <w:tcPr>
            <w:tcW w:w="3224"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5"/>
          <w:szCs w:val="15"/>
        </w:rPr>
      </w:pPr>
    </w:p>
    <w:p>
      <w:pPr>
        <w:pStyle w:val="BodyText"/>
        <w:spacing w:line="240" w:lineRule="auto"/>
        <w:ind w:left="0" w:right="1155"/>
        <w:jc w:val="right"/>
      </w:pPr>
      <w:r>
        <w:rPr/>
        <w:pict>
          <v:shape style="position:absolute;margin-left:56.400002pt;margin-top:-99.068253pt;width:479.3pt;height:306.3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02"/>
                    <w:gridCol w:w="2083"/>
                    <w:gridCol w:w="3162"/>
                    <w:gridCol w:w="3224"/>
                  </w:tblGrid>
                  <w:tr>
                    <w:trPr>
                      <w:trHeight w:val="675" w:hRule="exact"/>
                    </w:trPr>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24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8"/>
                          <w:jc w:val="left"/>
                          <w:rPr>
                            <w:rFonts w:ascii="宋体" w:hAnsi="宋体" w:cs="宋体" w:eastAsia="宋体" w:hint="default"/>
                            <w:sz w:val="18"/>
                            <w:szCs w:val="18"/>
                          </w:rPr>
                        </w:pPr>
                        <w:r>
                          <w:rPr>
                            <w:rFonts w:ascii="宋体" w:hAnsi="宋体" w:cs="宋体" w:eastAsia="宋体" w:hint="default"/>
                            <w:spacing w:val="-2"/>
                            <w:sz w:val="18"/>
                            <w:szCs w:val="18"/>
                          </w:rPr>
                          <w:t>证编制的财务报表达到真实、完整的目标。一般缺陷是指除上述重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大缺陷、重要缺陷之外的其他内部控制缺陷。</w:t>
                        </w:r>
                      </w:p>
                    </w:tc>
                    <w:tc>
                      <w:tcPr>
                        <w:tcW w:w="3224" w:type="dxa"/>
                        <w:tcBorders>
                          <w:top w:val="single" w:sz="4" w:space="0" w:color="000000"/>
                          <w:left w:val="single" w:sz="4" w:space="0" w:color="000000"/>
                          <w:bottom w:val="single" w:sz="4" w:space="0" w:color="000000"/>
                          <w:right w:val="single" w:sz="4" w:space="0" w:color="000000"/>
                        </w:tcBorders>
                      </w:tcPr>
                      <w:p>
                        <w:pPr/>
                      </w:p>
                    </w:tc>
                  </w:tr>
                  <w:tr>
                    <w:trPr>
                      <w:trHeight w:val="1721" w:hRule="exact"/>
                    </w:trPr>
                    <w:tc>
                      <w:tcPr>
                        <w:tcW w:w="1102" w:type="dxa"/>
                        <w:tcBorders>
                          <w:top w:val="single" w:sz="4" w:space="0" w:color="000000"/>
                          <w:left w:val="single" w:sz="4" w:space="0" w:color="000000"/>
                          <w:bottom w:val="nil" w:sz="6" w:space="0" w:color="auto"/>
                          <w:right w:val="single" w:sz="4" w:space="0" w:color="000000"/>
                        </w:tcBorders>
                        <w:shd w:val="clear" w:color="auto" w:fill="D2D2D2"/>
                      </w:tcPr>
                      <w:p>
                        <w:pPr/>
                      </w:p>
                    </w:tc>
                    <w:tc>
                      <w:tcPr>
                        <w:tcW w:w="5245" w:type="dxa"/>
                        <w:gridSpan w:val="2"/>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5"/>
                          <w:ind w:left="18" w:right="18"/>
                          <w:jc w:val="both"/>
                          <w:rPr>
                            <w:rFonts w:ascii="宋体" w:hAnsi="宋体" w:cs="宋体" w:eastAsia="宋体" w:hint="default"/>
                            <w:sz w:val="18"/>
                            <w:szCs w:val="18"/>
                          </w:rPr>
                        </w:pPr>
                        <w:r>
                          <w:rPr>
                            <w:rFonts w:ascii="宋体" w:hAnsi="宋体" w:cs="宋体" w:eastAsia="宋体" w:hint="default"/>
                            <w:spacing w:val="-2"/>
                            <w:sz w:val="18"/>
                            <w:szCs w:val="18"/>
                          </w:rPr>
                          <w:t>以资产总额、营业收入以及利润总额作为衡量指标，按照孰低原则</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5"/>
                            <w:w w:val="100"/>
                            <w:sz w:val="18"/>
                            <w:szCs w:val="18"/>
                          </w:rPr>
                          <w:t>执行。（</w:t>
                        </w:r>
                        <w:r>
                          <w:rPr>
                            <w:rFonts w:ascii="Times New Roman" w:hAnsi="Times New Roman" w:cs="Times New Roman" w:eastAsia="Times New Roman" w:hint="default"/>
                            <w:spacing w:val="-5"/>
                            <w:w w:val="100"/>
                            <w:sz w:val="18"/>
                            <w:szCs w:val="18"/>
                          </w:rPr>
                          <w:t>1</w:t>
                        </w:r>
                        <w:r>
                          <w:rPr>
                            <w:rFonts w:ascii="宋体" w:hAnsi="宋体" w:cs="宋体" w:eastAsia="宋体" w:hint="default"/>
                            <w:spacing w:val="-5"/>
                            <w:w w:val="100"/>
                            <w:sz w:val="18"/>
                            <w:szCs w:val="18"/>
                          </w:rPr>
                          <w:t>）资产总额：一般缺陷，错报额</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资产总额的</w:t>
                        </w:r>
                        <w:r>
                          <w:rPr>
                            <w:rFonts w:ascii="宋体" w:hAnsi="宋体" w:cs="宋体" w:eastAsia="宋体" w:hint="default"/>
                            <w:spacing w:val="-28"/>
                            <w:w w:val="100"/>
                            <w:sz w:val="18"/>
                            <w:szCs w:val="18"/>
                          </w:rPr>
                          <w:t> </w:t>
                        </w:r>
                        <w:r>
                          <w:rPr>
                            <w:rFonts w:ascii="Times New Roman" w:hAnsi="Times New Roman" w:cs="Times New Roman" w:eastAsia="Times New Roman" w:hint="default"/>
                            <w:spacing w:val="-1"/>
                            <w:sz w:val="18"/>
                            <w:szCs w:val="18"/>
                          </w:rPr>
                          <w:t>0.3%</w:t>
                        </w:r>
                        <w:r>
                          <w:rPr>
                            <w:rFonts w:ascii="宋体" w:hAnsi="宋体" w:cs="宋体" w:eastAsia="宋体" w:hint="default"/>
                            <w:spacing w:val="-1"/>
                            <w:sz w:val="18"/>
                            <w:szCs w:val="18"/>
                          </w:rPr>
                          <w:t>；重要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6"/>
                            <w:sz w:val="18"/>
                            <w:szCs w:val="18"/>
                          </w:rPr>
                          <w:t>缺陷，资产总额的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0.3%&lt;</w:t>
                        </w:r>
                        <w:r>
                          <w:rPr>
                            <w:rFonts w:ascii="宋体" w:hAnsi="宋体" w:cs="宋体" w:eastAsia="宋体" w:hint="default"/>
                            <w:sz w:val="18"/>
                            <w:szCs w:val="18"/>
                          </w:rPr>
                          <w:t>错报额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；重大缺陷，错报额</w:t>
                        </w:r>
                        <w:r>
                          <w:rPr>
                            <w:rFonts w:ascii="Times New Roman" w:hAnsi="Times New Roman" w:cs="Times New Roman" w:eastAsia="Times New Roman" w:hint="default"/>
                            <w:spacing w:val="-8"/>
                            <w:sz w:val="18"/>
                            <w:szCs w:val="18"/>
                          </w:rPr>
                          <w:t>&gt;</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资产总额的</w:t>
                        </w:r>
                        <w:r>
                          <w:rPr>
                            <w:rFonts w:ascii="宋体" w:hAnsi="宋体" w:cs="宋体" w:eastAsia="宋体" w:hint="default"/>
                            <w:spacing w:val="20"/>
                            <w:sz w:val="18"/>
                            <w:szCs w:val="18"/>
                          </w:rPr>
                          <w:t> </w:t>
                        </w:r>
                        <w:r>
                          <w:rPr>
                            <w:rFonts w:ascii="Times New Roman" w:hAnsi="Times New Roman" w:cs="Times New Roman" w:eastAsia="Times New Roman" w:hint="default"/>
                            <w:spacing w:val="-2"/>
                            <w:w w:val="100"/>
                            <w:sz w:val="18"/>
                            <w:szCs w:val="18"/>
                          </w:rPr>
                          <w:t>1%</w:t>
                        </w:r>
                        <w:r>
                          <w:rPr>
                            <w:rFonts w:ascii="宋体" w:hAnsi="宋体" w:cs="宋体" w:eastAsia="宋体" w:hint="default"/>
                            <w:spacing w:val="-2"/>
                            <w:w w:val="100"/>
                            <w:sz w:val="18"/>
                            <w:szCs w:val="18"/>
                          </w:rPr>
                          <w:t>。（</w:t>
                        </w:r>
                        <w:r>
                          <w:rPr>
                            <w:rFonts w:ascii="Times New Roman" w:hAnsi="Times New Roman" w:cs="Times New Roman" w:eastAsia="Times New Roman" w:hint="default"/>
                            <w:spacing w:val="-2"/>
                            <w:w w:val="100"/>
                            <w:sz w:val="18"/>
                            <w:szCs w:val="18"/>
                          </w:rPr>
                          <w:t>2</w:t>
                        </w:r>
                        <w:r>
                          <w:rPr>
                            <w:rFonts w:ascii="宋体" w:hAnsi="宋体" w:cs="宋体" w:eastAsia="宋体" w:hint="default"/>
                            <w:spacing w:val="-2"/>
                            <w:w w:val="100"/>
                            <w:sz w:val="18"/>
                            <w:szCs w:val="18"/>
                          </w:rPr>
                          <w:t>）营业收入：一般缺陷，错报额</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营业收入的</w:t>
                        </w:r>
                        <w:r>
                          <w:rPr>
                            <w:rFonts w:ascii="宋体" w:hAnsi="宋体" w:cs="宋体" w:eastAsia="宋体" w:hint="default"/>
                            <w:spacing w:val="-85"/>
                            <w:w w:val="100"/>
                            <w:sz w:val="18"/>
                            <w:szCs w:val="18"/>
                          </w:rPr>
                          <w:t> </w:t>
                        </w:r>
                        <w:r>
                          <w:rPr>
                            <w:rFonts w:ascii="宋体" w:hAnsi="宋体" w:cs="宋体" w:eastAsia="宋体" w:hint="default"/>
                            <w:spacing w:val="-85"/>
                            <w:w w:val="100"/>
                            <w:sz w:val="18"/>
                            <w:szCs w:val="18"/>
                          </w:rPr>
                        </w:r>
                        <w:r>
                          <w:rPr>
                            <w:rFonts w:ascii="Times New Roman" w:hAnsi="Times New Roman" w:cs="Times New Roman" w:eastAsia="Times New Roman" w:hint="default"/>
                            <w:sz w:val="18"/>
                            <w:szCs w:val="18"/>
                          </w:rPr>
                          <w:t>0.5%</w:t>
                        </w:r>
                        <w:r>
                          <w:rPr>
                            <w:rFonts w:ascii="宋体" w:hAnsi="宋体" w:cs="宋体" w:eastAsia="宋体" w:hint="default"/>
                            <w:sz w:val="18"/>
                            <w:szCs w:val="18"/>
                          </w:rPr>
                          <w:t>或者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pacing w:val="-3"/>
                            <w:sz w:val="18"/>
                            <w:szCs w:val="18"/>
                          </w:rPr>
                          <w:t>万元；重要缺陷，营业收入的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或者</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&lt;</w:t>
                        </w:r>
                        <w:r>
                          <w:rPr>
                            <w:rFonts w:ascii="宋体" w:hAnsi="宋体" w:cs="宋体" w:eastAsia="宋体" w:hint="default"/>
                            <w:sz w:val="18"/>
                            <w:szCs w:val="18"/>
                          </w:rPr>
                          <w:t>错 报额</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营业收入的</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或者</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万元；重大缺陷，错报额</w:t>
                        </w:r>
                        <w:r>
                          <w:rPr>
                            <w:rFonts w:ascii="Times New Roman" w:hAnsi="Times New Roman" w:cs="Times New Roman" w:eastAsia="Times New Roman" w:hint="default"/>
                            <w:sz w:val="18"/>
                            <w:szCs w:val="18"/>
                          </w:rPr>
                          <w:t>&gt;</w:t>
                        </w:r>
                        <w:r>
                          <w:rPr>
                            <w:rFonts w:ascii="宋体" w:hAnsi="宋体" w:cs="宋体" w:eastAsia="宋体" w:hint="default"/>
                            <w:sz w:val="18"/>
                            <w:szCs w:val="18"/>
                          </w:rPr>
                          <w:t>营业收 入的</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或者</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1,000</w:t>
                        </w:r>
                        <w:r>
                          <w:rPr>
                            <w:rFonts w:ascii="Times New Roman" w:hAnsi="Times New Roman" w:cs="Times New Roman" w:eastAsia="Times New Roman" w:hint="default"/>
                            <w:spacing w:val="5"/>
                            <w:sz w:val="18"/>
                            <w:szCs w:val="18"/>
                          </w:rPr>
                          <w:t> </w:t>
                        </w:r>
                        <w:r>
                          <w:rPr>
                            <w:rFonts w:ascii="宋体" w:hAnsi="宋体" w:cs="宋体" w:eastAsia="宋体" w:hint="default"/>
                            <w:spacing w:val="-5"/>
                            <w:w w:val="100"/>
                            <w:sz w:val="18"/>
                            <w:szCs w:val="18"/>
                          </w:rPr>
                          <w:t>万元。（</w:t>
                        </w:r>
                        <w:r>
                          <w:rPr>
                            <w:rFonts w:ascii="Times New Roman" w:hAnsi="Times New Roman" w:cs="Times New Roman" w:eastAsia="Times New Roman" w:hint="default"/>
                            <w:spacing w:val="-5"/>
                            <w:w w:val="100"/>
                            <w:sz w:val="18"/>
                            <w:szCs w:val="18"/>
                          </w:rPr>
                          <w:t>3</w:t>
                        </w:r>
                        <w:r>
                          <w:rPr>
                            <w:rFonts w:ascii="宋体" w:hAnsi="宋体" w:cs="宋体" w:eastAsia="宋体" w:hint="default"/>
                            <w:spacing w:val="-5"/>
                            <w:w w:val="100"/>
                            <w:sz w:val="18"/>
                            <w:szCs w:val="18"/>
                          </w:rPr>
                          <w:t>）利润总额：一般缺陷，错报额</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利润</w:t>
                        </w:r>
                        <w:r>
                          <w:rPr>
                            <w:rFonts w:ascii="宋体" w:hAnsi="宋体" w:cs="宋体" w:eastAsia="宋体" w:hint="default"/>
                            <w:sz w:val="18"/>
                            <w:szCs w:val="18"/>
                          </w:rPr>
                          <w:t> 总额的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或者</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万元；重要缺陷，利润总额的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或者</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w:t>
                        </w:r>
                        <w:r>
                          <w:rPr>
                            <w:rFonts w:ascii="Times New Roman" w:hAnsi="Times New Roman" w:cs="Times New Roman" w:eastAsia="Times New Roman" w:hint="default"/>
                            <w:sz w:val="18"/>
                            <w:szCs w:val="18"/>
                          </w:rPr>
                          <w:t>&lt; </w:t>
                        </w:r>
                        <w:r>
                          <w:rPr>
                            <w:rFonts w:ascii="宋体" w:hAnsi="宋体" w:cs="宋体" w:eastAsia="宋体" w:hint="default"/>
                            <w:sz w:val="18"/>
                            <w:szCs w:val="18"/>
                          </w:rPr>
                          <w:t>错报额</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或者</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万元；重大缺陷，错报额</w:t>
                        </w:r>
                        <w:r>
                          <w:rPr>
                            <w:rFonts w:ascii="Times New Roman" w:hAnsi="Times New Roman" w:cs="Times New Roman" w:eastAsia="Times New Roman" w:hint="default"/>
                            <w:sz w:val="18"/>
                            <w:szCs w:val="18"/>
                          </w:rPr>
                          <w:t>&gt;</w:t>
                        </w:r>
                        <w:r>
                          <w:rPr>
                            <w:rFonts w:ascii="宋体" w:hAnsi="宋体" w:cs="宋体" w:eastAsia="宋体" w:hint="default"/>
                            <w:sz w:val="18"/>
                            <w:szCs w:val="18"/>
                          </w:rPr>
                          <w:t>利润 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w:t>
                        </w:r>
                      </w:p>
                    </w:tc>
                    <w:tc>
                      <w:tcPr>
                        <w:tcW w:w="3224" w:type="dxa"/>
                        <w:vMerge w:val="restart"/>
                        <w:tcBorders>
                          <w:top w:val="single" w:sz="4" w:space="0" w:color="000000"/>
                          <w:left w:val="single" w:sz="4" w:space="0" w:color="000000"/>
                          <w:right w:val="single" w:sz="4" w:space="0" w:color="000000"/>
                        </w:tcBorders>
                      </w:tcPr>
                      <w:p>
                        <w:pPr>
                          <w:pStyle w:val="TableParagraph"/>
                          <w:spacing w:line="307" w:lineRule="auto" w:before="49"/>
                          <w:ind w:left="24" w:right="-5"/>
                          <w:jc w:val="left"/>
                          <w:rPr>
                            <w:rFonts w:ascii="宋体" w:hAnsi="宋体" w:cs="宋体" w:eastAsia="宋体" w:hint="default"/>
                            <w:sz w:val="18"/>
                            <w:szCs w:val="18"/>
                          </w:rPr>
                        </w:pPr>
                        <w:r>
                          <w:rPr>
                            <w:rFonts w:ascii="宋体" w:hAnsi="宋体" w:cs="宋体" w:eastAsia="宋体" w:hint="default"/>
                            <w:spacing w:val="6"/>
                            <w:sz w:val="18"/>
                            <w:szCs w:val="18"/>
                          </w:rPr>
                          <w:t>根据缺陷可能造成直接财产损失的绝对</w:t>
                        </w:r>
                        <w:r>
                          <w:rPr>
                            <w:rFonts w:ascii="宋体" w:hAnsi="宋体" w:cs="宋体" w:eastAsia="宋体" w:hint="default"/>
                            <w:sz w:val="18"/>
                            <w:szCs w:val="18"/>
                          </w:rPr>
                          <w:t> </w:t>
                        </w:r>
                        <w:r>
                          <w:rPr>
                            <w:rFonts w:ascii="宋体" w:hAnsi="宋体" w:cs="宋体" w:eastAsia="宋体" w:hint="default"/>
                            <w:spacing w:val="-11"/>
                            <w:sz w:val="18"/>
                            <w:szCs w:val="18"/>
                          </w:rPr>
                          <w:t>金额或潜在负面影响等因素确定。（</w:t>
                        </w: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）重</w:t>
                        </w:r>
                        <w:r>
                          <w:rPr>
                            <w:rFonts w:ascii="宋体" w:hAnsi="宋体" w:cs="宋体" w:eastAsia="宋体" w:hint="default"/>
                            <w:spacing w:val="-80"/>
                            <w:sz w:val="18"/>
                            <w:szCs w:val="18"/>
                          </w:rPr>
                          <w:t> </w:t>
                        </w:r>
                        <w:r>
                          <w:rPr>
                            <w:rFonts w:ascii="宋体" w:hAnsi="宋体" w:cs="宋体" w:eastAsia="宋体" w:hint="default"/>
                            <w:sz w:val="18"/>
                            <w:szCs w:val="18"/>
                          </w:rPr>
                          <w:t>大缺陷：直接财产损失，</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w:t>
                        </w:r>
                        <w:r>
                          <w:rPr>
                            <w:rFonts w:ascii="宋体" w:hAnsi="宋体" w:cs="宋体" w:eastAsia="宋体" w:hint="default"/>
                            <w:sz w:val="18"/>
                            <w:szCs w:val="18"/>
                          </w:rPr>
                          <w:t>以 </w:t>
                        </w:r>
                        <w:r>
                          <w:rPr>
                            <w:rFonts w:ascii="宋体" w:hAnsi="宋体" w:cs="宋体" w:eastAsia="宋体" w:hint="default"/>
                            <w:spacing w:val="-5"/>
                            <w:sz w:val="18"/>
                            <w:szCs w:val="18"/>
                          </w:rPr>
                          <w:t>上；潜在负面影响，已经对外正式披露并</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6"/>
                            <w:sz w:val="18"/>
                            <w:szCs w:val="18"/>
                          </w:rPr>
                          <w:t>对公司定期报告披露造成负面影响。（</w:t>
                        </w:r>
                        <w:r>
                          <w:rPr>
                            <w:rFonts w:ascii="Times New Roman" w:hAnsi="Times New Roman" w:cs="Times New Roman" w:eastAsia="Times New Roman" w:hint="default"/>
                            <w:spacing w:val="-6"/>
                            <w:sz w:val="18"/>
                            <w:szCs w:val="18"/>
                          </w:rPr>
                          <w:t>2</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重</w:t>
                        </w:r>
                        <w:r>
                          <w:rPr>
                            <w:rFonts w:ascii="宋体" w:hAnsi="宋体" w:cs="宋体" w:eastAsia="宋体" w:hint="default"/>
                            <w:spacing w:val="-64"/>
                            <w:sz w:val="18"/>
                            <w:szCs w:val="18"/>
                          </w:rPr>
                          <w:t> </w:t>
                        </w:r>
                        <w:r>
                          <w:rPr>
                            <w:rFonts w:ascii="宋体" w:hAnsi="宋体" w:cs="宋体" w:eastAsia="宋体" w:hint="default"/>
                            <w:sz w:val="18"/>
                            <w:szCs w:val="18"/>
                          </w:rPr>
                          <w:t>要</w:t>
                        </w:r>
                        <w:r>
                          <w:rPr>
                            <w:rFonts w:ascii="宋体" w:hAnsi="宋体" w:cs="宋体" w:eastAsia="宋体" w:hint="default"/>
                            <w:spacing w:val="-64"/>
                            <w:sz w:val="18"/>
                            <w:szCs w:val="18"/>
                          </w:rPr>
                          <w:t> </w:t>
                        </w:r>
                        <w:r>
                          <w:rPr>
                            <w:rFonts w:ascii="宋体" w:hAnsi="宋体" w:cs="宋体" w:eastAsia="宋体" w:hint="default"/>
                            <w:sz w:val="18"/>
                            <w:szCs w:val="18"/>
                          </w:rPr>
                          <w:t>缺</w:t>
                        </w:r>
                        <w:r>
                          <w:rPr>
                            <w:rFonts w:ascii="宋体" w:hAnsi="宋体" w:cs="宋体" w:eastAsia="宋体" w:hint="default"/>
                            <w:spacing w:val="-64"/>
                            <w:sz w:val="18"/>
                            <w:szCs w:val="18"/>
                          </w:rPr>
                          <w:t> </w:t>
                        </w:r>
                        <w:r>
                          <w:rPr>
                            <w:rFonts w:ascii="宋体" w:hAnsi="宋体" w:cs="宋体" w:eastAsia="宋体" w:hint="default"/>
                            <w:sz w:val="18"/>
                            <w:szCs w:val="18"/>
                          </w:rPr>
                          <w:t>陷</w:t>
                        </w:r>
                        <w:r>
                          <w:rPr>
                            <w:rFonts w:ascii="宋体" w:hAnsi="宋体" w:cs="宋体" w:eastAsia="宋体" w:hint="default"/>
                            <w:spacing w:val="-64"/>
                            <w:sz w:val="18"/>
                            <w:szCs w:val="18"/>
                          </w:rPr>
                          <w:t> </w:t>
                        </w:r>
                        <w:r>
                          <w:rPr>
                            <w:rFonts w:ascii="宋体" w:hAnsi="宋体" w:cs="宋体" w:eastAsia="宋体" w:hint="default"/>
                            <w:sz w:val="18"/>
                            <w:szCs w:val="18"/>
                          </w:rPr>
                          <w:t>：</w:t>
                        </w:r>
                        <w:r>
                          <w:rPr>
                            <w:rFonts w:ascii="宋体" w:hAnsi="宋体" w:cs="宋体" w:eastAsia="宋体" w:hint="default"/>
                            <w:spacing w:val="-64"/>
                            <w:sz w:val="18"/>
                            <w:szCs w:val="18"/>
                          </w:rPr>
                          <w:t> </w:t>
                        </w:r>
                        <w:r>
                          <w:rPr>
                            <w:rFonts w:ascii="宋体" w:hAnsi="宋体" w:cs="宋体" w:eastAsia="宋体" w:hint="default"/>
                            <w:sz w:val="18"/>
                            <w:szCs w:val="18"/>
                          </w:rPr>
                          <w:t>直</w:t>
                        </w:r>
                        <w:r>
                          <w:rPr>
                            <w:rFonts w:ascii="宋体" w:hAnsi="宋体" w:cs="宋体" w:eastAsia="宋体" w:hint="default"/>
                            <w:spacing w:val="-64"/>
                            <w:sz w:val="18"/>
                            <w:szCs w:val="18"/>
                          </w:rPr>
                          <w:t> </w:t>
                        </w:r>
                        <w:r>
                          <w:rPr>
                            <w:rFonts w:ascii="宋体" w:hAnsi="宋体" w:cs="宋体" w:eastAsia="宋体" w:hint="default"/>
                            <w:sz w:val="18"/>
                            <w:szCs w:val="18"/>
                          </w:rPr>
                          <w:t>接</w:t>
                        </w:r>
                        <w:r>
                          <w:rPr>
                            <w:rFonts w:ascii="宋体" w:hAnsi="宋体" w:cs="宋体" w:eastAsia="宋体" w:hint="default"/>
                            <w:spacing w:val="-62"/>
                            <w:sz w:val="18"/>
                            <w:szCs w:val="18"/>
                          </w:rPr>
                          <w:t> </w:t>
                        </w:r>
                        <w:r>
                          <w:rPr>
                            <w:rFonts w:ascii="宋体" w:hAnsi="宋体" w:cs="宋体" w:eastAsia="宋体" w:hint="default"/>
                            <w:sz w:val="18"/>
                            <w:szCs w:val="18"/>
                          </w:rPr>
                          <w:t>财</w:t>
                        </w:r>
                        <w:r>
                          <w:rPr>
                            <w:rFonts w:ascii="宋体" w:hAnsi="宋体" w:cs="宋体" w:eastAsia="宋体" w:hint="default"/>
                            <w:spacing w:val="-64"/>
                            <w:sz w:val="18"/>
                            <w:szCs w:val="18"/>
                          </w:rPr>
                          <w:t> </w:t>
                        </w:r>
                        <w:r>
                          <w:rPr>
                            <w:rFonts w:ascii="宋体" w:hAnsi="宋体" w:cs="宋体" w:eastAsia="宋体" w:hint="default"/>
                            <w:sz w:val="18"/>
                            <w:szCs w:val="18"/>
                          </w:rPr>
                          <w:t>产</w:t>
                        </w:r>
                        <w:r>
                          <w:rPr>
                            <w:rFonts w:ascii="宋体" w:hAnsi="宋体" w:cs="宋体" w:eastAsia="宋体" w:hint="default"/>
                            <w:spacing w:val="-64"/>
                            <w:sz w:val="18"/>
                            <w:szCs w:val="18"/>
                          </w:rPr>
                          <w:t> </w:t>
                        </w:r>
                        <w:r>
                          <w:rPr>
                            <w:rFonts w:ascii="宋体" w:hAnsi="宋体" w:cs="宋体" w:eastAsia="宋体" w:hint="default"/>
                            <w:sz w:val="18"/>
                            <w:szCs w:val="18"/>
                          </w:rPr>
                          <w:t>损</w:t>
                        </w:r>
                        <w:r>
                          <w:rPr>
                            <w:rFonts w:ascii="宋体" w:hAnsi="宋体" w:cs="宋体" w:eastAsia="宋体" w:hint="default"/>
                            <w:spacing w:val="-64"/>
                            <w:sz w:val="18"/>
                            <w:szCs w:val="18"/>
                          </w:rPr>
                          <w:t> </w:t>
                        </w:r>
                        <w:r>
                          <w:rPr>
                            <w:rFonts w:ascii="宋体" w:hAnsi="宋体" w:cs="宋体" w:eastAsia="宋体" w:hint="default"/>
                            <w:sz w:val="18"/>
                            <w:szCs w:val="18"/>
                          </w:rPr>
                          <w:t>失</w:t>
                        </w:r>
                        <w:r>
                          <w:rPr>
                            <w:rFonts w:ascii="宋体" w:hAnsi="宋体" w:cs="宋体" w:eastAsia="宋体" w:hint="default"/>
                            <w:spacing w:val="-62"/>
                            <w:sz w:val="18"/>
                            <w:szCs w:val="18"/>
                          </w:rPr>
                          <w:t> </w:t>
                        </w:r>
                        <w:r>
                          <w:rPr>
                            <w:rFonts w:ascii="宋体" w:hAnsi="宋体" w:cs="宋体" w:eastAsia="宋体" w:hint="default"/>
                            <w:sz w:val="18"/>
                            <w:szCs w:val="18"/>
                          </w:rPr>
                          <w:t>，</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8"/>
                            <w:sz w:val="18"/>
                            <w:szCs w:val="18"/>
                          </w:rPr>
                          <w:t> </w:t>
                        </w:r>
                        <w:r>
                          <w:rPr>
                            <w:rFonts w:ascii="宋体" w:hAnsi="宋体" w:cs="宋体" w:eastAsia="宋体" w:hint="default"/>
                            <w:spacing w:val="13"/>
                            <w:sz w:val="18"/>
                            <w:szCs w:val="18"/>
                          </w:rPr>
                          <w:t>万元</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)-300 </w:t>
                        </w:r>
                        <w:r>
                          <w:rPr>
                            <w:rFonts w:ascii="宋体" w:hAnsi="宋体" w:cs="宋体" w:eastAsia="宋体" w:hint="default"/>
                            <w:spacing w:val="-3"/>
                            <w:sz w:val="18"/>
                            <w:szCs w:val="18"/>
                          </w:rPr>
                          <w:t>万元；潜在负面影响，受到国家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政府部门处罚，但未对公司定期报告披露</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9"/>
                            <w:sz w:val="18"/>
                            <w:szCs w:val="18"/>
                          </w:rPr>
                          <w:t>造成负面影响。（</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）一般缺陷：直接财产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损失，</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万元以下；潜在负面影响，受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到省级（含省级）以下政府部门处罚但未</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对公司定期报告披露造成负面影响。</w:t>
                        </w:r>
                      </w:p>
                    </w:tc>
                  </w:tr>
                  <w:tr>
                    <w:trPr>
                      <w:trHeight w:val="391" w:hRule="exact"/>
                    </w:trPr>
                    <w:tc>
                      <w:tcPr>
                        <w:tcW w:w="11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5245" w:type="dxa"/>
                        <w:gridSpan w:val="2"/>
                        <w:vMerge/>
                        <w:tcBorders>
                          <w:left w:val="single" w:sz="9" w:space="0" w:color="D2D2D2"/>
                          <w:right w:val="single" w:sz="4" w:space="0" w:color="000000"/>
                        </w:tcBorders>
                      </w:tcPr>
                      <w:p>
                        <w:pPr/>
                      </w:p>
                    </w:tc>
                    <w:tc>
                      <w:tcPr>
                        <w:tcW w:w="3224" w:type="dxa"/>
                        <w:vMerge/>
                        <w:tcBorders>
                          <w:left w:val="single" w:sz="4" w:space="0" w:color="000000"/>
                          <w:right w:val="single" w:sz="4" w:space="0" w:color="000000"/>
                        </w:tcBorders>
                      </w:tcPr>
                      <w:p>
                        <w:pPr/>
                      </w:p>
                    </w:tc>
                  </w:tr>
                  <w:tr>
                    <w:trPr>
                      <w:trHeight w:val="1721" w:hRule="exact"/>
                    </w:trPr>
                    <w:tc>
                      <w:tcPr>
                        <w:tcW w:w="1102" w:type="dxa"/>
                        <w:tcBorders>
                          <w:top w:val="nil" w:sz="6" w:space="0" w:color="auto"/>
                          <w:left w:val="single" w:sz="4" w:space="0" w:color="000000"/>
                          <w:bottom w:val="single" w:sz="4" w:space="0" w:color="000000"/>
                          <w:right w:val="single" w:sz="4" w:space="0" w:color="000000"/>
                        </w:tcBorders>
                        <w:shd w:val="clear" w:color="auto" w:fill="D2D2D2"/>
                      </w:tcPr>
                      <w:p>
                        <w:pPr/>
                      </w:p>
                    </w:tc>
                    <w:tc>
                      <w:tcPr>
                        <w:tcW w:w="5245" w:type="dxa"/>
                        <w:gridSpan w:val="2"/>
                        <w:vMerge/>
                        <w:tcBorders>
                          <w:left w:val="single" w:sz="9" w:space="0" w:color="D2D2D2"/>
                          <w:bottom w:val="single" w:sz="4" w:space="0" w:color="000000"/>
                          <w:right w:val="single" w:sz="4" w:space="0" w:color="000000"/>
                        </w:tcBorders>
                      </w:tcPr>
                      <w:p>
                        <w:pPr/>
                      </w:p>
                    </w:tc>
                    <w:tc>
                      <w:tcPr>
                        <w:tcW w:w="3224" w:type="dxa"/>
                        <w:vMerge/>
                        <w:tcBorders>
                          <w:left w:val="single" w:sz="4" w:space="0" w:color="000000"/>
                          <w:bottom w:val="single" w:sz="4" w:space="0" w:color="000000"/>
                          <w:right w:val="single" w:sz="4" w:space="0" w:color="000000"/>
                        </w:tcBorders>
                      </w:tcPr>
                      <w:p>
                        <w:pPr/>
                      </w:p>
                    </w:tc>
                  </w:tr>
                  <w:tr>
                    <w:trPr>
                      <w:trHeight w:val="403" w:hRule="exact"/>
                    </w:trPr>
                    <w:tc>
                      <w:tcPr>
                        <w:tcW w:w="31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2"/>
        <w:spacing w:line="240" w:lineRule="auto" w:before="26"/>
        <w:ind w:right="1115"/>
        <w:jc w:val="left"/>
        <w:rPr>
          <w:b w:val="0"/>
          <w:bCs w:val="0"/>
        </w:rPr>
      </w:pPr>
      <w:bookmarkStart w:name="十、内部控制审计报告或鉴证报告" w:id="158"/>
      <w:bookmarkEnd w:id="158"/>
      <w:r>
        <w:rPr>
          <w:b w:val="0"/>
          <w:bCs w:val="0"/>
        </w:rPr>
      </w: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15"/>
        <w:jc w:val="left"/>
      </w:pPr>
      <w:r>
        <w:rPr/>
        <w:t>内部控制鉴证报告</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5"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82"/>
              <w:jc w:val="left"/>
              <w:rPr>
                <w:rFonts w:ascii="宋体" w:hAnsi="宋体" w:cs="宋体" w:eastAsia="宋体" w:hint="default"/>
                <w:sz w:val="18"/>
                <w:szCs w:val="18"/>
              </w:rPr>
            </w:pPr>
            <w:r>
              <w:rPr>
                <w:rFonts w:ascii="宋体" w:hAnsi="宋体" w:cs="宋体" w:eastAsia="宋体" w:hint="default"/>
                <w:sz w:val="18"/>
                <w:szCs w:val="18"/>
              </w:rPr>
              <w:t>我们认为，久其软件公司于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日在所有重大方面有效地保持了按照《企业内部控制基本规范》建立的与财 务报表相关的内部控制。</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《北京久其软件股份有限公司内部控制鉴证报告》披露于巨潮资讯网</w:t>
            </w:r>
            <w:r>
              <w:rPr>
                <w:rFonts w:ascii="宋体" w:hAnsi="宋体" w:cs="宋体" w:eastAsia="宋体" w:hint="default"/>
                <w:spacing w:val="-20"/>
                <w:sz w:val="18"/>
                <w:szCs w:val="18"/>
              </w:rPr>
              <w:t> </w:t>
            </w:r>
            <w:hyperlink r:id="rId13">
              <w:r>
                <w:rPr>
                  <w:rFonts w:ascii="Times New Roman" w:hAnsi="Times New Roman" w:cs="Times New Roman" w:eastAsia="Times New Roman" w:hint="default"/>
                  <w:spacing w:val="-2"/>
                  <w:sz w:val="18"/>
                  <w:szCs w:val="18"/>
                </w:rPr>
                <w:t>www.cninfo.com.cn</w:t>
              </w:r>
            </w:hyperlink>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标准意见</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15"/>
        <w:jc w:val="left"/>
      </w:pPr>
      <w:r>
        <w:rPr/>
        <w:t>会计师事务所是否出具非标准意见的内部控制鉴证报告</w:t>
      </w:r>
    </w:p>
    <w:p>
      <w:pPr>
        <w:pStyle w:val="BodyText"/>
        <w:spacing w:line="338" w:lineRule="auto" w:before="118"/>
        <w:ind w:right="46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240" w:lineRule="auto" w:before="43"/>
        <w:ind w:right="111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after="0" w:line="24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2964" w:right="1115"/>
        <w:jc w:val="left"/>
        <w:rPr>
          <w:b w:val="0"/>
          <w:bCs w:val="0"/>
        </w:rPr>
      </w:pPr>
      <w:bookmarkStart w:name="第十一节 公司债券相关情况" w:id="159"/>
      <w:bookmarkEnd w:id="159"/>
      <w:r>
        <w:rPr>
          <w:b w:val="0"/>
          <w:bCs w:val="0"/>
        </w:rPr>
      </w:r>
      <w:bookmarkStart w:name="_bookmark10" w:id="160"/>
      <w:bookmarkEnd w:id="160"/>
      <w:r>
        <w:rPr>
          <w:b w:val="0"/>
          <w:bCs w:val="0"/>
        </w:rPr>
      </w:r>
      <w:r>
        <w:rPr/>
        <w:t>第十一节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607" w:right="1115"/>
        <w:jc w:val="left"/>
        <w:rPr>
          <w:b w:val="0"/>
          <w:bCs w:val="0"/>
        </w:rPr>
      </w:pPr>
      <w:bookmarkStart w:name="第十二节 财务报告" w:id="161"/>
      <w:bookmarkEnd w:id="161"/>
      <w:r>
        <w:rPr>
          <w:b w:val="0"/>
          <w:bCs w:val="0"/>
        </w:rPr>
      </w:r>
      <w:bookmarkStart w:name="_bookmark11" w:id="162"/>
      <w:bookmarkEnd w:id="162"/>
      <w:r>
        <w:rPr>
          <w:b w:val="0"/>
          <w:bCs w:val="0"/>
        </w:rPr>
      </w:r>
      <w:r>
        <w:rPr/>
        <w:t>第十二节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15"/>
        <w:jc w:val="left"/>
        <w:rPr>
          <w:b w:val="0"/>
          <w:bCs w:val="0"/>
        </w:rPr>
      </w:pPr>
      <w:bookmarkStart w:name="一、审计报告" w:id="163"/>
      <w:bookmarkEnd w:id="163"/>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带有强调事项段的无保留意见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致同审字（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110ZA7563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董旭、黄玉清</w:t>
            </w:r>
          </w:p>
        </w:tc>
      </w:tr>
    </w:tbl>
    <w:p>
      <w:pPr>
        <w:spacing w:line="240" w:lineRule="auto" w:before="11"/>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877" w:footer="980" w:top="1100" w:bottom="1160" w:left="980" w:right="0"/>
        </w:sect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23"/>
          <w:szCs w:val="23"/>
        </w:rPr>
      </w:pPr>
    </w:p>
    <w:p>
      <w:pPr>
        <w:pStyle w:val="Heading4"/>
        <w:spacing w:line="360" w:lineRule="auto"/>
        <w:ind w:right="0" w:hanging="361"/>
        <w:jc w:val="left"/>
        <w:rPr>
          <w:b w:val="0"/>
          <w:bCs w:val="0"/>
        </w:rPr>
      </w:pPr>
      <w:r>
        <w:rPr>
          <w:w w:val="95"/>
        </w:rPr>
        <w:t>北京久其软件股份有限公司全体股东：</w:t>
      </w:r>
      <w:r>
        <w:rPr>
          <w:spacing w:val="65"/>
          <w:w w:val="95"/>
        </w:rPr>
        <w:t> </w:t>
      </w:r>
      <w:r>
        <w:rPr>
          <w:spacing w:val="65"/>
          <w:w w:val="95"/>
        </w:rPr>
      </w:r>
      <w:r>
        <w:rPr/>
        <w:t>一、审计意见</w:t>
      </w:r>
      <w:r>
        <w:rPr>
          <w:b w:val="0"/>
          <w:bCs w:val="0"/>
        </w:rPr>
      </w:r>
    </w:p>
    <w:p>
      <w:pPr>
        <w:pStyle w:val="Heading2"/>
        <w:spacing w:line="240" w:lineRule="auto" w:before="26"/>
        <w:ind w:right="-19"/>
        <w:jc w:val="left"/>
        <w:rPr>
          <w:b w:val="0"/>
          <w:bCs w:val="0"/>
        </w:rPr>
      </w:pPr>
      <w:r>
        <w:rPr>
          <w:b w:val="0"/>
          <w:bCs w:val="0"/>
        </w:rPr>
        <w:br w:type="column"/>
      </w:r>
      <w:r>
        <w:rPr/>
        <w:t>审计报告</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4"/>
          <w:szCs w:val="14"/>
        </w:rPr>
      </w:pPr>
    </w:p>
    <w:p>
      <w:pPr>
        <w:pStyle w:val="BodyText"/>
        <w:spacing w:line="240" w:lineRule="auto"/>
        <w:ind w:right="0"/>
        <w:jc w:val="left"/>
      </w:pPr>
      <w:r>
        <w:rPr/>
        <w:t>致同审字（</w:t>
      </w:r>
      <w:r>
        <w:rPr>
          <w:rFonts w:ascii="Times New Roman" w:hAnsi="Times New Roman" w:cs="Times New Roman" w:eastAsia="Times New Roman" w:hint="default"/>
        </w:rPr>
        <w:t>2020</w:t>
      </w:r>
      <w:r>
        <w:rPr/>
        <w:t>）第</w:t>
      </w:r>
      <w:r>
        <w:rPr>
          <w:spacing w:val="-51"/>
        </w:rPr>
        <w:t> </w:t>
      </w:r>
      <w:r>
        <w:rPr>
          <w:rFonts w:ascii="Times New Roman" w:hAnsi="Times New Roman" w:cs="Times New Roman" w:eastAsia="Times New Roman" w:hint="default"/>
        </w:rPr>
        <w:t>110ZA7563</w:t>
      </w:r>
      <w:r>
        <w:rPr>
          <w:rFonts w:ascii="Times New Roman" w:hAnsi="Times New Roman" w:cs="Times New Roman" w:eastAsia="Times New Roman" w:hint="default"/>
          <w:spacing w:val="-5"/>
        </w:rPr>
        <w:t> </w:t>
      </w:r>
      <w:r>
        <w:rPr/>
        <w:t>号</w:t>
      </w:r>
    </w:p>
    <w:p>
      <w:pPr>
        <w:spacing w:after="0" w:line="240" w:lineRule="auto"/>
        <w:jc w:val="left"/>
        <w:sectPr>
          <w:type w:val="continuous"/>
          <w:pgSz w:w="11910" w:h="16840"/>
          <w:pgMar w:top="1060" w:bottom="1160" w:left="980" w:right="0"/>
          <w:cols w:num="3" w:equalWidth="0">
            <w:col w:w="3224" w:space="1114"/>
            <w:col w:w="1118" w:space="1432"/>
            <w:col w:w="4042"/>
          </w:cols>
        </w:sectPr>
      </w:pPr>
    </w:p>
    <w:p>
      <w:pPr>
        <w:pStyle w:val="BodyText"/>
        <w:spacing w:line="319" w:lineRule="auto" w:before="27"/>
        <w:ind w:right="1127" w:firstLine="360"/>
        <w:jc w:val="right"/>
        <w:rPr>
          <w:rFonts w:ascii="Times New Roman" w:hAnsi="Times New Roman" w:cs="Times New Roman" w:eastAsia="Times New Roman" w:hint="default"/>
        </w:rPr>
      </w:pPr>
      <w:r>
        <w:rPr>
          <w:spacing w:val="-5"/>
        </w:rPr>
        <w:t>我们审计了北京久其软件股份有限公司（以下简称“久其软件公司”）财务报表，包括</w:t>
      </w:r>
      <w:r>
        <w:rPr>
          <w:spacing w:val="-4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3"/>
        </w:rPr>
        <w:t> </w:t>
      </w:r>
      <w:r>
        <w:rPr/>
        <w:t>日的合并及公司 </w:t>
      </w:r>
      <w:r>
        <w:rPr>
          <w:spacing w:val="-5"/>
        </w:rPr>
        <w:t>资产负债表，</w:t>
      </w:r>
      <w:r>
        <w:rPr>
          <w:rFonts w:ascii="Times New Roman" w:hAnsi="Times New Roman" w:cs="Times New Roman" w:eastAsia="Times New Roman" w:hint="default"/>
          <w:spacing w:val="-5"/>
        </w:rPr>
        <w:t>2019</w:t>
      </w:r>
      <w:r>
        <w:rPr>
          <w:rFonts w:ascii="Times New Roman" w:hAnsi="Times New Roman" w:cs="Times New Roman" w:eastAsia="Times New Roman" w:hint="default"/>
          <w:spacing w:val="10"/>
        </w:rPr>
        <w:t> </w:t>
      </w:r>
      <w:r>
        <w:rPr>
          <w:spacing w:val="-2"/>
        </w:rPr>
        <w:t>年度的合并及公司利润表、合并及公司现金流量表、合并及公司股东权益变动表以及相关财务报表附注。</w:t>
      </w:r>
      <w:r>
        <w:rPr/>
        <w:t> </w:t>
      </w:r>
      <w:r>
        <w:rPr>
          <w:spacing w:val="-3"/>
        </w:rPr>
        <w:t>我们认为，后附的财务报表在所有重大方面按照企业会计准则的规定编制，公允反映了北京久其软件股份有限公司</w:t>
      </w:r>
      <w:r>
        <w:rPr>
          <w:spacing w:val="-19"/>
        </w:rPr>
        <w:t> </w:t>
      </w:r>
      <w:r>
        <w:rPr>
          <w:rFonts w:ascii="Times New Roman" w:hAnsi="Times New Roman" w:cs="Times New Roman" w:eastAsia="Times New Roman" w:hint="default"/>
        </w:rPr>
        <w:t>2019</w:t>
      </w:r>
    </w:p>
    <w:p>
      <w:pPr>
        <w:pStyle w:val="BodyText"/>
        <w:spacing w:line="340" w:lineRule="auto"/>
        <w:ind w:left="513" w:right="3832" w:hanging="361"/>
        <w:jc w:val="left"/>
        <w:rPr>
          <w:rFonts w:ascii="宋体" w:hAnsi="宋体" w:cs="宋体" w:eastAsia="宋体" w:hint="default"/>
        </w:rPr>
      </w:pP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日的合并及公司财务状况以及</w:t>
      </w:r>
      <w:r>
        <w:rPr>
          <w:spacing w:val="-46"/>
        </w:rPr>
        <w:t> </w:t>
      </w:r>
      <w:r>
        <w:rPr>
          <w:rFonts w:ascii="Times New Roman" w:hAnsi="Times New Roman" w:cs="Times New Roman" w:eastAsia="Times New Roman" w:hint="default"/>
        </w:rPr>
        <w:t>2019 </w:t>
      </w:r>
      <w:r>
        <w:rPr/>
        <w:t>年度的合并及公司经营成果和现金流量。 </w:t>
      </w:r>
      <w:r>
        <w:rPr>
          <w:rFonts w:ascii="宋体" w:hAnsi="宋体" w:cs="宋体" w:eastAsia="宋体" w:hint="default"/>
          <w:b/>
          <w:bCs/>
        </w:rPr>
        <w:t>二、形成审计意见的基础</w:t>
      </w:r>
      <w:r>
        <w:rPr>
          <w:rFonts w:ascii="宋体" w:hAnsi="宋体" w:cs="宋体" w:eastAsia="宋体" w:hint="default"/>
        </w:rPr>
      </w:r>
    </w:p>
    <w:p>
      <w:pPr>
        <w:pStyle w:val="BodyText"/>
        <w:spacing w:line="316" w:lineRule="auto" w:before="42"/>
        <w:ind w:right="1130" w:firstLine="360"/>
        <w:jc w:val="both"/>
      </w:pPr>
      <w:r>
        <w:rPr>
          <w:spacing w:val="-2"/>
        </w:rPr>
        <w:t>我们按照中国注册会计师审计准则的规定执行了审计工作。审计报告的“注册会计师对财务报表审计的责任”部分进一</w:t>
      </w:r>
      <w:r>
        <w:rPr/>
        <w:t> </w:t>
      </w:r>
      <w:r>
        <w:rPr>
          <w:spacing w:val="-2"/>
        </w:rPr>
        <w:t>步阐述了我们在这些准则下的责任。按照中国注册会计师职业道德守则，我们独立于久其软件公司，并履行了职业道德方面</w:t>
      </w:r>
      <w:r>
        <w:rPr>
          <w:spacing w:val="-63"/>
        </w:rPr>
        <w:t> </w:t>
      </w:r>
      <w:r>
        <w:rPr>
          <w:spacing w:val="-63"/>
        </w:rPr>
      </w:r>
      <w:r>
        <w:rPr/>
        <w:t>的其他责任。我们相信，我们获取的审计证据是充分、适当的，为发表审计意见提供了基础。</w:t>
      </w:r>
    </w:p>
    <w:p>
      <w:pPr>
        <w:pStyle w:val="BodyText"/>
        <w:spacing w:line="360" w:lineRule="auto" w:before="57"/>
        <w:ind w:left="513" w:right="1121"/>
        <w:jc w:val="left"/>
        <w:rPr>
          <w:rFonts w:ascii="Times New Roman" w:hAnsi="Times New Roman" w:cs="Times New Roman" w:eastAsia="Times New Roman" w:hint="default"/>
        </w:rPr>
      </w:pPr>
      <w:r>
        <w:rPr>
          <w:rFonts w:ascii="宋体" w:hAnsi="宋体" w:cs="宋体" w:eastAsia="宋体" w:hint="default"/>
          <w:b/>
          <w:bCs/>
        </w:rPr>
        <w:t>三、强调事项</w:t>
      </w:r>
      <w:r>
        <w:rPr>
          <w:rFonts w:ascii="宋体" w:hAnsi="宋体" w:cs="宋体" w:eastAsia="宋体" w:hint="default"/>
          <w:b/>
          <w:bCs/>
          <w:w w:val="99"/>
        </w:rPr>
        <w:t> </w:t>
      </w:r>
      <w:r>
        <w:rPr/>
        <w:t>我们提醒财务报表使用者关注，如财务报表附注“十四、其他重要事项、</w:t>
      </w:r>
      <w:r>
        <w:rPr>
          <w:rFonts w:ascii="Times New Roman" w:hAnsi="Times New Roman" w:cs="Times New Roman" w:eastAsia="Times New Roman" w:hint="default"/>
        </w:rPr>
        <w:t>3</w:t>
      </w:r>
      <w:r>
        <w:rPr/>
        <w:t>、上海移通案件情况”所述，截至</w:t>
      </w:r>
      <w:r>
        <w:rPr>
          <w:spacing w:val="-59"/>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3"/>
        </w:rPr>
        <w:t> </w:t>
      </w:r>
      <w:r>
        <w:rPr/>
        <w:t>年</w:t>
      </w:r>
      <w:r>
        <w:rPr>
          <w:spacing w:val="-61"/>
        </w:rPr>
        <w:t> </w:t>
      </w:r>
      <w:r>
        <w:rPr>
          <w:rFonts w:ascii="Times New Roman" w:hAnsi="Times New Roman" w:cs="Times New Roman" w:eastAsia="Times New Roman" w:hint="default"/>
        </w:rPr>
        <w:t>4</w:t>
      </w:r>
    </w:p>
    <w:p>
      <w:pPr>
        <w:pStyle w:val="BodyText"/>
        <w:spacing w:line="212" w:lineRule="exact"/>
        <w:ind w:right="0"/>
        <w:jc w:val="left"/>
      </w:pPr>
      <w:r>
        <w:rPr/>
        <w:t>月</w:t>
      </w:r>
      <w:r>
        <w:rPr>
          <w:spacing w:val="-42"/>
        </w:rPr>
        <w:t> </w:t>
      </w:r>
      <w:r>
        <w:rPr>
          <w:rFonts w:ascii="Times New Roman" w:hAnsi="Times New Roman" w:cs="Times New Roman" w:eastAsia="Times New Roman" w:hint="default"/>
        </w:rPr>
        <w:t>23</w:t>
      </w:r>
      <w:r>
        <w:rPr>
          <w:rFonts w:ascii="Times New Roman" w:hAnsi="Times New Roman" w:cs="Times New Roman" w:eastAsia="Times New Roman" w:hint="default"/>
          <w:spacing w:val="4"/>
        </w:rPr>
        <w:t> </w:t>
      </w:r>
      <w:r>
        <w:rPr/>
        <w:t>日，公安机关正在对上海移通网络有限公司的刑事案件进行侦查；上海仲裁委员会对久其软件公司及北京久其科技投</w:t>
      </w:r>
    </w:p>
    <w:p>
      <w:pPr>
        <w:pStyle w:val="BodyText"/>
        <w:spacing w:line="316" w:lineRule="auto" w:before="63"/>
        <w:ind w:right="1115"/>
        <w:jc w:val="left"/>
      </w:pPr>
      <w:r>
        <w:rPr>
          <w:spacing w:val="-2"/>
        </w:rPr>
        <w:t>资有限公司提出的民事仲裁程序正在进行中，公安侦查、司法裁决、判决及仲裁进展、结果存在不确定性。本段内容不影响</w:t>
      </w:r>
      <w:r>
        <w:rPr>
          <w:spacing w:val="-67"/>
        </w:rPr>
        <w:t> </w:t>
      </w:r>
      <w:r>
        <w:rPr>
          <w:spacing w:val="-67"/>
        </w:rPr>
      </w:r>
      <w:r>
        <w:rPr/>
        <w:t>已发表的审计意见。</w:t>
      </w:r>
    </w:p>
    <w:p>
      <w:pPr>
        <w:pStyle w:val="BodyText"/>
        <w:spacing w:line="357" w:lineRule="auto" w:before="59"/>
        <w:ind w:left="513" w:right="1115"/>
        <w:jc w:val="left"/>
      </w:pPr>
      <w:r>
        <w:rPr>
          <w:rFonts w:ascii="宋体" w:hAnsi="宋体" w:cs="宋体" w:eastAsia="宋体" w:hint="default"/>
          <w:b/>
          <w:bCs/>
        </w:rPr>
        <w:t>四、关键审计事项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224" w:lineRule="exact"/>
        <w:ind w:right="1115"/>
        <w:jc w:val="left"/>
      </w:pPr>
      <w:r>
        <w:rPr/>
        <w:t>审计并形成审计意见为背景，我们不对这些事项单独发表意见。</w:t>
      </w:r>
    </w:p>
    <w:p>
      <w:pPr>
        <w:pStyle w:val="BodyText"/>
        <w:spacing w:line="348" w:lineRule="auto" w:before="118"/>
        <w:ind w:left="513" w:right="4948"/>
        <w:jc w:val="left"/>
      </w:pPr>
      <w:r>
        <w:rPr/>
        <w:t>（一）商誉减值测试 相关信息披露详见财务报表附注三、</w:t>
      </w:r>
      <w:r>
        <w:rPr>
          <w:rFonts w:ascii="Times New Roman" w:hAnsi="Times New Roman" w:cs="Times New Roman" w:eastAsia="Times New Roman" w:hint="default"/>
        </w:rPr>
        <w:t>19</w:t>
      </w:r>
      <w:r>
        <w:rPr/>
        <w:t>、附注三、</w:t>
      </w:r>
      <w:r>
        <w:rPr>
          <w:rFonts w:ascii="Times New Roman" w:hAnsi="Times New Roman" w:cs="Times New Roman" w:eastAsia="Times New Roman" w:hint="default"/>
        </w:rPr>
        <w:t>30 </w:t>
      </w:r>
      <w:r>
        <w:rPr/>
        <w:t>与附注五、</w:t>
      </w:r>
      <w:r>
        <w:rPr>
          <w:rFonts w:ascii="Times New Roman" w:hAnsi="Times New Roman" w:cs="Times New Roman" w:eastAsia="Times New Roman" w:hint="default"/>
        </w:rPr>
        <w:t>18</w:t>
      </w:r>
      <w:r>
        <w:rPr/>
        <w:t>。 </w:t>
      </w:r>
      <w:r>
        <w:rPr>
          <w:rFonts w:ascii="Times New Roman" w:hAnsi="Times New Roman" w:cs="Times New Roman" w:eastAsia="Times New Roman" w:hint="default"/>
        </w:rPr>
        <w:t>1</w:t>
      </w:r>
      <w:r>
        <w:rPr/>
        <w:t>、事项描述</w:t>
      </w:r>
    </w:p>
    <w:p>
      <w:pPr>
        <w:pStyle w:val="BodyText"/>
        <w:spacing w:line="240" w:lineRule="auto" w:before="14"/>
        <w:ind w:left="513" w:right="0"/>
        <w:jc w:val="left"/>
      </w:pPr>
      <w:r>
        <w:rPr/>
        <w:t>截至</w:t>
      </w:r>
      <w:r>
        <w:rPr>
          <w:spacing w:val="-5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日，久其软件公司商誉账面余额为</w:t>
      </w:r>
      <w:r>
        <w:rPr>
          <w:spacing w:val="-49"/>
        </w:rPr>
        <w:t> </w:t>
      </w:r>
      <w:r>
        <w:rPr>
          <w:rFonts w:ascii="Times New Roman" w:hAnsi="Times New Roman" w:cs="Times New Roman" w:eastAsia="Times New Roman" w:hint="default"/>
        </w:rPr>
        <w:t>103,337.11</w:t>
      </w:r>
      <w:r>
        <w:rPr>
          <w:rFonts w:ascii="Times New Roman" w:hAnsi="Times New Roman" w:cs="Times New Roman" w:eastAsia="Times New Roman" w:hint="default"/>
          <w:spacing w:val="-3"/>
        </w:rPr>
        <w:t> </w:t>
      </w:r>
      <w:r>
        <w:rPr>
          <w:spacing w:val="-3"/>
        </w:rPr>
        <w:t>万元，商誉减值准备</w:t>
      </w:r>
      <w:r>
        <w:rPr>
          <w:spacing w:val="-50"/>
        </w:rPr>
        <w:t> </w:t>
      </w:r>
      <w:r>
        <w:rPr>
          <w:rFonts w:ascii="Times New Roman" w:hAnsi="Times New Roman" w:cs="Times New Roman" w:eastAsia="Times New Roman" w:hint="default"/>
        </w:rPr>
        <w:t>45,847.28</w:t>
      </w:r>
      <w:r>
        <w:rPr>
          <w:rFonts w:ascii="Times New Roman" w:hAnsi="Times New Roman" w:cs="Times New Roman" w:eastAsia="Times New Roman" w:hint="default"/>
          <w:spacing w:val="-2"/>
        </w:rPr>
        <w:t> </w:t>
      </w:r>
      <w:r>
        <w:rPr>
          <w:spacing w:val="-3"/>
        </w:rPr>
        <w:t>万元，商誉账面净值</w:t>
      </w:r>
    </w:p>
    <w:p>
      <w:pPr>
        <w:pStyle w:val="BodyText"/>
        <w:spacing w:line="340" w:lineRule="auto" w:before="63"/>
        <w:ind w:left="513" w:right="1115" w:hanging="361"/>
        <w:jc w:val="left"/>
      </w:pPr>
      <w:r>
        <w:rPr>
          <w:rFonts w:ascii="Times New Roman" w:hAnsi="Times New Roman" w:cs="Times New Roman" w:eastAsia="Times New Roman" w:hint="default"/>
        </w:rPr>
        <w:t>57,489.84 </w:t>
      </w:r>
      <w:r>
        <w:rPr/>
        <w:t>万元，占期末资产总额的</w:t>
      </w:r>
      <w:r>
        <w:rPr>
          <w:spacing w:val="-42"/>
        </w:rPr>
        <w:t> </w:t>
      </w:r>
      <w:r>
        <w:rPr>
          <w:rFonts w:ascii="Times New Roman" w:hAnsi="Times New Roman" w:cs="Times New Roman" w:eastAsia="Times New Roman" w:hint="default"/>
        </w:rPr>
        <w:t>18.93%</w:t>
      </w:r>
      <w:r>
        <w:rPr/>
        <w:t>。商誉是因久其软件公司收购子公司形成。 </w:t>
      </w:r>
      <w:r>
        <w:rPr>
          <w:spacing w:val="-2"/>
        </w:rPr>
        <w:t>根据企业会计准则的要求，久其软件公司管理层（以下简称“管理层”）每个资产负债表日对商誉进行减值测试，另外</w:t>
      </w:r>
    </w:p>
    <w:p>
      <w:pPr>
        <w:pStyle w:val="BodyText"/>
        <w:spacing w:line="316" w:lineRule="auto" w:before="1"/>
        <w:ind w:right="1034"/>
        <w:jc w:val="left"/>
      </w:pPr>
      <w:r>
        <w:rPr>
          <w:spacing w:val="-2"/>
        </w:rPr>
        <w:t>在识别出减值迹象时应进行减值测试。管理层将含有商誉的资产组的账面价值与其可收回金额进行比较，以确定是否需要计</w:t>
      </w:r>
      <w:r>
        <w:rPr>
          <w:spacing w:val="-64"/>
        </w:rPr>
        <w:t> </w:t>
      </w:r>
      <w:r>
        <w:rPr>
          <w:spacing w:val="-64"/>
        </w:rPr>
      </w:r>
      <w:r>
        <w:rPr/>
        <w:t>提减值。可收回金额按照资产组的预计未来现金流量的现值与资产的公允价值减去处置费用后的净额两者之间较高者确定。</w:t>
      </w:r>
    </w:p>
    <w:p>
      <w:pPr>
        <w:spacing w:after="0" w:line="316" w:lineRule="auto"/>
        <w:jc w:val="left"/>
        <w:sectPr>
          <w:type w:val="continuous"/>
          <w:pgSz w:w="11910" w:h="16840"/>
          <w:pgMar w:top="1060" w:bottom="1160" w:left="980" w:right="0"/>
        </w:sectPr>
      </w:pPr>
    </w:p>
    <w:p>
      <w:pPr>
        <w:spacing w:line="240" w:lineRule="auto" w:before="11"/>
        <w:rPr>
          <w:rFonts w:ascii="宋体" w:hAnsi="宋体" w:cs="宋体" w:eastAsia="宋体" w:hint="default"/>
          <w:sz w:val="21"/>
          <w:szCs w:val="21"/>
        </w:rPr>
      </w:pPr>
    </w:p>
    <w:p>
      <w:pPr>
        <w:pStyle w:val="BodyText"/>
        <w:spacing w:line="360" w:lineRule="auto" w:before="44"/>
        <w:ind w:left="513" w:right="1115" w:hanging="361"/>
        <w:jc w:val="left"/>
      </w:pPr>
      <w:r>
        <w:rPr/>
        <w:t>编制折现的现金流量预测涉及重大的管理层判断，特别是估计收入增长率、营业利润率和确定采用的折现率。 </w:t>
      </w:r>
      <w:r>
        <w:rPr>
          <w:spacing w:val="-2"/>
        </w:rPr>
        <w:t>由于对商誉的减值评估涉及较为复杂的估值技术且在减值测试中使用的假设和参数涉及重大的管理层判断，这些判断存</w:t>
      </w:r>
    </w:p>
    <w:p>
      <w:pPr>
        <w:pStyle w:val="BodyText"/>
        <w:spacing w:line="222" w:lineRule="exact"/>
        <w:ind w:right="0"/>
        <w:jc w:val="left"/>
      </w:pPr>
      <w:r>
        <w:rPr/>
        <w:t>在固有不确定性，有可能受到管理层偏向的影响，且其金额对财务报表影响较为重大，因此，我们将商誉减值测试识别为关</w:t>
      </w:r>
    </w:p>
    <w:p>
      <w:pPr>
        <w:pStyle w:val="BodyText"/>
        <w:spacing w:line="240" w:lineRule="auto" w:before="76"/>
        <w:ind w:right="1115"/>
        <w:jc w:val="left"/>
      </w:pPr>
      <w:r>
        <w:rPr/>
        <w:t>键审计事项。</w:t>
      </w:r>
    </w:p>
    <w:p>
      <w:pPr>
        <w:pStyle w:val="BodyText"/>
        <w:spacing w:line="340" w:lineRule="auto" w:before="115"/>
        <w:ind w:left="513" w:right="6253"/>
        <w:jc w:val="left"/>
      </w:pPr>
      <w:r>
        <w:rPr>
          <w:rFonts w:ascii="Times New Roman" w:hAnsi="Times New Roman" w:cs="Times New Roman" w:eastAsia="Times New Roman" w:hint="default"/>
        </w:rPr>
        <w:t>2</w:t>
      </w:r>
      <w:r>
        <w:rPr/>
        <w:t>、审计应对 针对商誉减值测试，我们执行的主要审计程序包括：</w:t>
      </w:r>
    </w:p>
    <w:p>
      <w:pPr>
        <w:pStyle w:val="BodyText"/>
        <w:spacing w:line="240" w:lineRule="auto" w:before="41"/>
        <w:ind w:left="513" w:right="1115"/>
        <w:jc w:val="left"/>
      </w:pPr>
      <w:r>
        <w:rPr/>
        <w:t>（</w:t>
      </w:r>
      <w:r>
        <w:rPr>
          <w:rFonts w:ascii="Times New Roman" w:hAnsi="Times New Roman" w:cs="Times New Roman" w:eastAsia="Times New Roman" w:hint="default"/>
        </w:rPr>
        <w:t>1</w:t>
      </w:r>
      <w:r>
        <w:rPr/>
        <w:t>）评估及测试与商誉减值测试相关的内部控制有效性，包括关键假设的采用及减值计提金额的复核与审批；</w:t>
      </w:r>
    </w:p>
    <w:p>
      <w:pPr>
        <w:pStyle w:val="BodyText"/>
        <w:spacing w:line="300" w:lineRule="auto" w:before="101"/>
        <w:ind w:right="1124" w:firstLine="360"/>
        <w:jc w:val="left"/>
      </w:pPr>
      <w:r>
        <w:rPr/>
        <w:t>（</w:t>
      </w:r>
      <w:r>
        <w:rPr>
          <w:rFonts w:ascii="Times New Roman" w:hAnsi="Times New Roman" w:cs="Times New Roman" w:eastAsia="Times New Roman" w:hint="default"/>
        </w:rPr>
        <w:t>2</w:t>
      </w:r>
      <w:r>
        <w:rPr/>
        <w:t>）了解管理层采用的未来现金流量现值测算方法，评价管理层在编制折现的现金流量预测时采用的方法是否符合企 业会计准则的要求；</w:t>
      </w:r>
    </w:p>
    <w:p>
      <w:pPr>
        <w:pStyle w:val="BodyText"/>
        <w:spacing w:line="240" w:lineRule="auto" w:before="72"/>
        <w:ind w:left="513" w:right="0"/>
        <w:jc w:val="left"/>
      </w:pPr>
      <w:r>
        <w:rPr/>
        <w:t>（</w:t>
      </w:r>
      <w:r>
        <w:rPr>
          <w:rFonts w:ascii="Times New Roman" w:hAnsi="Times New Roman" w:cs="Times New Roman" w:eastAsia="Times New Roman" w:hint="default"/>
        </w:rPr>
        <w:t>3</w:t>
      </w:r>
      <w:r>
        <w:rPr/>
        <w:t>）复核管理层对商誉所在资产组或资产组组合的划分，以及商誉是否按照合理的方法分摊至相关资产组或资产组组</w:t>
      </w:r>
    </w:p>
    <w:p>
      <w:pPr>
        <w:pStyle w:val="BodyText"/>
        <w:spacing w:line="240" w:lineRule="auto" w:before="63"/>
        <w:ind w:right="1115"/>
        <w:jc w:val="left"/>
      </w:pPr>
      <w:r>
        <w:rPr/>
        <w:t>合；</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312" w:lineRule="auto"/>
        <w:ind w:right="1133" w:firstLine="360"/>
        <w:jc w:val="both"/>
      </w:pPr>
      <w:r>
        <w:rPr/>
        <w:t>（</w:t>
      </w:r>
      <w:r>
        <w:rPr>
          <w:rFonts w:ascii="Times New Roman" w:hAnsi="Times New Roman" w:cs="Times New Roman" w:eastAsia="Times New Roman" w:hint="default"/>
        </w:rPr>
        <w:t>4</w:t>
      </w:r>
      <w:r>
        <w:rPr/>
        <w:t>）结合宏观经济和所属行业的发展趋势、资产组的实际经营情况、发展规划以及对于市场的分析、预测，并考虑同 </w:t>
      </w:r>
      <w:r>
        <w:rPr>
          <w:spacing w:val="-2"/>
        </w:rPr>
        <w:t>行业可比上市公司数据，将商誉减值测试所使用的假设和参数与历史数据以及其他支持性证据进行核对，同时对比以前年度</w:t>
      </w:r>
      <w:r>
        <w:rPr>
          <w:spacing w:val="-64"/>
        </w:rPr>
        <w:t> </w:t>
      </w:r>
      <w:r>
        <w:rPr>
          <w:spacing w:val="-64"/>
        </w:rPr>
      </w:r>
      <w:r>
        <w:rPr>
          <w:spacing w:val="-2"/>
        </w:rPr>
        <w:t>用于测算商誉减值的假设数据是否与实际情况接近，考虑久其软件公司的商誉减值测试过程是否存在偏见，评估商誉减值测</w:t>
      </w:r>
      <w:r>
        <w:rPr>
          <w:spacing w:val="-64"/>
        </w:rPr>
        <w:t> </w:t>
      </w:r>
      <w:r>
        <w:rPr>
          <w:spacing w:val="-64"/>
        </w:rPr>
      </w:r>
      <w:r>
        <w:rPr/>
        <w:t>试方法的适当性及采用的相关假设和参数的合理性，判断是否需要根据最新情况调整未来关键经营假设；</w:t>
      </w:r>
    </w:p>
    <w:p>
      <w:pPr>
        <w:pStyle w:val="BodyText"/>
        <w:spacing w:line="240" w:lineRule="auto" w:before="63"/>
        <w:ind w:left="513" w:right="1115"/>
        <w:jc w:val="left"/>
      </w:pPr>
      <w:r>
        <w:rPr/>
        <w:t>（</w:t>
      </w:r>
      <w:r>
        <w:rPr>
          <w:rFonts w:ascii="Times New Roman" w:hAnsi="Times New Roman" w:cs="Times New Roman" w:eastAsia="Times New Roman" w:hint="default"/>
        </w:rPr>
        <w:t>5</w:t>
      </w:r>
      <w:r>
        <w:rPr/>
        <w:t>）了解管理层聘用的评估专家的工作范围、评估思路和方法等，评价其胜任能力、专业素质和客观性；</w:t>
      </w:r>
    </w:p>
    <w:p>
      <w:pPr>
        <w:pStyle w:val="BodyText"/>
        <w:spacing w:line="300" w:lineRule="auto" w:before="103"/>
        <w:ind w:right="1124" w:firstLine="360"/>
        <w:jc w:val="left"/>
      </w:pPr>
      <w:r>
        <w:rPr/>
        <w:t>（</w:t>
      </w:r>
      <w:r>
        <w:rPr>
          <w:rFonts w:ascii="Times New Roman" w:hAnsi="Times New Roman" w:cs="Times New Roman" w:eastAsia="Times New Roman" w:hint="default"/>
        </w:rPr>
        <w:t>6</w:t>
      </w:r>
      <w:r>
        <w:rPr/>
        <w:t>）获取管理层进行减值测试时所聘用专家出具的商誉减值测试估值报告，利用注册会计师的评估专家的工作，评价 了专业评估机构及管理层在商誉减值测试时采用的估值方法、相关假设和折现率的合理性；</w:t>
      </w:r>
    </w:p>
    <w:p>
      <w:pPr>
        <w:pStyle w:val="BodyText"/>
        <w:spacing w:line="240" w:lineRule="auto" w:before="70"/>
        <w:ind w:left="513" w:right="1115"/>
        <w:jc w:val="left"/>
      </w:pPr>
      <w:r>
        <w:rPr/>
        <w:t>（</w:t>
      </w:r>
      <w:r>
        <w:rPr>
          <w:rFonts w:ascii="Times New Roman" w:hAnsi="Times New Roman" w:cs="Times New Roman" w:eastAsia="Times New Roman" w:hint="default"/>
        </w:rPr>
        <w:t>7</w:t>
      </w:r>
      <w:r>
        <w:rPr/>
        <w:t>）评价了注册会计师的评估专家的胜任能力、专业资质和独立性；</w:t>
      </w:r>
    </w:p>
    <w:p>
      <w:pPr>
        <w:pStyle w:val="BodyText"/>
        <w:spacing w:line="240" w:lineRule="auto" w:before="103"/>
        <w:ind w:left="513" w:right="1115"/>
        <w:jc w:val="left"/>
      </w:pPr>
      <w:r>
        <w:rPr/>
        <w:t>（</w:t>
      </w:r>
      <w:r>
        <w:rPr>
          <w:rFonts w:ascii="Times New Roman" w:hAnsi="Times New Roman" w:cs="Times New Roman" w:eastAsia="Times New Roman" w:hint="default"/>
        </w:rPr>
        <w:t>8</w:t>
      </w:r>
      <w:r>
        <w:rPr/>
        <w:t>）检查了管理层对于未来现金流量的预测及未来现金流量现值相关计算过程和计算结果；</w:t>
      </w:r>
    </w:p>
    <w:p>
      <w:pPr>
        <w:pStyle w:val="BodyText"/>
        <w:spacing w:line="240" w:lineRule="auto" w:before="103"/>
        <w:ind w:left="513" w:right="1115"/>
        <w:jc w:val="left"/>
      </w:pPr>
      <w:r>
        <w:rPr/>
        <w:t>（</w:t>
      </w:r>
      <w:r>
        <w:rPr>
          <w:rFonts w:ascii="Times New Roman" w:hAnsi="Times New Roman" w:cs="Times New Roman" w:eastAsia="Times New Roman" w:hint="default"/>
        </w:rPr>
        <w:t>9</w:t>
      </w:r>
      <w:r>
        <w:rPr/>
        <w:t>）检查了商誉减值测试相关信息在财务报表附注中的披露是否充分、适当。</w:t>
      </w:r>
    </w:p>
    <w:p>
      <w:pPr>
        <w:pStyle w:val="BodyText"/>
        <w:spacing w:line="350" w:lineRule="auto" w:before="101"/>
        <w:ind w:left="513" w:right="6207"/>
        <w:jc w:val="left"/>
      </w:pPr>
      <w:r>
        <w:rPr/>
        <w:t>（二）应收保理款坏账准备的计提 相关信息披露详见财务报表附注三、</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与附注五、</w:t>
      </w:r>
      <w:r>
        <w:rPr>
          <w:rFonts w:ascii="Times New Roman" w:hAnsi="Times New Roman" w:cs="Times New Roman" w:eastAsia="Times New Roman" w:hint="default"/>
        </w:rPr>
        <w:t>5</w:t>
      </w:r>
      <w:r>
        <w:rPr/>
        <w:t>。 </w:t>
      </w:r>
      <w:r>
        <w:rPr>
          <w:rFonts w:ascii="Times New Roman" w:hAnsi="Times New Roman" w:cs="Times New Roman" w:eastAsia="Times New Roman" w:hint="default"/>
        </w:rPr>
        <w:t>1</w:t>
      </w:r>
      <w:r>
        <w:rPr/>
        <w:t>、事项描述</w:t>
      </w:r>
    </w:p>
    <w:p>
      <w:pPr>
        <w:pStyle w:val="BodyText"/>
        <w:spacing w:line="240" w:lineRule="auto" w:before="9"/>
        <w:ind w:left="513" w:right="0"/>
        <w:jc w:val="left"/>
        <w:rPr>
          <w:rFonts w:ascii="Times New Roman" w:hAnsi="Times New Roman" w:cs="Times New Roman" w:eastAsia="Times New Roman" w:hint="default"/>
        </w:rPr>
      </w:pPr>
      <w:r>
        <w:rPr/>
        <w:t>截至</w:t>
      </w:r>
      <w:r>
        <w:rPr>
          <w:spacing w:val="-57"/>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r>
        <w:rPr>
          <w:rFonts w:ascii="Times New Roman" w:hAnsi="Times New Roman" w:cs="Times New Roman" w:eastAsia="Times New Roman" w:hint="default"/>
          <w:spacing w:val="-10"/>
        </w:rPr>
        <w:t> </w:t>
      </w:r>
      <w:r>
        <w:rPr/>
        <w:t>年</w:t>
      </w:r>
      <w:r>
        <w:rPr>
          <w:spacing w:val="-59"/>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月</w:t>
      </w:r>
      <w:r>
        <w:rPr>
          <w:spacing w:val="-59"/>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日</w:t>
      </w:r>
      <w:r>
        <w:rPr>
          <w:spacing w:val="-92"/>
        </w:rPr>
        <w:t>，</w:t>
      </w:r>
      <w:r>
        <w:rPr/>
        <w:t>久其</w:t>
      </w:r>
      <w:r>
        <w:rPr>
          <w:spacing w:val="-3"/>
        </w:rPr>
        <w:t>软</w:t>
      </w:r>
      <w:r>
        <w:rPr/>
        <w:t>件公司应收保理款余额为</w:t>
      </w:r>
      <w:r>
        <w:rPr>
          <w:spacing w:val="-56"/>
        </w:rPr>
        <w:t> </w:t>
      </w:r>
      <w:r>
        <w:rPr>
          <w:rFonts w:ascii="Times New Roman" w:hAnsi="Times New Roman" w:cs="Times New Roman" w:eastAsia="Times New Roman" w:hint="default"/>
          <w:spacing w:val="1"/>
        </w:rPr>
        <w:t>13</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1"/>
        </w:rPr>
        <w:t>4</w:t>
      </w:r>
      <w:r>
        <w:rPr>
          <w:rFonts w:ascii="Times New Roman" w:hAnsi="Times New Roman" w:cs="Times New Roman" w:eastAsia="Times New Roman" w:hint="default"/>
        </w:rPr>
        <w:t>.</w:t>
      </w:r>
      <w:r>
        <w:rPr>
          <w:rFonts w:ascii="Times New Roman" w:hAnsi="Times New Roman" w:cs="Times New Roman" w:eastAsia="Times New Roman" w:hint="default"/>
          <w:spacing w:val="-2"/>
        </w:rPr>
        <w:t>1</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万元</w:t>
      </w:r>
      <w:r>
        <w:rPr>
          <w:spacing w:val="-92"/>
        </w:rPr>
        <w:t>，</w:t>
      </w:r>
      <w:r>
        <w:rPr/>
        <w:t>计提坏账准备</w:t>
      </w:r>
      <w:r>
        <w:rPr>
          <w:spacing w:val="-57"/>
        </w:rPr>
        <w:t> </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1</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万元</w:t>
      </w:r>
      <w:r>
        <w:rPr>
          <w:spacing w:val="-92"/>
        </w:rPr>
        <w:t>，</w:t>
      </w:r>
      <w:r>
        <w:rPr/>
        <w:t>账面净值</w:t>
      </w:r>
      <w:r>
        <w:rPr>
          <w:spacing w:val="-57"/>
        </w:rPr>
        <w:t> </w:t>
      </w:r>
      <w:r>
        <w:rPr>
          <w:rFonts w:ascii="Times New Roman" w:hAnsi="Times New Roman" w:cs="Times New Roman" w:eastAsia="Times New Roman" w:hint="default"/>
          <w:spacing w:val="1"/>
        </w:rPr>
        <w:t>6</w:t>
      </w:r>
      <w:r>
        <w:rPr>
          <w:rFonts w:ascii="Times New Roman" w:hAnsi="Times New Roman" w:cs="Times New Roman" w:eastAsia="Times New Roman" w:hint="default"/>
        </w:rPr>
        <w:t>,</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3</w:t>
      </w:r>
      <w:r>
        <w:rPr>
          <w:rFonts w:ascii="Times New Roman" w:hAnsi="Times New Roman" w:cs="Times New Roman" w:eastAsia="Times New Roman" w:hint="default"/>
        </w:rPr>
        <w:t>.</w:t>
      </w:r>
      <w:r>
        <w:rPr>
          <w:rFonts w:ascii="Times New Roman" w:hAnsi="Times New Roman" w:cs="Times New Roman" w:eastAsia="Times New Roman" w:hint="default"/>
          <w:spacing w:val="-2"/>
        </w:rPr>
        <w:t>9</w:t>
      </w:r>
      <w:r>
        <w:rPr>
          <w:rFonts w:ascii="Times New Roman" w:hAnsi="Times New Roman" w:cs="Times New Roman" w:eastAsia="Times New Roman" w:hint="default"/>
        </w:rPr>
        <w:t>8</w:t>
      </w:r>
    </w:p>
    <w:p>
      <w:pPr>
        <w:pStyle w:val="BodyText"/>
        <w:spacing w:line="360" w:lineRule="auto" w:before="63"/>
        <w:ind w:left="513" w:right="1115" w:hanging="361"/>
        <w:jc w:val="left"/>
      </w:pPr>
      <w:r>
        <w:rPr/>
        <w:t>万元。应收保理款是因久其软件公司的子公司深圳市久金保商业保理有限公司从事保理业务形成。 </w:t>
      </w:r>
      <w:r>
        <w:rPr>
          <w:spacing w:val="-2"/>
        </w:rPr>
        <w:t>由于应收保理款金额重大，且坏账损失的计提涉及管理层的重大判断和会计估计，这些判断存在固有不确定性，并且有</w:t>
      </w:r>
    </w:p>
    <w:p>
      <w:pPr>
        <w:pStyle w:val="BodyText"/>
        <w:spacing w:line="222" w:lineRule="exact"/>
        <w:ind w:right="1115"/>
        <w:jc w:val="left"/>
      </w:pPr>
      <w:r>
        <w:rPr/>
        <w:t>可能受到管理层偏向的影响。因此，我们将应收保理款坏账准备的计提识别为关键审计事项。</w:t>
      </w:r>
    </w:p>
    <w:p>
      <w:pPr>
        <w:pStyle w:val="BodyText"/>
        <w:spacing w:line="338" w:lineRule="auto" w:before="117"/>
        <w:ind w:left="513" w:right="5173"/>
        <w:jc w:val="left"/>
      </w:pPr>
      <w:r>
        <w:rPr>
          <w:rFonts w:ascii="Times New Roman" w:hAnsi="Times New Roman" w:cs="Times New Roman" w:eastAsia="Times New Roman" w:hint="default"/>
        </w:rPr>
        <w:t>2</w:t>
      </w:r>
      <w:r>
        <w:rPr/>
        <w:t>、审计应对 针对应收保理款坏账准备的计提，我们执行的主要审计程序包括：</w:t>
      </w:r>
    </w:p>
    <w:p>
      <w:pPr>
        <w:pStyle w:val="BodyText"/>
        <w:spacing w:line="240" w:lineRule="auto" w:before="43"/>
        <w:ind w:left="513" w:right="1115"/>
        <w:jc w:val="left"/>
      </w:pPr>
      <w:r>
        <w:rPr/>
        <w:t>（</w:t>
      </w:r>
      <w:r>
        <w:rPr>
          <w:rFonts w:ascii="Times New Roman" w:hAnsi="Times New Roman" w:cs="Times New Roman" w:eastAsia="Times New Roman" w:hint="default"/>
        </w:rPr>
        <w:t>1</w:t>
      </w:r>
      <w:r>
        <w:rPr/>
        <w:t>）了解、评估了与应收保理款减值测试相关内部控制设计的合理性，并测试关键控制的有效性；</w:t>
      </w:r>
    </w:p>
    <w:p>
      <w:pPr>
        <w:pStyle w:val="BodyText"/>
        <w:spacing w:line="300" w:lineRule="auto" w:before="104"/>
        <w:ind w:right="1124" w:firstLine="360"/>
        <w:jc w:val="left"/>
      </w:pPr>
      <w:r>
        <w:rPr/>
        <w:t>（</w:t>
      </w:r>
      <w:r>
        <w:rPr>
          <w:rFonts w:ascii="Times New Roman" w:hAnsi="Times New Roman" w:cs="Times New Roman" w:eastAsia="Times New Roman" w:hint="default"/>
        </w:rPr>
        <w:t>2</w:t>
      </w:r>
      <w:r>
        <w:rPr/>
        <w:t>）获取了应收保理款清单、保理合同、应收保理款预期信用损失计提表及其他相关资料，了解应收保理款的内容及 性质，结合可比上市公司的做法，评估了管理层有关应收保理款坏账计提政策是否符合企业会计准则的要求；</w:t>
      </w:r>
    </w:p>
    <w:p>
      <w:pPr>
        <w:pStyle w:val="BodyText"/>
        <w:spacing w:line="300" w:lineRule="auto" w:before="70"/>
        <w:ind w:right="1124" w:firstLine="360"/>
        <w:jc w:val="left"/>
      </w:pPr>
      <w:r>
        <w:rPr/>
        <w:t>（</w:t>
      </w:r>
      <w:r>
        <w:rPr>
          <w:rFonts w:ascii="Times New Roman" w:hAnsi="Times New Roman" w:cs="Times New Roman" w:eastAsia="Times New Roman" w:hint="default"/>
        </w:rPr>
        <w:t>3</w:t>
      </w:r>
      <w:r>
        <w:rPr/>
        <w:t>）获取了债务人背景信息、客户的财务状况、历史违约率、违约损失率等信息，评价管理层对应收保理款债务人信 用评级机制的合理性和准确性，并判断预期信用损失计提是否充分；</w:t>
      </w:r>
    </w:p>
    <w:p>
      <w:pPr>
        <w:pStyle w:val="BodyText"/>
        <w:spacing w:line="300" w:lineRule="auto" w:before="72"/>
        <w:ind w:right="1124" w:firstLine="360"/>
        <w:jc w:val="left"/>
      </w:pPr>
      <w:r>
        <w:rPr/>
        <w:t>（</w:t>
      </w:r>
      <w:r>
        <w:rPr>
          <w:rFonts w:ascii="Times New Roman" w:hAnsi="Times New Roman" w:cs="Times New Roman" w:eastAsia="Times New Roman" w:hint="default"/>
        </w:rPr>
        <w:t>4</w:t>
      </w:r>
      <w:r>
        <w:rPr/>
        <w:t>）就保理合同记录的追索权、担保等增信措施获取相关资料，包括保证合同、质押协议等业务合同文书，分析管理 层对于应收保理款可收回性的分析和评估是否合理，对于预期信用损失率的判断是否准确；</w:t>
      </w:r>
    </w:p>
    <w:p>
      <w:pPr>
        <w:pStyle w:val="BodyText"/>
        <w:spacing w:line="300" w:lineRule="auto" w:before="72"/>
        <w:ind w:right="1115" w:firstLine="360"/>
        <w:jc w:val="left"/>
      </w:pPr>
      <w:r>
        <w:rPr>
          <w:spacing w:val="-4"/>
        </w:rPr>
        <w:t>（</w:t>
      </w:r>
      <w:r>
        <w:rPr>
          <w:rFonts w:ascii="Times New Roman" w:hAnsi="Times New Roman" w:cs="Times New Roman" w:eastAsia="Times New Roman" w:hint="default"/>
          <w:spacing w:val="-4"/>
        </w:rPr>
        <w:t>5</w:t>
      </w:r>
      <w:r>
        <w:rPr>
          <w:spacing w:val="-4"/>
        </w:rPr>
        <w:t>）对于涉及诉讼的应收保理款，获取了诉讼相关资料、久其软件公司的调查记录及内部会议纪要、管理层认定说明、</w:t>
      </w:r>
      <w:r>
        <w:rPr/>
        <w:t> 律师意见等资料，并就相关事件发送并获取了律师询证函，复核管理层对信用风险评估结论的恰当性；</w:t>
      </w:r>
    </w:p>
    <w:p>
      <w:pPr>
        <w:pStyle w:val="BodyText"/>
        <w:spacing w:line="240" w:lineRule="auto" w:before="69"/>
        <w:ind w:left="513" w:right="0"/>
        <w:jc w:val="left"/>
      </w:pPr>
      <w:r>
        <w:rPr/>
        <w:t>（</w:t>
      </w:r>
      <w:r>
        <w:rPr>
          <w:rFonts w:ascii="Times New Roman" w:hAnsi="Times New Roman" w:cs="Times New Roman" w:eastAsia="Times New Roman" w:hint="default"/>
        </w:rPr>
        <w:t>6</w:t>
      </w:r>
      <w:r>
        <w:rPr/>
        <w:t>）重新计算应收保理款坏账准备金额，检查管理层计提的金额是否准确，结合期后回款情况分析预期信用损失计提</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1115"/>
        <w:jc w:val="left"/>
      </w:pPr>
      <w:r>
        <w:rPr/>
        <w:t>是否充分；</w:t>
      </w:r>
    </w:p>
    <w:p>
      <w:pPr>
        <w:pStyle w:val="BodyText"/>
        <w:spacing w:line="338" w:lineRule="auto" w:before="117"/>
        <w:ind w:left="513" w:right="4363"/>
        <w:jc w:val="left"/>
        <w:rPr>
          <w:rFonts w:ascii="宋体" w:hAnsi="宋体" w:cs="宋体" w:eastAsia="宋体" w:hint="default"/>
        </w:rPr>
      </w:pPr>
      <w:r>
        <w:rPr/>
        <w:t>（</w:t>
      </w:r>
      <w:r>
        <w:rPr>
          <w:rFonts w:ascii="Times New Roman" w:hAnsi="Times New Roman" w:cs="Times New Roman" w:eastAsia="Times New Roman" w:hint="default"/>
        </w:rPr>
        <w:t>7</w:t>
      </w:r>
      <w:r>
        <w:rPr/>
        <w:t>）对应收保理款客户执行函证程序，检查应收保理款的存在及可收回性。 </w:t>
      </w:r>
      <w:r>
        <w:rPr>
          <w:rFonts w:ascii="宋体" w:hAnsi="宋体" w:cs="宋体" w:eastAsia="宋体" w:hint="default"/>
          <w:b/>
          <w:bCs/>
        </w:rPr>
        <w:t>五、其他信息</w:t>
      </w:r>
      <w:r>
        <w:rPr>
          <w:rFonts w:ascii="宋体" w:hAnsi="宋体" w:cs="宋体" w:eastAsia="宋体" w:hint="default"/>
        </w:rPr>
      </w:r>
    </w:p>
    <w:p>
      <w:pPr>
        <w:pStyle w:val="BodyText"/>
        <w:spacing w:line="300" w:lineRule="auto" w:before="43"/>
        <w:ind w:right="1131" w:firstLine="360"/>
        <w:jc w:val="both"/>
      </w:pPr>
      <w:r>
        <w:rPr/>
        <w:t>久其软件公司管理层对其他信息负责。其他信息包括久其软件公司</w:t>
      </w:r>
      <w:r>
        <w:rPr>
          <w:spacing w:val="-4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年年度报告中涵盖的信息，但不包括财务报表 和我们的审计报告。</w:t>
      </w:r>
    </w:p>
    <w:p>
      <w:pPr>
        <w:pStyle w:val="BodyText"/>
        <w:spacing w:line="357" w:lineRule="auto" w:before="72"/>
        <w:ind w:left="513" w:right="1115"/>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224" w:lineRule="exact"/>
        <w:ind w:right="1115"/>
        <w:jc w:val="left"/>
      </w:pPr>
      <w:r>
        <w:rPr/>
        <w:t>程中了解到的情况存在重大不一致或者似乎存在重大错报。</w:t>
      </w:r>
    </w:p>
    <w:p>
      <w:pPr>
        <w:pStyle w:val="BodyText"/>
        <w:spacing w:line="316" w:lineRule="auto" w:before="117"/>
        <w:ind w:right="1133" w:firstLine="360"/>
        <w:jc w:val="both"/>
      </w:pPr>
      <w:r>
        <w:rPr>
          <w:spacing w:val="-2"/>
        </w:rPr>
        <w:t>基于我们已执行的工作，如果我们确定其他信息存在重大错报，我们应当报告该事实。在这方面，我们无任何事项需要</w:t>
      </w:r>
      <w:r>
        <w:rPr/>
        <w:t> 报告。</w:t>
      </w:r>
    </w:p>
    <w:p>
      <w:pPr>
        <w:spacing w:line="357" w:lineRule="auto" w:before="59"/>
        <w:ind w:left="513" w:right="1115" w:firstLine="0"/>
        <w:jc w:val="left"/>
        <w:rPr>
          <w:rFonts w:ascii="宋体" w:hAnsi="宋体" w:cs="宋体" w:eastAsia="宋体" w:hint="default"/>
          <w:sz w:val="18"/>
          <w:szCs w:val="18"/>
        </w:rPr>
      </w:pPr>
      <w:r>
        <w:rPr>
          <w:rFonts w:ascii="宋体" w:hAnsi="宋体" w:cs="宋体" w:eastAsia="宋体" w:hint="default"/>
          <w:b/>
          <w:bCs/>
          <w:sz w:val="18"/>
          <w:szCs w:val="18"/>
        </w:rPr>
        <w:t>六、管理层和治理层对财务报表的责任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久其软件公司管理层负责按照企业会计准则的规定编制财务报表，使其实现公允反映，并设计、执行和维护必要的内部</w:t>
      </w:r>
    </w:p>
    <w:p>
      <w:pPr>
        <w:pStyle w:val="BodyText"/>
        <w:spacing w:line="224" w:lineRule="exact"/>
        <w:ind w:right="1115"/>
        <w:jc w:val="left"/>
      </w:pPr>
      <w:r>
        <w:rPr/>
        <w:t>控制，以使财务报表不存在由于舞弊或错误导致的重大错报。</w:t>
      </w:r>
    </w:p>
    <w:p>
      <w:pPr>
        <w:pStyle w:val="BodyText"/>
        <w:spacing w:line="316" w:lineRule="auto" w:before="117"/>
        <w:ind w:right="1133" w:firstLine="360"/>
        <w:jc w:val="both"/>
      </w:pPr>
      <w:r>
        <w:rPr>
          <w:spacing w:val="-2"/>
        </w:rPr>
        <w:t>在编制财务报表时，管理层负责评估久其软件公司的持续经营能力，披露与持续经营相关的事项（如适用），并运用持</w:t>
      </w:r>
      <w:r>
        <w:rPr/>
        <w:t> 续经营假设，除非管理层计划清算久其软件公司、终止运营或别无其他现实的选择。</w:t>
      </w:r>
    </w:p>
    <w:p>
      <w:pPr>
        <w:spacing w:line="357" w:lineRule="auto" w:before="59"/>
        <w:ind w:left="513" w:right="6613" w:firstLine="0"/>
        <w:jc w:val="left"/>
        <w:rPr>
          <w:rFonts w:ascii="宋体" w:hAnsi="宋体" w:cs="宋体" w:eastAsia="宋体" w:hint="default"/>
          <w:sz w:val="18"/>
          <w:szCs w:val="18"/>
        </w:rPr>
      </w:pPr>
      <w:r>
        <w:rPr>
          <w:rFonts w:ascii="宋体" w:hAnsi="宋体" w:cs="宋体" w:eastAsia="宋体" w:hint="default"/>
          <w:sz w:val="18"/>
          <w:szCs w:val="18"/>
        </w:rPr>
        <w:t>治理层负责监督久其软件公司的财务报告过程。 </w:t>
      </w:r>
      <w:r>
        <w:rPr>
          <w:rFonts w:ascii="宋体" w:hAnsi="宋体" w:cs="宋体" w:eastAsia="宋体" w:hint="default"/>
          <w:b/>
          <w:bCs/>
          <w:sz w:val="18"/>
          <w:szCs w:val="18"/>
        </w:rPr>
        <w:t>七、注册会计师对财务报表审计的责任</w:t>
      </w:r>
      <w:r>
        <w:rPr>
          <w:rFonts w:ascii="宋体" w:hAnsi="宋体" w:cs="宋体" w:eastAsia="宋体" w:hint="default"/>
          <w:sz w:val="18"/>
          <w:szCs w:val="18"/>
        </w:rPr>
      </w:r>
    </w:p>
    <w:p>
      <w:pPr>
        <w:pStyle w:val="BodyText"/>
        <w:spacing w:line="316" w:lineRule="auto" w:before="29"/>
        <w:ind w:right="1130"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3"/>
        </w:rPr>
        <w:t> </w:t>
      </w:r>
      <w:r>
        <w:rPr>
          <w:spacing w:val="-63"/>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59"/>
        <w:ind w:left="513" w:right="1115"/>
        <w:jc w:val="left"/>
      </w:pPr>
      <w:r>
        <w:rPr/>
        <w:t>在按照审计准则执行审计工作的过程中，我们运用职业判断，并保持职业怀疑。同时，我们也执行以下工作：</w:t>
      </w:r>
    </w:p>
    <w:p>
      <w:pPr>
        <w:pStyle w:val="BodyText"/>
        <w:spacing w:line="309" w:lineRule="auto" w:before="115"/>
        <w:ind w:right="1034" w:firstLine="360"/>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w:t>
      </w:r>
      <w:r>
        <w:rPr>
          <w:spacing w:val="-82"/>
        </w:rPr>
        <w:t> </w:t>
      </w:r>
      <w:r>
        <w:rPr>
          <w:spacing w:val="-82"/>
        </w:rPr>
      </w:r>
      <w:r>
        <w:rPr/>
        <w:t>未能发现由于舞弊导致的重大错报的风险高于未能发现由于错误导致的重大错报的风险。</w:t>
      </w:r>
    </w:p>
    <w:p>
      <w:pPr>
        <w:pStyle w:val="BodyText"/>
        <w:spacing w:line="240" w:lineRule="auto" w:before="65"/>
        <w:ind w:left="513" w:right="1115"/>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40" w:lineRule="auto" w:before="103"/>
        <w:ind w:left="513" w:right="1115"/>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12" w:lineRule="auto" w:before="101"/>
        <w:ind w:right="1132" w:firstLine="36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）对管理层使用持续经营假设的恰当性得出结论。同时，根据获取的审计证据，就可能导致对久其软件公司的持续 </w:t>
      </w:r>
      <w:r>
        <w:rPr>
          <w:spacing w:val="-2"/>
        </w:rPr>
        <w:t>经营能力产生重大疑虑的事项或情况是否存在重大不确定性得出结论。如果我们得出结论认为存在重大不确定性，审计准则</w:t>
      </w:r>
      <w:r>
        <w:rPr>
          <w:spacing w:val="-64"/>
        </w:rPr>
        <w:t> </w:t>
      </w:r>
      <w:r>
        <w:rPr>
          <w:spacing w:val="-64"/>
        </w:rPr>
      </w:r>
      <w:r>
        <w:rPr>
          <w:spacing w:val="-2"/>
        </w:rPr>
        <w:t>要求我们在审计报告中提请报表使用者注意财务报表中的相关披露；如果披露不充分，我们应当发表非无保留意见。我们的</w:t>
      </w:r>
      <w:r>
        <w:rPr>
          <w:spacing w:val="-66"/>
        </w:rPr>
        <w:t> </w:t>
      </w:r>
      <w:r>
        <w:rPr>
          <w:spacing w:val="-66"/>
        </w:rPr>
      </w:r>
      <w:r>
        <w:rPr/>
        <w:t>结论基于截至审计报告日可获得的信息。然而，未来的事项或情况可能导致久其软件公司不能持续经营。</w:t>
      </w:r>
    </w:p>
    <w:p>
      <w:pPr>
        <w:pStyle w:val="BodyText"/>
        <w:spacing w:line="240" w:lineRule="auto" w:before="63"/>
        <w:ind w:left="513" w:right="1115"/>
        <w:jc w:val="left"/>
      </w:pPr>
      <w:r>
        <w:rPr/>
        <w:t>（</w:t>
      </w:r>
      <w:r>
        <w:rPr>
          <w:rFonts w:ascii="Times New Roman" w:hAnsi="Times New Roman" w:cs="Times New Roman" w:eastAsia="Times New Roman" w:hint="default"/>
        </w:rPr>
        <w:t>5</w:t>
      </w:r>
      <w:r>
        <w:rPr/>
        <w:t>）评价财务报表的总体列报、结构和内容，并评价财务报表是否公允反映相关交易和事项。</w:t>
      </w:r>
    </w:p>
    <w:p>
      <w:pPr>
        <w:pStyle w:val="BodyText"/>
        <w:spacing w:line="300" w:lineRule="auto" w:before="103"/>
        <w:ind w:right="1133" w:firstLine="360"/>
        <w:jc w:val="both"/>
      </w:pPr>
      <w:r>
        <w:rPr/>
        <w:t>（</w:t>
      </w:r>
      <w:r>
        <w:rPr>
          <w:rFonts w:ascii="Times New Roman" w:hAnsi="Times New Roman" w:cs="Times New Roman" w:eastAsia="Times New Roman" w:hint="default"/>
        </w:rPr>
        <w:t>6</w:t>
      </w:r>
      <w:r>
        <w:rPr/>
        <w:t>）就久其软件公司中实体或业务活动的财务信息获取充分、适当的审计证据，以对财务报表发表意见。我们负责指 导、监督和执行集团审计，并对审计意见承担全部责任。</w:t>
      </w:r>
    </w:p>
    <w:p>
      <w:pPr>
        <w:pStyle w:val="BodyText"/>
        <w:spacing w:line="316" w:lineRule="auto" w:before="70"/>
        <w:ind w:right="1132"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6" w:lineRule="auto" w:before="59"/>
        <w:ind w:right="1132" w:firstLine="360"/>
        <w:jc w:val="both"/>
      </w:pPr>
      <w:r>
        <w:rPr/>
        <w:t>我们还就已遵守与独立性相关的职业道德要求向治理层提供声明</w:t>
      </w:r>
      <w:r>
        <w:rPr>
          <w:spacing w:val="-82"/>
        </w:rPr>
        <w:t>，</w:t>
      </w:r>
      <w:r>
        <w:rPr/>
        <w:t>并与治理层沟通可能被合理认为影响我们独立性的所</w:t>
      </w:r>
      <w:r>
        <w:rPr/>
        <w:t> 有关系和其他事项，以及相关的防范措施（如适用</w:t>
      </w:r>
      <w:r>
        <w:rPr>
          <w:spacing w:val="-92"/>
        </w:rPr>
        <w:t>）</w:t>
      </w:r>
      <w:r>
        <w:rPr/>
        <w:t>。</w:t>
      </w:r>
    </w:p>
    <w:p>
      <w:pPr>
        <w:pStyle w:val="BodyText"/>
        <w:spacing w:line="316" w:lineRule="auto" w:before="59"/>
        <w:ind w:right="1130"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3"/>
        </w:rPr>
        <w:t> </w:t>
      </w:r>
      <w:r>
        <w:rPr>
          <w:spacing w:val="-63"/>
        </w:rPr>
      </w:r>
      <w:r>
        <w:rPr/>
        <w:t>的负面后果超过在公众利益方面产生的益处，我们确定不应在审计报告中沟通该事项。</w:t>
      </w:r>
    </w:p>
    <w:p>
      <w:pPr>
        <w:spacing w:after="0" w:line="316" w:lineRule="auto"/>
        <w:jc w:val="both"/>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tabs>
          <w:tab w:pos="5830" w:val="left" w:leader="none"/>
        </w:tabs>
        <w:spacing w:line="240" w:lineRule="auto" w:before="44"/>
        <w:ind w:right="1115"/>
        <w:jc w:val="left"/>
      </w:pPr>
      <w:r>
        <w:rPr/>
        <w:t>致同会计师事务所</w:t>
        <w:tab/>
        <w:t>中国注册会计师  </w:t>
      </w:r>
      <w:r>
        <w:rPr>
          <w:spacing w:val="-3"/>
        </w:rPr>
        <w:t>董旭</w:t>
      </w:r>
      <w:r>
        <w:rPr/>
      </w:r>
    </w:p>
    <w:p>
      <w:pPr>
        <w:pStyle w:val="BodyText"/>
        <w:tabs>
          <w:tab w:pos="5830" w:val="left" w:leader="none"/>
        </w:tabs>
        <w:spacing w:line="240" w:lineRule="auto" w:before="115"/>
        <w:ind w:right="1115"/>
        <w:jc w:val="left"/>
      </w:pPr>
      <w:r>
        <w:rPr/>
        <w:t>（特殊普通合伙）</w:t>
        <w:tab/>
        <w:t>（项目合伙人）</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BodyText"/>
        <w:spacing w:line="240" w:lineRule="auto"/>
        <w:ind w:left="5799" w:right="1115"/>
        <w:jc w:val="left"/>
      </w:pPr>
      <w:r>
        <w:rPr/>
        <w:t>中国注册会计师  黄玉清</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tabs>
          <w:tab w:pos="5827" w:val="left" w:leader="none"/>
        </w:tabs>
        <w:spacing w:line="240" w:lineRule="auto"/>
        <w:ind w:left="513" w:right="1115"/>
        <w:jc w:val="left"/>
      </w:pPr>
      <w:r>
        <w:rPr>
          <w:spacing w:val="-1"/>
        </w:rPr>
        <w:t>中国</w:t>
      </w:r>
      <w:r>
        <w:rPr>
          <w:rFonts w:ascii="Times New Roman" w:hAnsi="Times New Roman" w:cs="Times New Roman" w:eastAsia="Times New Roman" w:hint="default"/>
          <w:spacing w:val="-1"/>
        </w:rPr>
        <w:t>·</w:t>
      </w:r>
      <w:r>
        <w:rPr>
          <w:spacing w:val="-1"/>
        </w:rPr>
        <w:t>北京</w:t>
        <w:tab/>
        <w:t>二Ｏ二Ｏ年四月二十三日</w:t>
      </w:r>
    </w:p>
    <w:p>
      <w:pPr>
        <w:spacing w:line="240" w:lineRule="auto" w:before="3"/>
        <w:rPr>
          <w:rFonts w:ascii="宋体" w:hAnsi="宋体" w:cs="宋体" w:eastAsia="宋体" w:hint="default"/>
          <w:sz w:val="24"/>
          <w:szCs w:val="24"/>
        </w:rPr>
      </w:pPr>
    </w:p>
    <w:p>
      <w:pPr>
        <w:pStyle w:val="Heading2"/>
        <w:spacing w:line="240" w:lineRule="auto"/>
        <w:ind w:right="1115"/>
        <w:jc w:val="left"/>
        <w:rPr>
          <w:b w:val="0"/>
          <w:bCs w:val="0"/>
        </w:rPr>
      </w:pPr>
      <w:bookmarkStart w:name="二、财务报表" w:id="164"/>
      <w:bookmarkEnd w:id="164"/>
      <w:r>
        <w:rPr>
          <w:b w:val="0"/>
          <w:bCs w:val="0"/>
        </w:rPr>
      </w: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15"/>
        <w:jc w:val="left"/>
      </w:pPr>
      <w:r>
        <w:rPr/>
        <w:t>财务报告中报表的单位为：元</w:t>
      </w:r>
    </w:p>
    <w:p>
      <w:pPr>
        <w:spacing w:line="240" w:lineRule="auto" w:before="0"/>
        <w:rPr>
          <w:rFonts w:ascii="宋体" w:hAnsi="宋体" w:cs="宋体" w:eastAsia="宋体" w:hint="default"/>
          <w:sz w:val="18"/>
          <w:szCs w:val="18"/>
        </w:rPr>
      </w:pPr>
    </w:p>
    <w:p>
      <w:pPr>
        <w:pStyle w:val="Heading3"/>
        <w:spacing w:line="240" w:lineRule="auto" w:before="118"/>
        <w:ind w:right="1115"/>
        <w:jc w:val="left"/>
        <w:rPr>
          <w:b w:val="0"/>
          <w:bCs w:val="0"/>
        </w:rPr>
      </w:pPr>
      <w:bookmarkStart w:name="1、合并资产负债表" w:id="165"/>
      <w:bookmarkEnd w:id="165"/>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5374"/>
        <w:gridCol w:w="2320"/>
        <w:gridCol w:w="1993"/>
      </w:tblGrid>
      <w:tr>
        <w:trPr>
          <w:trHeight w:val="401"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3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748,613,541.40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793,917,307.25</w:t>
            </w:r>
          </w:p>
        </w:tc>
      </w:tr>
      <w:tr>
        <w:trPr>
          <w:trHeight w:val="403"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207,000,000.00</w:t>
            </w: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4,665,500.00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11,928,010.71</w:t>
            </w:r>
          </w:p>
        </w:tc>
      </w:tr>
      <w:tr>
        <w:trPr>
          <w:trHeight w:val="403"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639,767,198.54</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517,590,825.75</w:t>
            </w:r>
          </w:p>
        </w:tc>
      </w:tr>
      <w:tr>
        <w:trPr>
          <w:trHeight w:val="401"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69,227,800.36</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70,883,629.59</w:t>
            </w:r>
          </w:p>
        </w:tc>
      </w:tr>
      <w:tr>
        <w:trPr>
          <w:trHeight w:val="401"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应收保理款</w:t>
            </w:r>
          </w:p>
        </w:tc>
        <w:tc>
          <w:tcPr>
            <w:tcW w:w="2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61,339,769.23</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130,125,330.00</w:t>
            </w:r>
          </w:p>
        </w:tc>
      </w:tr>
      <w:tr>
        <w:trPr>
          <w:trHeight w:val="403"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68,036,704.98</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79,152,699.71</w:t>
            </w:r>
          </w:p>
        </w:tc>
      </w:tr>
      <w:tr>
        <w:trPr>
          <w:trHeight w:val="403"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2,634,529.98</w:t>
            </w:r>
          </w:p>
        </w:tc>
      </w:tr>
      <w:tr>
        <w:trPr>
          <w:trHeight w:val="401"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21,777,996.90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23,991,294.24</w:t>
            </w:r>
          </w:p>
        </w:tc>
      </w:tr>
      <w:tr>
        <w:trPr>
          <w:trHeight w:val="403"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1" w:type="dxa"/>
        <w:tblLayout w:type="fixed"/>
        <w:tblCellMar>
          <w:top w:w="0" w:type="dxa"/>
          <w:left w:w="0" w:type="dxa"/>
          <w:bottom w:w="0" w:type="dxa"/>
          <w:right w:w="0" w:type="dxa"/>
        </w:tblCellMar>
        <w:tblLook w:val="01E0"/>
      </w:tblPr>
      <w:tblGrid>
        <w:gridCol w:w="5374"/>
        <w:gridCol w:w="2320"/>
        <w:gridCol w:w="1993"/>
      </w:tblGrid>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8,880,200.74</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446,058,173.02</w:t>
            </w: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1,829,308,712.15</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2,073,647,270.27</w:t>
            </w: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3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6,998,002.94</w:t>
            </w:r>
          </w:p>
        </w:tc>
      </w:tr>
      <w:tr>
        <w:trPr>
          <w:trHeight w:val="403"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139,510,306.18</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129,886,501.93</w:t>
            </w: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6,420,586.17</w:t>
            </w: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27,589,095.36</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28,522,376.28</w:t>
            </w: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217,216,701.23</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226,609,647.58</w:t>
            </w: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100,488,389.38</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81,224,640.18</w:t>
            </w: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108,791,475.32</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99,460,970.67</w:t>
            </w: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15,311,435.36</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16,026,424.23</w:t>
            </w: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574,898,387.11</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601,235,608.10</w:t>
            </w: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2,949,206.34</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3,564,349.43</w:t>
            </w: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13,795,954.42</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9,882,375.71</w:t>
            </w: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1,206,971,536.87</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1,203,410,897.05</w:t>
            </w: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3,036,280,249.02</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3,277,058,167.32</w:t>
            </w: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3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134,820,300.00</w:t>
            </w: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1" w:type="dxa"/>
        <w:tblLayout w:type="fixed"/>
        <w:tblCellMar>
          <w:top w:w="0" w:type="dxa"/>
          <w:left w:w="0" w:type="dxa"/>
          <w:bottom w:w="0" w:type="dxa"/>
          <w:right w:w="0" w:type="dxa"/>
        </w:tblCellMar>
        <w:tblLook w:val="01E0"/>
      </w:tblPr>
      <w:tblGrid>
        <w:gridCol w:w="5374"/>
        <w:gridCol w:w="2320"/>
        <w:gridCol w:w="1993"/>
      </w:tblGrid>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340,782,327.10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183,610,965.70</w:t>
            </w: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55,076,393.99</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68,584,431.39</w:t>
            </w: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97,919,698.17</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125,362,030.41</w:t>
            </w: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30,309,278.10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49,807,214.11</w:t>
            </w: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287,372,591.21</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626,829,746.13</w:t>
            </w: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2,457,701.65</w:t>
            </w: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4,498,845.76</w:t>
            </w: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1,100,282.67</w:t>
            </w: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867,059,417.00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1,189,214,687.74</w:t>
            </w: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3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280,000,000.00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252,000,000.00</w:t>
            </w: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689,442,584.38</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659,725,709.42</w:t>
            </w: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5,621,040.10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9,548,582.02</w:t>
            </w: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1" w:type="dxa"/>
        <w:tblLayout w:type="fixed"/>
        <w:tblCellMar>
          <w:top w:w="0" w:type="dxa"/>
          <w:left w:w="0" w:type="dxa"/>
          <w:bottom w:w="0" w:type="dxa"/>
          <w:right w:w="0" w:type="dxa"/>
        </w:tblCellMar>
        <w:tblLook w:val="01E0"/>
      </w:tblPr>
      <w:tblGrid>
        <w:gridCol w:w="5374"/>
        <w:gridCol w:w="2320"/>
        <w:gridCol w:w="1993"/>
      </w:tblGrid>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975,063,624.48</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921,274,291.44</w:t>
            </w: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1,842,123,041.48</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2,110,488,979.18</w:t>
            </w: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3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711,253,742.00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711,226,578.00</w:t>
            </w: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154,532,434.87</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154,587,824.25</w:t>
            </w: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271,050,007.76</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258,987,182.74</w:t>
            </w: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64,311,636.61</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29,874,024.00</w:t>
            </w: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2,472,494.23</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791,865.03</w:t>
            </w: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72,495,704.44</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72,495,704.44</w:t>
            </w: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320" w:type="dxa"/>
            <w:tcBorders>
              <w:top w:val="single" w:sz="4" w:space="0" w:color="000000"/>
              <w:left w:val="single" w:sz="12" w:space="0" w:color="D2D2D2"/>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14,922,706.30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-34,386,587.17</w:t>
            </w: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1,162,415,452.99</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1,133,828,543.29</w:t>
            </w: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31,741,754.55</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32,740,644.85</w:t>
            </w: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1,194,157,207.54</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1,166,569,188.14</w:t>
            </w:r>
          </w:p>
        </w:tc>
      </w:tr>
      <w:tr>
        <w:trPr>
          <w:trHeight w:val="402" w:hRule="exact"/>
        </w:trPr>
        <w:tc>
          <w:tcPr>
            <w:tcW w:w="5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3,036,280,249.02</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3,277,058,167.32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15"/>
        <w:jc w:val="left"/>
        <w:rPr>
          <w:b w:val="0"/>
          <w:bCs w:val="0"/>
        </w:rPr>
      </w:pPr>
      <w:bookmarkStart w:name="2、母公司资产负债表" w:id="166"/>
      <w:bookmarkEnd w:id="166"/>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37" w:type="dxa"/>
        <w:tblLayout w:type="fixed"/>
        <w:tblCellMar>
          <w:top w:w="0" w:type="dxa"/>
          <w:left w:w="0" w:type="dxa"/>
          <w:bottom w:w="0" w:type="dxa"/>
          <w:right w:w="0" w:type="dxa"/>
        </w:tblCellMar>
        <w:tblLook w:val="01E0"/>
      </w:tblPr>
      <w:tblGrid>
        <w:gridCol w:w="5392"/>
        <w:gridCol w:w="2284"/>
        <w:gridCol w:w="2005"/>
      </w:tblGrid>
      <w:tr>
        <w:trPr>
          <w:trHeight w:val="403" w:hRule="exact"/>
        </w:trPr>
        <w:tc>
          <w:tcPr>
            <w:tcW w:w="5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0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5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0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8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305,132,604.34</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153,919,297.28</w:t>
            </w:r>
          </w:p>
        </w:tc>
      </w:tr>
      <w:tr>
        <w:trPr>
          <w:trHeight w:val="402" w:hRule="exact"/>
        </w:trPr>
        <w:tc>
          <w:tcPr>
            <w:tcW w:w="5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6"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28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20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284" w:type="dxa"/>
            <w:tcBorders>
              <w:top w:val="single" w:sz="4" w:space="0" w:color="000000"/>
              <w:left w:val="single" w:sz="10" w:space="0" w:color="D2D2D2"/>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6"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284" w:type="dxa"/>
            <w:tcBorders>
              <w:top w:val="single" w:sz="4" w:space="0" w:color="000000"/>
              <w:left w:val="single" w:sz="10" w:space="0" w:color="D2D2D2"/>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84" w:type="dxa"/>
            <w:tcBorders>
              <w:top w:val="single" w:sz="4" w:space="0" w:color="000000"/>
              <w:left w:val="single" w:sz="10" w:space="0" w:color="D2D2D2"/>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8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108,930,092.46</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113,515,515.57</w:t>
            </w:r>
          </w:p>
        </w:tc>
      </w:tr>
      <w:tr>
        <w:trPr>
          <w:trHeight w:val="402" w:hRule="exact"/>
        </w:trPr>
        <w:tc>
          <w:tcPr>
            <w:tcW w:w="5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284" w:type="dxa"/>
            <w:tcBorders>
              <w:top w:val="single" w:sz="4" w:space="0" w:color="000000"/>
              <w:left w:val="single" w:sz="10" w:space="0" w:color="D2D2D2"/>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6"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8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5,538,690.31</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8,283,449.69</w:t>
            </w:r>
          </w:p>
        </w:tc>
      </w:tr>
      <w:tr>
        <w:trPr>
          <w:trHeight w:val="402" w:hRule="exact"/>
        </w:trPr>
        <w:tc>
          <w:tcPr>
            <w:tcW w:w="5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8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93,950,239.42</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136,147,378.92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1" w:type="dxa"/>
        <w:tblLayout w:type="fixed"/>
        <w:tblCellMar>
          <w:top w:w="0" w:type="dxa"/>
          <w:left w:w="0" w:type="dxa"/>
          <w:bottom w:w="0" w:type="dxa"/>
          <w:right w:w="0" w:type="dxa"/>
        </w:tblCellMar>
        <w:tblLook w:val="01E0"/>
      </w:tblPr>
      <w:tblGrid>
        <w:gridCol w:w="5398"/>
        <w:gridCol w:w="2284"/>
        <w:gridCol w:w="2005"/>
      </w:tblGrid>
      <w:tr>
        <w:trPr>
          <w:trHeight w:val="402" w:hRule="exact"/>
        </w:trPr>
        <w:tc>
          <w:tcPr>
            <w:tcW w:w="5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0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5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284" w:type="dxa"/>
            <w:tcBorders>
              <w:top w:val="single" w:sz="4" w:space="0" w:color="000000"/>
              <w:left w:val="single" w:sz="10" w:space="0" w:color="D2D2D2"/>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284" w:type="dxa"/>
            <w:tcBorders>
              <w:top w:val="single" w:sz="4" w:space="0" w:color="000000"/>
              <w:left w:val="single" w:sz="10" w:space="0" w:color="D2D2D2"/>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28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2,439,247.74</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1,278,332.73</w:t>
            </w:r>
          </w:p>
        </w:tc>
      </w:tr>
      <w:tr>
        <w:trPr>
          <w:trHeight w:val="402" w:hRule="exact"/>
        </w:trPr>
        <w:tc>
          <w:tcPr>
            <w:tcW w:w="5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284" w:type="dxa"/>
            <w:tcBorders>
              <w:top w:val="single" w:sz="4" w:space="0" w:color="000000"/>
              <w:left w:val="single" w:sz="10" w:space="0" w:color="D2D2D2"/>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284" w:type="dxa"/>
            <w:tcBorders>
              <w:top w:val="single" w:sz="4" w:space="0" w:color="000000"/>
              <w:left w:val="single" w:sz="10" w:space="0" w:color="D2D2D2"/>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284" w:type="dxa"/>
            <w:tcBorders>
              <w:top w:val="single" w:sz="4" w:space="0" w:color="000000"/>
              <w:left w:val="single" w:sz="10" w:space="0" w:color="D2D2D2"/>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28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3,290,103.74</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124,002,725.75</w:t>
            </w:r>
          </w:p>
        </w:tc>
      </w:tr>
      <w:tr>
        <w:trPr>
          <w:trHeight w:val="402" w:hRule="exact"/>
        </w:trPr>
        <w:tc>
          <w:tcPr>
            <w:tcW w:w="5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28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528,280,978.01</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537,146,699.94</w:t>
            </w:r>
          </w:p>
        </w:tc>
      </w:tr>
      <w:tr>
        <w:trPr>
          <w:trHeight w:val="403" w:hRule="exact"/>
        </w:trPr>
        <w:tc>
          <w:tcPr>
            <w:tcW w:w="5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0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284" w:type="dxa"/>
            <w:tcBorders>
              <w:top w:val="single" w:sz="4" w:space="0" w:color="000000"/>
              <w:left w:val="single" w:sz="10" w:space="0" w:color="D2D2D2"/>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284" w:type="dxa"/>
            <w:tcBorders>
              <w:top w:val="single" w:sz="4" w:space="0" w:color="000000"/>
              <w:left w:val="single" w:sz="10" w:space="0" w:color="D2D2D2"/>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4,998,002.94</w:t>
            </w:r>
          </w:p>
        </w:tc>
      </w:tr>
      <w:tr>
        <w:trPr>
          <w:trHeight w:val="402" w:hRule="exact"/>
        </w:trPr>
        <w:tc>
          <w:tcPr>
            <w:tcW w:w="5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284" w:type="dxa"/>
            <w:tcBorders>
              <w:top w:val="single" w:sz="4" w:space="0" w:color="000000"/>
              <w:left w:val="single" w:sz="10" w:space="0" w:color="D2D2D2"/>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284" w:type="dxa"/>
            <w:tcBorders>
              <w:top w:val="single" w:sz="4" w:space="0" w:color="000000"/>
              <w:left w:val="single" w:sz="10" w:space="0" w:color="D2D2D2"/>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284" w:type="dxa"/>
            <w:tcBorders>
              <w:top w:val="single" w:sz="4" w:space="0" w:color="000000"/>
              <w:left w:val="single" w:sz="10" w:space="0" w:color="D2D2D2"/>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28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2,003,560,289.92</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2,290,316,453.59</w:t>
            </w:r>
          </w:p>
        </w:tc>
      </w:tr>
      <w:tr>
        <w:trPr>
          <w:trHeight w:val="402" w:hRule="exact"/>
        </w:trPr>
        <w:tc>
          <w:tcPr>
            <w:tcW w:w="5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284" w:type="dxa"/>
            <w:tcBorders>
              <w:top w:val="single" w:sz="4" w:space="0" w:color="000000"/>
              <w:left w:val="single" w:sz="10" w:space="0" w:color="D2D2D2"/>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28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4,651,999.72</w:t>
            </w:r>
          </w:p>
        </w:tc>
        <w:tc>
          <w:tcPr>
            <w:tcW w:w="20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284" w:type="dxa"/>
            <w:tcBorders>
              <w:top w:val="single" w:sz="4" w:space="0" w:color="000000"/>
              <w:left w:val="single" w:sz="10" w:space="0" w:color="D2D2D2"/>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28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122,888,309.91</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127,752,484.75</w:t>
            </w:r>
          </w:p>
        </w:tc>
      </w:tr>
      <w:tr>
        <w:trPr>
          <w:trHeight w:val="402" w:hRule="exact"/>
        </w:trPr>
        <w:tc>
          <w:tcPr>
            <w:tcW w:w="5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284" w:type="dxa"/>
            <w:tcBorders>
              <w:top w:val="single" w:sz="4" w:space="0" w:color="000000"/>
              <w:left w:val="single" w:sz="10" w:space="0" w:color="D2D2D2"/>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284" w:type="dxa"/>
            <w:tcBorders>
              <w:top w:val="single" w:sz="4" w:space="0" w:color="000000"/>
              <w:left w:val="single" w:sz="10" w:space="0" w:color="D2D2D2"/>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284" w:type="dxa"/>
            <w:tcBorders>
              <w:top w:val="single" w:sz="4" w:space="0" w:color="000000"/>
              <w:left w:val="single" w:sz="10" w:space="0" w:color="D2D2D2"/>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284" w:type="dxa"/>
            <w:tcBorders>
              <w:top w:val="single" w:sz="4" w:space="0" w:color="000000"/>
              <w:left w:val="single" w:sz="10" w:space="0" w:color="D2D2D2"/>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28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75,975,388.27</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65,827,225.40</w:t>
            </w:r>
          </w:p>
        </w:tc>
      </w:tr>
      <w:tr>
        <w:trPr>
          <w:trHeight w:val="402" w:hRule="exact"/>
        </w:trPr>
        <w:tc>
          <w:tcPr>
            <w:tcW w:w="5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28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15,311,435.36</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16,026,424.23</w:t>
            </w:r>
          </w:p>
        </w:tc>
      </w:tr>
      <w:tr>
        <w:trPr>
          <w:trHeight w:val="402" w:hRule="exact"/>
        </w:trPr>
        <w:tc>
          <w:tcPr>
            <w:tcW w:w="5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284" w:type="dxa"/>
            <w:tcBorders>
              <w:top w:val="single" w:sz="4" w:space="0" w:color="000000"/>
              <w:left w:val="single" w:sz="10" w:space="0" w:color="D2D2D2"/>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28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2,949,206.34</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3,296,171.82</w:t>
            </w:r>
          </w:p>
        </w:tc>
      </w:tr>
      <w:tr>
        <w:trPr>
          <w:trHeight w:val="402" w:hRule="exact"/>
        </w:trPr>
        <w:tc>
          <w:tcPr>
            <w:tcW w:w="5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28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5,489,934.12</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1,785,725.03</w:t>
            </w:r>
          </w:p>
        </w:tc>
      </w:tr>
      <w:tr>
        <w:trPr>
          <w:trHeight w:val="402" w:hRule="exact"/>
        </w:trPr>
        <w:tc>
          <w:tcPr>
            <w:tcW w:w="5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284" w:type="dxa"/>
            <w:tcBorders>
              <w:top w:val="single" w:sz="4" w:space="0" w:color="000000"/>
              <w:left w:val="single" w:sz="10" w:space="0" w:color="D2D2D2"/>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28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2,230,826,563.64</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2,510,002,487.76</w:t>
            </w:r>
          </w:p>
        </w:tc>
      </w:tr>
      <w:tr>
        <w:trPr>
          <w:trHeight w:val="402" w:hRule="exact"/>
        </w:trPr>
        <w:tc>
          <w:tcPr>
            <w:tcW w:w="5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28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2,759,107,541.65</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3,047,149,187.70</w:t>
            </w:r>
          </w:p>
        </w:tc>
      </w:tr>
      <w:tr>
        <w:trPr>
          <w:trHeight w:val="402" w:hRule="exact"/>
        </w:trPr>
        <w:tc>
          <w:tcPr>
            <w:tcW w:w="5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0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84" w:type="dxa"/>
            <w:tcBorders>
              <w:top w:val="single" w:sz="4" w:space="0" w:color="000000"/>
              <w:left w:val="single" w:sz="10" w:space="0" w:color="D2D2D2"/>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114,820,300.00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1" w:type="dxa"/>
        <w:tblLayout w:type="fixed"/>
        <w:tblCellMar>
          <w:top w:w="0" w:type="dxa"/>
          <w:left w:w="0" w:type="dxa"/>
          <w:bottom w:w="0" w:type="dxa"/>
          <w:right w:w="0" w:type="dxa"/>
        </w:tblCellMar>
        <w:tblLook w:val="01E0"/>
      </w:tblPr>
      <w:tblGrid>
        <w:gridCol w:w="5394"/>
        <w:gridCol w:w="2287"/>
        <w:gridCol w:w="2005"/>
      </w:tblGrid>
      <w:tr>
        <w:trPr>
          <w:trHeight w:val="402" w:hRule="exact"/>
        </w:trPr>
        <w:tc>
          <w:tcPr>
            <w:tcW w:w="5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0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5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287" w:type="dxa"/>
            <w:tcBorders>
              <w:top w:val="single" w:sz="4" w:space="0" w:color="000000"/>
              <w:left w:val="single" w:sz="10" w:space="0" w:color="D2D2D2"/>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287" w:type="dxa"/>
            <w:tcBorders>
              <w:top w:val="single" w:sz="4" w:space="0" w:color="000000"/>
              <w:left w:val="single" w:sz="10" w:space="0" w:color="D2D2D2"/>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287" w:type="dxa"/>
            <w:tcBorders>
              <w:top w:val="single" w:sz="4" w:space="0" w:color="000000"/>
              <w:left w:val="single" w:sz="10" w:space="0" w:color="D2D2D2"/>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287" w:type="dxa"/>
            <w:tcBorders>
              <w:top w:val="single" w:sz="4" w:space="0" w:color="000000"/>
              <w:left w:val="single" w:sz="10" w:space="0" w:color="D2D2D2"/>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32,548,003.76</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25,409,440.45</w:t>
            </w:r>
          </w:p>
        </w:tc>
      </w:tr>
      <w:tr>
        <w:trPr>
          <w:trHeight w:val="402" w:hRule="exact"/>
        </w:trPr>
        <w:tc>
          <w:tcPr>
            <w:tcW w:w="5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9,400,758.59</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14,604,954.61</w:t>
            </w:r>
          </w:p>
        </w:tc>
      </w:tr>
      <w:tr>
        <w:trPr>
          <w:trHeight w:val="402" w:hRule="exact"/>
        </w:trPr>
        <w:tc>
          <w:tcPr>
            <w:tcW w:w="5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287" w:type="dxa"/>
            <w:tcBorders>
              <w:top w:val="single" w:sz="4" w:space="0" w:color="000000"/>
              <w:left w:val="single" w:sz="10" w:space="0" w:color="D2D2D2"/>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2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58,666,799.29</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75,105,900.27</w:t>
            </w:r>
          </w:p>
        </w:tc>
      </w:tr>
      <w:tr>
        <w:trPr>
          <w:trHeight w:val="403" w:hRule="exact"/>
        </w:trPr>
        <w:tc>
          <w:tcPr>
            <w:tcW w:w="5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2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10,316,335.17</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10,520,160.79</w:t>
            </w:r>
          </w:p>
        </w:tc>
      </w:tr>
      <w:tr>
        <w:trPr>
          <w:trHeight w:val="402" w:hRule="exact"/>
        </w:trPr>
        <w:tc>
          <w:tcPr>
            <w:tcW w:w="5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474,407,237.37</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760,786,828.79</w:t>
            </w:r>
          </w:p>
        </w:tc>
      </w:tr>
      <w:tr>
        <w:trPr>
          <w:trHeight w:val="402" w:hRule="exact"/>
        </w:trPr>
        <w:tc>
          <w:tcPr>
            <w:tcW w:w="5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287" w:type="dxa"/>
            <w:tcBorders>
              <w:top w:val="single" w:sz="4" w:space="0" w:color="000000"/>
              <w:left w:val="single" w:sz="10" w:space="0" w:color="D2D2D2"/>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2,457,701.65</w:t>
            </w:r>
          </w:p>
        </w:tc>
      </w:tr>
      <w:tr>
        <w:trPr>
          <w:trHeight w:val="402" w:hRule="exact"/>
        </w:trPr>
        <w:tc>
          <w:tcPr>
            <w:tcW w:w="5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287" w:type="dxa"/>
            <w:tcBorders>
              <w:top w:val="single" w:sz="4" w:space="0" w:color="000000"/>
              <w:left w:val="single" w:sz="10" w:space="0" w:color="D2D2D2"/>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287" w:type="dxa"/>
            <w:tcBorders>
              <w:top w:val="single" w:sz="4" w:space="0" w:color="000000"/>
              <w:left w:val="single" w:sz="10" w:space="0" w:color="D2D2D2"/>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2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4,498,845.76</w:t>
            </w:r>
          </w:p>
        </w:tc>
        <w:tc>
          <w:tcPr>
            <w:tcW w:w="20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287" w:type="dxa"/>
            <w:tcBorders>
              <w:top w:val="single" w:sz="4" w:space="0" w:color="000000"/>
              <w:left w:val="single" w:sz="10" w:space="0" w:color="D2D2D2"/>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2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589,837,979.94</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1,001,247,584.91</w:t>
            </w:r>
          </w:p>
        </w:tc>
      </w:tr>
      <w:tr>
        <w:trPr>
          <w:trHeight w:val="402" w:hRule="exact"/>
        </w:trPr>
        <w:tc>
          <w:tcPr>
            <w:tcW w:w="5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2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0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280,000,000.00</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252,000,000.00</w:t>
            </w:r>
          </w:p>
        </w:tc>
      </w:tr>
      <w:tr>
        <w:trPr>
          <w:trHeight w:val="402" w:hRule="exact"/>
        </w:trPr>
        <w:tc>
          <w:tcPr>
            <w:tcW w:w="5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2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689,442,584.38</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659,725,709.42</w:t>
            </w:r>
          </w:p>
        </w:tc>
      </w:tr>
      <w:tr>
        <w:trPr>
          <w:trHeight w:val="402" w:hRule="exact"/>
        </w:trPr>
        <w:tc>
          <w:tcPr>
            <w:tcW w:w="5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287" w:type="dxa"/>
            <w:tcBorders>
              <w:top w:val="single" w:sz="4" w:space="0" w:color="000000"/>
              <w:left w:val="single" w:sz="10" w:space="0" w:color="D2D2D2"/>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287" w:type="dxa"/>
            <w:tcBorders>
              <w:top w:val="single" w:sz="4" w:space="0" w:color="000000"/>
              <w:left w:val="single" w:sz="10" w:space="0" w:color="D2D2D2"/>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287" w:type="dxa"/>
            <w:tcBorders>
              <w:top w:val="single" w:sz="4" w:space="0" w:color="000000"/>
              <w:left w:val="single" w:sz="10" w:space="0" w:color="D2D2D2"/>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287" w:type="dxa"/>
            <w:tcBorders>
              <w:top w:val="single" w:sz="4" w:space="0" w:color="000000"/>
              <w:left w:val="single" w:sz="10" w:space="0" w:color="D2D2D2"/>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287" w:type="dxa"/>
            <w:tcBorders>
              <w:top w:val="single" w:sz="4" w:space="0" w:color="000000"/>
              <w:left w:val="single" w:sz="10" w:space="0" w:color="D2D2D2"/>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287" w:type="dxa"/>
            <w:tcBorders>
              <w:top w:val="single" w:sz="4" w:space="0" w:color="000000"/>
              <w:left w:val="single" w:sz="10" w:space="0" w:color="D2D2D2"/>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2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5,621,040.10</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9,548,582.02</w:t>
            </w:r>
          </w:p>
        </w:tc>
      </w:tr>
      <w:tr>
        <w:trPr>
          <w:trHeight w:val="403" w:hRule="exact"/>
        </w:trPr>
        <w:tc>
          <w:tcPr>
            <w:tcW w:w="5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287" w:type="dxa"/>
            <w:tcBorders>
              <w:top w:val="single" w:sz="4" w:space="0" w:color="000000"/>
              <w:left w:val="single" w:sz="10" w:space="0" w:color="D2D2D2"/>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287" w:type="dxa"/>
            <w:tcBorders>
              <w:top w:val="single" w:sz="4" w:space="0" w:color="000000"/>
              <w:left w:val="single" w:sz="10" w:space="0" w:color="D2D2D2"/>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2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975,063,624.48</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921,274,291.44</w:t>
            </w:r>
          </w:p>
        </w:tc>
      </w:tr>
      <w:tr>
        <w:trPr>
          <w:trHeight w:val="402" w:hRule="exact"/>
        </w:trPr>
        <w:tc>
          <w:tcPr>
            <w:tcW w:w="5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2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1,564,901,604.42</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1,922,521,876.35</w:t>
            </w:r>
          </w:p>
        </w:tc>
      </w:tr>
      <w:tr>
        <w:trPr>
          <w:trHeight w:val="402" w:hRule="exact"/>
        </w:trPr>
        <w:tc>
          <w:tcPr>
            <w:tcW w:w="5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2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0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2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711,253,742.00</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711,226,578.00</w:t>
            </w:r>
          </w:p>
        </w:tc>
      </w:tr>
      <w:tr>
        <w:trPr>
          <w:trHeight w:val="402" w:hRule="exact"/>
        </w:trPr>
        <w:tc>
          <w:tcPr>
            <w:tcW w:w="5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2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154,532,434.87</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154,587,824.25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1" w:type="dxa"/>
        <w:tblLayout w:type="fixed"/>
        <w:tblCellMar>
          <w:top w:w="0" w:type="dxa"/>
          <w:left w:w="0" w:type="dxa"/>
          <w:bottom w:w="0" w:type="dxa"/>
          <w:right w:w="0" w:type="dxa"/>
        </w:tblCellMar>
        <w:tblLook w:val="01E0"/>
      </w:tblPr>
      <w:tblGrid>
        <w:gridCol w:w="5398"/>
        <w:gridCol w:w="2284"/>
        <w:gridCol w:w="2005"/>
      </w:tblGrid>
      <w:tr>
        <w:trPr>
          <w:trHeight w:val="402" w:hRule="exact"/>
        </w:trPr>
        <w:tc>
          <w:tcPr>
            <w:tcW w:w="5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0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5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284" w:type="dxa"/>
            <w:tcBorders>
              <w:top w:val="single" w:sz="4" w:space="0" w:color="000000"/>
              <w:left w:val="single" w:sz="10" w:space="0" w:color="D2D2D2"/>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284" w:type="dxa"/>
            <w:tcBorders>
              <w:top w:val="single" w:sz="4" w:space="0" w:color="000000"/>
              <w:left w:val="single" w:sz="10" w:space="0" w:color="D2D2D2"/>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28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934,107,812.87</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922,044,987.85</w:t>
            </w:r>
          </w:p>
        </w:tc>
      </w:tr>
      <w:tr>
        <w:trPr>
          <w:trHeight w:val="402" w:hRule="exact"/>
        </w:trPr>
        <w:tc>
          <w:tcPr>
            <w:tcW w:w="5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28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64,311,636.61</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29,874,024.00</w:t>
            </w:r>
          </w:p>
        </w:tc>
      </w:tr>
      <w:tr>
        <w:trPr>
          <w:trHeight w:val="402" w:hRule="exact"/>
        </w:trPr>
        <w:tc>
          <w:tcPr>
            <w:tcW w:w="5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284" w:type="dxa"/>
            <w:tcBorders>
              <w:top w:val="single" w:sz="4" w:space="0" w:color="000000"/>
              <w:left w:val="single" w:sz="10" w:space="0" w:color="D2D2D2"/>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284" w:type="dxa"/>
            <w:tcBorders>
              <w:top w:val="single" w:sz="4" w:space="0" w:color="000000"/>
              <w:left w:val="single" w:sz="10" w:space="0" w:color="D2D2D2"/>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28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72,495,704.44</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72,495,704.44</w:t>
            </w:r>
          </w:p>
        </w:tc>
      </w:tr>
      <w:tr>
        <w:trPr>
          <w:trHeight w:val="402" w:hRule="exact"/>
        </w:trPr>
        <w:tc>
          <w:tcPr>
            <w:tcW w:w="5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28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-613,872,120.34</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-705,853,759.19</w:t>
            </w:r>
          </w:p>
        </w:tc>
      </w:tr>
      <w:tr>
        <w:trPr>
          <w:trHeight w:val="403" w:hRule="exact"/>
        </w:trPr>
        <w:tc>
          <w:tcPr>
            <w:tcW w:w="5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28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1,194,205,937.23</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1,124,627,311.35</w:t>
            </w:r>
          </w:p>
        </w:tc>
      </w:tr>
      <w:tr>
        <w:trPr>
          <w:trHeight w:val="403" w:hRule="exact"/>
        </w:trPr>
        <w:tc>
          <w:tcPr>
            <w:tcW w:w="5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28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2,759,107,541.65</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3,047,149,187.70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15"/>
        <w:jc w:val="left"/>
        <w:rPr>
          <w:b w:val="0"/>
          <w:bCs w:val="0"/>
        </w:rPr>
      </w:pPr>
      <w:bookmarkStart w:name="3、合并利润表" w:id="167"/>
      <w:bookmarkEnd w:id="167"/>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5112"/>
        <w:gridCol w:w="2294"/>
        <w:gridCol w:w="2281"/>
      </w:tblGrid>
      <w:tr>
        <w:trPr>
          <w:trHeight w:val="402" w:hRule="exact"/>
        </w:trPr>
        <w:tc>
          <w:tcPr>
            <w:tcW w:w="5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5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2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3,101,650,196.18</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2,720,235,569.39</w:t>
            </w:r>
          </w:p>
        </w:tc>
      </w:tr>
      <w:tr>
        <w:trPr>
          <w:trHeight w:val="402" w:hRule="exact"/>
        </w:trPr>
        <w:tc>
          <w:tcPr>
            <w:tcW w:w="5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2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3,101,650,196.18</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2,720,235,569.39</w:t>
            </w:r>
          </w:p>
        </w:tc>
      </w:tr>
      <w:tr>
        <w:trPr>
          <w:trHeight w:val="402" w:hRule="exact"/>
        </w:trPr>
        <w:tc>
          <w:tcPr>
            <w:tcW w:w="5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294" w:type="dxa"/>
            <w:tcBorders>
              <w:top w:val="single" w:sz="4" w:space="0" w:color="000000"/>
              <w:left w:val="single" w:sz="12" w:space="0" w:color="D2D2D2"/>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294" w:type="dxa"/>
            <w:tcBorders>
              <w:top w:val="single" w:sz="4" w:space="0" w:color="000000"/>
              <w:left w:val="single" w:sz="12" w:space="0" w:color="D2D2D2"/>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294" w:type="dxa"/>
            <w:tcBorders>
              <w:top w:val="single" w:sz="4" w:space="0" w:color="000000"/>
              <w:left w:val="single" w:sz="12" w:space="0" w:color="D2D2D2"/>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2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3,006,508,209.54</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2,402,127,008.66</w:t>
            </w:r>
          </w:p>
        </w:tc>
      </w:tr>
      <w:tr>
        <w:trPr>
          <w:trHeight w:val="402" w:hRule="exact"/>
        </w:trPr>
        <w:tc>
          <w:tcPr>
            <w:tcW w:w="5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2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2,099,480,028.23</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1,560,423,380.98</w:t>
            </w:r>
          </w:p>
        </w:tc>
      </w:tr>
      <w:tr>
        <w:trPr>
          <w:trHeight w:val="402" w:hRule="exact"/>
        </w:trPr>
        <w:tc>
          <w:tcPr>
            <w:tcW w:w="5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294" w:type="dxa"/>
            <w:tcBorders>
              <w:top w:val="single" w:sz="4" w:space="0" w:color="000000"/>
              <w:left w:val="single" w:sz="12" w:space="0" w:color="D2D2D2"/>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294" w:type="dxa"/>
            <w:tcBorders>
              <w:top w:val="single" w:sz="4" w:space="0" w:color="000000"/>
              <w:left w:val="single" w:sz="12" w:space="0" w:color="D2D2D2"/>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294" w:type="dxa"/>
            <w:tcBorders>
              <w:top w:val="single" w:sz="4" w:space="0" w:color="000000"/>
              <w:left w:val="single" w:sz="12" w:space="0" w:color="D2D2D2"/>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294" w:type="dxa"/>
            <w:tcBorders>
              <w:top w:val="single" w:sz="4" w:space="0" w:color="000000"/>
              <w:left w:val="single" w:sz="12" w:space="0" w:color="D2D2D2"/>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提取保险责任合同准备金净额</w:t>
            </w:r>
          </w:p>
        </w:tc>
        <w:tc>
          <w:tcPr>
            <w:tcW w:w="2294" w:type="dxa"/>
            <w:tcBorders>
              <w:top w:val="single" w:sz="4" w:space="0" w:color="000000"/>
              <w:left w:val="single" w:sz="12" w:space="0" w:color="D2D2D2"/>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294" w:type="dxa"/>
            <w:tcBorders>
              <w:top w:val="single" w:sz="4" w:space="0" w:color="000000"/>
              <w:left w:val="single" w:sz="12" w:space="0" w:color="D2D2D2"/>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294" w:type="dxa"/>
            <w:tcBorders>
              <w:top w:val="single" w:sz="4" w:space="0" w:color="000000"/>
              <w:left w:val="single" w:sz="12" w:space="0" w:color="D2D2D2"/>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2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18,109,201.43</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14,885,450.52</w:t>
            </w:r>
          </w:p>
        </w:tc>
      </w:tr>
      <w:tr>
        <w:trPr>
          <w:trHeight w:val="402" w:hRule="exact"/>
        </w:trPr>
        <w:tc>
          <w:tcPr>
            <w:tcW w:w="5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2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99,048,384.11</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111,128,496.71</w:t>
            </w:r>
          </w:p>
        </w:tc>
      </w:tr>
      <w:tr>
        <w:trPr>
          <w:trHeight w:val="402" w:hRule="exact"/>
        </w:trPr>
        <w:tc>
          <w:tcPr>
            <w:tcW w:w="5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2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413,206,314.11</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402,278,571.92</w:t>
            </w:r>
          </w:p>
        </w:tc>
      </w:tr>
      <w:tr>
        <w:trPr>
          <w:trHeight w:val="402" w:hRule="exact"/>
        </w:trPr>
        <w:tc>
          <w:tcPr>
            <w:tcW w:w="5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2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323,615,109.95</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272,619,937.55</w:t>
            </w:r>
          </w:p>
        </w:tc>
      </w:tr>
      <w:tr>
        <w:trPr>
          <w:trHeight w:val="402" w:hRule="exact"/>
        </w:trPr>
        <w:tc>
          <w:tcPr>
            <w:tcW w:w="5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2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53,049,171.71</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40,791,170.98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1" w:type="dxa"/>
        <w:tblLayout w:type="fixed"/>
        <w:tblCellMar>
          <w:top w:w="0" w:type="dxa"/>
          <w:left w:w="0" w:type="dxa"/>
          <w:bottom w:w="0" w:type="dxa"/>
          <w:right w:w="0" w:type="dxa"/>
        </w:tblCellMar>
        <w:tblLook w:val="01E0"/>
      </w:tblPr>
      <w:tblGrid>
        <w:gridCol w:w="5107"/>
        <w:gridCol w:w="2298"/>
        <w:gridCol w:w="2281"/>
      </w:tblGrid>
      <w:tr>
        <w:trPr>
          <w:trHeight w:val="402" w:hRule="exact"/>
        </w:trPr>
        <w:tc>
          <w:tcPr>
            <w:tcW w:w="5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5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2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55,544,952.54</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52,699,346.43</w:t>
            </w:r>
          </w:p>
        </w:tc>
      </w:tr>
      <w:tr>
        <w:trPr>
          <w:trHeight w:val="402" w:hRule="exact"/>
        </w:trPr>
        <w:tc>
          <w:tcPr>
            <w:tcW w:w="5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2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3,483,131.72</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5,481,810.56</w:t>
            </w:r>
          </w:p>
        </w:tc>
      </w:tr>
      <w:tr>
        <w:trPr>
          <w:trHeight w:val="402" w:hRule="exact"/>
        </w:trPr>
        <w:tc>
          <w:tcPr>
            <w:tcW w:w="5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2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20,018,457.83</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29,352,811.66</w:t>
            </w:r>
          </w:p>
        </w:tc>
      </w:tr>
      <w:tr>
        <w:trPr>
          <w:trHeight w:val="402" w:hRule="exact"/>
        </w:trPr>
        <w:tc>
          <w:tcPr>
            <w:tcW w:w="5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11,135,473.65</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23,891,437.56</w:t>
            </w:r>
          </w:p>
        </w:tc>
      </w:tr>
      <w:tr>
        <w:trPr>
          <w:trHeight w:val="402" w:hRule="exact"/>
        </w:trPr>
        <w:tc>
          <w:tcPr>
            <w:tcW w:w="5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2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-176,195.75</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1,374,034.36</w:t>
            </w:r>
          </w:p>
        </w:tc>
      </w:tr>
      <w:tr>
        <w:trPr>
          <w:trHeight w:val="402" w:hRule="exact"/>
        </w:trPr>
        <w:tc>
          <w:tcPr>
            <w:tcW w:w="5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以摊余成本计量的金融资产终止确认收益</w:t>
            </w:r>
          </w:p>
        </w:tc>
        <w:tc>
          <w:tcPr>
            <w:tcW w:w="2298" w:type="dxa"/>
            <w:tcBorders>
              <w:top w:val="single" w:sz="4" w:space="0" w:color="000000"/>
              <w:left w:val="single" w:sz="12" w:space="0" w:color="D2D2D2"/>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98" w:type="dxa"/>
            <w:tcBorders>
              <w:top w:val="single" w:sz="4" w:space="0" w:color="000000"/>
              <w:left w:val="single" w:sz="12" w:space="0" w:color="D2D2D2"/>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98" w:type="dxa"/>
            <w:tcBorders>
              <w:top w:val="single" w:sz="4" w:space="0" w:color="000000"/>
              <w:left w:val="single" w:sz="12" w:space="0" w:color="D2D2D2"/>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-132,317.99</w:t>
            </w: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-50,319,267.89</w:t>
            </w: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-26,433,334.20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-1,179,173,331.48</w:t>
            </w:r>
          </w:p>
        </w:tc>
      </w:tr>
      <w:tr>
        <w:trPr>
          <w:trHeight w:val="402" w:hRule="exact"/>
        </w:trPr>
        <w:tc>
          <w:tcPr>
            <w:tcW w:w="5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-83,654.88</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13,694.33</w:t>
            </w:r>
          </w:p>
        </w:tc>
      </w:tr>
      <w:tr>
        <w:trPr>
          <w:trHeight w:val="402" w:hRule="exact"/>
        </w:trPr>
        <w:tc>
          <w:tcPr>
            <w:tcW w:w="5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49,327,343.16</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-807,806,827.20</w:t>
            </w:r>
          </w:p>
        </w:tc>
      </w:tr>
      <w:tr>
        <w:trPr>
          <w:trHeight w:val="402" w:hRule="exact"/>
        </w:trPr>
        <w:tc>
          <w:tcPr>
            <w:tcW w:w="5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2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10,436,686.68</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13,477,081.45</w:t>
            </w:r>
          </w:p>
        </w:tc>
      </w:tr>
      <w:tr>
        <w:trPr>
          <w:trHeight w:val="402" w:hRule="exact"/>
        </w:trPr>
        <w:tc>
          <w:tcPr>
            <w:tcW w:w="5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2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2,329,302.09</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1,618,116.94</w:t>
            </w:r>
          </w:p>
        </w:tc>
      </w:tr>
      <w:tr>
        <w:trPr>
          <w:trHeight w:val="402" w:hRule="exact"/>
        </w:trPr>
        <w:tc>
          <w:tcPr>
            <w:tcW w:w="5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57,434,727.75</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-795,947,862.69</w:t>
            </w:r>
          </w:p>
        </w:tc>
      </w:tr>
      <w:tr>
        <w:trPr>
          <w:trHeight w:val="402" w:hRule="exact"/>
        </w:trPr>
        <w:tc>
          <w:tcPr>
            <w:tcW w:w="5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2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4,632,253.01</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31,201,669.36</w:t>
            </w:r>
          </w:p>
        </w:tc>
      </w:tr>
      <w:tr>
        <w:trPr>
          <w:trHeight w:val="402" w:hRule="exact"/>
        </w:trPr>
        <w:tc>
          <w:tcPr>
            <w:tcW w:w="5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52,802,474.74</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-827,149,532.05</w:t>
            </w:r>
          </w:p>
        </w:tc>
      </w:tr>
      <w:tr>
        <w:trPr>
          <w:trHeight w:val="402" w:hRule="exact"/>
        </w:trPr>
        <w:tc>
          <w:tcPr>
            <w:tcW w:w="5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22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8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52,802,474.74</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-827,149,532.05</w:t>
            </w:r>
          </w:p>
        </w:tc>
      </w:tr>
      <w:tr>
        <w:trPr>
          <w:trHeight w:val="402" w:hRule="exact"/>
        </w:trPr>
        <w:tc>
          <w:tcPr>
            <w:tcW w:w="5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98" w:type="dxa"/>
            <w:tcBorders>
              <w:top w:val="single" w:sz="4" w:space="0" w:color="000000"/>
              <w:left w:val="single" w:sz="12" w:space="0" w:color="D2D2D2"/>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22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8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22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52,264,905.34</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-841,464,317.58</w:t>
            </w:r>
          </w:p>
        </w:tc>
      </w:tr>
      <w:tr>
        <w:trPr>
          <w:trHeight w:val="402" w:hRule="exact"/>
        </w:trPr>
        <w:tc>
          <w:tcPr>
            <w:tcW w:w="5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22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537,569.40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14,314,785.53</w:t>
            </w:r>
          </w:p>
        </w:tc>
      </w:tr>
      <w:tr>
        <w:trPr>
          <w:trHeight w:val="402" w:hRule="exact"/>
        </w:trPr>
        <w:tc>
          <w:tcPr>
            <w:tcW w:w="5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2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1,680,629.20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1,781,644.37</w:t>
            </w:r>
          </w:p>
        </w:tc>
      </w:tr>
      <w:tr>
        <w:trPr>
          <w:trHeight w:val="402" w:hRule="exact"/>
        </w:trPr>
        <w:tc>
          <w:tcPr>
            <w:tcW w:w="5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2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1,680,629.20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1,781,644.37</w:t>
            </w:r>
          </w:p>
        </w:tc>
      </w:tr>
      <w:tr>
        <w:trPr>
          <w:trHeight w:val="403" w:hRule="exact"/>
        </w:trPr>
        <w:tc>
          <w:tcPr>
            <w:tcW w:w="5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298" w:type="dxa"/>
            <w:tcBorders>
              <w:top w:val="single" w:sz="4" w:space="0" w:color="000000"/>
              <w:left w:val="single" w:sz="12" w:space="0" w:color="D2D2D2"/>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298" w:type="dxa"/>
            <w:tcBorders>
              <w:top w:val="single" w:sz="4" w:space="0" w:color="000000"/>
              <w:left w:val="single" w:sz="12" w:space="0" w:color="D2D2D2"/>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298" w:type="dxa"/>
            <w:tcBorders>
              <w:top w:val="single" w:sz="4" w:space="0" w:color="000000"/>
              <w:left w:val="single" w:sz="12" w:space="0" w:color="D2D2D2"/>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p>
        </w:tc>
        <w:tc>
          <w:tcPr>
            <w:tcW w:w="2298" w:type="dxa"/>
            <w:tcBorders>
              <w:top w:val="single" w:sz="4" w:space="0" w:color="000000"/>
              <w:left w:val="single" w:sz="12" w:space="0" w:color="D2D2D2"/>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p>
        </w:tc>
        <w:tc>
          <w:tcPr>
            <w:tcW w:w="2298" w:type="dxa"/>
            <w:tcBorders>
              <w:top w:val="single" w:sz="4" w:space="0" w:color="000000"/>
              <w:left w:val="single" w:sz="12" w:space="0" w:color="D2D2D2"/>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298" w:type="dxa"/>
            <w:tcBorders>
              <w:top w:val="single" w:sz="4" w:space="0" w:color="000000"/>
              <w:left w:val="single" w:sz="12" w:space="0" w:color="D2D2D2"/>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2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1,680,629.20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1,781,644.37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1" w:type="dxa"/>
        <w:tblLayout w:type="fixed"/>
        <w:tblCellMar>
          <w:top w:w="0" w:type="dxa"/>
          <w:left w:w="0" w:type="dxa"/>
          <w:bottom w:w="0" w:type="dxa"/>
          <w:right w:w="0" w:type="dxa"/>
        </w:tblCellMar>
        <w:tblLook w:val="01E0"/>
      </w:tblPr>
      <w:tblGrid>
        <w:gridCol w:w="5112"/>
        <w:gridCol w:w="2294"/>
        <w:gridCol w:w="2281"/>
      </w:tblGrid>
      <w:tr>
        <w:trPr>
          <w:trHeight w:val="402" w:hRule="exact"/>
        </w:trPr>
        <w:tc>
          <w:tcPr>
            <w:tcW w:w="5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5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294" w:type="dxa"/>
            <w:tcBorders>
              <w:top w:val="single" w:sz="4" w:space="0" w:color="000000"/>
              <w:left w:val="single" w:sz="12" w:space="0" w:color="D2D2D2"/>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2294" w:type="dxa"/>
            <w:tcBorders>
              <w:top w:val="single" w:sz="4" w:space="0" w:color="000000"/>
              <w:left w:val="single" w:sz="12" w:space="0" w:color="D2D2D2"/>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可供出售金融资产公允价值变动损益</w:t>
            </w:r>
          </w:p>
        </w:tc>
        <w:tc>
          <w:tcPr>
            <w:tcW w:w="2294" w:type="dxa"/>
            <w:tcBorders>
              <w:top w:val="single" w:sz="4" w:space="0" w:color="000000"/>
              <w:left w:val="single" w:sz="12" w:space="0" w:color="D2D2D2"/>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金融资产重分类计入其他综合收益的金额</w:t>
            </w:r>
          </w:p>
        </w:tc>
        <w:tc>
          <w:tcPr>
            <w:tcW w:w="2294" w:type="dxa"/>
            <w:tcBorders>
              <w:top w:val="single" w:sz="4" w:space="0" w:color="000000"/>
              <w:left w:val="single" w:sz="12" w:space="0" w:color="D2D2D2"/>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持有至到期投资重分类为可供出售金融资产损益</w:t>
            </w:r>
          </w:p>
        </w:tc>
        <w:tc>
          <w:tcPr>
            <w:tcW w:w="2294" w:type="dxa"/>
            <w:tcBorders>
              <w:top w:val="single" w:sz="4" w:space="0" w:color="000000"/>
              <w:left w:val="single" w:sz="12" w:space="0" w:color="D2D2D2"/>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2294" w:type="dxa"/>
            <w:tcBorders>
              <w:top w:val="single" w:sz="4" w:space="0" w:color="000000"/>
              <w:left w:val="single" w:sz="12" w:space="0" w:color="D2D2D2"/>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2294" w:type="dxa"/>
            <w:tcBorders>
              <w:top w:val="single" w:sz="4" w:space="0" w:color="000000"/>
              <w:left w:val="single" w:sz="12" w:space="0" w:color="D2D2D2"/>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22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1,680,629.20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1,781,644.37</w:t>
            </w:r>
          </w:p>
        </w:tc>
      </w:tr>
      <w:tr>
        <w:trPr>
          <w:trHeight w:val="403" w:hRule="exact"/>
        </w:trPr>
        <w:tc>
          <w:tcPr>
            <w:tcW w:w="5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2294" w:type="dxa"/>
            <w:tcBorders>
              <w:top w:val="single" w:sz="4" w:space="0" w:color="000000"/>
              <w:left w:val="single" w:sz="12" w:space="0" w:color="D2D2D2"/>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294" w:type="dxa"/>
            <w:tcBorders>
              <w:top w:val="single" w:sz="4" w:space="0" w:color="000000"/>
              <w:left w:val="single" w:sz="12" w:space="0" w:color="D2D2D2"/>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2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54,483,103.94</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-825,367,887.68</w:t>
            </w:r>
          </w:p>
        </w:tc>
      </w:tr>
      <w:tr>
        <w:trPr>
          <w:trHeight w:val="402" w:hRule="exact"/>
        </w:trPr>
        <w:tc>
          <w:tcPr>
            <w:tcW w:w="5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2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53,945,534.54</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-839,682,673.21</w:t>
            </w:r>
          </w:p>
        </w:tc>
      </w:tr>
      <w:tr>
        <w:trPr>
          <w:trHeight w:val="402" w:hRule="exact"/>
        </w:trPr>
        <w:tc>
          <w:tcPr>
            <w:tcW w:w="5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2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537,569.40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14,314,785.53</w:t>
            </w:r>
          </w:p>
        </w:tc>
      </w:tr>
      <w:tr>
        <w:trPr>
          <w:trHeight w:val="402" w:hRule="exact"/>
        </w:trPr>
        <w:tc>
          <w:tcPr>
            <w:tcW w:w="5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8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2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0.0735</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-1.1838</w:t>
            </w:r>
          </w:p>
        </w:tc>
      </w:tr>
      <w:tr>
        <w:trPr>
          <w:trHeight w:val="403" w:hRule="exact"/>
        </w:trPr>
        <w:tc>
          <w:tcPr>
            <w:tcW w:w="5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2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0.0735</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-1.1838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15"/>
        <w:jc w:val="left"/>
        <w:rPr>
          <w:b w:val="0"/>
          <w:bCs w:val="0"/>
        </w:rPr>
      </w:pPr>
      <w:bookmarkStart w:name="4、母公司利润表" w:id="168"/>
      <w:bookmarkEnd w:id="168"/>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5970"/>
        <w:gridCol w:w="1868"/>
        <w:gridCol w:w="1848"/>
      </w:tblGrid>
      <w:tr>
        <w:trPr>
          <w:trHeight w:val="402" w:hRule="exact"/>
        </w:trPr>
        <w:tc>
          <w:tcPr>
            <w:tcW w:w="5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5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8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685,615,400.64</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637,942,648.25</w:t>
            </w:r>
          </w:p>
        </w:tc>
      </w:tr>
      <w:tr>
        <w:trPr>
          <w:trHeight w:val="402" w:hRule="exact"/>
        </w:trPr>
        <w:tc>
          <w:tcPr>
            <w:tcW w:w="5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8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108,738,581.20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84,448,270.50</w:t>
            </w:r>
          </w:p>
        </w:tc>
      </w:tr>
      <w:tr>
        <w:trPr>
          <w:trHeight w:val="402" w:hRule="exact"/>
        </w:trPr>
        <w:tc>
          <w:tcPr>
            <w:tcW w:w="5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8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9,244,249.92</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5,820,309.32</w:t>
            </w:r>
          </w:p>
        </w:tc>
      </w:tr>
      <w:tr>
        <w:trPr>
          <w:trHeight w:val="402" w:hRule="exact"/>
        </w:trPr>
        <w:tc>
          <w:tcPr>
            <w:tcW w:w="5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22,956,442.35</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16,135,151.13</w:t>
            </w:r>
          </w:p>
        </w:tc>
      </w:tr>
      <w:tr>
        <w:trPr>
          <w:trHeight w:val="402" w:hRule="exact"/>
        </w:trPr>
        <w:tc>
          <w:tcPr>
            <w:tcW w:w="5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252,538,682.16</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235,090,315.83</w:t>
            </w:r>
          </w:p>
        </w:tc>
      </w:tr>
      <w:tr>
        <w:trPr>
          <w:trHeight w:val="402" w:hRule="exact"/>
        </w:trPr>
        <w:tc>
          <w:tcPr>
            <w:tcW w:w="5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8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175,799,441.83</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136,542,550.05</w:t>
            </w:r>
          </w:p>
        </w:tc>
      </w:tr>
      <w:tr>
        <w:trPr>
          <w:trHeight w:val="403" w:hRule="exact"/>
        </w:trPr>
        <w:tc>
          <w:tcPr>
            <w:tcW w:w="5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53,028,931.09</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48,381,981.67</w:t>
            </w:r>
          </w:p>
        </w:tc>
      </w:tr>
      <w:tr>
        <w:trPr>
          <w:trHeight w:val="402" w:hRule="exact"/>
        </w:trPr>
        <w:tc>
          <w:tcPr>
            <w:tcW w:w="5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18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54,392,264.11</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49,965,226.89</w:t>
            </w:r>
          </w:p>
        </w:tc>
      </w:tr>
      <w:tr>
        <w:trPr>
          <w:trHeight w:val="402" w:hRule="exact"/>
        </w:trPr>
        <w:tc>
          <w:tcPr>
            <w:tcW w:w="5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5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8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1,256,461.77</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2,104,794.88</w:t>
            </w:r>
          </w:p>
        </w:tc>
      </w:tr>
      <w:tr>
        <w:trPr>
          <w:trHeight w:val="402" w:hRule="exact"/>
        </w:trPr>
        <w:tc>
          <w:tcPr>
            <w:tcW w:w="5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18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9,371,326.47</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10,503,661.64</w:t>
            </w:r>
          </w:p>
        </w:tc>
      </w:tr>
      <w:tr>
        <w:trPr>
          <w:trHeight w:val="402" w:hRule="exact"/>
        </w:trPr>
        <w:tc>
          <w:tcPr>
            <w:tcW w:w="5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7,383,317.43</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292,995,522.41</w:t>
            </w:r>
          </w:p>
        </w:tc>
      </w:tr>
      <w:tr>
        <w:trPr>
          <w:trHeight w:val="402" w:hRule="exact"/>
        </w:trPr>
        <w:tc>
          <w:tcPr>
            <w:tcW w:w="5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8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-3,845.20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1,374,034.36</w:t>
            </w:r>
          </w:p>
        </w:tc>
      </w:tr>
      <w:tr>
        <w:trPr>
          <w:trHeight w:val="402" w:hRule="exact"/>
        </w:trPr>
        <w:tc>
          <w:tcPr>
            <w:tcW w:w="5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68" w:type="dxa"/>
            <w:tcBorders>
              <w:top w:val="single" w:sz="4" w:space="0" w:color="000000"/>
              <w:left w:val="single" w:sz="10" w:space="0" w:color="D2D2D2"/>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5981"/>
        <w:gridCol w:w="1868"/>
        <w:gridCol w:w="1848"/>
      </w:tblGrid>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68" w:type="dxa"/>
            <w:tcBorders>
              <w:top w:val="single" w:sz="4" w:space="0" w:color="000000"/>
              <w:left w:val="single" w:sz="10" w:space="0" w:color="D2D2D2"/>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99,095.56</w:t>
            </w: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-2,515,233.20</w:t>
            </w: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68" w:type="dxa"/>
            <w:tcBorders>
              <w:top w:val="single" w:sz="4" w:space="0" w:color="000000"/>
              <w:left w:val="single" w:sz="10" w:space="0" w:color="D2D2D2"/>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-1,500,567,828.43</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8,445,584.20</w:t>
            </w: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86,093,162.55</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-1,085,544,574.63</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8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4,292,387.38</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1,865,229.80</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8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288,333.04</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230,493.88</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90,097,216.89</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-1,083,909,838.71</w:t>
            </w:r>
          </w:p>
        </w:tc>
      </w:tr>
      <w:tr>
        <w:trPr>
          <w:trHeight w:val="403" w:hRule="exact"/>
        </w:trPr>
        <w:tc>
          <w:tcPr>
            <w:tcW w:w="5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8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-3,116,948.69</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6,446,149.57</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93,214,165.58</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-1,090,355,988.28</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93,214,165.58</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-1,090,355,988.28</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68" w:type="dxa"/>
            <w:tcBorders>
              <w:top w:val="single" w:sz="4" w:space="0" w:color="000000"/>
              <w:left w:val="single" w:sz="10" w:space="0" w:color="D2D2D2"/>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1868" w:type="dxa"/>
            <w:tcBorders>
              <w:top w:val="single" w:sz="4" w:space="0" w:color="000000"/>
              <w:left w:val="single" w:sz="10" w:space="0" w:color="D2D2D2"/>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1868" w:type="dxa"/>
            <w:tcBorders>
              <w:top w:val="single" w:sz="4" w:space="0" w:color="000000"/>
              <w:left w:val="single" w:sz="10" w:space="0" w:color="D2D2D2"/>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1868" w:type="dxa"/>
            <w:tcBorders>
              <w:top w:val="single" w:sz="4" w:space="0" w:color="000000"/>
              <w:left w:val="single" w:sz="10" w:space="0" w:color="D2D2D2"/>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1868" w:type="dxa"/>
            <w:tcBorders>
              <w:top w:val="single" w:sz="4" w:space="0" w:color="000000"/>
              <w:left w:val="single" w:sz="10" w:space="0" w:color="D2D2D2"/>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p>
        </w:tc>
        <w:tc>
          <w:tcPr>
            <w:tcW w:w="1868" w:type="dxa"/>
            <w:tcBorders>
              <w:top w:val="single" w:sz="4" w:space="0" w:color="000000"/>
              <w:left w:val="single" w:sz="10" w:space="0" w:color="D2D2D2"/>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p>
        </w:tc>
        <w:tc>
          <w:tcPr>
            <w:tcW w:w="1868" w:type="dxa"/>
            <w:tcBorders>
              <w:top w:val="single" w:sz="4" w:space="0" w:color="000000"/>
              <w:left w:val="single" w:sz="10" w:space="0" w:color="D2D2D2"/>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868" w:type="dxa"/>
            <w:tcBorders>
              <w:top w:val="single" w:sz="4" w:space="0" w:color="000000"/>
              <w:left w:val="single" w:sz="10" w:space="0" w:color="D2D2D2"/>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1868" w:type="dxa"/>
            <w:tcBorders>
              <w:top w:val="single" w:sz="4" w:space="0" w:color="000000"/>
              <w:left w:val="single" w:sz="10" w:space="0" w:color="D2D2D2"/>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1868" w:type="dxa"/>
            <w:tcBorders>
              <w:top w:val="single" w:sz="4" w:space="0" w:color="000000"/>
              <w:left w:val="single" w:sz="10" w:space="0" w:color="D2D2D2"/>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1868" w:type="dxa"/>
            <w:tcBorders>
              <w:top w:val="single" w:sz="4" w:space="0" w:color="000000"/>
              <w:left w:val="single" w:sz="10" w:space="0" w:color="D2D2D2"/>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可供出售金融资产公允价值变动损益</w:t>
            </w:r>
          </w:p>
        </w:tc>
        <w:tc>
          <w:tcPr>
            <w:tcW w:w="1868" w:type="dxa"/>
            <w:tcBorders>
              <w:top w:val="single" w:sz="4" w:space="0" w:color="000000"/>
              <w:left w:val="single" w:sz="10" w:space="0" w:color="D2D2D2"/>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金融资产重分类计入其他综合收益的金额</w:t>
            </w:r>
          </w:p>
        </w:tc>
        <w:tc>
          <w:tcPr>
            <w:tcW w:w="1868" w:type="dxa"/>
            <w:tcBorders>
              <w:top w:val="single" w:sz="4" w:space="0" w:color="000000"/>
              <w:left w:val="single" w:sz="10" w:space="0" w:color="D2D2D2"/>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持有至到期投资重分类为可供出售金融资产损益</w:t>
            </w:r>
          </w:p>
        </w:tc>
        <w:tc>
          <w:tcPr>
            <w:tcW w:w="1868" w:type="dxa"/>
            <w:tcBorders>
              <w:top w:val="single" w:sz="4" w:space="0" w:color="000000"/>
              <w:left w:val="single" w:sz="10" w:space="0" w:color="D2D2D2"/>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1868" w:type="dxa"/>
            <w:tcBorders>
              <w:top w:val="single" w:sz="4" w:space="0" w:color="000000"/>
              <w:left w:val="single" w:sz="10" w:space="0" w:color="D2D2D2"/>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1868" w:type="dxa"/>
            <w:tcBorders>
              <w:top w:val="single" w:sz="4" w:space="0" w:color="000000"/>
              <w:left w:val="single" w:sz="10" w:space="0" w:color="D2D2D2"/>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1868" w:type="dxa"/>
            <w:tcBorders>
              <w:top w:val="single" w:sz="4" w:space="0" w:color="000000"/>
              <w:left w:val="single" w:sz="10" w:space="0" w:color="D2D2D2"/>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1868" w:type="dxa"/>
            <w:tcBorders>
              <w:top w:val="single" w:sz="4" w:space="0" w:color="000000"/>
              <w:left w:val="single" w:sz="10" w:space="0" w:color="D2D2D2"/>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18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93,214,165.58</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-1,090,355,988.28</w:t>
            </w:r>
          </w:p>
        </w:tc>
      </w:tr>
    </w:tbl>
    <w:p>
      <w:pPr>
        <w:spacing w:line="240" w:lineRule="auto" w:before="4"/>
        <w:rPr>
          <w:rFonts w:ascii="宋体" w:hAnsi="宋体" w:cs="宋体" w:eastAsia="宋体" w:hint="default"/>
          <w:sz w:val="19"/>
          <w:szCs w:val="19"/>
        </w:rPr>
      </w:pPr>
    </w:p>
    <w:p>
      <w:pPr>
        <w:pStyle w:val="Heading3"/>
        <w:spacing w:line="240" w:lineRule="auto" w:before="36"/>
        <w:ind w:right="1115"/>
        <w:jc w:val="left"/>
        <w:rPr>
          <w:b w:val="0"/>
          <w:bCs w:val="0"/>
        </w:rPr>
      </w:pPr>
      <w:bookmarkStart w:name="5、合并现金流量表" w:id="169"/>
      <w:bookmarkEnd w:id="169"/>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after="0" w:line="240" w:lineRule="auto"/>
        <w:jc w:val="right"/>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1" w:type="dxa"/>
        <w:tblLayout w:type="fixed"/>
        <w:tblCellMar>
          <w:top w:w="0" w:type="dxa"/>
          <w:left w:w="0" w:type="dxa"/>
          <w:bottom w:w="0" w:type="dxa"/>
          <w:right w:w="0" w:type="dxa"/>
        </w:tblCellMar>
        <w:tblLook w:val="01E0"/>
      </w:tblPr>
      <w:tblGrid>
        <w:gridCol w:w="5254"/>
        <w:gridCol w:w="2296"/>
        <w:gridCol w:w="2137"/>
      </w:tblGrid>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3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3,026,034,947.40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2,869,327,823.73</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296" w:type="dxa"/>
            <w:tcBorders>
              <w:top w:val="single" w:sz="4" w:space="0" w:color="000000"/>
              <w:left w:val="single" w:sz="10" w:space="0" w:color="D2D2D2"/>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296" w:type="dxa"/>
            <w:tcBorders>
              <w:top w:val="single" w:sz="4" w:space="0" w:color="000000"/>
              <w:left w:val="single" w:sz="10" w:space="0" w:color="D2D2D2"/>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296" w:type="dxa"/>
            <w:tcBorders>
              <w:top w:val="single" w:sz="4" w:space="0" w:color="000000"/>
              <w:left w:val="single" w:sz="10" w:space="0" w:color="D2D2D2"/>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296" w:type="dxa"/>
            <w:tcBorders>
              <w:top w:val="single" w:sz="4" w:space="0" w:color="000000"/>
              <w:left w:val="single" w:sz="10" w:space="0" w:color="D2D2D2"/>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2296" w:type="dxa"/>
            <w:tcBorders>
              <w:top w:val="single" w:sz="4" w:space="0" w:color="000000"/>
              <w:left w:val="single" w:sz="10" w:space="0" w:color="D2D2D2"/>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296" w:type="dxa"/>
            <w:tcBorders>
              <w:top w:val="single" w:sz="4" w:space="0" w:color="000000"/>
              <w:left w:val="single" w:sz="10" w:space="0" w:color="D2D2D2"/>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296" w:type="dxa"/>
            <w:tcBorders>
              <w:top w:val="single" w:sz="4" w:space="0" w:color="000000"/>
              <w:left w:val="single" w:sz="10" w:space="0" w:color="D2D2D2"/>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296" w:type="dxa"/>
            <w:tcBorders>
              <w:top w:val="single" w:sz="4" w:space="0" w:color="000000"/>
              <w:left w:val="single" w:sz="10" w:space="0" w:color="D2D2D2"/>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296" w:type="dxa"/>
            <w:tcBorders>
              <w:top w:val="single" w:sz="4" w:space="0" w:color="000000"/>
              <w:left w:val="single" w:sz="10" w:space="0" w:color="D2D2D2"/>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2296" w:type="dxa"/>
            <w:tcBorders>
              <w:top w:val="single" w:sz="4" w:space="0" w:color="000000"/>
              <w:left w:val="single" w:sz="10" w:space="0" w:color="D2D2D2"/>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14,220,940.61</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24,206,453.93</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26,581,945.42</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63,556,717.36</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3,066,837,833.43</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2,957,090,995.02</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1,935,405,443.94</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1,629,737,626.00</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296" w:type="dxa"/>
            <w:tcBorders>
              <w:top w:val="single" w:sz="4" w:space="0" w:color="000000"/>
              <w:left w:val="single" w:sz="10" w:space="0" w:color="D2D2D2"/>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296" w:type="dxa"/>
            <w:tcBorders>
              <w:top w:val="single" w:sz="4" w:space="0" w:color="000000"/>
              <w:left w:val="single" w:sz="10" w:space="0" w:color="D2D2D2"/>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296" w:type="dxa"/>
            <w:tcBorders>
              <w:top w:val="single" w:sz="4" w:space="0" w:color="000000"/>
              <w:left w:val="single" w:sz="10" w:space="0" w:color="D2D2D2"/>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2296" w:type="dxa"/>
            <w:tcBorders>
              <w:top w:val="single" w:sz="4" w:space="0" w:color="000000"/>
              <w:left w:val="single" w:sz="10" w:space="0" w:color="D2D2D2"/>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296" w:type="dxa"/>
            <w:tcBorders>
              <w:top w:val="single" w:sz="4" w:space="0" w:color="000000"/>
              <w:left w:val="single" w:sz="10" w:space="0" w:color="D2D2D2"/>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296" w:type="dxa"/>
            <w:tcBorders>
              <w:top w:val="single" w:sz="4" w:space="0" w:color="000000"/>
              <w:left w:val="single" w:sz="10" w:space="0" w:color="D2D2D2"/>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677,711,714.04</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556,000,061.61</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122,503,320.27</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138,148,645.83</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163,205,733.03</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190,918,196.32</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2,898,826,211.28</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2,514,804,529.76</w:t>
            </w:r>
          </w:p>
        </w:tc>
      </w:tr>
      <w:tr>
        <w:trPr>
          <w:trHeight w:val="403"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168,011,622.15</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442,286,465.26</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3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1,951,000,000.00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1,734,230,137.28</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13,079,402.55</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24,143,879.03</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244,940.71</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146,836.72</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240,266,848.85</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20,725,084.46</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1,923,957.29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1" w:type="dxa"/>
        <w:tblLayout w:type="fixed"/>
        <w:tblCellMar>
          <w:top w:w="0" w:type="dxa"/>
          <w:left w:w="0" w:type="dxa"/>
          <w:bottom w:w="0" w:type="dxa"/>
          <w:right w:w="0" w:type="dxa"/>
        </w:tblCellMar>
        <w:tblLook w:val="01E0"/>
      </w:tblPr>
      <w:tblGrid>
        <w:gridCol w:w="5254"/>
        <w:gridCol w:w="2296"/>
        <w:gridCol w:w="2137"/>
      </w:tblGrid>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2,225,316,276.57</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1,760,444,810.32</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57,480,789.25</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69,392,124.12</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2,230,300,000.00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2,176,710,798.00</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296" w:type="dxa"/>
            <w:tcBorders>
              <w:top w:val="single" w:sz="4" w:space="0" w:color="000000"/>
              <w:left w:val="single" w:sz="10" w:space="0" w:color="D2D2D2"/>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296" w:type="dxa"/>
            <w:tcBorders>
              <w:top w:val="single" w:sz="4" w:space="0" w:color="000000"/>
              <w:left w:val="single" w:sz="10" w:space="0" w:color="D2D2D2"/>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296" w:type="dxa"/>
            <w:tcBorders>
              <w:top w:val="single" w:sz="4" w:space="0" w:color="000000"/>
              <w:left w:val="single" w:sz="10" w:space="0" w:color="D2D2D2"/>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2,287,780,789.25</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2,246,102,922.12</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-62,464,512.68</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-485,658,111.80</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3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296" w:type="dxa"/>
            <w:tcBorders>
              <w:top w:val="single" w:sz="4" w:space="0" w:color="000000"/>
              <w:left w:val="single" w:sz="10" w:space="0" w:color="D2D2D2"/>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12,230,000.00</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296" w:type="dxa"/>
            <w:tcBorders>
              <w:top w:val="single" w:sz="4" w:space="0" w:color="000000"/>
              <w:left w:val="single" w:sz="10" w:space="0" w:color="D2D2D2"/>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8,280,000.00</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228,000,000.00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446,500,000.00</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96,560,000.00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324,560,000.00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478,730,000.00</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284,705,900.00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246,000,000.00</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24,006,330.32</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42,214,674.00</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2,153,643.90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665,000.00</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182,160,269.61</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286,507,601.00</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490,872,499.93</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574,722,275.00</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-166,312,499.93</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-95,992,275.00</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2,630,246.10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1,730,448.65</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-58,135,144.36</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-137,633,472.89</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771,946,600.93</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909,580,073.82</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713,811,456.57</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771,946,600.93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15"/>
        <w:jc w:val="left"/>
        <w:rPr>
          <w:b w:val="0"/>
          <w:bCs w:val="0"/>
        </w:rPr>
      </w:pPr>
      <w:bookmarkStart w:name="6、母公司现金流量表" w:id="170"/>
      <w:bookmarkEnd w:id="170"/>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5254"/>
        <w:gridCol w:w="2296"/>
        <w:gridCol w:w="2137"/>
      </w:tblGrid>
      <w:tr>
        <w:trPr>
          <w:trHeight w:val="404"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3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349"/>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726,078,956.61</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680,189,309.61</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4,864,548.60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5,554,864.60</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349"/>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97,186,610.52</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4,506,441.92</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828,130,115.73</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690,250,616.13</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349"/>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118,593,501.67</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77,760,221.15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1" w:type="dxa"/>
        <w:tblLayout w:type="fixed"/>
        <w:tblCellMar>
          <w:top w:w="0" w:type="dxa"/>
          <w:left w:w="0" w:type="dxa"/>
          <w:bottom w:w="0" w:type="dxa"/>
          <w:right w:w="0" w:type="dxa"/>
        </w:tblCellMar>
        <w:tblLook w:val="01E0"/>
      </w:tblPr>
      <w:tblGrid>
        <w:gridCol w:w="5254"/>
        <w:gridCol w:w="2296"/>
        <w:gridCol w:w="2137"/>
      </w:tblGrid>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363,652,888.19</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274,502,664.70</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45,945,663.70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49,711,965.20</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76,991,552.69</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64,685,200.78</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605,183,606.25</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466,660,051.83</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222,946,509.48</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223,590,564.30</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3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821,000,000.00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1,520,730,136.28</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4,084,731.10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298,866,575.83</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10,008,926.00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1,738,745.44</w:t>
            </w:r>
          </w:p>
        </w:tc>
      </w:tr>
      <w:tr>
        <w:trPr>
          <w:trHeight w:val="403"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296" w:type="dxa"/>
            <w:tcBorders>
              <w:top w:val="single" w:sz="4" w:space="0" w:color="000000"/>
              <w:left w:val="single" w:sz="10" w:space="0" w:color="D2D2D2"/>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2,977,027.77</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838,070,684.87</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1,821,335,457.55</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27,143,550.13</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25,114,295.47</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641,000,000.00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2,047,893,539.00</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296" w:type="dxa"/>
            <w:tcBorders>
              <w:top w:val="single" w:sz="4" w:space="0" w:color="000000"/>
              <w:left w:val="single" w:sz="10" w:space="0" w:color="D2D2D2"/>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430,150.00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2,800,000.00</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668,573,700.13</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2,075,807,834.47</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169,496,984.74</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-254,472,376.92</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3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296" w:type="dxa"/>
            <w:tcBorders>
              <w:top w:val="single" w:sz="4" w:space="0" w:color="000000"/>
              <w:left w:val="single" w:sz="10" w:space="0" w:color="D2D2D2"/>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3,950,000.00</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178,000,000.00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326,500,000.00</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96,560,000.00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274,560,000.00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480,450,000.00</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264,705,900.00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46,000,000.00</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20,018,798.90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32,922,747.93</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242,910,269.61</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433,889,324.98</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527,634,968.51</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512,812,072.91</w:t>
            </w:r>
          </w:p>
        </w:tc>
      </w:tr>
      <w:tr>
        <w:trPr>
          <w:trHeight w:val="403"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-253,074,968.51</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-32,362,072.91</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-217.34</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4,327.02</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139,368,308.37</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-63,239,558.51</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134,275,901.48</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197,515,459.99</w:t>
            </w:r>
          </w:p>
        </w:tc>
      </w:tr>
      <w:tr>
        <w:trPr>
          <w:trHeight w:val="402"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273,644,209.85</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134,275,901.48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2"/>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3"/>
        <w:spacing w:line="240" w:lineRule="auto"/>
        <w:ind w:left="140" w:right="0"/>
        <w:jc w:val="left"/>
        <w:rPr>
          <w:b w:val="0"/>
          <w:bCs w:val="0"/>
        </w:rPr>
      </w:pPr>
      <w:bookmarkStart w:name="7、合并所有者权益变动表" w:id="171"/>
      <w:bookmarkEnd w:id="171"/>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140" w:right="0"/>
        <w:jc w:val="left"/>
      </w:pPr>
      <w:r>
        <w:rPr/>
        <w:t>本期金额</w:t>
      </w:r>
    </w:p>
    <w:p>
      <w:pPr>
        <w:pStyle w:val="BodyText"/>
        <w:spacing w:line="240" w:lineRule="auto" w:before="117"/>
        <w:ind w:left="0" w:right="157"/>
        <w:jc w:val="right"/>
      </w:pPr>
      <w:r>
        <w:rPr/>
        <w:t>单位：元</w:t>
      </w:r>
    </w:p>
    <w:p>
      <w:pPr>
        <w:spacing w:line="240" w:lineRule="auto" w:before="4"/>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574"/>
        <w:gridCol w:w="1186"/>
        <w:gridCol w:w="238"/>
        <w:gridCol w:w="235"/>
        <w:gridCol w:w="1181"/>
        <w:gridCol w:w="1181"/>
        <w:gridCol w:w="1202"/>
        <w:gridCol w:w="1001"/>
        <w:gridCol w:w="238"/>
        <w:gridCol w:w="1090"/>
        <w:gridCol w:w="238"/>
        <w:gridCol w:w="1150"/>
        <w:gridCol w:w="238"/>
        <w:gridCol w:w="1849"/>
        <w:gridCol w:w="1090"/>
        <w:gridCol w:w="1318"/>
      </w:tblGrid>
      <w:tr>
        <w:trPr>
          <w:trHeight w:val="402" w:hRule="exact"/>
        </w:trPr>
        <w:tc>
          <w:tcPr>
            <w:tcW w:w="574" w:type="dxa"/>
            <w:vMerge w:val="restart"/>
            <w:tcBorders>
              <w:top w:val="single" w:sz="4" w:space="0" w:color="000000"/>
              <w:left w:val="single" w:sz="4" w:space="0" w:color="000000"/>
              <w:right w:val="single" w:sz="4" w:space="0" w:color="000000"/>
            </w:tcBorders>
            <w:shd w:val="clear" w:color="auto" w:fill="D2D2D2"/>
          </w:tcPr>
          <w:p>
            <w:pPr/>
          </w:p>
        </w:tc>
        <w:tc>
          <w:tcPr>
            <w:tcW w:w="13432"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574" w:type="dxa"/>
            <w:vMerge/>
            <w:tcBorders>
              <w:left w:val="single" w:sz="4" w:space="0" w:color="000000"/>
              <w:right w:val="single" w:sz="4" w:space="0" w:color="000000"/>
            </w:tcBorders>
            <w:shd w:val="clear" w:color="auto" w:fill="D2D2D2"/>
          </w:tcPr>
          <w:p>
            <w:pPr/>
          </w:p>
        </w:tc>
        <w:tc>
          <w:tcPr>
            <w:tcW w:w="1102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90" w:type="dxa"/>
            <w:vMerge w:val="restart"/>
            <w:tcBorders>
              <w:top w:val="single" w:sz="4" w:space="0" w:color="000000"/>
              <w:left w:val="single" w:sz="4" w:space="0" w:color="000000"/>
              <w:right w:val="single" w:sz="4" w:space="0" w:color="000000"/>
            </w:tcBorders>
            <w:shd w:val="clear" w:color="auto" w:fill="D2D2D2"/>
          </w:tcPr>
          <w:p>
            <w:pPr/>
          </w:p>
        </w:tc>
        <w:tc>
          <w:tcPr>
            <w:tcW w:w="1318" w:type="dxa"/>
            <w:vMerge w:val="restart"/>
            <w:tcBorders>
              <w:top w:val="single" w:sz="4" w:space="0" w:color="000000"/>
              <w:left w:val="single" w:sz="4" w:space="0" w:color="000000"/>
              <w:right w:val="single" w:sz="4" w:space="0" w:color="000000"/>
            </w:tcBorders>
            <w:shd w:val="clear" w:color="auto" w:fill="D2D2D2"/>
          </w:tcPr>
          <w:p>
            <w:pPr/>
          </w:p>
        </w:tc>
      </w:tr>
      <w:tr>
        <w:trPr>
          <w:trHeight w:val="352" w:hRule="exact"/>
        </w:trPr>
        <w:tc>
          <w:tcPr>
            <w:tcW w:w="574" w:type="dxa"/>
            <w:vMerge/>
            <w:tcBorders>
              <w:left w:val="single" w:sz="4" w:space="0" w:color="000000"/>
              <w:bottom w:val="nil" w:sz="6" w:space="0" w:color="auto"/>
              <w:right w:val="single" w:sz="4" w:space="0" w:color="000000"/>
            </w:tcBorders>
            <w:shd w:val="clear" w:color="auto" w:fill="D2D2D2"/>
          </w:tcPr>
          <w:p>
            <w:pPr/>
          </w:p>
        </w:tc>
        <w:tc>
          <w:tcPr>
            <w:tcW w:w="1186" w:type="dxa"/>
            <w:vMerge w:val="restart"/>
            <w:tcBorders>
              <w:top w:val="single" w:sz="4" w:space="0" w:color="000000"/>
              <w:left w:val="single" w:sz="4" w:space="0" w:color="000000"/>
              <w:right w:val="single" w:sz="4" w:space="0" w:color="000000"/>
            </w:tcBorders>
            <w:shd w:val="clear" w:color="auto" w:fill="D2D2D2"/>
          </w:tcPr>
          <w:p>
            <w:pPr/>
          </w:p>
        </w:tc>
        <w:tc>
          <w:tcPr>
            <w:tcW w:w="16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8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
        </w:tc>
        <w:tc>
          <w:tcPr>
            <w:tcW w:w="1001" w:type="dxa"/>
            <w:vMerge w:val="restart"/>
            <w:tcBorders>
              <w:top w:val="single" w:sz="4" w:space="0" w:color="000000"/>
              <w:left w:val="single" w:sz="4" w:space="0" w:color="000000"/>
              <w:right w:val="single" w:sz="4" w:space="0" w:color="000000"/>
            </w:tcBorders>
            <w:shd w:val="clear" w:color="auto" w:fill="D2D2D2"/>
          </w:tcPr>
          <w:p>
            <w:pPr/>
          </w:p>
        </w:tc>
        <w:tc>
          <w:tcPr>
            <w:tcW w:w="2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0" w:type="dxa"/>
            <w:vMerge w:val="restart"/>
            <w:tcBorders>
              <w:top w:val="single" w:sz="4" w:space="0" w:color="000000"/>
              <w:left w:val="single" w:sz="4" w:space="0" w:color="000000"/>
              <w:right w:val="single" w:sz="4" w:space="0" w:color="000000"/>
            </w:tcBorders>
            <w:shd w:val="clear" w:color="auto" w:fill="D2D2D2"/>
          </w:tcPr>
          <w:p>
            <w:pPr/>
          </w:p>
        </w:tc>
        <w:tc>
          <w:tcPr>
            <w:tcW w:w="23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3"/>
              <w:ind w:left="24" w:right="23"/>
              <w:jc w:val="both"/>
              <w:rPr>
                <w:rFonts w:ascii="宋体" w:hAnsi="宋体" w:cs="宋体" w:eastAsia="宋体" w:hint="default"/>
                <w:sz w:val="18"/>
                <w:szCs w:val="18"/>
              </w:rPr>
            </w:pPr>
            <w:r>
              <w:rPr>
                <w:rFonts w:ascii="宋体" w:hAnsi="宋体" w:cs="宋体" w:eastAsia="宋体" w:hint="default"/>
                <w:sz w:val="18"/>
                <w:szCs w:val="18"/>
              </w:rPr>
              <w:t>一 般 风 险 准 备</w:t>
            </w:r>
          </w:p>
        </w:tc>
        <w:tc>
          <w:tcPr>
            <w:tcW w:w="1150" w:type="dxa"/>
            <w:vMerge w:val="restart"/>
            <w:tcBorders>
              <w:top w:val="single" w:sz="4" w:space="0" w:color="000000"/>
              <w:left w:val="single" w:sz="4" w:space="0" w:color="000000"/>
              <w:right w:val="single" w:sz="4" w:space="0" w:color="000000"/>
            </w:tcBorders>
            <w:shd w:val="clear" w:color="auto" w:fill="D2D2D2"/>
          </w:tcPr>
          <w:p>
            <w:pPr/>
          </w:p>
        </w:tc>
        <w:tc>
          <w:tcPr>
            <w:tcW w:w="238" w:type="dxa"/>
            <w:vMerge w:val="restart"/>
            <w:tcBorders>
              <w:top w:val="single" w:sz="4" w:space="0" w:color="000000"/>
              <w:left w:val="single" w:sz="4" w:space="0" w:color="000000"/>
              <w:right w:val="single" w:sz="4" w:space="0" w:color="000000"/>
            </w:tcBorders>
            <w:shd w:val="clear" w:color="auto" w:fill="D2D2D2"/>
          </w:tcPr>
          <w:p>
            <w:pPr/>
          </w:p>
        </w:tc>
        <w:tc>
          <w:tcPr>
            <w:tcW w:w="1849" w:type="dxa"/>
            <w:vMerge w:val="restart"/>
            <w:tcBorders>
              <w:top w:val="single" w:sz="4" w:space="0" w:color="000000"/>
              <w:left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205" w:hRule="exact"/>
        </w:trPr>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8"/>
              <w:ind w:left="10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86" w:type="dxa"/>
            <w:vMerge/>
            <w:tcBorders>
              <w:left w:val="single" w:sz="4" w:space="0" w:color="000000"/>
              <w:right w:val="single" w:sz="4" w:space="0" w:color="000000"/>
            </w:tcBorders>
            <w:shd w:val="clear" w:color="auto" w:fill="D2D2D2"/>
          </w:tcPr>
          <w:p>
            <w:pPr/>
          </w:p>
        </w:tc>
        <w:tc>
          <w:tcPr>
            <w:tcW w:w="23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23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29"/>
              <w:ind w:left="24" w:right="23"/>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090" w:type="dxa"/>
            <w:vMerge/>
            <w:tcBorders>
              <w:left w:val="single" w:sz="4" w:space="0" w:color="000000"/>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150" w:type="dxa"/>
            <w:vMerge/>
            <w:tcBorders>
              <w:left w:val="single" w:sz="4" w:space="0" w:color="000000"/>
              <w:right w:val="single" w:sz="4" w:space="0" w:color="000000"/>
            </w:tcBorders>
            <w:shd w:val="clear" w:color="auto" w:fill="D2D2D2"/>
          </w:tcPr>
          <w:p>
            <w:pPr/>
          </w:p>
        </w:tc>
        <w:tc>
          <w:tcPr>
            <w:tcW w:w="238" w:type="dxa"/>
            <w:vMerge/>
            <w:tcBorders>
              <w:left w:val="single" w:sz="4" w:space="0" w:color="000000"/>
              <w:bottom w:val="nil" w:sz="6" w:space="0" w:color="auto"/>
              <w:right w:val="single" w:sz="4" w:space="0" w:color="000000"/>
            </w:tcBorders>
            <w:shd w:val="clear" w:color="auto" w:fill="D2D2D2"/>
          </w:tcPr>
          <w:p>
            <w:pPr/>
          </w:p>
        </w:tc>
        <w:tc>
          <w:tcPr>
            <w:tcW w:w="1849" w:type="dxa"/>
            <w:vMerge/>
            <w:tcBorders>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87"/>
              <w:ind w:left="448" w:right="89"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40" w:hRule="exact"/>
        </w:trPr>
        <w:tc>
          <w:tcPr>
            <w:tcW w:w="574" w:type="dxa"/>
            <w:vMerge/>
            <w:tcBorders>
              <w:left w:val="single" w:sz="4" w:space="0" w:color="000000"/>
              <w:bottom w:val="nil" w:sz="6" w:space="0" w:color="auto"/>
              <w:right w:val="single" w:sz="4" w:space="0" w:color="000000"/>
            </w:tcBorders>
            <w:shd w:val="clear" w:color="auto" w:fill="D2D2D2"/>
          </w:tcPr>
          <w:p>
            <w:pPr/>
          </w:p>
        </w:tc>
        <w:tc>
          <w:tcPr>
            <w:tcW w:w="1186" w:type="dxa"/>
            <w:vMerge/>
            <w:tcBorders>
              <w:left w:val="single" w:sz="4" w:space="0" w:color="000000"/>
              <w:bottom w:val="nil" w:sz="6" w:space="0" w:color="auto"/>
              <w:right w:val="single" w:sz="4" w:space="0" w:color="000000"/>
            </w:tcBorders>
            <w:shd w:val="clear" w:color="auto" w:fill="D2D2D2"/>
          </w:tcPr>
          <w:p>
            <w:pPr/>
          </w:p>
        </w:tc>
        <w:tc>
          <w:tcPr>
            <w:tcW w:w="23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8"/>
              <w:ind w:left="24" w:right="2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8"/>
              <w:ind w:left="21" w:right="23"/>
              <w:jc w:val="both"/>
              <w:rPr>
                <w:rFonts w:ascii="宋体" w:hAnsi="宋体" w:cs="宋体" w:eastAsia="宋体" w:hint="default"/>
                <w:sz w:val="18"/>
                <w:szCs w:val="18"/>
              </w:rPr>
            </w:pPr>
            <w:r>
              <w:rPr>
                <w:rFonts w:ascii="宋体" w:hAnsi="宋体" w:cs="宋体" w:eastAsia="宋体" w:hint="default"/>
                <w:sz w:val="18"/>
                <w:szCs w:val="18"/>
              </w:rPr>
              <w:t>永 续 债</w:t>
            </w:r>
          </w:p>
        </w:tc>
        <w:tc>
          <w:tcPr>
            <w:tcW w:w="118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bottom w:val="nil" w:sz="6" w:space="0" w:color="auto"/>
              <w:right w:val="single" w:sz="4" w:space="0" w:color="000000"/>
            </w:tcBorders>
            <w:shd w:val="clear" w:color="auto" w:fill="D2D2D2"/>
          </w:tcPr>
          <w:p>
            <w:pPr/>
          </w:p>
        </w:tc>
        <w:tc>
          <w:tcPr>
            <w:tcW w:w="1001"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2"/>
              <w:ind w:left="405" w:right="43"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238"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150" w:type="dxa"/>
            <w:vMerge/>
            <w:tcBorders>
              <w:left w:val="single" w:sz="4" w:space="0" w:color="000000"/>
              <w:bottom w:val="nil" w:sz="6" w:space="0" w:color="auto"/>
              <w:right w:val="single" w:sz="4" w:space="0" w:color="000000"/>
            </w:tcBorders>
            <w:shd w:val="clear" w:color="auto" w:fill="D2D2D2"/>
          </w:tcPr>
          <w:p>
            <w:pPr/>
          </w:p>
        </w:tc>
        <w:tc>
          <w:tcPr>
            <w:tcW w:w="23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5"/>
              <w:ind w:left="24" w:right="23"/>
              <w:jc w:val="left"/>
              <w:rPr>
                <w:rFonts w:ascii="宋体" w:hAnsi="宋体" w:cs="宋体" w:eastAsia="宋体" w:hint="default"/>
                <w:sz w:val="18"/>
                <w:szCs w:val="18"/>
              </w:rPr>
            </w:pPr>
            <w:r>
              <w:rPr>
                <w:rFonts w:ascii="宋体" w:hAnsi="宋体" w:cs="宋体" w:eastAsia="宋体" w:hint="default"/>
                <w:sz w:val="18"/>
                <w:szCs w:val="18"/>
              </w:rPr>
              <w:t>其 他</w:t>
            </w:r>
          </w:p>
        </w:tc>
        <w:tc>
          <w:tcPr>
            <w:tcW w:w="1849"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8"/>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4" w:hRule="exact"/>
        </w:trPr>
        <w:tc>
          <w:tcPr>
            <w:tcW w:w="574" w:type="dxa"/>
            <w:vMerge w:val="restart"/>
            <w:tcBorders>
              <w:top w:val="nil" w:sz="6" w:space="0" w:color="auto"/>
              <w:left w:val="single" w:sz="4" w:space="0" w:color="000000"/>
              <w:right w:val="single" w:sz="4" w:space="0" w:color="000000"/>
            </w:tcBorders>
            <w:shd w:val="clear" w:color="auto" w:fill="D2D2D2"/>
          </w:tcPr>
          <w:p>
            <w:pPr/>
          </w:p>
        </w:tc>
        <w:tc>
          <w:tcPr>
            <w:tcW w:w="11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9"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38" w:type="dxa"/>
            <w:vMerge/>
            <w:tcBorders>
              <w:left w:val="single" w:sz="4" w:space="0" w:color="000000"/>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4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01" w:type="dxa"/>
            <w:vMerge/>
            <w:tcBorders>
              <w:left w:val="single" w:sz="4" w:space="0" w:color="000000"/>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38" w:type="dxa"/>
            <w:vMerge/>
            <w:tcBorders>
              <w:left w:val="single" w:sz="4" w:space="0" w:color="000000"/>
              <w:right w:val="single" w:sz="4" w:space="0" w:color="000000"/>
            </w:tcBorders>
            <w:shd w:val="clear" w:color="auto" w:fill="D2D2D2"/>
          </w:tcPr>
          <w:p>
            <w:pPr/>
          </w:p>
        </w:tc>
        <w:tc>
          <w:tcPr>
            <w:tcW w:w="11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1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38" w:type="dxa"/>
            <w:vMerge/>
            <w:tcBorders>
              <w:left w:val="single" w:sz="4" w:space="0" w:color="000000"/>
              <w:right w:val="single" w:sz="4" w:space="0" w:color="000000"/>
            </w:tcBorders>
            <w:shd w:val="clear" w:color="auto" w:fill="D2D2D2"/>
          </w:tcPr>
          <w:p>
            <w:pPr/>
          </w:p>
        </w:tc>
        <w:tc>
          <w:tcPr>
            <w:tcW w:w="18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3"/>
              <w:jc w:val="center"/>
              <w:rPr>
                <w:rFonts w:ascii="宋体" w:hAnsi="宋体" w:cs="宋体" w:eastAsia="宋体" w:hint="default"/>
                <w:sz w:val="18"/>
                <w:szCs w:val="18"/>
              </w:rPr>
            </w:pPr>
            <w:r>
              <w:rPr>
                <w:rFonts w:ascii="宋体" w:hAnsi="宋体" w:cs="宋体" w:eastAsia="宋体" w:hint="default"/>
                <w:sz w:val="18"/>
                <w:szCs w:val="18"/>
              </w:rPr>
              <w:t>小计</w:t>
            </w:r>
          </w:p>
        </w:tc>
        <w:tc>
          <w:tcPr>
            <w:tcW w:w="1090"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97" w:hRule="exact"/>
        </w:trPr>
        <w:tc>
          <w:tcPr>
            <w:tcW w:w="574" w:type="dxa"/>
            <w:vMerge/>
            <w:tcBorders>
              <w:left w:val="single" w:sz="4" w:space="0" w:color="000000"/>
              <w:right w:val="single" w:sz="4" w:space="0" w:color="000000"/>
            </w:tcBorders>
            <w:shd w:val="clear" w:color="auto" w:fill="D2D2D2"/>
          </w:tcPr>
          <w:p>
            <w:pPr/>
          </w:p>
        </w:tc>
        <w:tc>
          <w:tcPr>
            <w:tcW w:w="1186" w:type="dxa"/>
            <w:vMerge/>
            <w:tcBorders>
              <w:left w:val="single" w:sz="4" w:space="0" w:color="000000"/>
              <w:bottom w:val="nil" w:sz="6" w:space="0" w:color="auto"/>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bottom w:val="nil" w:sz="6" w:space="0" w:color="auto"/>
              <w:right w:val="single" w:sz="4" w:space="0" w:color="000000"/>
            </w:tcBorders>
            <w:shd w:val="clear" w:color="auto" w:fill="D2D2D2"/>
          </w:tcPr>
          <w:p>
            <w:pPr/>
          </w:p>
        </w:tc>
        <w:tc>
          <w:tcPr>
            <w:tcW w:w="1001" w:type="dxa"/>
            <w:vMerge/>
            <w:tcBorders>
              <w:left w:val="single" w:sz="4" w:space="0" w:color="000000"/>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150" w:type="dxa"/>
            <w:vMerge/>
            <w:tcBorders>
              <w:left w:val="single" w:sz="4" w:space="0" w:color="000000"/>
              <w:bottom w:val="nil" w:sz="6" w:space="0" w:color="auto"/>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849"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574" w:type="dxa"/>
            <w:vMerge/>
            <w:tcBorders>
              <w:left w:val="single" w:sz="4" w:space="0" w:color="000000"/>
              <w:right w:val="single" w:sz="4" w:space="0" w:color="000000"/>
            </w:tcBorders>
            <w:shd w:val="clear" w:color="auto" w:fill="D2D2D2"/>
          </w:tcPr>
          <w:p>
            <w:pPr/>
          </w:p>
        </w:tc>
        <w:tc>
          <w:tcPr>
            <w:tcW w:w="1186" w:type="dxa"/>
            <w:vMerge w:val="restart"/>
            <w:tcBorders>
              <w:top w:val="nil" w:sz="6" w:space="0" w:color="auto"/>
              <w:left w:val="single" w:sz="4" w:space="0" w:color="000000"/>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202" w:type="dxa"/>
            <w:vMerge w:val="restart"/>
            <w:tcBorders>
              <w:top w:val="nil" w:sz="6" w:space="0" w:color="auto"/>
              <w:left w:val="single" w:sz="4" w:space="0" w:color="000000"/>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150" w:type="dxa"/>
            <w:vMerge w:val="restart"/>
            <w:tcBorders>
              <w:top w:val="nil" w:sz="6" w:space="0" w:color="auto"/>
              <w:left w:val="single" w:sz="4" w:space="0" w:color="000000"/>
              <w:right w:val="single" w:sz="4" w:space="0" w:color="000000"/>
            </w:tcBorders>
            <w:shd w:val="clear" w:color="auto" w:fill="D2D2D2"/>
          </w:tcPr>
          <w:p>
            <w:pPr/>
          </w:p>
        </w:tc>
        <w:tc>
          <w:tcPr>
            <w:tcW w:w="238" w:type="dxa"/>
            <w:vMerge/>
            <w:tcBorders>
              <w:left w:val="single" w:sz="4" w:space="0" w:color="000000"/>
              <w:bottom w:val="nil" w:sz="6" w:space="0" w:color="auto"/>
              <w:right w:val="single" w:sz="4" w:space="0" w:color="000000"/>
            </w:tcBorders>
            <w:shd w:val="clear" w:color="auto" w:fill="D2D2D2"/>
          </w:tcPr>
          <w:p>
            <w:pPr/>
          </w:p>
        </w:tc>
        <w:tc>
          <w:tcPr>
            <w:tcW w:w="1849" w:type="dxa"/>
            <w:vMerge w:val="restart"/>
            <w:tcBorders>
              <w:top w:val="nil" w:sz="6" w:space="0" w:color="auto"/>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312" w:hRule="exact"/>
        </w:trPr>
        <w:tc>
          <w:tcPr>
            <w:tcW w:w="574" w:type="dxa"/>
            <w:vMerge/>
            <w:tcBorders>
              <w:left w:val="single" w:sz="4" w:space="0" w:color="000000"/>
              <w:right w:val="single" w:sz="4" w:space="0" w:color="000000"/>
            </w:tcBorders>
            <w:shd w:val="clear" w:color="auto" w:fill="D2D2D2"/>
          </w:tcPr>
          <w:p>
            <w:pPr/>
          </w:p>
        </w:tc>
        <w:tc>
          <w:tcPr>
            <w:tcW w:w="1186" w:type="dxa"/>
            <w:vMerge/>
            <w:tcBorders>
              <w:left w:val="single" w:sz="4" w:space="0" w:color="000000"/>
              <w:right w:val="single" w:sz="4" w:space="0" w:color="000000"/>
            </w:tcBorders>
            <w:shd w:val="clear" w:color="auto" w:fill="D2D2D2"/>
          </w:tcPr>
          <w:p>
            <w:pPr/>
          </w:p>
        </w:tc>
        <w:tc>
          <w:tcPr>
            <w:tcW w:w="238" w:type="dxa"/>
            <w:vMerge/>
            <w:tcBorders>
              <w:left w:val="single" w:sz="4" w:space="0" w:color="000000"/>
              <w:bottom w:val="nil" w:sz="6" w:space="0" w:color="auto"/>
              <w:right w:val="single" w:sz="4" w:space="0" w:color="000000"/>
            </w:tcBorders>
            <w:shd w:val="clear" w:color="auto" w:fill="D2D2D2"/>
          </w:tcPr>
          <w:p>
            <w:pPr/>
          </w:p>
        </w:tc>
        <w:tc>
          <w:tcPr>
            <w:tcW w:w="235"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1001" w:type="dxa"/>
            <w:vMerge w:val="restart"/>
            <w:tcBorders>
              <w:top w:val="nil" w:sz="6" w:space="0" w:color="auto"/>
              <w:left w:val="single" w:sz="4" w:space="0" w:color="000000"/>
              <w:right w:val="single" w:sz="4" w:space="0" w:color="000000"/>
            </w:tcBorders>
            <w:shd w:val="clear" w:color="auto" w:fill="D2D2D2"/>
          </w:tcPr>
          <w:p>
            <w:pPr/>
          </w:p>
        </w:tc>
        <w:tc>
          <w:tcPr>
            <w:tcW w:w="238"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150" w:type="dxa"/>
            <w:vMerge/>
            <w:tcBorders>
              <w:left w:val="single" w:sz="4" w:space="0" w:color="000000"/>
              <w:right w:val="single" w:sz="4" w:space="0" w:color="000000"/>
            </w:tcBorders>
            <w:shd w:val="clear" w:color="auto" w:fill="D2D2D2"/>
          </w:tcPr>
          <w:p>
            <w:pPr/>
          </w:p>
        </w:tc>
        <w:tc>
          <w:tcPr>
            <w:tcW w:w="238" w:type="dxa"/>
            <w:vMerge w:val="restart"/>
            <w:tcBorders>
              <w:top w:val="nil" w:sz="6" w:space="0" w:color="auto"/>
              <w:left w:val="single" w:sz="4" w:space="0" w:color="000000"/>
              <w:right w:val="single" w:sz="4" w:space="0" w:color="000000"/>
            </w:tcBorders>
            <w:shd w:val="clear" w:color="auto" w:fill="D2D2D2"/>
          </w:tcPr>
          <w:p>
            <w:pPr/>
          </w:p>
        </w:tc>
        <w:tc>
          <w:tcPr>
            <w:tcW w:w="1849"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294" w:hRule="exact"/>
        </w:trPr>
        <w:tc>
          <w:tcPr>
            <w:tcW w:w="574" w:type="dxa"/>
            <w:vMerge/>
            <w:tcBorders>
              <w:left w:val="single" w:sz="4" w:space="0" w:color="000000"/>
              <w:bottom w:val="single" w:sz="4" w:space="0" w:color="000000"/>
              <w:right w:val="single" w:sz="4" w:space="0" w:color="000000"/>
            </w:tcBorders>
            <w:shd w:val="clear" w:color="auto" w:fill="D2D2D2"/>
          </w:tcPr>
          <w:p>
            <w:pPr/>
          </w:p>
        </w:tc>
        <w:tc>
          <w:tcPr>
            <w:tcW w:w="1186" w:type="dxa"/>
            <w:vMerge/>
            <w:tcBorders>
              <w:left w:val="single" w:sz="4" w:space="0" w:color="000000"/>
              <w:bottom w:val="single" w:sz="4" w:space="0" w:color="000000"/>
              <w:right w:val="single" w:sz="4" w:space="0" w:color="000000"/>
            </w:tcBorders>
            <w:shd w:val="clear" w:color="auto" w:fill="D2D2D2"/>
          </w:tcPr>
          <w:p>
            <w:pPr/>
          </w:p>
        </w:tc>
        <w:tc>
          <w:tcPr>
            <w:tcW w:w="23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2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238" w:type="dxa"/>
            <w:vMerge/>
            <w:tcBorders>
              <w:left w:val="single" w:sz="4" w:space="0" w:color="000000"/>
              <w:bottom w:val="single" w:sz="4" w:space="0" w:color="000000"/>
              <w:right w:val="single" w:sz="4" w:space="0" w:color="000000"/>
            </w:tcBorders>
            <w:shd w:val="clear" w:color="auto" w:fill="D2D2D2"/>
          </w:tcPr>
          <w:p>
            <w:pPr/>
          </w:p>
        </w:tc>
        <w:tc>
          <w:tcPr>
            <w:tcW w:w="1150" w:type="dxa"/>
            <w:vMerge/>
            <w:tcBorders>
              <w:left w:val="single" w:sz="4" w:space="0" w:color="000000"/>
              <w:bottom w:val="single" w:sz="4" w:space="0" w:color="000000"/>
              <w:right w:val="single" w:sz="4" w:space="0" w:color="000000"/>
            </w:tcBorders>
            <w:shd w:val="clear" w:color="auto" w:fill="D2D2D2"/>
          </w:tcPr>
          <w:p>
            <w:pPr/>
          </w:p>
        </w:tc>
        <w:tc>
          <w:tcPr>
            <w:tcW w:w="238" w:type="dxa"/>
            <w:vMerge/>
            <w:tcBorders>
              <w:left w:val="single" w:sz="4" w:space="0" w:color="000000"/>
              <w:bottom w:val="single" w:sz="4" w:space="0" w:color="000000"/>
              <w:right w:val="single" w:sz="4" w:space="0" w:color="000000"/>
            </w:tcBorders>
            <w:shd w:val="clear" w:color="auto" w:fill="D2D2D2"/>
          </w:tcPr>
          <w:p>
            <w:pPr/>
          </w:p>
        </w:tc>
        <w:tc>
          <w:tcPr>
            <w:tcW w:w="1849"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11" w:right="10"/>
              <w:jc w:val="both"/>
              <w:rPr>
                <w:rFonts w:ascii="宋体" w:hAnsi="宋体" w:cs="宋体" w:eastAsia="宋体" w:hint="default"/>
                <w:sz w:val="18"/>
                <w:szCs w:val="18"/>
              </w:rPr>
            </w:pPr>
            <w:r>
              <w:rPr>
                <w:rFonts w:ascii="宋体" w:hAnsi="宋体" w:cs="宋体" w:eastAsia="宋体" w:hint="default"/>
                <w:sz w:val="18"/>
                <w:szCs w:val="18"/>
              </w:rPr>
              <w:t>一、上 年期末 余额</w:t>
            </w:r>
          </w:p>
        </w:tc>
        <w:tc>
          <w:tcPr>
            <w:tcW w:w="11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711,226,578.00</w:t>
            </w: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154,587,824.25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258,987,182.74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29,874,024.00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791,865.03</w:t>
            </w:r>
          </w:p>
        </w:tc>
        <w:tc>
          <w:tcPr>
            <w:tcW w:w="23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72,495,704.44</w:t>
            </w:r>
          </w:p>
        </w:tc>
        <w:tc>
          <w:tcPr>
            <w:tcW w:w="23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-34,386,587.17</w:t>
            </w:r>
          </w:p>
        </w:tc>
        <w:tc>
          <w:tcPr>
            <w:tcW w:w="23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1,133,828,543.29</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32,740,644.85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1,166,569,188.14</w:t>
            </w:r>
          </w:p>
        </w:tc>
      </w:tr>
      <w:tr>
        <w:trPr>
          <w:trHeight w:val="1340" w:hRule="exact"/>
        </w:trPr>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8"/>
              <w:ind w:left="11" w:right="10"/>
              <w:jc w:val="both"/>
              <w:rPr>
                <w:rFonts w:ascii="宋体" w:hAnsi="宋体" w:cs="宋体" w:eastAsia="宋体" w:hint="default"/>
                <w:sz w:val="18"/>
                <w:szCs w:val="18"/>
              </w:rPr>
            </w:pPr>
            <w:r>
              <w:rPr>
                <w:rFonts w:ascii="宋体" w:hAnsi="宋体" w:cs="宋体" w:eastAsia="宋体" w:hint="default"/>
                <w:sz w:val="18"/>
                <w:szCs w:val="18"/>
              </w:rPr>
              <w:t>加：会 计政策 变更</w:t>
            </w:r>
          </w:p>
        </w:tc>
        <w:tc>
          <w:tcPr>
            <w:tcW w:w="1186" w:type="dxa"/>
            <w:tcBorders>
              <w:top w:val="single" w:sz="4" w:space="0" w:color="000000"/>
              <w:left w:val="single" w:sz="10" w:space="0" w:color="D2D2D2"/>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-2,955,611.87</w:t>
            </w:r>
          </w:p>
        </w:tc>
        <w:tc>
          <w:tcPr>
            <w:tcW w:w="23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-2,955,611.87</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-15,040.44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-2,970,652.31</w:t>
            </w:r>
          </w:p>
        </w:tc>
      </w:tr>
      <w:tr>
        <w:trPr>
          <w:trHeight w:val="1025" w:hRule="exact"/>
        </w:trPr>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7"/>
              <w:ind w:left="11" w:right="10"/>
              <w:jc w:val="left"/>
              <w:rPr>
                <w:rFonts w:ascii="宋体" w:hAnsi="宋体" w:cs="宋体" w:eastAsia="宋体" w:hint="default"/>
                <w:sz w:val="18"/>
                <w:szCs w:val="18"/>
              </w:rPr>
            </w:pPr>
            <w:r>
              <w:rPr>
                <w:rFonts w:ascii="宋体" w:hAnsi="宋体" w:cs="宋体" w:eastAsia="宋体" w:hint="default"/>
                <w:sz w:val="18"/>
                <w:szCs w:val="18"/>
              </w:rPr>
              <w:t>前期差 错更正</w:t>
            </w:r>
          </w:p>
        </w:tc>
        <w:tc>
          <w:tcPr>
            <w:tcW w:w="1186" w:type="dxa"/>
            <w:tcBorders>
              <w:top w:val="single" w:sz="4" w:space="0" w:color="000000"/>
              <w:left w:val="single" w:sz="10" w:space="0" w:color="D2D2D2"/>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8"/>
              <w:ind w:left="11" w:right="10"/>
              <w:jc w:val="both"/>
              <w:rPr>
                <w:rFonts w:ascii="宋体" w:hAnsi="宋体" w:cs="宋体" w:eastAsia="宋体" w:hint="default"/>
                <w:sz w:val="18"/>
                <w:szCs w:val="18"/>
              </w:rPr>
            </w:pPr>
            <w:r>
              <w:rPr>
                <w:rFonts w:ascii="宋体" w:hAnsi="宋体" w:cs="宋体" w:eastAsia="宋体" w:hint="default"/>
                <w:sz w:val="18"/>
                <w:szCs w:val="18"/>
              </w:rPr>
              <w:t>同一控 制下企 业合并</w:t>
            </w:r>
          </w:p>
        </w:tc>
        <w:tc>
          <w:tcPr>
            <w:tcW w:w="1186" w:type="dxa"/>
            <w:tcBorders>
              <w:top w:val="single" w:sz="4" w:space="0" w:color="000000"/>
              <w:left w:val="single" w:sz="10" w:space="0" w:color="D2D2D2"/>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6" w:type="dxa"/>
            <w:tcBorders>
              <w:top w:val="single" w:sz="4" w:space="0" w:color="000000"/>
              <w:left w:val="single" w:sz="10" w:space="0" w:color="D2D2D2"/>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5"/>
          <w:footerReference w:type="default" r:id="rId26"/>
          <w:pgSz w:w="16840" w:h="11910" w:orient="landscape"/>
          <w:pgMar w:header="867" w:footer="980" w:top="1060" w:bottom="1240" w:left="1300" w:right="1280"/>
          <w:pgNumType w:start="97"/>
        </w:sectPr>
      </w:pPr>
    </w:p>
    <w:p>
      <w:pPr>
        <w:spacing w:line="240" w:lineRule="auto" w:before="4"/>
        <w:rPr>
          <w:rFonts w:ascii="Times New Roman" w:hAnsi="Times New Roman" w:cs="Times New Roman" w:eastAsia="Times New Roman"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574"/>
        <w:gridCol w:w="1186"/>
        <w:gridCol w:w="238"/>
        <w:gridCol w:w="235"/>
        <w:gridCol w:w="1181"/>
        <w:gridCol w:w="1181"/>
        <w:gridCol w:w="1202"/>
        <w:gridCol w:w="1001"/>
        <w:gridCol w:w="238"/>
        <w:gridCol w:w="1090"/>
        <w:gridCol w:w="238"/>
        <w:gridCol w:w="1150"/>
        <w:gridCol w:w="238"/>
        <w:gridCol w:w="1849"/>
        <w:gridCol w:w="1090"/>
        <w:gridCol w:w="1318"/>
      </w:tblGrid>
      <w:tr>
        <w:trPr>
          <w:trHeight w:val="417" w:hRule="exact"/>
        </w:trPr>
        <w:tc>
          <w:tcPr>
            <w:tcW w:w="574" w:type="dxa"/>
            <w:vMerge w:val="restart"/>
            <w:tcBorders>
              <w:top w:val="single" w:sz="15" w:space="0" w:color="000000"/>
              <w:left w:val="single" w:sz="4" w:space="0" w:color="000000"/>
              <w:right w:val="single" w:sz="4" w:space="0" w:color="000000"/>
            </w:tcBorders>
            <w:shd w:val="clear" w:color="auto" w:fill="D2D2D2"/>
          </w:tcPr>
          <w:p>
            <w:pPr/>
          </w:p>
        </w:tc>
        <w:tc>
          <w:tcPr>
            <w:tcW w:w="13432" w:type="dxa"/>
            <w:gridSpan w:val="15"/>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574" w:type="dxa"/>
            <w:vMerge/>
            <w:tcBorders>
              <w:left w:val="single" w:sz="4" w:space="0" w:color="000000"/>
              <w:right w:val="single" w:sz="4" w:space="0" w:color="000000"/>
            </w:tcBorders>
            <w:shd w:val="clear" w:color="auto" w:fill="D2D2D2"/>
          </w:tcPr>
          <w:p>
            <w:pPr/>
          </w:p>
        </w:tc>
        <w:tc>
          <w:tcPr>
            <w:tcW w:w="1102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90" w:type="dxa"/>
            <w:vMerge w:val="restart"/>
            <w:tcBorders>
              <w:top w:val="single" w:sz="4" w:space="0" w:color="000000"/>
              <w:left w:val="single" w:sz="4" w:space="0" w:color="000000"/>
              <w:right w:val="single" w:sz="4" w:space="0" w:color="000000"/>
            </w:tcBorders>
            <w:shd w:val="clear" w:color="auto" w:fill="D2D2D2"/>
          </w:tcPr>
          <w:p>
            <w:pPr/>
          </w:p>
        </w:tc>
        <w:tc>
          <w:tcPr>
            <w:tcW w:w="1318" w:type="dxa"/>
            <w:vMerge w:val="restart"/>
            <w:tcBorders>
              <w:top w:val="single" w:sz="4" w:space="0" w:color="000000"/>
              <w:left w:val="single" w:sz="4" w:space="0" w:color="000000"/>
              <w:right w:val="single" w:sz="4" w:space="0" w:color="000000"/>
            </w:tcBorders>
            <w:shd w:val="clear" w:color="auto" w:fill="D2D2D2"/>
          </w:tcPr>
          <w:p>
            <w:pPr/>
          </w:p>
        </w:tc>
      </w:tr>
      <w:tr>
        <w:trPr>
          <w:trHeight w:val="352" w:hRule="exact"/>
        </w:trPr>
        <w:tc>
          <w:tcPr>
            <w:tcW w:w="574" w:type="dxa"/>
            <w:vMerge/>
            <w:tcBorders>
              <w:left w:val="single" w:sz="4" w:space="0" w:color="000000"/>
              <w:bottom w:val="nil" w:sz="6" w:space="0" w:color="auto"/>
              <w:right w:val="single" w:sz="4" w:space="0" w:color="000000"/>
            </w:tcBorders>
            <w:shd w:val="clear" w:color="auto" w:fill="D2D2D2"/>
          </w:tcPr>
          <w:p>
            <w:pPr/>
          </w:p>
        </w:tc>
        <w:tc>
          <w:tcPr>
            <w:tcW w:w="1186" w:type="dxa"/>
            <w:vMerge w:val="restart"/>
            <w:tcBorders>
              <w:top w:val="single" w:sz="4" w:space="0" w:color="000000"/>
              <w:left w:val="single" w:sz="4" w:space="0" w:color="000000"/>
              <w:right w:val="single" w:sz="4" w:space="0" w:color="000000"/>
            </w:tcBorders>
            <w:shd w:val="clear" w:color="auto" w:fill="D2D2D2"/>
          </w:tcPr>
          <w:p>
            <w:pPr/>
          </w:p>
        </w:tc>
        <w:tc>
          <w:tcPr>
            <w:tcW w:w="16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
        </w:tc>
        <w:tc>
          <w:tcPr>
            <w:tcW w:w="1001" w:type="dxa"/>
            <w:vMerge w:val="restart"/>
            <w:tcBorders>
              <w:top w:val="single" w:sz="4" w:space="0" w:color="000000"/>
              <w:left w:val="single" w:sz="4" w:space="0" w:color="000000"/>
              <w:right w:val="single" w:sz="4" w:space="0" w:color="000000"/>
            </w:tcBorders>
            <w:shd w:val="clear" w:color="auto" w:fill="D2D2D2"/>
          </w:tcPr>
          <w:p>
            <w:pPr/>
          </w:p>
        </w:tc>
        <w:tc>
          <w:tcPr>
            <w:tcW w:w="2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0" w:type="dxa"/>
            <w:vMerge w:val="restart"/>
            <w:tcBorders>
              <w:top w:val="single" w:sz="4" w:space="0" w:color="000000"/>
              <w:left w:val="single" w:sz="4" w:space="0" w:color="000000"/>
              <w:right w:val="single" w:sz="4" w:space="0" w:color="000000"/>
            </w:tcBorders>
            <w:shd w:val="clear" w:color="auto" w:fill="D2D2D2"/>
          </w:tcPr>
          <w:p>
            <w:pPr/>
          </w:p>
        </w:tc>
        <w:tc>
          <w:tcPr>
            <w:tcW w:w="23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4" w:right="23"/>
              <w:jc w:val="both"/>
              <w:rPr>
                <w:rFonts w:ascii="宋体" w:hAnsi="宋体" w:cs="宋体" w:eastAsia="宋体" w:hint="default"/>
                <w:sz w:val="18"/>
                <w:szCs w:val="18"/>
              </w:rPr>
            </w:pPr>
            <w:r>
              <w:rPr>
                <w:rFonts w:ascii="宋体" w:hAnsi="宋体" w:cs="宋体" w:eastAsia="宋体" w:hint="default"/>
                <w:sz w:val="18"/>
                <w:szCs w:val="18"/>
              </w:rPr>
              <w:t>一 般 风 险 准 备</w:t>
            </w:r>
          </w:p>
        </w:tc>
        <w:tc>
          <w:tcPr>
            <w:tcW w:w="1150" w:type="dxa"/>
            <w:vMerge w:val="restart"/>
            <w:tcBorders>
              <w:top w:val="single" w:sz="4" w:space="0" w:color="000000"/>
              <w:left w:val="single" w:sz="4" w:space="0" w:color="000000"/>
              <w:right w:val="single" w:sz="4" w:space="0" w:color="000000"/>
            </w:tcBorders>
            <w:shd w:val="clear" w:color="auto" w:fill="D2D2D2"/>
          </w:tcPr>
          <w:p>
            <w:pPr/>
          </w:p>
        </w:tc>
        <w:tc>
          <w:tcPr>
            <w:tcW w:w="238" w:type="dxa"/>
            <w:vMerge w:val="restart"/>
            <w:tcBorders>
              <w:top w:val="single" w:sz="4" w:space="0" w:color="000000"/>
              <w:left w:val="single" w:sz="4" w:space="0" w:color="000000"/>
              <w:right w:val="single" w:sz="4" w:space="0" w:color="000000"/>
            </w:tcBorders>
            <w:shd w:val="clear" w:color="auto" w:fill="D2D2D2"/>
          </w:tcPr>
          <w:p>
            <w:pPr/>
          </w:p>
        </w:tc>
        <w:tc>
          <w:tcPr>
            <w:tcW w:w="1849" w:type="dxa"/>
            <w:vMerge w:val="restart"/>
            <w:tcBorders>
              <w:top w:val="single" w:sz="4" w:space="0" w:color="000000"/>
              <w:left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205" w:hRule="exact"/>
        </w:trPr>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left="10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86" w:type="dxa"/>
            <w:vMerge/>
            <w:tcBorders>
              <w:left w:val="single" w:sz="4" w:space="0" w:color="000000"/>
              <w:right w:val="single" w:sz="4" w:space="0" w:color="000000"/>
            </w:tcBorders>
            <w:shd w:val="clear" w:color="auto" w:fill="D2D2D2"/>
          </w:tcPr>
          <w:p>
            <w:pPr/>
          </w:p>
        </w:tc>
        <w:tc>
          <w:tcPr>
            <w:tcW w:w="23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23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6"/>
              <w:ind w:left="24" w:right="23"/>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090" w:type="dxa"/>
            <w:vMerge/>
            <w:tcBorders>
              <w:left w:val="single" w:sz="4" w:space="0" w:color="000000"/>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150" w:type="dxa"/>
            <w:vMerge/>
            <w:tcBorders>
              <w:left w:val="single" w:sz="4" w:space="0" w:color="000000"/>
              <w:right w:val="single" w:sz="4" w:space="0" w:color="000000"/>
            </w:tcBorders>
            <w:shd w:val="clear" w:color="auto" w:fill="D2D2D2"/>
          </w:tcPr>
          <w:p>
            <w:pPr/>
          </w:p>
        </w:tc>
        <w:tc>
          <w:tcPr>
            <w:tcW w:w="238" w:type="dxa"/>
            <w:vMerge/>
            <w:tcBorders>
              <w:left w:val="single" w:sz="4" w:space="0" w:color="000000"/>
              <w:bottom w:val="nil" w:sz="6" w:space="0" w:color="auto"/>
              <w:right w:val="single" w:sz="4" w:space="0" w:color="000000"/>
            </w:tcBorders>
            <w:shd w:val="clear" w:color="auto" w:fill="D2D2D2"/>
          </w:tcPr>
          <w:p>
            <w:pPr/>
          </w:p>
        </w:tc>
        <w:tc>
          <w:tcPr>
            <w:tcW w:w="1849" w:type="dxa"/>
            <w:vMerge/>
            <w:tcBorders>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5"/>
              <w:ind w:left="448" w:right="89"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40" w:hRule="exact"/>
        </w:trPr>
        <w:tc>
          <w:tcPr>
            <w:tcW w:w="574" w:type="dxa"/>
            <w:vMerge/>
            <w:tcBorders>
              <w:left w:val="single" w:sz="4" w:space="0" w:color="000000"/>
              <w:bottom w:val="nil" w:sz="6" w:space="0" w:color="auto"/>
              <w:right w:val="single" w:sz="4" w:space="0" w:color="000000"/>
            </w:tcBorders>
            <w:shd w:val="clear" w:color="auto" w:fill="D2D2D2"/>
          </w:tcPr>
          <w:p>
            <w:pPr/>
          </w:p>
        </w:tc>
        <w:tc>
          <w:tcPr>
            <w:tcW w:w="1186" w:type="dxa"/>
            <w:vMerge/>
            <w:tcBorders>
              <w:left w:val="single" w:sz="4" w:space="0" w:color="000000"/>
              <w:bottom w:val="nil" w:sz="6" w:space="0" w:color="auto"/>
              <w:right w:val="single" w:sz="4" w:space="0" w:color="000000"/>
            </w:tcBorders>
            <w:shd w:val="clear" w:color="auto" w:fill="D2D2D2"/>
          </w:tcPr>
          <w:p>
            <w:pPr/>
          </w:p>
        </w:tc>
        <w:tc>
          <w:tcPr>
            <w:tcW w:w="23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6"/>
              <w:ind w:left="24" w:right="2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6"/>
              <w:ind w:left="21" w:right="23"/>
              <w:jc w:val="both"/>
              <w:rPr>
                <w:rFonts w:ascii="宋体" w:hAnsi="宋体" w:cs="宋体" w:eastAsia="宋体" w:hint="default"/>
                <w:sz w:val="18"/>
                <w:szCs w:val="18"/>
              </w:rPr>
            </w:pPr>
            <w:r>
              <w:rPr>
                <w:rFonts w:ascii="宋体" w:hAnsi="宋体" w:cs="宋体" w:eastAsia="宋体" w:hint="default"/>
                <w:sz w:val="18"/>
                <w:szCs w:val="18"/>
              </w:rPr>
              <w:t>永 续 债</w:t>
            </w:r>
          </w:p>
        </w:tc>
        <w:tc>
          <w:tcPr>
            <w:tcW w:w="118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bottom w:val="nil" w:sz="6" w:space="0" w:color="auto"/>
              <w:right w:val="single" w:sz="4" w:space="0" w:color="000000"/>
            </w:tcBorders>
            <w:shd w:val="clear" w:color="auto" w:fill="D2D2D2"/>
          </w:tcPr>
          <w:p>
            <w:pPr/>
          </w:p>
        </w:tc>
        <w:tc>
          <w:tcPr>
            <w:tcW w:w="1001"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405" w:right="43"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238"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150" w:type="dxa"/>
            <w:vMerge/>
            <w:tcBorders>
              <w:left w:val="single" w:sz="4" w:space="0" w:color="000000"/>
              <w:bottom w:val="nil" w:sz="6" w:space="0" w:color="auto"/>
              <w:right w:val="single" w:sz="4" w:space="0" w:color="000000"/>
            </w:tcBorders>
            <w:shd w:val="clear" w:color="auto" w:fill="D2D2D2"/>
          </w:tcPr>
          <w:p>
            <w:pPr/>
          </w:p>
        </w:tc>
        <w:tc>
          <w:tcPr>
            <w:tcW w:w="23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33"/>
              <w:ind w:left="24" w:right="23"/>
              <w:jc w:val="left"/>
              <w:rPr>
                <w:rFonts w:ascii="宋体" w:hAnsi="宋体" w:cs="宋体" w:eastAsia="宋体" w:hint="default"/>
                <w:sz w:val="18"/>
                <w:szCs w:val="18"/>
              </w:rPr>
            </w:pPr>
            <w:r>
              <w:rPr>
                <w:rFonts w:ascii="宋体" w:hAnsi="宋体" w:cs="宋体" w:eastAsia="宋体" w:hint="default"/>
                <w:sz w:val="18"/>
                <w:szCs w:val="18"/>
              </w:rPr>
              <w:t>其 他</w:t>
            </w:r>
          </w:p>
        </w:tc>
        <w:tc>
          <w:tcPr>
            <w:tcW w:w="1849"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4" w:hRule="exact"/>
        </w:trPr>
        <w:tc>
          <w:tcPr>
            <w:tcW w:w="574" w:type="dxa"/>
            <w:vMerge w:val="restart"/>
            <w:tcBorders>
              <w:top w:val="nil" w:sz="6" w:space="0" w:color="auto"/>
              <w:left w:val="single" w:sz="4" w:space="0" w:color="000000"/>
              <w:right w:val="single" w:sz="4" w:space="0" w:color="000000"/>
            </w:tcBorders>
            <w:shd w:val="clear" w:color="auto" w:fill="D2D2D2"/>
          </w:tcPr>
          <w:p>
            <w:pPr/>
          </w:p>
        </w:tc>
        <w:tc>
          <w:tcPr>
            <w:tcW w:w="11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38" w:type="dxa"/>
            <w:vMerge/>
            <w:tcBorders>
              <w:left w:val="single" w:sz="4" w:space="0" w:color="000000"/>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01" w:type="dxa"/>
            <w:vMerge/>
            <w:tcBorders>
              <w:left w:val="single" w:sz="4" w:space="0" w:color="000000"/>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38" w:type="dxa"/>
            <w:vMerge/>
            <w:tcBorders>
              <w:left w:val="single" w:sz="4" w:space="0" w:color="000000"/>
              <w:right w:val="single" w:sz="4" w:space="0" w:color="000000"/>
            </w:tcBorders>
            <w:shd w:val="clear" w:color="auto" w:fill="D2D2D2"/>
          </w:tcPr>
          <w:p>
            <w:pPr/>
          </w:p>
        </w:tc>
        <w:tc>
          <w:tcPr>
            <w:tcW w:w="11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38" w:type="dxa"/>
            <w:vMerge/>
            <w:tcBorders>
              <w:left w:val="single" w:sz="4" w:space="0" w:color="000000"/>
              <w:right w:val="single" w:sz="4" w:space="0" w:color="000000"/>
            </w:tcBorders>
            <w:shd w:val="clear" w:color="auto" w:fill="D2D2D2"/>
          </w:tcPr>
          <w:p>
            <w:pPr/>
          </w:p>
        </w:tc>
        <w:tc>
          <w:tcPr>
            <w:tcW w:w="18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小计</w:t>
            </w:r>
          </w:p>
        </w:tc>
        <w:tc>
          <w:tcPr>
            <w:tcW w:w="1090"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97" w:hRule="exact"/>
        </w:trPr>
        <w:tc>
          <w:tcPr>
            <w:tcW w:w="574" w:type="dxa"/>
            <w:vMerge/>
            <w:tcBorders>
              <w:left w:val="single" w:sz="4" w:space="0" w:color="000000"/>
              <w:right w:val="single" w:sz="4" w:space="0" w:color="000000"/>
            </w:tcBorders>
            <w:shd w:val="clear" w:color="auto" w:fill="D2D2D2"/>
          </w:tcPr>
          <w:p>
            <w:pPr/>
          </w:p>
        </w:tc>
        <w:tc>
          <w:tcPr>
            <w:tcW w:w="1186" w:type="dxa"/>
            <w:vMerge/>
            <w:tcBorders>
              <w:left w:val="single" w:sz="4" w:space="0" w:color="000000"/>
              <w:bottom w:val="nil" w:sz="6" w:space="0" w:color="auto"/>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bottom w:val="nil" w:sz="6" w:space="0" w:color="auto"/>
              <w:right w:val="single" w:sz="4" w:space="0" w:color="000000"/>
            </w:tcBorders>
            <w:shd w:val="clear" w:color="auto" w:fill="D2D2D2"/>
          </w:tcPr>
          <w:p>
            <w:pPr/>
          </w:p>
        </w:tc>
        <w:tc>
          <w:tcPr>
            <w:tcW w:w="1001" w:type="dxa"/>
            <w:vMerge/>
            <w:tcBorders>
              <w:left w:val="single" w:sz="4" w:space="0" w:color="000000"/>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150" w:type="dxa"/>
            <w:vMerge/>
            <w:tcBorders>
              <w:left w:val="single" w:sz="4" w:space="0" w:color="000000"/>
              <w:bottom w:val="nil" w:sz="6" w:space="0" w:color="auto"/>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849"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574" w:type="dxa"/>
            <w:vMerge/>
            <w:tcBorders>
              <w:left w:val="single" w:sz="4" w:space="0" w:color="000000"/>
              <w:right w:val="single" w:sz="4" w:space="0" w:color="000000"/>
            </w:tcBorders>
            <w:shd w:val="clear" w:color="auto" w:fill="D2D2D2"/>
          </w:tcPr>
          <w:p>
            <w:pPr/>
          </w:p>
        </w:tc>
        <w:tc>
          <w:tcPr>
            <w:tcW w:w="1186" w:type="dxa"/>
            <w:vMerge w:val="restart"/>
            <w:tcBorders>
              <w:top w:val="nil" w:sz="6" w:space="0" w:color="auto"/>
              <w:left w:val="single" w:sz="4" w:space="0" w:color="000000"/>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202" w:type="dxa"/>
            <w:vMerge w:val="restart"/>
            <w:tcBorders>
              <w:top w:val="nil" w:sz="6" w:space="0" w:color="auto"/>
              <w:left w:val="single" w:sz="4" w:space="0" w:color="000000"/>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150" w:type="dxa"/>
            <w:vMerge w:val="restart"/>
            <w:tcBorders>
              <w:top w:val="nil" w:sz="6" w:space="0" w:color="auto"/>
              <w:left w:val="single" w:sz="4" w:space="0" w:color="000000"/>
              <w:right w:val="single" w:sz="4" w:space="0" w:color="000000"/>
            </w:tcBorders>
            <w:shd w:val="clear" w:color="auto" w:fill="D2D2D2"/>
          </w:tcPr>
          <w:p>
            <w:pPr/>
          </w:p>
        </w:tc>
        <w:tc>
          <w:tcPr>
            <w:tcW w:w="238" w:type="dxa"/>
            <w:vMerge/>
            <w:tcBorders>
              <w:left w:val="single" w:sz="4" w:space="0" w:color="000000"/>
              <w:bottom w:val="nil" w:sz="6" w:space="0" w:color="auto"/>
              <w:right w:val="single" w:sz="4" w:space="0" w:color="000000"/>
            </w:tcBorders>
            <w:shd w:val="clear" w:color="auto" w:fill="D2D2D2"/>
          </w:tcPr>
          <w:p>
            <w:pPr/>
          </w:p>
        </w:tc>
        <w:tc>
          <w:tcPr>
            <w:tcW w:w="1849" w:type="dxa"/>
            <w:vMerge w:val="restart"/>
            <w:tcBorders>
              <w:top w:val="nil" w:sz="6" w:space="0" w:color="auto"/>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312" w:hRule="exact"/>
        </w:trPr>
        <w:tc>
          <w:tcPr>
            <w:tcW w:w="574" w:type="dxa"/>
            <w:vMerge/>
            <w:tcBorders>
              <w:left w:val="single" w:sz="4" w:space="0" w:color="000000"/>
              <w:right w:val="single" w:sz="4" w:space="0" w:color="000000"/>
            </w:tcBorders>
            <w:shd w:val="clear" w:color="auto" w:fill="D2D2D2"/>
          </w:tcPr>
          <w:p>
            <w:pPr/>
          </w:p>
        </w:tc>
        <w:tc>
          <w:tcPr>
            <w:tcW w:w="1186" w:type="dxa"/>
            <w:vMerge/>
            <w:tcBorders>
              <w:left w:val="single" w:sz="4" w:space="0" w:color="000000"/>
              <w:right w:val="single" w:sz="4" w:space="0" w:color="000000"/>
            </w:tcBorders>
            <w:shd w:val="clear" w:color="auto" w:fill="D2D2D2"/>
          </w:tcPr>
          <w:p>
            <w:pPr/>
          </w:p>
        </w:tc>
        <w:tc>
          <w:tcPr>
            <w:tcW w:w="238" w:type="dxa"/>
            <w:vMerge/>
            <w:tcBorders>
              <w:left w:val="single" w:sz="4" w:space="0" w:color="000000"/>
              <w:bottom w:val="nil" w:sz="6" w:space="0" w:color="auto"/>
              <w:right w:val="single" w:sz="4" w:space="0" w:color="000000"/>
            </w:tcBorders>
            <w:shd w:val="clear" w:color="auto" w:fill="D2D2D2"/>
          </w:tcPr>
          <w:p>
            <w:pPr/>
          </w:p>
        </w:tc>
        <w:tc>
          <w:tcPr>
            <w:tcW w:w="235"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1001" w:type="dxa"/>
            <w:vMerge w:val="restart"/>
            <w:tcBorders>
              <w:top w:val="nil" w:sz="6" w:space="0" w:color="auto"/>
              <w:left w:val="single" w:sz="4" w:space="0" w:color="000000"/>
              <w:right w:val="single" w:sz="4" w:space="0" w:color="000000"/>
            </w:tcBorders>
            <w:shd w:val="clear" w:color="auto" w:fill="D2D2D2"/>
          </w:tcPr>
          <w:p>
            <w:pPr/>
          </w:p>
        </w:tc>
        <w:tc>
          <w:tcPr>
            <w:tcW w:w="238"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150" w:type="dxa"/>
            <w:vMerge/>
            <w:tcBorders>
              <w:left w:val="single" w:sz="4" w:space="0" w:color="000000"/>
              <w:right w:val="single" w:sz="4" w:space="0" w:color="000000"/>
            </w:tcBorders>
            <w:shd w:val="clear" w:color="auto" w:fill="D2D2D2"/>
          </w:tcPr>
          <w:p>
            <w:pPr/>
          </w:p>
        </w:tc>
        <w:tc>
          <w:tcPr>
            <w:tcW w:w="238" w:type="dxa"/>
            <w:vMerge w:val="restart"/>
            <w:tcBorders>
              <w:top w:val="nil" w:sz="6" w:space="0" w:color="auto"/>
              <w:left w:val="single" w:sz="4" w:space="0" w:color="000000"/>
              <w:right w:val="single" w:sz="4" w:space="0" w:color="000000"/>
            </w:tcBorders>
            <w:shd w:val="clear" w:color="auto" w:fill="D2D2D2"/>
          </w:tcPr>
          <w:p>
            <w:pPr/>
          </w:p>
        </w:tc>
        <w:tc>
          <w:tcPr>
            <w:tcW w:w="1849"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295" w:hRule="exact"/>
        </w:trPr>
        <w:tc>
          <w:tcPr>
            <w:tcW w:w="574" w:type="dxa"/>
            <w:vMerge/>
            <w:tcBorders>
              <w:left w:val="single" w:sz="4" w:space="0" w:color="000000"/>
              <w:bottom w:val="single" w:sz="4" w:space="0" w:color="000000"/>
              <w:right w:val="single" w:sz="4" w:space="0" w:color="000000"/>
            </w:tcBorders>
            <w:shd w:val="clear" w:color="auto" w:fill="D2D2D2"/>
          </w:tcPr>
          <w:p>
            <w:pPr/>
          </w:p>
        </w:tc>
        <w:tc>
          <w:tcPr>
            <w:tcW w:w="1186" w:type="dxa"/>
            <w:vMerge/>
            <w:tcBorders>
              <w:left w:val="single" w:sz="4" w:space="0" w:color="000000"/>
              <w:bottom w:val="single" w:sz="4" w:space="0" w:color="000000"/>
              <w:right w:val="single" w:sz="4" w:space="0" w:color="000000"/>
            </w:tcBorders>
            <w:shd w:val="clear" w:color="auto" w:fill="D2D2D2"/>
          </w:tcPr>
          <w:p>
            <w:pPr/>
          </w:p>
        </w:tc>
        <w:tc>
          <w:tcPr>
            <w:tcW w:w="23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2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238" w:type="dxa"/>
            <w:vMerge/>
            <w:tcBorders>
              <w:left w:val="single" w:sz="4" w:space="0" w:color="000000"/>
              <w:bottom w:val="single" w:sz="4" w:space="0" w:color="000000"/>
              <w:right w:val="single" w:sz="4" w:space="0" w:color="000000"/>
            </w:tcBorders>
            <w:shd w:val="clear" w:color="auto" w:fill="D2D2D2"/>
          </w:tcPr>
          <w:p>
            <w:pPr/>
          </w:p>
        </w:tc>
        <w:tc>
          <w:tcPr>
            <w:tcW w:w="1150" w:type="dxa"/>
            <w:vMerge/>
            <w:tcBorders>
              <w:left w:val="single" w:sz="4" w:space="0" w:color="000000"/>
              <w:bottom w:val="single" w:sz="4" w:space="0" w:color="000000"/>
              <w:right w:val="single" w:sz="4" w:space="0" w:color="000000"/>
            </w:tcBorders>
            <w:shd w:val="clear" w:color="auto" w:fill="D2D2D2"/>
          </w:tcPr>
          <w:p>
            <w:pPr/>
          </w:p>
        </w:tc>
        <w:tc>
          <w:tcPr>
            <w:tcW w:w="238" w:type="dxa"/>
            <w:vMerge/>
            <w:tcBorders>
              <w:left w:val="single" w:sz="4" w:space="0" w:color="000000"/>
              <w:bottom w:val="single" w:sz="4" w:space="0" w:color="000000"/>
              <w:right w:val="single" w:sz="4" w:space="0" w:color="000000"/>
            </w:tcBorders>
            <w:shd w:val="clear" w:color="auto" w:fill="D2D2D2"/>
          </w:tcPr>
          <w:p>
            <w:pPr/>
          </w:p>
        </w:tc>
        <w:tc>
          <w:tcPr>
            <w:tcW w:w="1849"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0"/>
              <w:jc w:val="both"/>
              <w:rPr>
                <w:rFonts w:ascii="宋体" w:hAnsi="宋体" w:cs="宋体" w:eastAsia="宋体" w:hint="default"/>
                <w:sz w:val="18"/>
                <w:szCs w:val="18"/>
              </w:rPr>
            </w:pPr>
            <w:r>
              <w:rPr>
                <w:rFonts w:ascii="宋体" w:hAnsi="宋体" w:cs="宋体" w:eastAsia="宋体" w:hint="default"/>
                <w:sz w:val="18"/>
                <w:szCs w:val="18"/>
              </w:rPr>
              <w:t>二、本 年期初 余额</w:t>
            </w:r>
          </w:p>
        </w:tc>
        <w:tc>
          <w:tcPr>
            <w:tcW w:w="11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711,226,578.00</w:t>
            </w: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154,587,824.25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258,987,182.74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29,874,024.00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7" w:right="0"/>
              <w:jc w:val="center"/>
              <w:rPr>
                <w:rFonts w:ascii="Times New Roman" w:hAnsi="Times New Roman" w:cs="Times New Roman" w:eastAsia="Times New Roman" w:hint="default"/>
                <w:sz w:val="18"/>
                <w:szCs w:val="18"/>
              </w:rPr>
            </w:pPr>
            <w:r>
              <w:rPr>
                <w:rFonts w:ascii="Times New Roman"/>
                <w:sz w:val="18"/>
              </w:rPr>
              <w:t>791,865.03</w:t>
            </w:r>
          </w:p>
        </w:tc>
        <w:tc>
          <w:tcPr>
            <w:tcW w:w="23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72,495,704.44</w:t>
            </w:r>
          </w:p>
        </w:tc>
        <w:tc>
          <w:tcPr>
            <w:tcW w:w="23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-37,342,199.04</w:t>
            </w:r>
          </w:p>
        </w:tc>
        <w:tc>
          <w:tcPr>
            <w:tcW w:w="23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1,130,872,931.42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32,725,604.41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1,163,598,535.83</w:t>
            </w:r>
          </w:p>
        </w:tc>
      </w:tr>
      <w:tr>
        <w:trPr>
          <w:trHeight w:val="2276" w:hRule="exact"/>
        </w:trPr>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三、本 期增减 变动金 额（减 少以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 填列）</w:t>
            </w:r>
          </w:p>
        </w:tc>
        <w:tc>
          <w:tcPr>
            <w:tcW w:w="11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27,164.00</w:t>
            </w: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-55,389.38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12,062,825.02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34,437,612.61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1,680,629.20</w:t>
            </w:r>
          </w:p>
        </w:tc>
        <w:tc>
          <w:tcPr>
            <w:tcW w:w="23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52,264,905.34</w:t>
            </w:r>
          </w:p>
        </w:tc>
        <w:tc>
          <w:tcPr>
            <w:tcW w:w="23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31,542,521.57</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-983,849.86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30,558,671.71</w:t>
            </w:r>
          </w:p>
        </w:tc>
      </w:tr>
      <w:tr>
        <w:trPr>
          <w:trHeight w:val="1025" w:hRule="exact"/>
        </w:trPr>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0"/>
              <w:jc w:val="both"/>
              <w:rPr>
                <w:rFonts w:ascii="宋体" w:hAnsi="宋体" w:cs="宋体" w:eastAsia="宋体" w:hint="default"/>
                <w:sz w:val="18"/>
                <w:szCs w:val="18"/>
              </w:rPr>
            </w:pPr>
            <w:r>
              <w:rPr>
                <w:rFonts w:ascii="宋体" w:hAnsi="宋体" w:cs="宋体" w:eastAsia="宋体" w:hint="default"/>
                <w:sz w:val="18"/>
                <w:szCs w:val="18"/>
              </w:rPr>
              <w:t>（一） 综合收 益总额</w:t>
            </w:r>
          </w:p>
        </w:tc>
        <w:tc>
          <w:tcPr>
            <w:tcW w:w="1186" w:type="dxa"/>
            <w:tcBorders>
              <w:top w:val="single" w:sz="4" w:space="0" w:color="000000"/>
              <w:left w:val="single" w:sz="10" w:space="0" w:color="D2D2D2"/>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1,680,629.20</w:t>
            </w:r>
          </w:p>
        </w:tc>
        <w:tc>
          <w:tcPr>
            <w:tcW w:w="23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52,264,905.34</w:t>
            </w:r>
          </w:p>
        </w:tc>
        <w:tc>
          <w:tcPr>
            <w:tcW w:w="23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53,945,534.54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537,569.40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54,483,103.94</w:t>
            </w:r>
          </w:p>
        </w:tc>
      </w:tr>
      <w:tr>
        <w:trPr>
          <w:trHeight w:val="1652" w:hRule="exact"/>
        </w:trPr>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（二） 所有者 投入和 减少资 本</w:t>
            </w:r>
          </w:p>
        </w:tc>
        <w:tc>
          <w:tcPr>
            <w:tcW w:w="11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27,164.00</w:t>
            </w: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-55,389.38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12,062,825.02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34,437,612.61</w:t>
            </w:r>
          </w:p>
        </w:tc>
        <w:tc>
          <w:tcPr>
            <w:tcW w:w="1001"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-22,403,012.97</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632,224.64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-21,770,788.33</w:t>
            </w:r>
          </w:p>
        </w:tc>
      </w:tr>
      <w:tr>
        <w:trPr>
          <w:trHeight w:val="674" w:hRule="exact"/>
        </w:trPr>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 w:right="10"/>
              <w:jc w:val="left"/>
              <w:rPr>
                <w:rFonts w:ascii="宋体" w:hAnsi="宋体" w:cs="宋体" w:eastAsia="宋体" w:hint="default"/>
                <w:sz w:val="18"/>
                <w:szCs w:val="18"/>
              </w:rPr>
            </w:pPr>
            <w:r>
              <w:rPr>
                <w:rFonts w:ascii="Times New Roman" w:hAnsi="Times New Roman" w:cs="Times New Roman" w:eastAsia="Times New Roman" w:hint="default"/>
                <w:spacing w:val="-23"/>
                <w:sz w:val="18"/>
                <w:szCs w:val="18"/>
              </w:rPr>
              <w:t>1</w:t>
            </w:r>
            <w:r>
              <w:rPr>
                <w:rFonts w:ascii="宋体" w:hAnsi="宋体" w:cs="宋体" w:eastAsia="宋体" w:hint="default"/>
                <w:spacing w:val="-23"/>
                <w:sz w:val="18"/>
                <w:szCs w:val="18"/>
              </w:rPr>
              <w:t>．所有</w:t>
            </w:r>
            <w:r>
              <w:rPr>
                <w:rFonts w:ascii="宋体" w:hAnsi="宋体" w:cs="宋体" w:eastAsia="宋体" w:hint="default"/>
                <w:sz w:val="18"/>
                <w:szCs w:val="18"/>
              </w:rPr>
              <w:t> 者投入</w:t>
            </w:r>
          </w:p>
        </w:tc>
        <w:tc>
          <w:tcPr>
            <w:tcW w:w="1186" w:type="dxa"/>
            <w:tcBorders>
              <w:top w:val="single" w:sz="4" w:space="0" w:color="000000"/>
              <w:left w:val="single" w:sz="10" w:space="0" w:color="D2D2D2"/>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48,002,514.61</w:t>
            </w:r>
          </w:p>
        </w:tc>
        <w:tc>
          <w:tcPr>
            <w:tcW w:w="1001"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-48,002,514.61</w:t>
            </w: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-48,002,514.61</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1300" w:right="1280"/>
        </w:sectPr>
      </w:pPr>
    </w:p>
    <w:p>
      <w:pPr>
        <w:spacing w:line="240" w:lineRule="auto" w:before="4"/>
        <w:rPr>
          <w:rFonts w:ascii="Times New Roman" w:hAnsi="Times New Roman" w:cs="Times New Roman" w:eastAsia="Times New Roman"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574"/>
        <w:gridCol w:w="1186"/>
        <w:gridCol w:w="238"/>
        <w:gridCol w:w="235"/>
        <w:gridCol w:w="1181"/>
        <w:gridCol w:w="1181"/>
        <w:gridCol w:w="1202"/>
        <w:gridCol w:w="1001"/>
        <w:gridCol w:w="238"/>
        <w:gridCol w:w="1090"/>
        <w:gridCol w:w="238"/>
        <w:gridCol w:w="1150"/>
        <w:gridCol w:w="238"/>
        <w:gridCol w:w="1849"/>
        <w:gridCol w:w="1090"/>
        <w:gridCol w:w="1318"/>
      </w:tblGrid>
      <w:tr>
        <w:trPr>
          <w:trHeight w:val="417" w:hRule="exact"/>
        </w:trPr>
        <w:tc>
          <w:tcPr>
            <w:tcW w:w="574" w:type="dxa"/>
            <w:vMerge w:val="restart"/>
            <w:tcBorders>
              <w:top w:val="single" w:sz="15" w:space="0" w:color="000000"/>
              <w:left w:val="single" w:sz="4" w:space="0" w:color="000000"/>
              <w:right w:val="single" w:sz="4" w:space="0" w:color="000000"/>
            </w:tcBorders>
            <w:shd w:val="clear" w:color="auto" w:fill="D2D2D2"/>
          </w:tcPr>
          <w:p>
            <w:pPr/>
          </w:p>
        </w:tc>
        <w:tc>
          <w:tcPr>
            <w:tcW w:w="13432" w:type="dxa"/>
            <w:gridSpan w:val="15"/>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574" w:type="dxa"/>
            <w:vMerge/>
            <w:tcBorders>
              <w:left w:val="single" w:sz="4" w:space="0" w:color="000000"/>
              <w:right w:val="single" w:sz="4" w:space="0" w:color="000000"/>
            </w:tcBorders>
            <w:shd w:val="clear" w:color="auto" w:fill="D2D2D2"/>
          </w:tcPr>
          <w:p>
            <w:pPr/>
          </w:p>
        </w:tc>
        <w:tc>
          <w:tcPr>
            <w:tcW w:w="1102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90" w:type="dxa"/>
            <w:vMerge w:val="restart"/>
            <w:tcBorders>
              <w:top w:val="single" w:sz="4" w:space="0" w:color="000000"/>
              <w:left w:val="single" w:sz="4" w:space="0" w:color="000000"/>
              <w:right w:val="single" w:sz="4" w:space="0" w:color="000000"/>
            </w:tcBorders>
            <w:shd w:val="clear" w:color="auto" w:fill="D2D2D2"/>
          </w:tcPr>
          <w:p>
            <w:pPr/>
          </w:p>
        </w:tc>
        <w:tc>
          <w:tcPr>
            <w:tcW w:w="1318" w:type="dxa"/>
            <w:vMerge w:val="restart"/>
            <w:tcBorders>
              <w:top w:val="single" w:sz="4" w:space="0" w:color="000000"/>
              <w:left w:val="single" w:sz="4" w:space="0" w:color="000000"/>
              <w:right w:val="single" w:sz="4" w:space="0" w:color="000000"/>
            </w:tcBorders>
            <w:shd w:val="clear" w:color="auto" w:fill="D2D2D2"/>
          </w:tcPr>
          <w:p>
            <w:pPr/>
          </w:p>
        </w:tc>
      </w:tr>
      <w:tr>
        <w:trPr>
          <w:trHeight w:val="352" w:hRule="exact"/>
        </w:trPr>
        <w:tc>
          <w:tcPr>
            <w:tcW w:w="574" w:type="dxa"/>
            <w:vMerge/>
            <w:tcBorders>
              <w:left w:val="single" w:sz="4" w:space="0" w:color="000000"/>
              <w:bottom w:val="nil" w:sz="6" w:space="0" w:color="auto"/>
              <w:right w:val="single" w:sz="4" w:space="0" w:color="000000"/>
            </w:tcBorders>
            <w:shd w:val="clear" w:color="auto" w:fill="D2D2D2"/>
          </w:tcPr>
          <w:p>
            <w:pPr/>
          </w:p>
        </w:tc>
        <w:tc>
          <w:tcPr>
            <w:tcW w:w="1186" w:type="dxa"/>
            <w:vMerge w:val="restart"/>
            <w:tcBorders>
              <w:top w:val="single" w:sz="4" w:space="0" w:color="000000"/>
              <w:left w:val="single" w:sz="4" w:space="0" w:color="000000"/>
              <w:right w:val="single" w:sz="4" w:space="0" w:color="000000"/>
            </w:tcBorders>
            <w:shd w:val="clear" w:color="auto" w:fill="D2D2D2"/>
          </w:tcPr>
          <w:p>
            <w:pPr/>
          </w:p>
        </w:tc>
        <w:tc>
          <w:tcPr>
            <w:tcW w:w="16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
        </w:tc>
        <w:tc>
          <w:tcPr>
            <w:tcW w:w="1001" w:type="dxa"/>
            <w:vMerge w:val="restart"/>
            <w:tcBorders>
              <w:top w:val="single" w:sz="4" w:space="0" w:color="000000"/>
              <w:left w:val="single" w:sz="4" w:space="0" w:color="000000"/>
              <w:right w:val="single" w:sz="4" w:space="0" w:color="000000"/>
            </w:tcBorders>
            <w:shd w:val="clear" w:color="auto" w:fill="D2D2D2"/>
          </w:tcPr>
          <w:p>
            <w:pPr/>
          </w:p>
        </w:tc>
        <w:tc>
          <w:tcPr>
            <w:tcW w:w="2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0" w:type="dxa"/>
            <w:vMerge w:val="restart"/>
            <w:tcBorders>
              <w:top w:val="single" w:sz="4" w:space="0" w:color="000000"/>
              <w:left w:val="single" w:sz="4" w:space="0" w:color="000000"/>
              <w:right w:val="single" w:sz="4" w:space="0" w:color="000000"/>
            </w:tcBorders>
            <w:shd w:val="clear" w:color="auto" w:fill="D2D2D2"/>
          </w:tcPr>
          <w:p>
            <w:pPr/>
          </w:p>
        </w:tc>
        <w:tc>
          <w:tcPr>
            <w:tcW w:w="23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4" w:right="23"/>
              <w:jc w:val="both"/>
              <w:rPr>
                <w:rFonts w:ascii="宋体" w:hAnsi="宋体" w:cs="宋体" w:eastAsia="宋体" w:hint="default"/>
                <w:sz w:val="18"/>
                <w:szCs w:val="18"/>
              </w:rPr>
            </w:pPr>
            <w:r>
              <w:rPr>
                <w:rFonts w:ascii="宋体" w:hAnsi="宋体" w:cs="宋体" w:eastAsia="宋体" w:hint="default"/>
                <w:sz w:val="18"/>
                <w:szCs w:val="18"/>
              </w:rPr>
              <w:t>一 般 风 险 准 备</w:t>
            </w:r>
          </w:p>
        </w:tc>
        <w:tc>
          <w:tcPr>
            <w:tcW w:w="1150" w:type="dxa"/>
            <w:vMerge w:val="restart"/>
            <w:tcBorders>
              <w:top w:val="single" w:sz="4" w:space="0" w:color="000000"/>
              <w:left w:val="single" w:sz="4" w:space="0" w:color="000000"/>
              <w:right w:val="single" w:sz="4" w:space="0" w:color="000000"/>
            </w:tcBorders>
            <w:shd w:val="clear" w:color="auto" w:fill="D2D2D2"/>
          </w:tcPr>
          <w:p>
            <w:pPr/>
          </w:p>
        </w:tc>
        <w:tc>
          <w:tcPr>
            <w:tcW w:w="238" w:type="dxa"/>
            <w:vMerge w:val="restart"/>
            <w:tcBorders>
              <w:top w:val="single" w:sz="4" w:space="0" w:color="000000"/>
              <w:left w:val="single" w:sz="4" w:space="0" w:color="000000"/>
              <w:right w:val="single" w:sz="4" w:space="0" w:color="000000"/>
            </w:tcBorders>
            <w:shd w:val="clear" w:color="auto" w:fill="D2D2D2"/>
          </w:tcPr>
          <w:p>
            <w:pPr/>
          </w:p>
        </w:tc>
        <w:tc>
          <w:tcPr>
            <w:tcW w:w="1849" w:type="dxa"/>
            <w:vMerge w:val="restart"/>
            <w:tcBorders>
              <w:top w:val="single" w:sz="4" w:space="0" w:color="000000"/>
              <w:left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205" w:hRule="exact"/>
        </w:trPr>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left="10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86" w:type="dxa"/>
            <w:vMerge/>
            <w:tcBorders>
              <w:left w:val="single" w:sz="4" w:space="0" w:color="000000"/>
              <w:right w:val="single" w:sz="4" w:space="0" w:color="000000"/>
            </w:tcBorders>
            <w:shd w:val="clear" w:color="auto" w:fill="D2D2D2"/>
          </w:tcPr>
          <w:p>
            <w:pPr/>
          </w:p>
        </w:tc>
        <w:tc>
          <w:tcPr>
            <w:tcW w:w="23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23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6"/>
              <w:ind w:left="24" w:right="23"/>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090" w:type="dxa"/>
            <w:vMerge/>
            <w:tcBorders>
              <w:left w:val="single" w:sz="4" w:space="0" w:color="000000"/>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150" w:type="dxa"/>
            <w:vMerge/>
            <w:tcBorders>
              <w:left w:val="single" w:sz="4" w:space="0" w:color="000000"/>
              <w:right w:val="single" w:sz="4" w:space="0" w:color="000000"/>
            </w:tcBorders>
            <w:shd w:val="clear" w:color="auto" w:fill="D2D2D2"/>
          </w:tcPr>
          <w:p>
            <w:pPr/>
          </w:p>
        </w:tc>
        <w:tc>
          <w:tcPr>
            <w:tcW w:w="238" w:type="dxa"/>
            <w:vMerge/>
            <w:tcBorders>
              <w:left w:val="single" w:sz="4" w:space="0" w:color="000000"/>
              <w:bottom w:val="nil" w:sz="6" w:space="0" w:color="auto"/>
              <w:right w:val="single" w:sz="4" w:space="0" w:color="000000"/>
            </w:tcBorders>
            <w:shd w:val="clear" w:color="auto" w:fill="D2D2D2"/>
          </w:tcPr>
          <w:p>
            <w:pPr/>
          </w:p>
        </w:tc>
        <w:tc>
          <w:tcPr>
            <w:tcW w:w="1849" w:type="dxa"/>
            <w:vMerge/>
            <w:tcBorders>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5"/>
              <w:ind w:left="448" w:right="89"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40" w:hRule="exact"/>
        </w:trPr>
        <w:tc>
          <w:tcPr>
            <w:tcW w:w="574" w:type="dxa"/>
            <w:vMerge/>
            <w:tcBorders>
              <w:left w:val="single" w:sz="4" w:space="0" w:color="000000"/>
              <w:bottom w:val="nil" w:sz="6" w:space="0" w:color="auto"/>
              <w:right w:val="single" w:sz="4" w:space="0" w:color="000000"/>
            </w:tcBorders>
            <w:shd w:val="clear" w:color="auto" w:fill="D2D2D2"/>
          </w:tcPr>
          <w:p>
            <w:pPr/>
          </w:p>
        </w:tc>
        <w:tc>
          <w:tcPr>
            <w:tcW w:w="1186" w:type="dxa"/>
            <w:vMerge/>
            <w:tcBorders>
              <w:left w:val="single" w:sz="4" w:space="0" w:color="000000"/>
              <w:bottom w:val="nil" w:sz="6" w:space="0" w:color="auto"/>
              <w:right w:val="single" w:sz="4" w:space="0" w:color="000000"/>
            </w:tcBorders>
            <w:shd w:val="clear" w:color="auto" w:fill="D2D2D2"/>
          </w:tcPr>
          <w:p>
            <w:pPr/>
          </w:p>
        </w:tc>
        <w:tc>
          <w:tcPr>
            <w:tcW w:w="23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6"/>
              <w:ind w:left="24" w:right="2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6"/>
              <w:ind w:left="21" w:right="23"/>
              <w:jc w:val="both"/>
              <w:rPr>
                <w:rFonts w:ascii="宋体" w:hAnsi="宋体" w:cs="宋体" w:eastAsia="宋体" w:hint="default"/>
                <w:sz w:val="18"/>
                <w:szCs w:val="18"/>
              </w:rPr>
            </w:pPr>
            <w:r>
              <w:rPr>
                <w:rFonts w:ascii="宋体" w:hAnsi="宋体" w:cs="宋体" w:eastAsia="宋体" w:hint="default"/>
                <w:sz w:val="18"/>
                <w:szCs w:val="18"/>
              </w:rPr>
              <w:t>永 续 债</w:t>
            </w:r>
          </w:p>
        </w:tc>
        <w:tc>
          <w:tcPr>
            <w:tcW w:w="118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bottom w:val="nil" w:sz="6" w:space="0" w:color="auto"/>
              <w:right w:val="single" w:sz="4" w:space="0" w:color="000000"/>
            </w:tcBorders>
            <w:shd w:val="clear" w:color="auto" w:fill="D2D2D2"/>
          </w:tcPr>
          <w:p>
            <w:pPr/>
          </w:p>
        </w:tc>
        <w:tc>
          <w:tcPr>
            <w:tcW w:w="1001"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405" w:right="43"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238"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150" w:type="dxa"/>
            <w:vMerge/>
            <w:tcBorders>
              <w:left w:val="single" w:sz="4" w:space="0" w:color="000000"/>
              <w:bottom w:val="nil" w:sz="6" w:space="0" w:color="auto"/>
              <w:right w:val="single" w:sz="4" w:space="0" w:color="000000"/>
            </w:tcBorders>
            <w:shd w:val="clear" w:color="auto" w:fill="D2D2D2"/>
          </w:tcPr>
          <w:p>
            <w:pPr/>
          </w:p>
        </w:tc>
        <w:tc>
          <w:tcPr>
            <w:tcW w:w="23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33"/>
              <w:ind w:left="24" w:right="23"/>
              <w:jc w:val="left"/>
              <w:rPr>
                <w:rFonts w:ascii="宋体" w:hAnsi="宋体" w:cs="宋体" w:eastAsia="宋体" w:hint="default"/>
                <w:sz w:val="18"/>
                <w:szCs w:val="18"/>
              </w:rPr>
            </w:pPr>
            <w:r>
              <w:rPr>
                <w:rFonts w:ascii="宋体" w:hAnsi="宋体" w:cs="宋体" w:eastAsia="宋体" w:hint="default"/>
                <w:sz w:val="18"/>
                <w:szCs w:val="18"/>
              </w:rPr>
              <w:t>其 他</w:t>
            </w:r>
          </w:p>
        </w:tc>
        <w:tc>
          <w:tcPr>
            <w:tcW w:w="1849"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4" w:hRule="exact"/>
        </w:trPr>
        <w:tc>
          <w:tcPr>
            <w:tcW w:w="574" w:type="dxa"/>
            <w:vMerge w:val="restart"/>
            <w:tcBorders>
              <w:top w:val="nil" w:sz="6" w:space="0" w:color="auto"/>
              <w:left w:val="single" w:sz="4" w:space="0" w:color="000000"/>
              <w:right w:val="single" w:sz="4" w:space="0" w:color="000000"/>
            </w:tcBorders>
            <w:shd w:val="clear" w:color="auto" w:fill="D2D2D2"/>
          </w:tcPr>
          <w:p>
            <w:pPr/>
          </w:p>
        </w:tc>
        <w:tc>
          <w:tcPr>
            <w:tcW w:w="11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38" w:type="dxa"/>
            <w:vMerge/>
            <w:tcBorders>
              <w:left w:val="single" w:sz="4" w:space="0" w:color="000000"/>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01" w:type="dxa"/>
            <w:vMerge/>
            <w:tcBorders>
              <w:left w:val="single" w:sz="4" w:space="0" w:color="000000"/>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38" w:type="dxa"/>
            <w:vMerge/>
            <w:tcBorders>
              <w:left w:val="single" w:sz="4" w:space="0" w:color="000000"/>
              <w:right w:val="single" w:sz="4" w:space="0" w:color="000000"/>
            </w:tcBorders>
            <w:shd w:val="clear" w:color="auto" w:fill="D2D2D2"/>
          </w:tcPr>
          <w:p>
            <w:pPr/>
          </w:p>
        </w:tc>
        <w:tc>
          <w:tcPr>
            <w:tcW w:w="11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38" w:type="dxa"/>
            <w:vMerge/>
            <w:tcBorders>
              <w:left w:val="single" w:sz="4" w:space="0" w:color="000000"/>
              <w:right w:val="single" w:sz="4" w:space="0" w:color="000000"/>
            </w:tcBorders>
            <w:shd w:val="clear" w:color="auto" w:fill="D2D2D2"/>
          </w:tcPr>
          <w:p>
            <w:pPr/>
          </w:p>
        </w:tc>
        <w:tc>
          <w:tcPr>
            <w:tcW w:w="18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小计</w:t>
            </w:r>
          </w:p>
        </w:tc>
        <w:tc>
          <w:tcPr>
            <w:tcW w:w="1090"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97" w:hRule="exact"/>
        </w:trPr>
        <w:tc>
          <w:tcPr>
            <w:tcW w:w="574" w:type="dxa"/>
            <w:vMerge/>
            <w:tcBorders>
              <w:left w:val="single" w:sz="4" w:space="0" w:color="000000"/>
              <w:right w:val="single" w:sz="4" w:space="0" w:color="000000"/>
            </w:tcBorders>
            <w:shd w:val="clear" w:color="auto" w:fill="D2D2D2"/>
          </w:tcPr>
          <w:p>
            <w:pPr/>
          </w:p>
        </w:tc>
        <w:tc>
          <w:tcPr>
            <w:tcW w:w="1186" w:type="dxa"/>
            <w:vMerge/>
            <w:tcBorders>
              <w:left w:val="single" w:sz="4" w:space="0" w:color="000000"/>
              <w:bottom w:val="nil" w:sz="6" w:space="0" w:color="auto"/>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bottom w:val="nil" w:sz="6" w:space="0" w:color="auto"/>
              <w:right w:val="single" w:sz="4" w:space="0" w:color="000000"/>
            </w:tcBorders>
            <w:shd w:val="clear" w:color="auto" w:fill="D2D2D2"/>
          </w:tcPr>
          <w:p>
            <w:pPr/>
          </w:p>
        </w:tc>
        <w:tc>
          <w:tcPr>
            <w:tcW w:w="1001" w:type="dxa"/>
            <w:vMerge/>
            <w:tcBorders>
              <w:left w:val="single" w:sz="4" w:space="0" w:color="000000"/>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150" w:type="dxa"/>
            <w:vMerge/>
            <w:tcBorders>
              <w:left w:val="single" w:sz="4" w:space="0" w:color="000000"/>
              <w:bottom w:val="nil" w:sz="6" w:space="0" w:color="auto"/>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849"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574" w:type="dxa"/>
            <w:vMerge/>
            <w:tcBorders>
              <w:left w:val="single" w:sz="4" w:space="0" w:color="000000"/>
              <w:right w:val="single" w:sz="4" w:space="0" w:color="000000"/>
            </w:tcBorders>
            <w:shd w:val="clear" w:color="auto" w:fill="D2D2D2"/>
          </w:tcPr>
          <w:p>
            <w:pPr/>
          </w:p>
        </w:tc>
        <w:tc>
          <w:tcPr>
            <w:tcW w:w="1186" w:type="dxa"/>
            <w:vMerge w:val="restart"/>
            <w:tcBorders>
              <w:top w:val="nil" w:sz="6" w:space="0" w:color="auto"/>
              <w:left w:val="single" w:sz="4" w:space="0" w:color="000000"/>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202" w:type="dxa"/>
            <w:vMerge w:val="restart"/>
            <w:tcBorders>
              <w:top w:val="nil" w:sz="6" w:space="0" w:color="auto"/>
              <w:left w:val="single" w:sz="4" w:space="0" w:color="000000"/>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150" w:type="dxa"/>
            <w:vMerge w:val="restart"/>
            <w:tcBorders>
              <w:top w:val="nil" w:sz="6" w:space="0" w:color="auto"/>
              <w:left w:val="single" w:sz="4" w:space="0" w:color="000000"/>
              <w:right w:val="single" w:sz="4" w:space="0" w:color="000000"/>
            </w:tcBorders>
            <w:shd w:val="clear" w:color="auto" w:fill="D2D2D2"/>
          </w:tcPr>
          <w:p>
            <w:pPr/>
          </w:p>
        </w:tc>
        <w:tc>
          <w:tcPr>
            <w:tcW w:w="238" w:type="dxa"/>
            <w:vMerge/>
            <w:tcBorders>
              <w:left w:val="single" w:sz="4" w:space="0" w:color="000000"/>
              <w:bottom w:val="nil" w:sz="6" w:space="0" w:color="auto"/>
              <w:right w:val="single" w:sz="4" w:space="0" w:color="000000"/>
            </w:tcBorders>
            <w:shd w:val="clear" w:color="auto" w:fill="D2D2D2"/>
          </w:tcPr>
          <w:p>
            <w:pPr/>
          </w:p>
        </w:tc>
        <w:tc>
          <w:tcPr>
            <w:tcW w:w="1849" w:type="dxa"/>
            <w:vMerge w:val="restart"/>
            <w:tcBorders>
              <w:top w:val="nil" w:sz="6" w:space="0" w:color="auto"/>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312" w:hRule="exact"/>
        </w:trPr>
        <w:tc>
          <w:tcPr>
            <w:tcW w:w="574" w:type="dxa"/>
            <w:vMerge/>
            <w:tcBorders>
              <w:left w:val="single" w:sz="4" w:space="0" w:color="000000"/>
              <w:right w:val="single" w:sz="4" w:space="0" w:color="000000"/>
            </w:tcBorders>
            <w:shd w:val="clear" w:color="auto" w:fill="D2D2D2"/>
          </w:tcPr>
          <w:p>
            <w:pPr/>
          </w:p>
        </w:tc>
        <w:tc>
          <w:tcPr>
            <w:tcW w:w="1186" w:type="dxa"/>
            <w:vMerge/>
            <w:tcBorders>
              <w:left w:val="single" w:sz="4" w:space="0" w:color="000000"/>
              <w:right w:val="single" w:sz="4" w:space="0" w:color="000000"/>
            </w:tcBorders>
            <w:shd w:val="clear" w:color="auto" w:fill="D2D2D2"/>
          </w:tcPr>
          <w:p>
            <w:pPr/>
          </w:p>
        </w:tc>
        <w:tc>
          <w:tcPr>
            <w:tcW w:w="238" w:type="dxa"/>
            <w:vMerge/>
            <w:tcBorders>
              <w:left w:val="single" w:sz="4" w:space="0" w:color="000000"/>
              <w:bottom w:val="nil" w:sz="6" w:space="0" w:color="auto"/>
              <w:right w:val="single" w:sz="4" w:space="0" w:color="000000"/>
            </w:tcBorders>
            <w:shd w:val="clear" w:color="auto" w:fill="D2D2D2"/>
          </w:tcPr>
          <w:p>
            <w:pPr/>
          </w:p>
        </w:tc>
        <w:tc>
          <w:tcPr>
            <w:tcW w:w="235"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1001" w:type="dxa"/>
            <w:vMerge w:val="restart"/>
            <w:tcBorders>
              <w:top w:val="nil" w:sz="6" w:space="0" w:color="auto"/>
              <w:left w:val="single" w:sz="4" w:space="0" w:color="000000"/>
              <w:right w:val="single" w:sz="4" w:space="0" w:color="000000"/>
            </w:tcBorders>
            <w:shd w:val="clear" w:color="auto" w:fill="D2D2D2"/>
          </w:tcPr>
          <w:p>
            <w:pPr/>
          </w:p>
        </w:tc>
        <w:tc>
          <w:tcPr>
            <w:tcW w:w="238"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150" w:type="dxa"/>
            <w:vMerge/>
            <w:tcBorders>
              <w:left w:val="single" w:sz="4" w:space="0" w:color="000000"/>
              <w:right w:val="single" w:sz="4" w:space="0" w:color="000000"/>
            </w:tcBorders>
            <w:shd w:val="clear" w:color="auto" w:fill="D2D2D2"/>
          </w:tcPr>
          <w:p>
            <w:pPr/>
          </w:p>
        </w:tc>
        <w:tc>
          <w:tcPr>
            <w:tcW w:w="238" w:type="dxa"/>
            <w:vMerge w:val="restart"/>
            <w:tcBorders>
              <w:top w:val="nil" w:sz="6" w:space="0" w:color="auto"/>
              <w:left w:val="single" w:sz="4" w:space="0" w:color="000000"/>
              <w:right w:val="single" w:sz="4" w:space="0" w:color="000000"/>
            </w:tcBorders>
            <w:shd w:val="clear" w:color="auto" w:fill="D2D2D2"/>
          </w:tcPr>
          <w:p>
            <w:pPr/>
          </w:p>
        </w:tc>
        <w:tc>
          <w:tcPr>
            <w:tcW w:w="1849"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295" w:hRule="exact"/>
        </w:trPr>
        <w:tc>
          <w:tcPr>
            <w:tcW w:w="574" w:type="dxa"/>
            <w:vMerge/>
            <w:tcBorders>
              <w:left w:val="single" w:sz="4" w:space="0" w:color="000000"/>
              <w:bottom w:val="single" w:sz="4" w:space="0" w:color="000000"/>
              <w:right w:val="single" w:sz="4" w:space="0" w:color="000000"/>
            </w:tcBorders>
            <w:shd w:val="clear" w:color="auto" w:fill="D2D2D2"/>
          </w:tcPr>
          <w:p>
            <w:pPr/>
          </w:p>
        </w:tc>
        <w:tc>
          <w:tcPr>
            <w:tcW w:w="1186" w:type="dxa"/>
            <w:vMerge/>
            <w:tcBorders>
              <w:left w:val="single" w:sz="4" w:space="0" w:color="000000"/>
              <w:bottom w:val="single" w:sz="4" w:space="0" w:color="000000"/>
              <w:right w:val="single" w:sz="4" w:space="0" w:color="000000"/>
            </w:tcBorders>
            <w:shd w:val="clear" w:color="auto" w:fill="D2D2D2"/>
          </w:tcPr>
          <w:p>
            <w:pPr/>
          </w:p>
        </w:tc>
        <w:tc>
          <w:tcPr>
            <w:tcW w:w="23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2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238" w:type="dxa"/>
            <w:vMerge/>
            <w:tcBorders>
              <w:left w:val="single" w:sz="4" w:space="0" w:color="000000"/>
              <w:bottom w:val="single" w:sz="4" w:space="0" w:color="000000"/>
              <w:right w:val="single" w:sz="4" w:space="0" w:color="000000"/>
            </w:tcBorders>
            <w:shd w:val="clear" w:color="auto" w:fill="D2D2D2"/>
          </w:tcPr>
          <w:p>
            <w:pPr/>
          </w:p>
        </w:tc>
        <w:tc>
          <w:tcPr>
            <w:tcW w:w="1150" w:type="dxa"/>
            <w:vMerge/>
            <w:tcBorders>
              <w:left w:val="single" w:sz="4" w:space="0" w:color="000000"/>
              <w:bottom w:val="single" w:sz="4" w:space="0" w:color="000000"/>
              <w:right w:val="single" w:sz="4" w:space="0" w:color="000000"/>
            </w:tcBorders>
            <w:shd w:val="clear" w:color="auto" w:fill="D2D2D2"/>
          </w:tcPr>
          <w:p>
            <w:pPr/>
          </w:p>
        </w:tc>
        <w:tc>
          <w:tcPr>
            <w:tcW w:w="238" w:type="dxa"/>
            <w:vMerge/>
            <w:tcBorders>
              <w:left w:val="single" w:sz="4" w:space="0" w:color="000000"/>
              <w:bottom w:val="single" w:sz="4" w:space="0" w:color="000000"/>
              <w:right w:val="single" w:sz="4" w:space="0" w:color="000000"/>
            </w:tcBorders>
            <w:shd w:val="clear" w:color="auto" w:fill="D2D2D2"/>
          </w:tcPr>
          <w:p>
            <w:pPr/>
          </w:p>
        </w:tc>
        <w:tc>
          <w:tcPr>
            <w:tcW w:w="1849"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674" w:hRule="exact"/>
        </w:trPr>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1" w:right="10"/>
              <w:jc w:val="left"/>
              <w:rPr>
                <w:rFonts w:ascii="宋体" w:hAnsi="宋体" w:cs="宋体" w:eastAsia="宋体" w:hint="default"/>
                <w:sz w:val="18"/>
                <w:szCs w:val="18"/>
              </w:rPr>
            </w:pPr>
            <w:r>
              <w:rPr>
                <w:rFonts w:ascii="宋体" w:hAnsi="宋体" w:cs="宋体" w:eastAsia="宋体" w:hint="default"/>
                <w:sz w:val="18"/>
                <w:szCs w:val="18"/>
              </w:rPr>
              <w:t>的普通 股</w:t>
            </w:r>
          </w:p>
        </w:tc>
        <w:tc>
          <w:tcPr>
            <w:tcW w:w="1186" w:type="dxa"/>
            <w:tcBorders>
              <w:top w:val="single" w:sz="4" w:space="0" w:color="000000"/>
              <w:left w:val="single" w:sz="10" w:space="0" w:color="D2D2D2"/>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 w:right="10"/>
              <w:jc w:val="both"/>
              <w:rPr>
                <w:rFonts w:ascii="宋体" w:hAnsi="宋体" w:cs="宋体" w:eastAsia="宋体" w:hint="default"/>
                <w:sz w:val="18"/>
                <w:szCs w:val="18"/>
              </w:rPr>
            </w:pPr>
            <w:r>
              <w:rPr>
                <w:rFonts w:ascii="Times New Roman" w:hAnsi="Times New Roman" w:cs="Times New Roman" w:eastAsia="Times New Roman" w:hint="default"/>
                <w:spacing w:val="-23"/>
                <w:sz w:val="18"/>
                <w:szCs w:val="18"/>
              </w:rPr>
              <w:t>2</w:t>
            </w:r>
            <w:r>
              <w:rPr>
                <w:rFonts w:ascii="宋体" w:hAnsi="宋体" w:cs="宋体" w:eastAsia="宋体" w:hint="default"/>
                <w:spacing w:val="-23"/>
                <w:sz w:val="18"/>
                <w:szCs w:val="18"/>
              </w:rPr>
              <w:t>．其他</w:t>
            </w:r>
            <w:r>
              <w:rPr>
                <w:rFonts w:ascii="宋体" w:hAnsi="宋体" w:cs="宋体" w:eastAsia="宋体" w:hint="default"/>
                <w:sz w:val="18"/>
                <w:szCs w:val="18"/>
              </w:rPr>
              <w:t> 权益工 具持有 者投入 资本</w:t>
            </w:r>
          </w:p>
        </w:tc>
        <w:tc>
          <w:tcPr>
            <w:tcW w:w="11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24" w:right="0"/>
              <w:jc w:val="left"/>
              <w:rPr>
                <w:rFonts w:ascii="Times New Roman" w:hAnsi="Times New Roman" w:cs="Times New Roman" w:eastAsia="Times New Roman" w:hint="default"/>
                <w:sz w:val="18"/>
                <w:szCs w:val="18"/>
              </w:rPr>
            </w:pPr>
            <w:r>
              <w:rPr>
                <w:rFonts w:ascii="Times New Roman"/>
                <w:sz w:val="18"/>
              </w:rPr>
              <w:t>27,164.00</w:t>
            </w: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-55,389.38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295,916.52</w:t>
            </w:r>
          </w:p>
        </w:tc>
        <w:tc>
          <w:tcPr>
            <w:tcW w:w="120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267,691.14</w:t>
            </w: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267,691.14</w:t>
            </w:r>
          </w:p>
        </w:tc>
      </w:tr>
      <w:tr>
        <w:trPr>
          <w:trHeight w:val="1652" w:hRule="exact"/>
        </w:trPr>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 w:right="10"/>
              <w:jc w:val="both"/>
              <w:rPr>
                <w:rFonts w:ascii="宋体" w:hAnsi="宋体" w:cs="宋体" w:eastAsia="宋体" w:hint="default"/>
                <w:sz w:val="18"/>
                <w:szCs w:val="18"/>
              </w:rPr>
            </w:pPr>
            <w:r>
              <w:rPr>
                <w:rFonts w:ascii="Times New Roman" w:hAnsi="Times New Roman" w:cs="Times New Roman" w:eastAsia="Times New Roman" w:hint="default"/>
                <w:spacing w:val="-23"/>
                <w:sz w:val="18"/>
                <w:szCs w:val="18"/>
              </w:rPr>
              <w:t>3</w:t>
            </w:r>
            <w:r>
              <w:rPr>
                <w:rFonts w:ascii="宋体" w:hAnsi="宋体" w:cs="宋体" w:eastAsia="宋体" w:hint="default"/>
                <w:spacing w:val="-23"/>
                <w:sz w:val="18"/>
                <w:szCs w:val="18"/>
              </w:rPr>
              <w:t>．股份</w:t>
            </w:r>
            <w:r>
              <w:rPr>
                <w:rFonts w:ascii="宋体" w:hAnsi="宋体" w:cs="宋体" w:eastAsia="宋体" w:hint="default"/>
                <w:sz w:val="18"/>
                <w:szCs w:val="18"/>
              </w:rPr>
              <w:t> 支付计 入所有 者权益 的金额</w:t>
            </w:r>
          </w:p>
        </w:tc>
        <w:tc>
          <w:tcPr>
            <w:tcW w:w="1186" w:type="dxa"/>
            <w:tcBorders>
              <w:top w:val="single" w:sz="4" w:space="0" w:color="000000"/>
              <w:left w:val="single" w:sz="10" w:space="0" w:color="D2D2D2"/>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11,766,908.50</w:t>
            </w:r>
          </w:p>
        </w:tc>
        <w:tc>
          <w:tcPr>
            <w:tcW w:w="120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11,766,908.50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11,766,908.50</w:t>
            </w:r>
          </w:p>
        </w:tc>
      </w:tr>
      <w:tr>
        <w:trPr>
          <w:trHeight w:val="401" w:hRule="exact"/>
        </w:trPr>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92"/>
                <w:sz w:val="18"/>
                <w:szCs w:val="18"/>
              </w:rPr>
              <w:t>．</w:t>
            </w:r>
            <w:r>
              <w:rPr>
                <w:rFonts w:ascii="宋体" w:hAnsi="宋体" w:cs="宋体" w:eastAsia="宋体" w:hint="default"/>
                <w:sz w:val="18"/>
                <w:szCs w:val="18"/>
              </w:rPr>
              <w:t>其他</w:t>
            </w:r>
          </w:p>
        </w:tc>
        <w:tc>
          <w:tcPr>
            <w:tcW w:w="1186" w:type="dxa"/>
            <w:tcBorders>
              <w:top w:val="single" w:sz="4" w:space="0" w:color="000000"/>
              <w:left w:val="single" w:sz="10" w:space="0" w:color="D2D2D2"/>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-13,564,902.00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13,564,902.00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632,224.64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14,197,126.64</w:t>
            </w:r>
          </w:p>
        </w:tc>
      </w:tr>
      <w:tr>
        <w:trPr>
          <w:trHeight w:val="1028" w:hRule="exact"/>
        </w:trPr>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 w:right="10"/>
              <w:jc w:val="both"/>
              <w:rPr>
                <w:rFonts w:ascii="宋体" w:hAnsi="宋体" w:cs="宋体" w:eastAsia="宋体" w:hint="default"/>
                <w:sz w:val="18"/>
                <w:szCs w:val="18"/>
              </w:rPr>
            </w:pPr>
            <w:r>
              <w:rPr>
                <w:rFonts w:ascii="宋体" w:hAnsi="宋体" w:cs="宋体" w:eastAsia="宋体" w:hint="default"/>
                <w:sz w:val="18"/>
                <w:szCs w:val="18"/>
              </w:rPr>
              <w:t>（三） 利润分 配</w:t>
            </w:r>
          </w:p>
        </w:tc>
        <w:tc>
          <w:tcPr>
            <w:tcW w:w="1186" w:type="dxa"/>
            <w:tcBorders>
              <w:top w:val="single" w:sz="4" w:space="0" w:color="000000"/>
              <w:left w:val="single" w:sz="10" w:space="0" w:color="D2D2D2"/>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-2,153,643.90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-2,153,643.90</w:t>
            </w:r>
          </w:p>
        </w:tc>
      </w:tr>
      <w:tr>
        <w:trPr>
          <w:trHeight w:val="1025" w:hRule="exact"/>
        </w:trPr>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1" w:right="10"/>
              <w:jc w:val="both"/>
              <w:rPr>
                <w:rFonts w:ascii="宋体" w:hAnsi="宋体" w:cs="宋体" w:eastAsia="宋体" w:hint="default"/>
                <w:sz w:val="18"/>
                <w:szCs w:val="18"/>
              </w:rPr>
            </w:pPr>
            <w:r>
              <w:rPr>
                <w:rFonts w:ascii="Times New Roman" w:hAnsi="Times New Roman" w:cs="Times New Roman" w:eastAsia="Times New Roman" w:hint="default"/>
                <w:spacing w:val="-23"/>
                <w:sz w:val="18"/>
                <w:szCs w:val="18"/>
              </w:rPr>
              <w:t>1</w:t>
            </w:r>
            <w:r>
              <w:rPr>
                <w:rFonts w:ascii="宋体" w:hAnsi="宋体" w:cs="宋体" w:eastAsia="宋体" w:hint="default"/>
                <w:spacing w:val="-23"/>
                <w:sz w:val="18"/>
                <w:szCs w:val="18"/>
              </w:rPr>
              <w:t>．提取</w:t>
            </w:r>
            <w:r>
              <w:rPr>
                <w:rFonts w:ascii="宋体" w:hAnsi="宋体" w:cs="宋体" w:eastAsia="宋体" w:hint="default"/>
                <w:sz w:val="18"/>
                <w:szCs w:val="18"/>
              </w:rPr>
              <w:t> 盈余公 积</w:t>
            </w:r>
          </w:p>
        </w:tc>
        <w:tc>
          <w:tcPr>
            <w:tcW w:w="1186" w:type="dxa"/>
            <w:tcBorders>
              <w:top w:val="single" w:sz="4" w:space="0" w:color="000000"/>
              <w:left w:val="single" w:sz="10" w:space="0" w:color="D2D2D2"/>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00" w:right="1280"/>
        </w:sectPr>
      </w:pPr>
    </w:p>
    <w:p>
      <w:pPr>
        <w:spacing w:line="240" w:lineRule="auto" w:before="5"/>
        <w:rPr>
          <w:rFonts w:ascii="Times New Roman" w:hAnsi="Times New Roman" w:cs="Times New Roman" w:eastAsia="Times New Roman"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574"/>
        <w:gridCol w:w="1186"/>
        <w:gridCol w:w="238"/>
        <w:gridCol w:w="235"/>
        <w:gridCol w:w="1181"/>
        <w:gridCol w:w="1181"/>
        <w:gridCol w:w="1202"/>
        <w:gridCol w:w="1001"/>
        <w:gridCol w:w="238"/>
        <w:gridCol w:w="1090"/>
        <w:gridCol w:w="238"/>
        <w:gridCol w:w="1150"/>
        <w:gridCol w:w="238"/>
        <w:gridCol w:w="1849"/>
        <w:gridCol w:w="1090"/>
        <w:gridCol w:w="1318"/>
      </w:tblGrid>
      <w:tr>
        <w:trPr>
          <w:trHeight w:val="417" w:hRule="exact"/>
        </w:trPr>
        <w:tc>
          <w:tcPr>
            <w:tcW w:w="574" w:type="dxa"/>
            <w:vMerge w:val="restart"/>
            <w:tcBorders>
              <w:top w:val="single" w:sz="15" w:space="0" w:color="000000"/>
              <w:left w:val="single" w:sz="4" w:space="0" w:color="000000"/>
              <w:right w:val="single" w:sz="4" w:space="0" w:color="000000"/>
            </w:tcBorders>
            <w:shd w:val="clear" w:color="auto" w:fill="D2D2D2"/>
          </w:tcPr>
          <w:p>
            <w:pPr/>
          </w:p>
        </w:tc>
        <w:tc>
          <w:tcPr>
            <w:tcW w:w="13432" w:type="dxa"/>
            <w:gridSpan w:val="15"/>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574" w:type="dxa"/>
            <w:vMerge/>
            <w:tcBorders>
              <w:left w:val="single" w:sz="4" w:space="0" w:color="000000"/>
              <w:right w:val="single" w:sz="4" w:space="0" w:color="000000"/>
            </w:tcBorders>
            <w:shd w:val="clear" w:color="auto" w:fill="D2D2D2"/>
          </w:tcPr>
          <w:p>
            <w:pPr/>
          </w:p>
        </w:tc>
        <w:tc>
          <w:tcPr>
            <w:tcW w:w="1102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90" w:type="dxa"/>
            <w:vMerge w:val="restart"/>
            <w:tcBorders>
              <w:top w:val="single" w:sz="4" w:space="0" w:color="000000"/>
              <w:left w:val="single" w:sz="4" w:space="0" w:color="000000"/>
              <w:right w:val="single" w:sz="4" w:space="0" w:color="000000"/>
            </w:tcBorders>
            <w:shd w:val="clear" w:color="auto" w:fill="D2D2D2"/>
          </w:tcPr>
          <w:p>
            <w:pPr/>
          </w:p>
        </w:tc>
        <w:tc>
          <w:tcPr>
            <w:tcW w:w="1318" w:type="dxa"/>
            <w:vMerge w:val="restart"/>
            <w:tcBorders>
              <w:top w:val="single" w:sz="4" w:space="0" w:color="000000"/>
              <w:left w:val="single" w:sz="4" w:space="0" w:color="000000"/>
              <w:right w:val="single" w:sz="4" w:space="0" w:color="000000"/>
            </w:tcBorders>
            <w:shd w:val="clear" w:color="auto" w:fill="D2D2D2"/>
          </w:tcPr>
          <w:p>
            <w:pPr/>
          </w:p>
        </w:tc>
      </w:tr>
      <w:tr>
        <w:trPr>
          <w:trHeight w:val="352" w:hRule="exact"/>
        </w:trPr>
        <w:tc>
          <w:tcPr>
            <w:tcW w:w="574" w:type="dxa"/>
            <w:vMerge/>
            <w:tcBorders>
              <w:left w:val="single" w:sz="4" w:space="0" w:color="000000"/>
              <w:bottom w:val="nil" w:sz="6" w:space="0" w:color="auto"/>
              <w:right w:val="single" w:sz="4" w:space="0" w:color="000000"/>
            </w:tcBorders>
            <w:shd w:val="clear" w:color="auto" w:fill="D2D2D2"/>
          </w:tcPr>
          <w:p>
            <w:pPr/>
          </w:p>
        </w:tc>
        <w:tc>
          <w:tcPr>
            <w:tcW w:w="1186" w:type="dxa"/>
            <w:vMerge w:val="restart"/>
            <w:tcBorders>
              <w:top w:val="single" w:sz="4" w:space="0" w:color="000000"/>
              <w:left w:val="single" w:sz="4" w:space="0" w:color="000000"/>
              <w:right w:val="single" w:sz="4" w:space="0" w:color="000000"/>
            </w:tcBorders>
            <w:shd w:val="clear" w:color="auto" w:fill="D2D2D2"/>
          </w:tcPr>
          <w:p>
            <w:pPr/>
          </w:p>
        </w:tc>
        <w:tc>
          <w:tcPr>
            <w:tcW w:w="16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8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
        </w:tc>
        <w:tc>
          <w:tcPr>
            <w:tcW w:w="1001" w:type="dxa"/>
            <w:vMerge w:val="restart"/>
            <w:tcBorders>
              <w:top w:val="single" w:sz="4" w:space="0" w:color="000000"/>
              <w:left w:val="single" w:sz="4" w:space="0" w:color="000000"/>
              <w:right w:val="single" w:sz="4" w:space="0" w:color="000000"/>
            </w:tcBorders>
            <w:shd w:val="clear" w:color="auto" w:fill="D2D2D2"/>
          </w:tcPr>
          <w:p>
            <w:pPr/>
          </w:p>
        </w:tc>
        <w:tc>
          <w:tcPr>
            <w:tcW w:w="2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0" w:type="dxa"/>
            <w:vMerge w:val="restart"/>
            <w:tcBorders>
              <w:top w:val="single" w:sz="4" w:space="0" w:color="000000"/>
              <w:left w:val="single" w:sz="4" w:space="0" w:color="000000"/>
              <w:right w:val="single" w:sz="4" w:space="0" w:color="000000"/>
            </w:tcBorders>
            <w:shd w:val="clear" w:color="auto" w:fill="D2D2D2"/>
          </w:tcPr>
          <w:p>
            <w:pPr/>
          </w:p>
        </w:tc>
        <w:tc>
          <w:tcPr>
            <w:tcW w:w="23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1"/>
              <w:ind w:left="24" w:right="23"/>
              <w:jc w:val="both"/>
              <w:rPr>
                <w:rFonts w:ascii="宋体" w:hAnsi="宋体" w:cs="宋体" w:eastAsia="宋体" w:hint="default"/>
                <w:sz w:val="18"/>
                <w:szCs w:val="18"/>
              </w:rPr>
            </w:pPr>
            <w:r>
              <w:rPr>
                <w:rFonts w:ascii="宋体" w:hAnsi="宋体" w:cs="宋体" w:eastAsia="宋体" w:hint="default"/>
                <w:sz w:val="18"/>
                <w:szCs w:val="18"/>
              </w:rPr>
              <w:t>一 般 风 险 准 备</w:t>
            </w:r>
          </w:p>
        </w:tc>
        <w:tc>
          <w:tcPr>
            <w:tcW w:w="1150" w:type="dxa"/>
            <w:vMerge w:val="restart"/>
            <w:tcBorders>
              <w:top w:val="single" w:sz="4" w:space="0" w:color="000000"/>
              <w:left w:val="single" w:sz="4" w:space="0" w:color="000000"/>
              <w:right w:val="single" w:sz="4" w:space="0" w:color="000000"/>
            </w:tcBorders>
            <w:shd w:val="clear" w:color="auto" w:fill="D2D2D2"/>
          </w:tcPr>
          <w:p>
            <w:pPr/>
          </w:p>
        </w:tc>
        <w:tc>
          <w:tcPr>
            <w:tcW w:w="238" w:type="dxa"/>
            <w:vMerge w:val="restart"/>
            <w:tcBorders>
              <w:top w:val="single" w:sz="4" w:space="0" w:color="000000"/>
              <w:left w:val="single" w:sz="4" w:space="0" w:color="000000"/>
              <w:right w:val="single" w:sz="4" w:space="0" w:color="000000"/>
            </w:tcBorders>
            <w:shd w:val="clear" w:color="auto" w:fill="D2D2D2"/>
          </w:tcPr>
          <w:p>
            <w:pPr/>
          </w:p>
        </w:tc>
        <w:tc>
          <w:tcPr>
            <w:tcW w:w="1849" w:type="dxa"/>
            <w:vMerge w:val="restart"/>
            <w:tcBorders>
              <w:top w:val="single" w:sz="4" w:space="0" w:color="000000"/>
              <w:left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205" w:hRule="exact"/>
        </w:trPr>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5"/>
              <w:ind w:left="10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86" w:type="dxa"/>
            <w:vMerge/>
            <w:tcBorders>
              <w:left w:val="single" w:sz="4" w:space="0" w:color="000000"/>
              <w:right w:val="single" w:sz="4" w:space="0" w:color="000000"/>
            </w:tcBorders>
            <w:shd w:val="clear" w:color="auto" w:fill="D2D2D2"/>
          </w:tcPr>
          <w:p>
            <w:pPr/>
          </w:p>
        </w:tc>
        <w:tc>
          <w:tcPr>
            <w:tcW w:w="23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23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26"/>
              <w:ind w:left="24" w:right="23"/>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090" w:type="dxa"/>
            <w:vMerge/>
            <w:tcBorders>
              <w:left w:val="single" w:sz="4" w:space="0" w:color="000000"/>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150" w:type="dxa"/>
            <w:vMerge/>
            <w:tcBorders>
              <w:left w:val="single" w:sz="4" w:space="0" w:color="000000"/>
              <w:right w:val="single" w:sz="4" w:space="0" w:color="000000"/>
            </w:tcBorders>
            <w:shd w:val="clear" w:color="auto" w:fill="D2D2D2"/>
          </w:tcPr>
          <w:p>
            <w:pPr/>
          </w:p>
        </w:tc>
        <w:tc>
          <w:tcPr>
            <w:tcW w:w="238" w:type="dxa"/>
            <w:vMerge/>
            <w:tcBorders>
              <w:left w:val="single" w:sz="4" w:space="0" w:color="000000"/>
              <w:bottom w:val="nil" w:sz="6" w:space="0" w:color="auto"/>
              <w:right w:val="single" w:sz="4" w:space="0" w:color="000000"/>
            </w:tcBorders>
            <w:shd w:val="clear" w:color="auto" w:fill="D2D2D2"/>
          </w:tcPr>
          <w:p>
            <w:pPr/>
          </w:p>
        </w:tc>
        <w:tc>
          <w:tcPr>
            <w:tcW w:w="1849" w:type="dxa"/>
            <w:vMerge/>
            <w:tcBorders>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4"/>
              <w:ind w:left="448" w:right="89"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40" w:hRule="exact"/>
        </w:trPr>
        <w:tc>
          <w:tcPr>
            <w:tcW w:w="574" w:type="dxa"/>
            <w:vMerge/>
            <w:tcBorders>
              <w:left w:val="single" w:sz="4" w:space="0" w:color="000000"/>
              <w:bottom w:val="nil" w:sz="6" w:space="0" w:color="auto"/>
              <w:right w:val="single" w:sz="4" w:space="0" w:color="000000"/>
            </w:tcBorders>
            <w:shd w:val="clear" w:color="auto" w:fill="D2D2D2"/>
          </w:tcPr>
          <w:p>
            <w:pPr/>
          </w:p>
        </w:tc>
        <w:tc>
          <w:tcPr>
            <w:tcW w:w="1186" w:type="dxa"/>
            <w:vMerge/>
            <w:tcBorders>
              <w:left w:val="single" w:sz="4" w:space="0" w:color="000000"/>
              <w:bottom w:val="nil" w:sz="6" w:space="0" w:color="auto"/>
              <w:right w:val="single" w:sz="4" w:space="0" w:color="000000"/>
            </w:tcBorders>
            <w:shd w:val="clear" w:color="auto" w:fill="D2D2D2"/>
          </w:tcPr>
          <w:p>
            <w:pPr/>
          </w:p>
        </w:tc>
        <w:tc>
          <w:tcPr>
            <w:tcW w:w="23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6"/>
              <w:ind w:left="24" w:right="2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6"/>
              <w:ind w:left="21" w:right="23"/>
              <w:jc w:val="both"/>
              <w:rPr>
                <w:rFonts w:ascii="宋体" w:hAnsi="宋体" w:cs="宋体" w:eastAsia="宋体" w:hint="default"/>
                <w:sz w:val="18"/>
                <w:szCs w:val="18"/>
              </w:rPr>
            </w:pPr>
            <w:r>
              <w:rPr>
                <w:rFonts w:ascii="宋体" w:hAnsi="宋体" w:cs="宋体" w:eastAsia="宋体" w:hint="default"/>
                <w:sz w:val="18"/>
                <w:szCs w:val="18"/>
              </w:rPr>
              <w:t>永 续 债</w:t>
            </w:r>
          </w:p>
        </w:tc>
        <w:tc>
          <w:tcPr>
            <w:tcW w:w="118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bottom w:val="nil" w:sz="6" w:space="0" w:color="auto"/>
              <w:right w:val="single" w:sz="4" w:space="0" w:color="000000"/>
            </w:tcBorders>
            <w:shd w:val="clear" w:color="auto" w:fill="D2D2D2"/>
          </w:tcPr>
          <w:p>
            <w:pPr/>
          </w:p>
        </w:tc>
        <w:tc>
          <w:tcPr>
            <w:tcW w:w="1001"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0"/>
              <w:ind w:left="405" w:right="43"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238"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150" w:type="dxa"/>
            <w:vMerge/>
            <w:tcBorders>
              <w:left w:val="single" w:sz="4" w:space="0" w:color="000000"/>
              <w:bottom w:val="nil" w:sz="6" w:space="0" w:color="auto"/>
              <w:right w:val="single" w:sz="4" w:space="0" w:color="000000"/>
            </w:tcBorders>
            <w:shd w:val="clear" w:color="auto" w:fill="D2D2D2"/>
          </w:tcPr>
          <w:p>
            <w:pPr/>
          </w:p>
        </w:tc>
        <w:tc>
          <w:tcPr>
            <w:tcW w:w="23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2"/>
              <w:ind w:left="24" w:right="23"/>
              <w:jc w:val="left"/>
              <w:rPr>
                <w:rFonts w:ascii="宋体" w:hAnsi="宋体" w:cs="宋体" w:eastAsia="宋体" w:hint="default"/>
                <w:sz w:val="18"/>
                <w:szCs w:val="18"/>
              </w:rPr>
            </w:pPr>
            <w:r>
              <w:rPr>
                <w:rFonts w:ascii="宋体" w:hAnsi="宋体" w:cs="宋体" w:eastAsia="宋体" w:hint="default"/>
                <w:sz w:val="18"/>
                <w:szCs w:val="18"/>
              </w:rPr>
              <w:t>其 他</w:t>
            </w:r>
          </w:p>
        </w:tc>
        <w:tc>
          <w:tcPr>
            <w:tcW w:w="1849"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5"/>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4" w:hRule="exact"/>
        </w:trPr>
        <w:tc>
          <w:tcPr>
            <w:tcW w:w="574" w:type="dxa"/>
            <w:vMerge w:val="restart"/>
            <w:tcBorders>
              <w:top w:val="nil" w:sz="6" w:space="0" w:color="auto"/>
              <w:left w:val="single" w:sz="4" w:space="0" w:color="000000"/>
              <w:right w:val="single" w:sz="4" w:space="0" w:color="000000"/>
            </w:tcBorders>
            <w:shd w:val="clear" w:color="auto" w:fill="D2D2D2"/>
          </w:tcPr>
          <w:p>
            <w:pPr/>
          </w:p>
        </w:tc>
        <w:tc>
          <w:tcPr>
            <w:tcW w:w="11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38" w:type="dxa"/>
            <w:vMerge/>
            <w:tcBorders>
              <w:left w:val="single" w:sz="4" w:space="0" w:color="000000"/>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14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01" w:type="dxa"/>
            <w:vMerge/>
            <w:tcBorders>
              <w:left w:val="single" w:sz="4" w:space="0" w:color="000000"/>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1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38" w:type="dxa"/>
            <w:vMerge/>
            <w:tcBorders>
              <w:left w:val="single" w:sz="4" w:space="0" w:color="000000"/>
              <w:right w:val="single" w:sz="4" w:space="0" w:color="000000"/>
            </w:tcBorders>
            <w:shd w:val="clear" w:color="auto" w:fill="D2D2D2"/>
          </w:tcPr>
          <w:p>
            <w:pPr/>
          </w:p>
        </w:tc>
        <w:tc>
          <w:tcPr>
            <w:tcW w:w="11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11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38" w:type="dxa"/>
            <w:vMerge/>
            <w:tcBorders>
              <w:left w:val="single" w:sz="4" w:space="0" w:color="000000"/>
              <w:right w:val="single" w:sz="4" w:space="0" w:color="000000"/>
            </w:tcBorders>
            <w:shd w:val="clear" w:color="auto" w:fill="D2D2D2"/>
          </w:tcPr>
          <w:p>
            <w:pPr/>
          </w:p>
        </w:tc>
        <w:tc>
          <w:tcPr>
            <w:tcW w:w="18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3"/>
              <w:jc w:val="center"/>
              <w:rPr>
                <w:rFonts w:ascii="宋体" w:hAnsi="宋体" w:cs="宋体" w:eastAsia="宋体" w:hint="default"/>
                <w:sz w:val="18"/>
                <w:szCs w:val="18"/>
              </w:rPr>
            </w:pPr>
            <w:r>
              <w:rPr>
                <w:rFonts w:ascii="宋体" w:hAnsi="宋体" w:cs="宋体" w:eastAsia="宋体" w:hint="default"/>
                <w:sz w:val="18"/>
                <w:szCs w:val="18"/>
              </w:rPr>
              <w:t>小计</w:t>
            </w:r>
          </w:p>
        </w:tc>
        <w:tc>
          <w:tcPr>
            <w:tcW w:w="1090"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97" w:hRule="exact"/>
        </w:trPr>
        <w:tc>
          <w:tcPr>
            <w:tcW w:w="574" w:type="dxa"/>
            <w:vMerge/>
            <w:tcBorders>
              <w:left w:val="single" w:sz="4" w:space="0" w:color="000000"/>
              <w:right w:val="single" w:sz="4" w:space="0" w:color="000000"/>
            </w:tcBorders>
            <w:shd w:val="clear" w:color="auto" w:fill="D2D2D2"/>
          </w:tcPr>
          <w:p>
            <w:pPr/>
          </w:p>
        </w:tc>
        <w:tc>
          <w:tcPr>
            <w:tcW w:w="1186" w:type="dxa"/>
            <w:vMerge/>
            <w:tcBorders>
              <w:left w:val="single" w:sz="4" w:space="0" w:color="000000"/>
              <w:bottom w:val="nil" w:sz="6" w:space="0" w:color="auto"/>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bottom w:val="nil" w:sz="6" w:space="0" w:color="auto"/>
              <w:right w:val="single" w:sz="4" w:space="0" w:color="000000"/>
            </w:tcBorders>
            <w:shd w:val="clear" w:color="auto" w:fill="D2D2D2"/>
          </w:tcPr>
          <w:p>
            <w:pPr/>
          </w:p>
        </w:tc>
        <w:tc>
          <w:tcPr>
            <w:tcW w:w="1001" w:type="dxa"/>
            <w:vMerge/>
            <w:tcBorders>
              <w:left w:val="single" w:sz="4" w:space="0" w:color="000000"/>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150" w:type="dxa"/>
            <w:vMerge/>
            <w:tcBorders>
              <w:left w:val="single" w:sz="4" w:space="0" w:color="000000"/>
              <w:bottom w:val="nil" w:sz="6" w:space="0" w:color="auto"/>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849"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574" w:type="dxa"/>
            <w:vMerge/>
            <w:tcBorders>
              <w:left w:val="single" w:sz="4" w:space="0" w:color="000000"/>
              <w:right w:val="single" w:sz="4" w:space="0" w:color="000000"/>
            </w:tcBorders>
            <w:shd w:val="clear" w:color="auto" w:fill="D2D2D2"/>
          </w:tcPr>
          <w:p>
            <w:pPr/>
          </w:p>
        </w:tc>
        <w:tc>
          <w:tcPr>
            <w:tcW w:w="1186" w:type="dxa"/>
            <w:vMerge w:val="restart"/>
            <w:tcBorders>
              <w:top w:val="nil" w:sz="6" w:space="0" w:color="auto"/>
              <w:left w:val="single" w:sz="4" w:space="0" w:color="000000"/>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202" w:type="dxa"/>
            <w:vMerge w:val="restart"/>
            <w:tcBorders>
              <w:top w:val="nil" w:sz="6" w:space="0" w:color="auto"/>
              <w:left w:val="single" w:sz="4" w:space="0" w:color="000000"/>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150" w:type="dxa"/>
            <w:vMerge w:val="restart"/>
            <w:tcBorders>
              <w:top w:val="nil" w:sz="6" w:space="0" w:color="auto"/>
              <w:left w:val="single" w:sz="4" w:space="0" w:color="000000"/>
              <w:right w:val="single" w:sz="4" w:space="0" w:color="000000"/>
            </w:tcBorders>
            <w:shd w:val="clear" w:color="auto" w:fill="D2D2D2"/>
          </w:tcPr>
          <w:p>
            <w:pPr/>
          </w:p>
        </w:tc>
        <w:tc>
          <w:tcPr>
            <w:tcW w:w="238" w:type="dxa"/>
            <w:vMerge/>
            <w:tcBorders>
              <w:left w:val="single" w:sz="4" w:space="0" w:color="000000"/>
              <w:bottom w:val="nil" w:sz="6" w:space="0" w:color="auto"/>
              <w:right w:val="single" w:sz="4" w:space="0" w:color="000000"/>
            </w:tcBorders>
            <w:shd w:val="clear" w:color="auto" w:fill="D2D2D2"/>
          </w:tcPr>
          <w:p>
            <w:pPr/>
          </w:p>
        </w:tc>
        <w:tc>
          <w:tcPr>
            <w:tcW w:w="1849" w:type="dxa"/>
            <w:vMerge w:val="restart"/>
            <w:tcBorders>
              <w:top w:val="nil" w:sz="6" w:space="0" w:color="auto"/>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312" w:hRule="exact"/>
        </w:trPr>
        <w:tc>
          <w:tcPr>
            <w:tcW w:w="574" w:type="dxa"/>
            <w:vMerge/>
            <w:tcBorders>
              <w:left w:val="single" w:sz="4" w:space="0" w:color="000000"/>
              <w:right w:val="single" w:sz="4" w:space="0" w:color="000000"/>
            </w:tcBorders>
            <w:shd w:val="clear" w:color="auto" w:fill="D2D2D2"/>
          </w:tcPr>
          <w:p>
            <w:pPr/>
          </w:p>
        </w:tc>
        <w:tc>
          <w:tcPr>
            <w:tcW w:w="1186" w:type="dxa"/>
            <w:vMerge/>
            <w:tcBorders>
              <w:left w:val="single" w:sz="4" w:space="0" w:color="000000"/>
              <w:right w:val="single" w:sz="4" w:space="0" w:color="000000"/>
            </w:tcBorders>
            <w:shd w:val="clear" w:color="auto" w:fill="D2D2D2"/>
          </w:tcPr>
          <w:p>
            <w:pPr/>
          </w:p>
        </w:tc>
        <w:tc>
          <w:tcPr>
            <w:tcW w:w="238" w:type="dxa"/>
            <w:vMerge/>
            <w:tcBorders>
              <w:left w:val="single" w:sz="4" w:space="0" w:color="000000"/>
              <w:bottom w:val="nil" w:sz="6" w:space="0" w:color="auto"/>
              <w:right w:val="single" w:sz="4" w:space="0" w:color="000000"/>
            </w:tcBorders>
            <w:shd w:val="clear" w:color="auto" w:fill="D2D2D2"/>
          </w:tcPr>
          <w:p>
            <w:pPr/>
          </w:p>
        </w:tc>
        <w:tc>
          <w:tcPr>
            <w:tcW w:w="235"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1001" w:type="dxa"/>
            <w:vMerge w:val="restart"/>
            <w:tcBorders>
              <w:top w:val="nil" w:sz="6" w:space="0" w:color="auto"/>
              <w:left w:val="single" w:sz="4" w:space="0" w:color="000000"/>
              <w:right w:val="single" w:sz="4" w:space="0" w:color="000000"/>
            </w:tcBorders>
            <w:shd w:val="clear" w:color="auto" w:fill="D2D2D2"/>
          </w:tcPr>
          <w:p>
            <w:pPr/>
          </w:p>
        </w:tc>
        <w:tc>
          <w:tcPr>
            <w:tcW w:w="238"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150" w:type="dxa"/>
            <w:vMerge/>
            <w:tcBorders>
              <w:left w:val="single" w:sz="4" w:space="0" w:color="000000"/>
              <w:right w:val="single" w:sz="4" w:space="0" w:color="000000"/>
            </w:tcBorders>
            <w:shd w:val="clear" w:color="auto" w:fill="D2D2D2"/>
          </w:tcPr>
          <w:p>
            <w:pPr/>
          </w:p>
        </w:tc>
        <w:tc>
          <w:tcPr>
            <w:tcW w:w="238" w:type="dxa"/>
            <w:vMerge w:val="restart"/>
            <w:tcBorders>
              <w:top w:val="nil" w:sz="6" w:space="0" w:color="auto"/>
              <w:left w:val="single" w:sz="4" w:space="0" w:color="000000"/>
              <w:right w:val="single" w:sz="4" w:space="0" w:color="000000"/>
            </w:tcBorders>
            <w:shd w:val="clear" w:color="auto" w:fill="D2D2D2"/>
          </w:tcPr>
          <w:p>
            <w:pPr/>
          </w:p>
        </w:tc>
        <w:tc>
          <w:tcPr>
            <w:tcW w:w="1849"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295" w:hRule="exact"/>
        </w:trPr>
        <w:tc>
          <w:tcPr>
            <w:tcW w:w="574" w:type="dxa"/>
            <w:vMerge/>
            <w:tcBorders>
              <w:left w:val="single" w:sz="4" w:space="0" w:color="000000"/>
              <w:bottom w:val="single" w:sz="4" w:space="0" w:color="000000"/>
              <w:right w:val="single" w:sz="4" w:space="0" w:color="000000"/>
            </w:tcBorders>
            <w:shd w:val="clear" w:color="auto" w:fill="D2D2D2"/>
          </w:tcPr>
          <w:p>
            <w:pPr/>
          </w:p>
        </w:tc>
        <w:tc>
          <w:tcPr>
            <w:tcW w:w="1186" w:type="dxa"/>
            <w:vMerge/>
            <w:tcBorders>
              <w:left w:val="single" w:sz="4" w:space="0" w:color="000000"/>
              <w:bottom w:val="single" w:sz="4" w:space="0" w:color="000000"/>
              <w:right w:val="single" w:sz="4" w:space="0" w:color="000000"/>
            </w:tcBorders>
            <w:shd w:val="clear" w:color="auto" w:fill="D2D2D2"/>
          </w:tcPr>
          <w:p>
            <w:pPr/>
          </w:p>
        </w:tc>
        <w:tc>
          <w:tcPr>
            <w:tcW w:w="23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2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238" w:type="dxa"/>
            <w:vMerge/>
            <w:tcBorders>
              <w:left w:val="single" w:sz="4" w:space="0" w:color="000000"/>
              <w:bottom w:val="single" w:sz="4" w:space="0" w:color="000000"/>
              <w:right w:val="single" w:sz="4" w:space="0" w:color="000000"/>
            </w:tcBorders>
            <w:shd w:val="clear" w:color="auto" w:fill="D2D2D2"/>
          </w:tcPr>
          <w:p>
            <w:pPr/>
          </w:p>
        </w:tc>
        <w:tc>
          <w:tcPr>
            <w:tcW w:w="1150" w:type="dxa"/>
            <w:vMerge/>
            <w:tcBorders>
              <w:left w:val="single" w:sz="4" w:space="0" w:color="000000"/>
              <w:bottom w:val="single" w:sz="4" w:space="0" w:color="000000"/>
              <w:right w:val="single" w:sz="4" w:space="0" w:color="000000"/>
            </w:tcBorders>
            <w:shd w:val="clear" w:color="auto" w:fill="D2D2D2"/>
          </w:tcPr>
          <w:p>
            <w:pPr/>
          </w:p>
        </w:tc>
        <w:tc>
          <w:tcPr>
            <w:tcW w:w="238" w:type="dxa"/>
            <w:vMerge/>
            <w:tcBorders>
              <w:left w:val="single" w:sz="4" w:space="0" w:color="000000"/>
              <w:bottom w:val="single" w:sz="4" w:space="0" w:color="000000"/>
              <w:right w:val="single" w:sz="4" w:space="0" w:color="000000"/>
            </w:tcBorders>
            <w:shd w:val="clear" w:color="auto" w:fill="D2D2D2"/>
          </w:tcPr>
          <w:p>
            <w:pPr/>
          </w:p>
        </w:tc>
        <w:tc>
          <w:tcPr>
            <w:tcW w:w="1849"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11" w:right="10"/>
              <w:jc w:val="both"/>
              <w:rPr>
                <w:rFonts w:ascii="宋体" w:hAnsi="宋体" w:cs="宋体" w:eastAsia="宋体" w:hint="default"/>
                <w:sz w:val="18"/>
                <w:szCs w:val="18"/>
              </w:rPr>
            </w:pPr>
            <w:r>
              <w:rPr>
                <w:rFonts w:ascii="Times New Roman" w:hAnsi="Times New Roman" w:cs="Times New Roman" w:eastAsia="Times New Roman" w:hint="default"/>
                <w:spacing w:val="-23"/>
                <w:sz w:val="18"/>
                <w:szCs w:val="18"/>
              </w:rPr>
              <w:t>2</w:t>
            </w:r>
            <w:r>
              <w:rPr>
                <w:rFonts w:ascii="宋体" w:hAnsi="宋体" w:cs="宋体" w:eastAsia="宋体" w:hint="default"/>
                <w:spacing w:val="-23"/>
                <w:sz w:val="18"/>
                <w:szCs w:val="18"/>
              </w:rPr>
              <w:t>．提取</w:t>
            </w:r>
            <w:r>
              <w:rPr>
                <w:rFonts w:ascii="宋体" w:hAnsi="宋体" w:cs="宋体" w:eastAsia="宋体" w:hint="default"/>
                <w:sz w:val="18"/>
                <w:szCs w:val="18"/>
              </w:rPr>
              <w:t> 一般风 险准备</w:t>
            </w:r>
          </w:p>
        </w:tc>
        <w:tc>
          <w:tcPr>
            <w:tcW w:w="1186" w:type="dxa"/>
            <w:tcBorders>
              <w:top w:val="single" w:sz="4" w:space="0" w:color="000000"/>
              <w:left w:val="single" w:sz="10" w:space="0" w:color="D2D2D2"/>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61"/>
              <w:ind w:left="11" w:right="10"/>
              <w:jc w:val="both"/>
              <w:rPr>
                <w:rFonts w:ascii="宋体" w:hAnsi="宋体" w:cs="宋体" w:eastAsia="宋体" w:hint="default"/>
                <w:sz w:val="18"/>
                <w:szCs w:val="18"/>
              </w:rPr>
            </w:pPr>
            <w:r>
              <w:rPr>
                <w:rFonts w:ascii="Times New Roman" w:hAnsi="Times New Roman" w:cs="Times New Roman" w:eastAsia="Times New Roman" w:hint="default"/>
                <w:spacing w:val="-23"/>
                <w:sz w:val="18"/>
                <w:szCs w:val="18"/>
              </w:rPr>
              <w:t>3</w:t>
            </w:r>
            <w:r>
              <w:rPr>
                <w:rFonts w:ascii="宋体" w:hAnsi="宋体" w:cs="宋体" w:eastAsia="宋体" w:hint="default"/>
                <w:spacing w:val="-23"/>
                <w:sz w:val="18"/>
                <w:szCs w:val="18"/>
              </w:rPr>
              <w:t>．对所</w:t>
            </w:r>
            <w:r>
              <w:rPr>
                <w:rFonts w:ascii="宋体" w:hAnsi="宋体" w:cs="宋体" w:eastAsia="宋体" w:hint="default"/>
                <w:sz w:val="18"/>
                <w:szCs w:val="18"/>
              </w:rPr>
              <w:t> 有者</w:t>
            </w:r>
          </w:p>
          <w:p>
            <w:pPr>
              <w:pStyle w:val="TableParagraph"/>
              <w:spacing w:line="319" w:lineRule="auto" w:before="33"/>
              <w:ind w:left="11" w:right="10"/>
              <w:jc w:val="both"/>
              <w:rPr>
                <w:rFonts w:ascii="宋体" w:hAnsi="宋体" w:cs="宋体" w:eastAsia="宋体" w:hint="default"/>
                <w:sz w:val="18"/>
                <w:szCs w:val="18"/>
              </w:rPr>
            </w:pPr>
            <w:r>
              <w:rPr>
                <w:rFonts w:ascii="宋体" w:hAnsi="宋体" w:cs="宋体" w:eastAsia="宋体" w:hint="default"/>
                <w:sz w:val="18"/>
                <w:szCs w:val="18"/>
              </w:rPr>
              <w:t>（或股 东）的 分配</w:t>
            </w:r>
          </w:p>
        </w:tc>
        <w:tc>
          <w:tcPr>
            <w:tcW w:w="1186" w:type="dxa"/>
            <w:tcBorders>
              <w:top w:val="single" w:sz="4" w:space="0" w:color="000000"/>
              <w:left w:val="single" w:sz="10" w:space="0" w:color="D2D2D2"/>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50" w:right="0"/>
              <w:jc w:val="left"/>
              <w:rPr>
                <w:rFonts w:ascii="Times New Roman" w:hAnsi="Times New Roman" w:cs="Times New Roman" w:eastAsia="Times New Roman" w:hint="default"/>
                <w:sz w:val="18"/>
                <w:szCs w:val="18"/>
              </w:rPr>
            </w:pPr>
            <w:r>
              <w:rPr>
                <w:rFonts w:ascii="Times New Roman"/>
                <w:sz w:val="18"/>
              </w:rPr>
              <w:t>-2,153,643.90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78" w:right="0"/>
              <w:jc w:val="left"/>
              <w:rPr>
                <w:rFonts w:ascii="Times New Roman" w:hAnsi="Times New Roman" w:cs="Times New Roman" w:eastAsia="Times New Roman" w:hint="default"/>
                <w:sz w:val="18"/>
                <w:szCs w:val="18"/>
              </w:rPr>
            </w:pPr>
            <w:r>
              <w:rPr>
                <w:rFonts w:ascii="Times New Roman"/>
                <w:sz w:val="18"/>
              </w:rPr>
              <w:t>-2,153,643.90</w:t>
            </w:r>
          </w:p>
        </w:tc>
      </w:tr>
      <w:tr>
        <w:trPr>
          <w:trHeight w:val="401" w:hRule="exact"/>
        </w:trPr>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92"/>
                <w:sz w:val="18"/>
                <w:szCs w:val="18"/>
              </w:rPr>
              <w:t>．</w:t>
            </w:r>
            <w:r>
              <w:rPr>
                <w:rFonts w:ascii="宋体" w:hAnsi="宋体" w:cs="宋体" w:eastAsia="宋体" w:hint="default"/>
                <w:sz w:val="18"/>
                <w:szCs w:val="18"/>
              </w:rPr>
              <w:t>其他</w:t>
            </w:r>
          </w:p>
        </w:tc>
        <w:tc>
          <w:tcPr>
            <w:tcW w:w="1186" w:type="dxa"/>
            <w:tcBorders>
              <w:top w:val="single" w:sz="4" w:space="0" w:color="000000"/>
              <w:left w:val="single" w:sz="10" w:space="0" w:color="D2D2D2"/>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11" w:right="10"/>
              <w:jc w:val="both"/>
              <w:rPr>
                <w:rFonts w:ascii="宋体" w:hAnsi="宋体" w:cs="宋体" w:eastAsia="宋体" w:hint="default"/>
                <w:sz w:val="18"/>
                <w:szCs w:val="18"/>
              </w:rPr>
            </w:pPr>
            <w:r>
              <w:rPr>
                <w:rFonts w:ascii="宋体" w:hAnsi="宋体" w:cs="宋体" w:eastAsia="宋体" w:hint="default"/>
                <w:sz w:val="18"/>
                <w:szCs w:val="18"/>
              </w:rPr>
              <w:t>（四） 所有者 权益内 部结转</w:t>
            </w:r>
          </w:p>
        </w:tc>
        <w:tc>
          <w:tcPr>
            <w:tcW w:w="1186" w:type="dxa"/>
            <w:tcBorders>
              <w:top w:val="single" w:sz="4" w:space="0" w:color="000000"/>
              <w:left w:val="single" w:sz="10" w:space="0" w:color="D2D2D2"/>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11" w:right="10"/>
              <w:jc w:val="both"/>
              <w:rPr>
                <w:rFonts w:ascii="宋体" w:hAnsi="宋体" w:cs="宋体" w:eastAsia="宋体" w:hint="default"/>
                <w:sz w:val="18"/>
                <w:szCs w:val="18"/>
              </w:rPr>
            </w:pPr>
            <w:r>
              <w:rPr>
                <w:rFonts w:ascii="Times New Roman" w:hAnsi="Times New Roman" w:cs="Times New Roman" w:eastAsia="Times New Roman" w:hint="default"/>
                <w:spacing w:val="-23"/>
                <w:sz w:val="18"/>
                <w:szCs w:val="18"/>
              </w:rPr>
              <w:t>1</w:t>
            </w:r>
            <w:r>
              <w:rPr>
                <w:rFonts w:ascii="宋体" w:hAnsi="宋体" w:cs="宋体" w:eastAsia="宋体" w:hint="default"/>
                <w:spacing w:val="-23"/>
                <w:sz w:val="18"/>
                <w:szCs w:val="18"/>
              </w:rPr>
              <w:t>．资本</w:t>
            </w:r>
            <w:r>
              <w:rPr>
                <w:rFonts w:ascii="宋体" w:hAnsi="宋体" w:cs="宋体" w:eastAsia="宋体" w:hint="default"/>
                <w:sz w:val="18"/>
                <w:szCs w:val="18"/>
              </w:rPr>
              <w:t> 公积转 增资本</w:t>
            </w:r>
          </w:p>
          <w:p>
            <w:pPr>
              <w:pStyle w:val="TableParagraph"/>
              <w:spacing w:line="316" w:lineRule="auto" w:before="24"/>
              <w:ind w:left="11" w:right="10"/>
              <w:jc w:val="both"/>
              <w:rPr>
                <w:rFonts w:ascii="宋体" w:hAnsi="宋体" w:cs="宋体" w:eastAsia="宋体" w:hint="default"/>
                <w:sz w:val="18"/>
                <w:szCs w:val="18"/>
              </w:rPr>
            </w:pPr>
            <w:r>
              <w:rPr>
                <w:rFonts w:ascii="宋体" w:hAnsi="宋体" w:cs="宋体" w:eastAsia="宋体" w:hint="default"/>
                <w:sz w:val="18"/>
                <w:szCs w:val="18"/>
              </w:rPr>
              <w:t>（或股 本）</w:t>
            </w:r>
          </w:p>
        </w:tc>
        <w:tc>
          <w:tcPr>
            <w:tcW w:w="1186" w:type="dxa"/>
            <w:tcBorders>
              <w:top w:val="single" w:sz="4" w:space="0" w:color="000000"/>
              <w:left w:val="single" w:sz="10" w:space="0" w:color="D2D2D2"/>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61"/>
              <w:ind w:left="11" w:right="10"/>
              <w:jc w:val="left"/>
              <w:rPr>
                <w:rFonts w:ascii="宋体" w:hAnsi="宋体" w:cs="宋体" w:eastAsia="宋体" w:hint="default"/>
                <w:sz w:val="18"/>
                <w:szCs w:val="18"/>
              </w:rPr>
            </w:pPr>
            <w:r>
              <w:rPr>
                <w:rFonts w:ascii="Times New Roman" w:hAnsi="Times New Roman" w:cs="Times New Roman" w:eastAsia="Times New Roman" w:hint="default"/>
                <w:spacing w:val="-23"/>
                <w:sz w:val="18"/>
                <w:szCs w:val="18"/>
              </w:rPr>
              <w:t>2</w:t>
            </w:r>
            <w:r>
              <w:rPr>
                <w:rFonts w:ascii="宋体" w:hAnsi="宋体" w:cs="宋体" w:eastAsia="宋体" w:hint="default"/>
                <w:spacing w:val="-23"/>
                <w:sz w:val="18"/>
                <w:szCs w:val="18"/>
              </w:rPr>
              <w:t>．盈余</w:t>
            </w:r>
            <w:r>
              <w:rPr>
                <w:rFonts w:ascii="宋体" w:hAnsi="宋体" w:cs="宋体" w:eastAsia="宋体" w:hint="default"/>
                <w:sz w:val="18"/>
                <w:szCs w:val="18"/>
              </w:rPr>
              <w:t> 公积转</w:t>
            </w:r>
          </w:p>
        </w:tc>
        <w:tc>
          <w:tcPr>
            <w:tcW w:w="1186" w:type="dxa"/>
            <w:tcBorders>
              <w:top w:val="single" w:sz="4" w:space="0" w:color="000000"/>
              <w:left w:val="single" w:sz="10" w:space="0" w:color="D2D2D2"/>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7"/>
          <w:pgSz w:w="16840" w:h="11910" w:orient="landscape"/>
          <w:pgMar w:footer="980" w:header="867" w:top="1060" w:bottom="1260" w:left="1300" w:right="1280"/>
        </w:sectPr>
      </w:pPr>
    </w:p>
    <w:p>
      <w:pPr>
        <w:spacing w:line="240" w:lineRule="auto" w:before="4"/>
        <w:rPr>
          <w:rFonts w:ascii="Times New Roman" w:hAnsi="Times New Roman" w:cs="Times New Roman" w:eastAsia="Times New Roman"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574"/>
        <w:gridCol w:w="1186"/>
        <w:gridCol w:w="238"/>
        <w:gridCol w:w="235"/>
        <w:gridCol w:w="1181"/>
        <w:gridCol w:w="1181"/>
        <w:gridCol w:w="1202"/>
        <w:gridCol w:w="1001"/>
        <w:gridCol w:w="238"/>
        <w:gridCol w:w="1090"/>
        <w:gridCol w:w="238"/>
        <w:gridCol w:w="1150"/>
        <w:gridCol w:w="238"/>
        <w:gridCol w:w="1849"/>
        <w:gridCol w:w="1090"/>
        <w:gridCol w:w="1318"/>
      </w:tblGrid>
      <w:tr>
        <w:trPr>
          <w:trHeight w:val="417" w:hRule="exact"/>
        </w:trPr>
        <w:tc>
          <w:tcPr>
            <w:tcW w:w="574" w:type="dxa"/>
            <w:vMerge w:val="restart"/>
            <w:tcBorders>
              <w:top w:val="single" w:sz="15" w:space="0" w:color="000000"/>
              <w:left w:val="single" w:sz="4" w:space="0" w:color="000000"/>
              <w:right w:val="single" w:sz="4" w:space="0" w:color="000000"/>
            </w:tcBorders>
            <w:shd w:val="clear" w:color="auto" w:fill="D2D2D2"/>
          </w:tcPr>
          <w:p>
            <w:pPr/>
          </w:p>
        </w:tc>
        <w:tc>
          <w:tcPr>
            <w:tcW w:w="13432" w:type="dxa"/>
            <w:gridSpan w:val="15"/>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574" w:type="dxa"/>
            <w:vMerge/>
            <w:tcBorders>
              <w:left w:val="single" w:sz="4" w:space="0" w:color="000000"/>
              <w:right w:val="single" w:sz="4" w:space="0" w:color="000000"/>
            </w:tcBorders>
            <w:shd w:val="clear" w:color="auto" w:fill="D2D2D2"/>
          </w:tcPr>
          <w:p>
            <w:pPr/>
          </w:p>
        </w:tc>
        <w:tc>
          <w:tcPr>
            <w:tcW w:w="1102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90" w:type="dxa"/>
            <w:vMerge w:val="restart"/>
            <w:tcBorders>
              <w:top w:val="single" w:sz="4" w:space="0" w:color="000000"/>
              <w:left w:val="single" w:sz="4" w:space="0" w:color="000000"/>
              <w:right w:val="single" w:sz="4" w:space="0" w:color="000000"/>
            </w:tcBorders>
            <w:shd w:val="clear" w:color="auto" w:fill="D2D2D2"/>
          </w:tcPr>
          <w:p>
            <w:pPr/>
          </w:p>
        </w:tc>
        <w:tc>
          <w:tcPr>
            <w:tcW w:w="1318" w:type="dxa"/>
            <w:vMerge w:val="restart"/>
            <w:tcBorders>
              <w:top w:val="single" w:sz="4" w:space="0" w:color="000000"/>
              <w:left w:val="single" w:sz="4" w:space="0" w:color="000000"/>
              <w:right w:val="single" w:sz="4" w:space="0" w:color="000000"/>
            </w:tcBorders>
            <w:shd w:val="clear" w:color="auto" w:fill="D2D2D2"/>
          </w:tcPr>
          <w:p>
            <w:pPr/>
          </w:p>
        </w:tc>
      </w:tr>
      <w:tr>
        <w:trPr>
          <w:trHeight w:val="352" w:hRule="exact"/>
        </w:trPr>
        <w:tc>
          <w:tcPr>
            <w:tcW w:w="574" w:type="dxa"/>
            <w:vMerge/>
            <w:tcBorders>
              <w:left w:val="single" w:sz="4" w:space="0" w:color="000000"/>
              <w:bottom w:val="nil" w:sz="6" w:space="0" w:color="auto"/>
              <w:right w:val="single" w:sz="4" w:space="0" w:color="000000"/>
            </w:tcBorders>
            <w:shd w:val="clear" w:color="auto" w:fill="D2D2D2"/>
          </w:tcPr>
          <w:p>
            <w:pPr/>
          </w:p>
        </w:tc>
        <w:tc>
          <w:tcPr>
            <w:tcW w:w="1186" w:type="dxa"/>
            <w:vMerge w:val="restart"/>
            <w:tcBorders>
              <w:top w:val="single" w:sz="4" w:space="0" w:color="000000"/>
              <w:left w:val="single" w:sz="4" w:space="0" w:color="000000"/>
              <w:right w:val="single" w:sz="4" w:space="0" w:color="000000"/>
            </w:tcBorders>
            <w:shd w:val="clear" w:color="auto" w:fill="D2D2D2"/>
          </w:tcPr>
          <w:p>
            <w:pPr/>
          </w:p>
        </w:tc>
        <w:tc>
          <w:tcPr>
            <w:tcW w:w="16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
        </w:tc>
        <w:tc>
          <w:tcPr>
            <w:tcW w:w="1001" w:type="dxa"/>
            <w:vMerge w:val="restart"/>
            <w:tcBorders>
              <w:top w:val="single" w:sz="4" w:space="0" w:color="000000"/>
              <w:left w:val="single" w:sz="4" w:space="0" w:color="000000"/>
              <w:right w:val="single" w:sz="4" w:space="0" w:color="000000"/>
            </w:tcBorders>
            <w:shd w:val="clear" w:color="auto" w:fill="D2D2D2"/>
          </w:tcPr>
          <w:p>
            <w:pPr/>
          </w:p>
        </w:tc>
        <w:tc>
          <w:tcPr>
            <w:tcW w:w="2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0" w:type="dxa"/>
            <w:vMerge w:val="restart"/>
            <w:tcBorders>
              <w:top w:val="single" w:sz="4" w:space="0" w:color="000000"/>
              <w:left w:val="single" w:sz="4" w:space="0" w:color="000000"/>
              <w:right w:val="single" w:sz="4" w:space="0" w:color="000000"/>
            </w:tcBorders>
            <w:shd w:val="clear" w:color="auto" w:fill="D2D2D2"/>
          </w:tcPr>
          <w:p>
            <w:pPr/>
          </w:p>
        </w:tc>
        <w:tc>
          <w:tcPr>
            <w:tcW w:w="23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4" w:right="23"/>
              <w:jc w:val="both"/>
              <w:rPr>
                <w:rFonts w:ascii="宋体" w:hAnsi="宋体" w:cs="宋体" w:eastAsia="宋体" w:hint="default"/>
                <w:sz w:val="18"/>
                <w:szCs w:val="18"/>
              </w:rPr>
            </w:pPr>
            <w:r>
              <w:rPr>
                <w:rFonts w:ascii="宋体" w:hAnsi="宋体" w:cs="宋体" w:eastAsia="宋体" w:hint="default"/>
                <w:sz w:val="18"/>
                <w:szCs w:val="18"/>
              </w:rPr>
              <w:t>一 般 风 险 准 备</w:t>
            </w:r>
          </w:p>
        </w:tc>
        <w:tc>
          <w:tcPr>
            <w:tcW w:w="1150" w:type="dxa"/>
            <w:vMerge w:val="restart"/>
            <w:tcBorders>
              <w:top w:val="single" w:sz="4" w:space="0" w:color="000000"/>
              <w:left w:val="single" w:sz="4" w:space="0" w:color="000000"/>
              <w:right w:val="single" w:sz="4" w:space="0" w:color="000000"/>
            </w:tcBorders>
            <w:shd w:val="clear" w:color="auto" w:fill="D2D2D2"/>
          </w:tcPr>
          <w:p>
            <w:pPr/>
          </w:p>
        </w:tc>
        <w:tc>
          <w:tcPr>
            <w:tcW w:w="238" w:type="dxa"/>
            <w:vMerge w:val="restart"/>
            <w:tcBorders>
              <w:top w:val="single" w:sz="4" w:space="0" w:color="000000"/>
              <w:left w:val="single" w:sz="4" w:space="0" w:color="000000"/>
              <w:right w:val="single" w:sz="4" w:space="0" w:color="000000"/>
            </w:tcBorders>
            <w:shd w:val="clear" w:color="auto" w:fill="D2D2D2"/>
          </w:tcPr>
          <w:p>
            <w:pPr/>
          </w:p>
        </w:tc>
        <w:tc>
          <w:tcPr>
            <w:tcW w:w="1849" w:type="dxa"/>
            <w:vMerge w:val="restart"/>
            <w:tcBorders>
              <w:top w:val="single" w:sz="4" w:space="0" w:color="000000"/>
              <w:left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205" w:hRule="exact"/>
        </w:trPr>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left="10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86" w:type="dxa"/>
            <w:vMerge/>
            <w:tcBorders>
              <w:left w:val="single" w:sz="4" w:space="0" w:color="000000"/>
              <w:right w:val="single" w:sz="4" w:space="0" w:color="000000"/>
            </w:tcBorders>
            <w:shd w:val="clear" w:color="auto" w:fill="D2D2D2"/>
          </w:tcPr>
          <w:p>
            <w:pPr/>
          </w:p>
        </w:tc>
        <w:tc>
          <w:tcPr>
            <w:tcW w:w="23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23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6"/>
              <w:ind w:left="24" w:right="23"/>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090" w:type="dxa"/>
            <w:vMerge/>
            <w:tcBorders>
              <w:left w:val="single" w:sz="4" w:space="0" w:color="000000"/>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150" w:type="dxa"/>
            <w:vMerge/>
            <w:tcBorders>
              <w:left w:val="single" w:sz="4" w:space="0" w:color="000000"/>
              <w:right w:val="single" w:sz="4" w:space="0" w:color="000000"/>
            </w:tcBorders>
            <w:shd w:val="clear" w:color="auto" w:fill="D2D2D2"/>
          </w:tcPr>
          <w:p>
            <w:pPr/>
          </w:p>
        </w:tc>
        <w:tc>
          <w:tcPr>
            <w:tcW w:w="238" w:type="dxa"/>
            <w:vMerge/>
            <w:tcBorders>
              <w:left w:val="single" w:sz="4" w:space="0" w:color="000000"/>
              <w:bottom w:val="nil" w:sz="6" w:space="0" w:color="auto"/>
              <w:right w:val="single" w:sz="4" w:space="0" w:color="000000"/>
            </w:tcBorders>
            <w:shd w:val="clear" w:color="auto" w:fill="D2D2D2"/>
          </w:tcPr>
          <w:p>
            <w:pPr/>
          </w:p>
        </w:tc>
        <w:tc>
          <w:tcPr>
            <w:tcW w:w="1849" w:type="dxa"/>
            <w:vMerge/>
            <w:tcBorders>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5"/>
              <w:ind w:left="448" w:right="89"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40" w:hRule="exact"/>
        </w:trPr>
        <w:tc>
          <w:tcPr>
            <w:tcW w:w="574" w:type="dxa"/>
            <w:vMerge/>
            <w:tcBorders>
              <w:left w:val="single" w:sz="4" w:space="0" w:color="000000"/>
              <w:bottom w:val="nil" w:sz="6" w:space="0" w:color="auto"/>
              <w:right w:val="single" w:sz="4" w:space="0" w:color="000000"/>
            </w:tcBorders>
            <w:shd w:val="clear" w:color="auto" w:fill="D2D2D2"/>
          </w:tcPr>
          <w:p>
            <w:pPr/>
          </w:p>
        </w:tc>
        <w:tc>
          <w:tcPr>
            <w:tcW w:w="1186" w:type="dxa"/>
            <w:vMerge/>
            <w:tcBorders>
              <w:left w:val="single" w:sz="4" w:space="0" w:color="000000"/>
              <w:bottom w:val="nil" w:sz="6" w:space="0" w:color="auto"/>
              <w:right w:val="single" w:sz="4" w:space="0" w:color="000000"/>
            </w:tcBorders>
            <w:shd w:val="clear" w:color="auto" w:fill="D2D2D2"/>
          </w:tcPr>
          <w:p>
            <w:pPr/>
          </w:p>
        </w:tc>
        <w:tc>
          <w:tcPr>
            <w:tcW w:w="23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6"/>
              <w:ind w:left="24" w:right="2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6"/>
              <w:ind w:left="21" w:right="23"/>
              <w:jc w:val="both"/>
              <w:rPr>
                <w:rFonts w:ascii="宋体" w:hAnsi="宋体" w:cs="宋体" w:eastAsia="宋体" w:hint="default"/>
                <w:sz w:val="18"/>
                <w:szCs w:val="18"/>
              </w:rPr>
            </w:pPr>
            <w:r>
              <w:rPr>
                <w:rFonts w:ascii="宋体" w:hAnsi="宋体" w:cs="宋体" w:eastAsia="宋体" w:hint="default"/>
                <w:sz w:val="18"/>
                <w:szCs w:val="18"/>
              </w:rPr>
              <w:t>永 续 债</w:t>
            </w:r>
          </w:p>
        </w:tc>
        <w:tc>
          <w:tcPr>
            <w:tcW w:w="118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bottom w:val="nil" w:sz="6" w:space="0" w:color="auto"/>
              <w:right w:val="single" w:sz="4" w:space="0" w:color="000000"/>
            </w:tcBorders>
            <w:shd w:val="clear" w:color="auto" w:fill="D2D2D2"/>
          </w:tcPr>
          <w:p>
            <w:pPr/>
          </w:p>
        </w:tc>
        <w:tc>
          <w:tcPr>
            <w:tcW w:w="1001"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405" w:right="43"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238"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150" w:type="dxa"/>
            <w:vMerge/>
            <w:tcBorders>
              <w:left w:val="single" w:sz="4" w:space="0" w:color="000000"/>
              <w:bottom w:val="nil" w:sz="6" w:space="0" w:color="auto"/>
              <w:right w:val="single" w:sz="4" w:space="0" w:color="000000"/>
            </w:tcBorders>
            <w:shd w:val="clear" w:color="auto" w:fill="D2D2D2"/>
          </w:tcPr>
          <w:p>
            <w:pPr/>
          </w:p>
        </w:tc>
        <w:tc>
          <w:tcPr>
            <w:tcW w:w="23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33"/>
              <w:ind w:left="24" w:right="23"/>
              <w:jc w:val="left"/>
              <w:rPr>
                <w:rFonts w:ascii="宋体" w:hAnsi="宋体" w:cs="宋体" w:eastAsia="宋体" w:hint="default"/>
                <w:sz w:val="18"/>
                <w:szCs w:val="18"/>
              </w:rPr>
            </w:pPr>
            <w:r>
              <w:rPr>
                <w:rFonts w:ascii="宋体" w:hAnsi="宋体" w:cs="宋体" w:eastAsia="宋体" w:hint="default"/>
                <w:sz w:val="18"/>
                <w:szCs w:val="18"/>
              </w:rPr>
              <w:t>其 他</w:t>
            </w:r>
          </w:p>
        </w:tc>
        <w:tc>
          <w:tcPr>
            <w:tcW w:w="1849"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4" w:hRule="exact"/>
        </w:trPr>
        <w:tc>
          <w:tcPr>
            <w:tcW w:w="574" w:type="dxa"/>
            <w:vMerge w:val="restart"/>
            <w:tcBorders>
              <w:top w:val="nil" w:sz="6" w:space="0" w:color="auto"/>
              <w:left w:val="single" w:sz="4" w:space="0" w:color="000000"/>
              <w:right w:val="single" w:sz="4" w:space="0" w:color="000000"/>
            </w:tcBorders>
            <w:shd w:val="clear" w:color="auto" w:fill="D2D2D2"/>
          </w:tcPr>
          <w:p>
            <w:pPr/>
          </w:p>
        </w:tc>
        <w:tc>
          <w:tcPr>
            <w:tcW w:w="11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38" w:type="dxa"/>
            <w:vMerge/>
            <w:tcBorders>
              <w:left w:val="single" w:sz="4" w:space="0" w:color="000000"/>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01" w:type="dxa"/>
            <w:vMerge/>
            <w:tcBorders>
              <w:left w:val="single" w:sz="4" w:space="0" w:color="000000"/>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38" w:type="dxa"/>
            <w:vMerge/>
            <w:tcBorders>
              <w:left w:val="single" w:sz="4" w:space="0" w:color="000000"/>
              <w:right w:val="single" w:sz="4" w:space="0" w:color="000000"/>
            </w:tcBorders>
            <w:shd w:val="clear" w:color="auto" w:fill="D2D2D2"/>
          </w:tcPr>
          <w:p>
            <w:pPr/>
          </w:p>
        </w:tc>
        <w:tc>
          <w:tcPr>
            <w:tcW w:w="11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38" w:type="dxa"/>
            <w:vMerge/>
            <w:tcBorders>
              <w:left w:val="single" w:sz="4" w:space="0" w:color="000000"/>
              <w:right w:val="single" w:sz="4" w:space="0" w:color="000000"/>
            </w:tcBorders>
            <w:shd w:val="clear" w:color="auto" w:fill="D2D2D2"/>
          </w:tcPr>
          <w:p>
            <w:pPr/>
          </w:p>
        </w:tc>
        <w:tc>
          <w:tcPr>
            <w:tcW w:w="18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小计</w:t>
            </w:r>
          </w:p>
        </w:tc>
        <w:tc>
          <w:tcPr>
            <w:tcW w:w="1090"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97" w:hRule="exact"/>
        </w:trPr>
        <w:tc>
          <w:tcPr>
            <w:tcW w:w="574" w:type="dxa"/>
            <w:vMerge/>
            <w:tcBorders>
              <w:left w:val="single" w:sz="4" w:space="0" w:color="000000"/>
              <w:right w:val="single" w:sz="4" w:space="0" w:color="000000"/>
            </w:tcBorders>
            <w:shd w:val="clear" w:color="auto" w:fill="D2D2D2"/>
          </w:tcPr>
          <w:p>
            <w:pPr/>
          </w:p>
        </w:tc>
        <w:tc>
          <w:tcPr>
            <w:tcW w:w="1186" w:type="dxa"/>
            <w:vMerge/>
            <w:tcBorders>
              <w:left w:val="single" w:sz="4" w:space="0" w:color="000000"/>
              <w:bottom w:val="nil" w:sz="6" w:space="0" w:color="auto"/>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bottom w:val="nil" w:sz="6" w:space="0" w:color="auto"/>
              <w:right w:val="single" w:sz="4" w:space="0" w:color="000000"/>
            </w:tcBorders>
            <w:shd w:val="clear" w:color="auto" w:fill="D2D2D2"/>
          </w:tcPr>
          <w:p>
            <w:pPr/>
          </w:p>
        </w:tc>
        <w:tc>
          <w:tcPr>
            <w:tcW w:w="1001" w:type="dxa"/>
            <w:vMerge/>
            <w:tcBorders>
              <w:left w:val="single" w:sz="4" w:space="0" w:color="000000"/>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150" w:type="dxa"/>
            <w:vMerge/>
            <w:tcBorders>
              <w:left w:val="single" w:sz="4" w:space="0" w:color="000000"/>
              <w:bottom w:val="nil" w:sz="6" w:space="0" w:color="auto"/>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849"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574" w:type="dxa"/>
            <w:vMerge/>
            <w:tcBorders>
              <w:left w:val="single" w:sz="4" w:space="0" w:color="000000"/>
              <w:right w:val="single" w:sz="4" w:space="0" w:color="000000"/>
            </w:tcBorders>
            <w:shd w:val="clear" w:color="auto" w:fill="D2D2D2"/>
          </w:tcPr>
          <w:p>
            <w:pPr/>
          </w:p>
        </w:tc>
        <w:tc>
          <w:tcPr>
            <w:tcW w:w="1186" w:type="dxa"/>
            <w:vMerge w:val="restart"/>
            <w:tcBorders>
              <w:top w:val="nil" w:sz="6" w:space="0" w:color="auto"/>
              <w:left w:val="single" w:sz="4" w:space="0" w:color="000000"/>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202" w:type="dxa"/>
            <w:vMerge w:val="restart"/>
            <w:tcBorders>
              <w:top w:val="nil" w:sz="6" w:space="0" w:color="auto"/>
              <w:left w:val="single" w:sz="4" w:space="0" w:color="000000"/>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150" w:type="dxa"/>
            <w:vMerge w:val="restart"/>
            <w:tcBorders>
              <w:top w:val="nil" w:sz="6" w:space="0" w:color="auto"/>
              <w:left w:val="single" w:sz="4" w:space="0" w:color="000000"/>
              <w:right w:val="single" w:sz="4" w:space="0" w:color="000000"/>
            </w:tcBorders>
            <w:shd w:val="clear" w:color="auto" w:fill="D2D2D2"/>
          </w:tcPr>
          <w:p>
            <w:pPr/>
          </w:p>
        </w:tc>
        <w:tc>
          <w:tcPr>
            <w:tcW w:w="238" w:type="dxa"/>
            <w:vMerge/>
            <w:tcBorders>
              <w:left w:val="single" w:sz="4" w:space="0" w:color="000000"/>
              <w:bottom w:val="nil" w:sz="6" w:space="0" w:color="auto"/>
              <w:right w:val="single" w:sz="4" w:space="0" w:color="000000"/>
            </w:tcBorders>
            <w:shd w:val="clear" w:color="auto" w:fill="D2D2D2"/>
          </w:tcPr>
          <w:p>
            <w:pPr/>
          </w:p>
        </w:tc>
        <w:tc>
          <w:tcPr>
            <w:tcW w:w="1849" w:type="dxa"/>
            <w:vMerge w:val="restart"/>
            <w:tcBorders>
              <w:top w:val="nil" w:sz="6" w:space="0" w:color="auto"/>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312" w:hRule="exact"/>
        </w:trPr>
        <w:tc>
          <w:tcPr>
            <w:tcW w:w="574" w:type="dxa"/>
            <w:vMerge/>
            <w:tcBorders>
              <w:left w:val="single" w:sz="4" w:space="0" w:color="000000"/>
              <w:right w:val="single" w:sz="4" w:space="0" w:color="000000"/>
            </w:tcBorders>
            <w:shd w:val="clear" w:color="auto" w:fill="D2D2D2"/>
          </w:tcPr>
          <w:p>
            <w:pPr/>
          </w:p>
        </w:tc>
        <w:tc>
          <w:tcPr>
            <w:tcW w:w="1186" w:type="dxa"/>
            <w:vMerge/>
            <w:tcBorders>
              <w:left w:val="single" w:sz="4" w:space="0" w:color="000000"/>
              <w:right w:val="single" w:sz="4" w:space="0" w:color="000000"/>
            </w:tcBorders>
            <w:shd w:val="clear" w:color="auto" w:fill="D2D2D2"/>
          </w:tcPr>
          <w:p>
            <w:pPr/>
          </w:p>
        </w:tc>
        <w:tc>
          <w:tcPr>
            <w:tcW w:w="238" w:type="dxa"/>
            <w:vMerge/>
            <w:tcBorders>
              <w:left w:val="single" w:sz="4" w:space="0" w:color="000000"/>
              <w:bottom w:val="nil" w:sz="6" w:space="0" w:color="auto"/>
              <w:right w:val="single" w:sz="4" w:space="0" w:color="000000"/>
            </w:tcBorders>
            <w:shd w:val="clear" w:color="auto" w:fill="D2D2D2"/>
          </w:tcPr>
          <w:p>
            <w:pPr/>
          </w:p>
        </w:tc>
        <w:tc>
          <w:tcPr>
            <w:tcW w:w="235"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1001" w:type="dxa"/>
            <w:vMerge w:val="restart"/>
            <w:tcBorders>
              <w:top w:val="nil" w:sz="6" w:space="0" w:color="auto"/>
              <w:left w:val="single" w:sz="4" w:space="0" w:color="000000"/>
              <w:right w:val="single" w:sz="4" w:space="0" w:color="000000"/>
            </w:tcBorders>
            <w:shd w:val="clear" w:color="auto" w:fill="D2D2D2"/>
          </w:tcPr>
          <w:p>
            <w:pPr/>
          </w:p>
        </w:tc>
        <w:tc>
          <w:tcPr>
            <w:tcW w:w="238"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150" w:type="dxa"/>
            <w:vMerge/>
            <w:tcBorders>
              <w:left w:val="single" w:sz="4" w:space="0" w:color="000000"/>
              <w:right w:val="single" w:sz="4" w:space="0" w:color="000000"/>
            </w:tcBorders>
            <w:shd w:val="clear" w:color="auto" w:fill="D2D2D2"/>
          </w:tcPr>
          <w:p>
            <w:pPr/>
          </w:p>
        </w:tc>
        <w:tc>
          <w:tcPr>
            <w:tcW w:w="238" w:type="dxa"/>
            <w:vMerge w:val="restart"/>
            <w:tcBorders>
              <w:top w:val="nil" w:sz="6" w:space="0" w:color="auto"/>
              <w:left w:val="single" w:sz="4" w:space="0" w:color="000000"/>
              <w:right w:val="single" w:sz="4" w:space="0" w:color="000000"/>
            </w:tcBorders>
            <w:shd w:val="clear" w:color="auto" w:fill="D2D2D2"/>
          </w:tcPr>
          <w:p>
            <w:pPr/>
          </w:p>
        </w:tc>
        <w:tc>
          <w:tcPr>
            <w:tcW w:w="1849"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295" w:hRule="exact"/>
        </w:trPr>
        <w:tc>
          <w:tcPr>
            <w:tcW w:w="574" w:type="dxa"/>
            <w:vMerge/>
            <w:tcBorders>
              <w:left w:val="single" w:sz="4" w:space="0" w:color="000000"/>
              <w:bottom w:val="single" w:sz="4" w:space="0" w:color="000000"/>
              <w:right w:val="single" w:sz="4" w:space="0" w:color="000000"/>
            </w:tcBorders>
            <w:shd w:val="clear" w:color="auto" w:fill="D2D2D2"/>
          </w:tcPr>
          <w:p>
            <w:pPr/>
          </w:p>
        </w:tc>
        <w:tc>
          <w:tcPr>
            <w:tcW w:w="1186" w:type="dxa"/>
            <w:vMerge/>
            <w:tcBorders>
              <w:left w:val="single" w:sz="4" w:space="0" w:color="000000"/>
              <w:bottom w:val="single" w:sz="4" w:space="0" w:color="000000"/>
              <w:right w:val="single" w:sz="4" w:space="0" w:color="000000"/>
            </w:tcBorders>
            <w:shd w:val="clear" w:color="auto" w:fill="D2D2D2"/>
          </w:tcPr>
          <w:p>
            <w:pPr/>
          </w:p>
        </w:tc>
        <w:tc>
          <w:tcPr>
            <w:tcW w:w="23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2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238" w:type="dxa"/>
            <w:vMerge/>
            <w:tcBorders>
              <w:left w:val="single" w:sz="4" w:space="0" w:color="000000"/>
              <w:bottom w:val="single" w:sz="4" w:space="0" w:color="000000"/>
              <w:right w:val="single" w:sz="4" w:space="0" w:color="000000"/>
            </w:tcBorders>
            <w:shd w:val="clear" w:color="auto" w:fill="D2D2D2"/>
          </w:tcPr>
          <w:p>
            <w:pPr/>
          </w:p>
        </w:tc>
        <w:tc>
          <w:tcPr>
            <w:tcW w:w="1150" w:type="dxa"/>
            <w:vMerge/>
            <w:tcBorders>
              <w:left w:val="single" w:sz="4" w:space="0" w:color="000000"/>
              <w:bottom w:val="single" w:sz="4" w:space="0" w:color="000000"/>
              <w:right w:val="single" w:sz="4" w:space="0" w:color="000000"/>
            </w:tcBorders>
            <w:shd w:val="clear" w:color="auto" w:fill="D2D2D2"/>
          </w:tcPr>
          <w:p>
            <w:pPr/>
          </w:p>
        </w:tc>
        <w:tc>
          <w:tcPr>
            <w:tcW w:w="238" w:type="dxa"/>
            <w:vMerge/>
            <w:tcBorders>
              <w:left w:val="single" w:sz="4" w:space="0" w:color="000000"/>
              <w:bottom w:val="single" w:sz="4" w:space="0" w:color="000000"/>
              <w:right w:val="single" w:sz="4" w:space="0" w:color="000000"/>
            </w:tcBorders>
            <w:shd w:val="clear" w:color="auto" w:fill="D2D2D2"/>
          </w:tcPr>
          <w:p>
            <w:pPr/>
          </w:p>
        </w:tc>
        <w:tc>
          <w:tcPr>
            <w:tcW w:w="1849"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986" w:hRule="exact"/>
        </w:trPr>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增资本</w:t>
            </w:r>
          </w:p>
          <w:p>
            <w:pPr>
              <w:pStyle w:val="TableParagraph"/>
              <w:spacing w:line="316" w:lineRule="auto" w:before="76"/>
              <w:ind w:left="11" w:right="10"/>
              <w:jc w:val="left"/>
              <w:rPr>
                <w:rFonts w:ascii="宋体" w:hAnsi="宋体" w:cs="宋体" w:eastAsia="宋体" w:hint="default"/>
                <w:sz w:val="18"/>
                <w:szCs w:val="18"/>
              </w:rPr>
            </w:pPr>
            <w:r>
              <w:rPr>
                <w:rFonts w:ascii="宋体" w:hAnsi="宋体" w:cs="宋体" w:eastAsia="宋体" w:hint="default"/>
                <w:sz w:val="18"/>
                <w:szCs w:val="18"/>
              </w:rPr>
              <w:t>（或股 本）</w:t>
            </w:r>
          </w:p>
        </w:tc>
        <w:tc>
          <w:tcPr>
            <w:tcW w:w="1186" w:type="dxa"/>
            <w:tcBorders>
              <w:top w:val="single" w:sz="4" w:space="0" w:color="000000"/>
              <w:left w:val="single" w:sz="10" w:space="0" w:color="D2D2D2"/>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1" w:right="10"/>
              <w:jc w:val="both"/>
              <w:rPr>
                <w:rFonts w:ascii="宋体" w:hAnsi="宋体" w:cs="宋体" w:eastAsia="宋体" w:hint="default"/>
                <w:sz w:val="18"/>
                <w:szCs w:val="18"/>
              </w:rPr>
            </w:pPr>
            <w:r>
              <w:rPr>
                <w:rFonts w:ascii="Times New Roman" w:hAnsi="Times New Roman" w:cs="Times New Roman" w:eastAsia="Times New Roman" w:hint="default"/>
                <w:spacing w:val="-23"/>
                <w:sz w:val="18"/>
                <w:szCs w:val="18"/>
              </w:rPr>
              <w:t>3</w:t>
            </w:r>
            <w:r>
              <w:rPr>
                <w:rFonts w:ascii="宋体" w:hAnsi="宋体" w:cs="宋体" w:eastAsia="宋体" w:hint="default"/>
                <w:spacing w:val="-23"/>
                <w:sz w:val="18"/>
                <w:szCs w:val="18"/>
              </w:rPr>
              <w:t>．盈余</w:t>
            </w:r>
            <w:r>
              <w:rPr>
                <w:rFonts w:ascii="宋体" w:hAnsi="宋体" w:cs="宋体" w:eastAsia="宋体" w:hint="default"/>
                <w:sz w:val="18"/>
                <w:szCs w:val="18"/>
              </w:rPr>
              <w:t> 公积弥 补亏损</w:t>
            </w:r>
          </w:p>
        </w:tc>
        <w:tc>
          <w:tcPr>
            <w:tcW w:w="1186" w:type="dxa"/>
            <w:tcBorders>
              <w:top w:val="single" w:sz="4" w:space="0" w:color="000000"/>
              <w:left w:val="single" w:sz="10" w:space="0" w:color="D2D2D2"/>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 w:right="10"/>
              <w:jc w:val="both"/>
              <w:rPr>
                <w:rFonts w:ascii="宋体" w:hAnsi="宋体" w:cs="宋体" w:eastAsia="宋体" w:hint="default"/>
                <w:sz w:val="18"/>
                <w:szCs w:val="18"/>
              </w:rPr>
            </w:pPr>
            <w:r>
              <w:rPr>
                <w:rFonts w:ascii="Times New Roman" w:hAnsi="Times New Roman" w:cs="Times New Roman" w:eastAsia="Times New Roman" w:hint="default"/>
                <w:spacing w:val="-23"/>
                <w:sz w:val="18"/>
                <w:szCs w:val="18"/>
              </w:rPr>
              <w:t>4</w:t>
            </w:r>
            <w:r>
              <w:rPr>
                <w:rFonts w:ascii="宋体" w:hAnsi="宋体" w:cs="宋体" w:eastAsia="宋体" w:hint="default"/>
                <w:spacing w:val="-23"/>
                <w:sz w:val="18"/>
                <w:szCs w:val="18"/>
              </w:rPr>
              <w:t>．设定</w:t>
            </w:r>
            <w:r>
              <w:rPr>
                <w:rFonts w:ascii="宋体" w:hAnsi="宋体" w:cs="宋体" w:eastAsia="宋体" w:hint="default"/>
                <w:sz w:val="18"/>
                <w:szCs w:val="18"/>
              </w:rPr>
              <w:t> 受益计 划变动 额结转 留存收 益</w:t>
            </w:r>
          </w:p>
        </w:tc>
        <w:tc>
          <w:tcPr>
            <w:tcW w:w="1186" w:type="dxa"/>
            <w:tcBorders>
              <w:top w:val="single" w:sz="4" w:space="0" w:color="000000"/>
              <w:left w:val="single" w:sz="10" w:space="0" w:color="D2D2D2"/>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 w:right="10"/>
              <w:jc w:val="both"/>
              <w:rPr>
                <w:rFonts w:ascii="宋体" w:hAnsi="宋体" w:cs="宋体" w:eastAsia="宋体" w:hint="default"/>
                <w:sz w:val="18"/>
                <w:szCs w:val="18"/>
              </w:rPr>
            </w:pPr>
            <w:r>
              <w:rPr>
                <w:rFonts w:ascii="Times New Roman" w:hAnsi="Times New Roman" w:cs="Times New Roman" w:eastAsia="Times New Roman" w:hint="default"/>
                <w:spacing w:val="-23"/>
                <w:sz w:val="18"/>
                <w:szCs w:val="18"/>
              </w:rPr>
              <w:t>5</w:t>
            </w:r>
            <w:r>
              <w:rPr>
                <w:rFonts w:ascii="宋体" w:hAnsi="宋体" w:cs="宋体" w:eastAsia="宋体" w:hint="default"/>
                <w:spacing w:val="-23"/>
                <w:sz w:val="18"/>
                <w:szCs w:val="18"/>
              </w:rPr>
              <w:t>．其他</w:t>
            </w:r>
            <w:r>
              <w:rPr>
                <w:rFonts w:ascii="宋体" w:hAnsi="宋体" w:cs="宋体" w:eastAsia="宋体" w:hint="default"/>
                <w:sz w:val="18"/>
                <w:szCs w:val="18"/>
              </w:rPr>
              <w:t> 综合收 益结转 留存收 益</w:t>
            </w:r>
          </w:p>
        </w:tc>
        <w:tc>
          <w:tcPr>
            <w:tcW w:w="1186" w:type="dxa"/>
            <w:tcBorders>
              <w:top w:val="single" w:sz="4" w:space="0" w:color="000000"/>
              <w:left w:val="single" w:sz="10" w:space="0" w:color="D2D2D2"/>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6</w:t>
            </w:r>
            <w:r>
              <w:rPr>
                <w:rFonts w:ascii="宋体" w:hAnsi="宋体" w:cs="宋体" w:eastAsia="宋体" w:hint="default"/>
                <w:spacing w:val="-92"/>
                <w:sz w:val="18"/>
                <w:szCs w:val="18"/>
              </w:rPr>
              <w:t>．</w:t>
            </w:r>
            <w:r>
              <w:rPr>
                <w:rFonts w:ascii="宋体" w:hAnsi="宋体" w:cs="宋体" w:eastAsia="宋体" w:hint="default"/>
                <w:sz w:val="18"/>
                <w:szCs w:val="18"/>
              </w:rPr>
              <w:t>其他</w:t>
            </w:r>
          </w:p>
        </w:tc>
        <w:tc>
          <w:tcPr>
            <w:tcW w:w="1186" w:type="dxa"/>
            <w:tcBorders>
              <w:top w:val="single" w:sz="4" w:space="0" w:color="000000"/>
              <w:left w:val="single" w:sz="10" w:space="0" w:color="D2D2D2"/>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0"/>
              <w:jc w:val="left"/>
              <w:rPr>
                <w:rFonts w:ascii="宋体" w:hAnsi="宋体" w:cs="宋体" w:eastAsia="宋体" w:hint="default"/>
                <w:sz w:val="18"/>
                <w:szCs w:val="18"/>
              </w:rPr>
            </w:pPr>
            <w:r>
              <w:rPr>
                <w:rFonts w:ascii="宋体" w:hAnsi="宋体" w:cs="宋体" w:eastAsia="宋体" w:hint="default"/>
                <w:sz w:val="18"/>
                <w:szCs w:val="18"/>
              </w:rPr>
              <w:t>（五） 专项储</w:t>
            </w:r>
          </w:p>
        </w:tc>
        <w:tc>
          <w:tcPr>
            <w:tcW w:w="1186" w:type="dxa"/>
            <w:tcBorders>
              <w:top w:val="single" w:sz="4" w:space="0" w:color="000000"/>
              <w:left w:val="single" w:sz="10" w:space="0" w:color="D2D2D2"/>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8"/>
          <w:pgSz w:w="16840" w:h="11910" w:orient="landscape"/>
          <w:pgMar w:footer="980" w:header="867" w:top="1060" w:bottom="1160" w:left="1300" w:right="1280"/>
          <w:pgNumType w:start="101"/>
        </w:sectPr>
      </w:pPr>
    </w:p>
    <w:p>
      <w:pPr>
        <w:spacing w:line="240" w:lineRule="auto" w:before="4"/>
        <w:rPr>
          <w:rFonts w:ascii="Times New Roman" w:hAnsi="Times New Roman" w:cs="Times New Roman" w:eastAsia="Times New Roman"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586"/>
        <w:gridCol w:w="1174"/>
        <w:gridCol w:w="238"/>
        <w:gridCol w:w="235"/>
        <w:gridCol w:w="1181"/>
        <w:gridCol w:w="1181"/>
        <w:gridCol w:w="1202"/>
        <w:gridCol w:w="1001"/>
        <w:gridCol w:w="238"/>
        <w:gridCol w:w="1090"/>
        <w:gridCol w:w="238"/>
        <w:gridCol w:w="1150"/>
        <w:gridCol w:w="238"/>
        <w:gridCol w:w="1849"/>
        <w:gridCol w:w="1090"/>
        <w:gridCol w:w="1318"/>
      </w:tblGrid>
      <w:tr>
        <w:trPr>
          <w:trHeight w:val="417" w:hRule="exact"/>
        </w:trPr>
        <w:tc>
          <w:tcPr>
            <w:tcW w:w="586" w:type="dxa"/>
            <w:vMerge w:val="restart"/>
            <w:tcBorders>
              <w:top w:val="single" w:sz="15" w:space="0" w:color="000000"/>
              <w:left w:val="single" w:sz="4" w:space="0" w:color="000000"/>
              <w:right w:val="single" w:sz="4" w:space="0" w:color="000000"/>
            </w:tcBorders>
            <w:shd w:val="clear" w:color="auto" w:fill="D2D2D2"/>
          </w:tcPr>
          <w:p>
            <w:pPr/>
          </w:p>
        </w:tc>
        <w:tc>
          <w:tcPr>
            <w:tcW w:w="13420" w:type="dxa"/>
            <w:gridSpan w:val="15"/>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586" w:type="dxa"/>
            <w:vMerge/>
            <w:tcBorders>
              <w:left w:val="single" w:sz="4" w:space="0" w:color="000000"/>
              <w:right w:val="single" w:sz="4" w:space="0" w:color="000000"/>
            </w:tcBorders>
            <w:shd w:val="clear" w:color="auto" w:fill="D2D2D2"/>
          </w:tcPr>
          <w:p>
            <w:pPr/>
          </w:p>
        </w:tc>
        <w:tc>
          <w:tcPr>
            <w:tcW w:w="1101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90" w:type="dxa"/>
            <w:vMerge w:val="restart"/>
            <w:tcBorders>
              <w:top w:val="single" w:sz="4" w:space="0" w:color="000000"/>
              <w:left w:val="single" w:sz="4" w:space="0" w:color="000000"/>
              <w:right w:val="single" w:sz="4" w:space="0" w:color="000000"/>
            </w:tcBorders>
            <w:shd w:val="clear" w:color="auto" w:fill="D2D2D2"/>
          </w:tcPr>
          <w:p>
            <w:pPr/>
          </w:p>
        </w:tc>
        <w:tc>
          <w:tcPr>
            <w:tcW w:w="1318" w:type="dxa"/>
            <w:vMerge w:val="restart"/>
            <w:tcBorders>
              <w:top w:val="single" w:sz="4" w:space="0" w:color="000000"/>
              <w:left w:val="single" w:sz="4" w:space="0" w:color="000000"/>
              <w:right w:val="single" w:sz="4" w:space="0" w:color="000000"/>
            </w:tcBorders>
            <w:shd w:val="clear" w:color="auto" w:fill="D2D2D2"/>
          </w:tcPr>
          <w:p>
            <w:pPr/>
          </w:p>
        </w:tc>
      </w:tr>
      <w:tr>
        <w:trPr>
          <w:trHeight w:val="352" w:hRule="exact"/>
        </w:trPr>
        <w:tc>
          <w:tcPr>
            <w:tcW w:w="586" w:type="dxa"/>
            <w:vMerge/>
            <w:tcBorders>
              <w:left w:val="single" w:sz="4" w:space="0" w:color="000000"/>
              <w:bottom w:val="nil" w:sz="6" w:space="0" w:color="auto"/>
              <w:right w:val="single" w:sz="4" w:space="0" w:color="000000"/>
            </w:tcBorders>
            <w:shd w:val="clear" w:color="auto" w:fill="D2D2D2"/>
          </w:tcPr>
          <w:p>
            <w:pPr/>
          </w:p>
        </w:tc>
        <w:tc>
          <w:tcPr>
            <w:tcW w:w="1174" w:type="dxa"/>
            <w:vMerge w:val="restart"/>
            <w:tcBorders>
              <w:top w:val="single" w:sz="4" w:space="0" w:color="000000"/>
              <w:left w:val="single" w:sz="4" w:space="0" w:color="000000"/>
              <w:right w:val="single" w:sz="4" w:space="0" w:color="000000"/>
            </w:tcBorders>
            <w:shd w:val="clear" w:color="auto" w:fill="D2D2D2"/>
          </w:tcPr>
          <w:p>
            <w:pPr/>
          </w:p>
        </w:tc>
        <w:tc>
          <w:tcPr>
            <w:tcW w:w="16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
        </w:tc>
        <w:tc>
          <w:tcPr>
            <w:tcW w:w="1001" w:type="dxa"/>
            <w:vMerge w:val="restart"/>
            <w:tcBorders>
              <w:top w:val="single" w:sz="4" w:space="0" w:color="000000"/>
              <w:left w:val="single" w:sz="4" w:space="0" w:color="000000"/>
              <w:right w:val="single" w:sz="4" w:space="0" w:color="000000"/>
            </w:tcBorders>
            <w:shd w:val="clear" w:color="auto" w:fill="D2D2D2"/>
          </w:tcPr>
          <w:p>
            <w:pPr/>
          </w:p>
        </w:tc>
        <w:tc>
          <w:tcPr>
            <w:tcW w:w="2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0" w:type="dxa"/>
            <w:vMerge w:val="restart"/>
            <w:tcBorders>
              <w:top w:val="single" w:sz="4" w:space="0" w:color="000000"/>
              <w:left w:val="single" w:sz="4" w:space="0" w:color="000000"/>
              <w:right w:val="single" w:sz="4" w:space="0" w:color="000000"/>
            </w:tcBorders>
            <w:shd w:val="clear" w:color="auto" w:fill="D2D2D2"/>
          </w:tcPr>
          <w:p>
            <w:pPr/>
          </w:p>
        </w:tc>
        <w:tc>
          <w:tcPr>
            <w:tcW w:w="23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4" w:right="23"/>
              <w:jc w:val="both"/>
              <w:rPr>
                <w:rFonts w:ascii="宋体" w:hAnsi="宋体" w:cs="宋体" w:eastAsia="宋体" w:hint="default"/>
                <w:sz w:val="18"/>
                <w:szCs w:val="18"/>
              </w:rPr>
            </w:pPr>
            <w:r>
              <w:rPr>
                <w:rFonts w:ascii="宋体" w:hAnsi="宋体" w:cs="宋体" w:eastAsia="宋体" w:hint="default"/>
                <w:sz w:val="18"/>
                <w:szCs w:val="18"/>
              </w:rPr>
              <w:t>一 般 风 险 准 备</w:t>
            </w:r>
          </w:p>
        </w:tc>
        <w:tc>
          <w:tcPr>
            <w:tcW w:w="1150" w:type="dxa"/>
            <w:vMerge w:val="restart"/>
            <w:tcBorders>
              <w:top w:val="single" w:sz="4" w:space="0" w:color="000000"/>
              <w:left w:val="single" w:sz="4" w:space="0" w:color="000000"/>
              <w:right w:val="single" w:sz="4" w:space="0" w:color="000000"/>
            </w:tcBorders>
            <w:shd w:val="clear" w:color="auto" w:fill="D2D2D2"/>
          </w:tcPr>
          <w:p>
            <w:pPr/>
          </w:p>
        </w:tc>
        <w:tc>
          <w:tcPr>
            <w:tcW w:w="238" w:type="dxa"/>
            <w:vMerge w:val="restart"/>
            <w:tcBorders>
              <w:top w:val="single" w:sz="4" w:space="0" w:color="000000"/>
              <w:left w:val="single" w:sz="4" w:space="0" w:color="000000"/>
              <w:right w:val="single" w:sz="4" w:space="0" w:color="000000"/>
            </w:tcBorders>
            <w:shd w:val="clear" w:color="auto" w:fill="D2D2D2"/>
          </w:tcPr>
          <w:p>
            <w:pPr/>
          </w:p>
        </w:tc>
        <w:tc>
          <w:tcPr>
            <w:tcW w:w="1849" w:type="dxa"/>
            <w:vMerge w:val="restart"/>
            <w:tcBorders>
              <w:top w:val="single" w:sz="4" w:space="0" w:color="000000"/>
              <w:left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205" w:hRule="exact"/>
        </w:trPr>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left="10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74" w:type="dxa"/>
            <w:vMerge/>
            <w:tcBorders>
              <w:left w:val="single" w:sz="4" w:space="0" w:color="000000"/>
              <w:right w:val="single" w:sz="4" w:space="0" w:color="000000"/>
            </w:tcBorders>
            <w:shd w:val="clear" w:color="auto" w:fill="D2D2D2"/>
          </w:tcPr>
          <w:p>
            <w:pPr/>
          </w:p>
        </w:tc>
        <w:tc>
          <w:tcPr>
            <w:tcW w:w="23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23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6"/>
              <w:ind w:left="24" w:right="23"/>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090" w:type="dxa"/>
            <w:vMerge/>
            <w:tcBorders>
              <w:left w:val="single" w:sz="4" w:space="0" w:color="000000"/>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150" w:type="dxa"/>
            <w:vMerge/>
            <w:tcBorders>
              <w:left w:val="single" w:sz="4" w:space="0" w:color="000000"/>
              <w:right w:val="single" w:sz="4" w:space="0" w:color="000000"/>
            </w:tcBorders>
            <w:shd w:val="clear" w:color="auto" w:fill="D2D2D2"/>
          </w:tcPr>
          <w:p>
            <w:pPr/>
          </w:p>
        </w:tc>
        <w:tc>
          <w:tcPr>
            <w:tcW w:w="238" w:type="dxa"/>
            <w:vMerge/>
            <w:tcBorders>
              <w:left w:val="single" w:sz="4" w:space="0" w:color="000000"/>
              <w:bottom w:val="nil" w:sz="6" w:space="0" w:color="auto"/>
              <w:right w:val="single" w:sz="4" w:space="0" w:color="000000"/>
            </w:tcBorders>
            <w:shd w:val="clear" w:color="auto" w:fill="D2D2D2"/>
          </w:tcPr>
          <w:p>
            <w:pPr/>
          </w:p>
        </w:tc>
        <w:tc>
          <w:tcPr>
            <w:tcW w:w="1849" w:type="dxa"/>
            <w:vMerge/>
            <w:tcBorders>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5"/>
              <w:ind w:left="448" w:right="89"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40" w:hRule="exact"/>
        </w:trPr>
        <w:tc>
          <w:tcPr>
            <w:tcW w:w="586"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bottom w:val="nil" w:sz="6" w:space="0" w:color="auto"/>
              <w:right w:val="single" w:sz="4" w:space="0" w:color="000000"/>
            </w:tcBorders>
            <w:shd w:val="clear" w:color="auto" w:fill="D2D2D2"/>
          </w:tcPr>
          <w:p>
            <w:pPr/>
          </w:p>
        </w:tc>
        <w:tc>
          <w:tcPr>
            <w:tcW w:w="23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6"/>
              <w:ind w:left="24" w:right="2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6"/>
              <w:ind w:left="21" w:right="23"/>
              <w:jc w:val="both"/>
              <w:rPr>
                <w:rFonts w:ascii="宋体" w:hAnsi="宋体" w:cs="宋体" w:eastAsia="宋体" w:hint="default"/>
                <w:sz w:val="18"/>
                <w:szCs w:val="18"/>
              </w:rPr>
            </w:pPr>
            <w:r>
              <w:rPr>
                <w:rFonts w:ascii="宋体" w:hAnsi="宋体" w:cs="宋体" w:eastAsia="宋体" w:hint="default"/>
                <w:sz w:val="18"/>
                <w:szCs w:val="18"/>
              </w:rPr>
              <w:t>永 续 债</w:t>
            </w:r>
          </w:p>
        </w:tc>
        <w:tc>
          <w:tcPr>
            <w:tcW w:w="118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bottom w:val="nil" w:sz="6" w:space="0" w:color="auto"/>
              <w:right w:val="single" w:sz="4" w:space="0" w:color="000000"/>
            </w:tcBorders>
            <w:shd w:val="clear" w:color="auto" w:fill="D2D2D2"/>
          </w:tcPr>
          <w:p>
            <w:pPr/>
          </w:p>
        </w:tc>
        <w:tc>
          <w:tcPr>
            <w:tcW w:w="1001"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405" w:right="43"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238"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150" w:type="dxa"/>
            <w:vMerge/>
            <w:tcBorders>
              <w:left w:val="single" w:sz="4" w:space="0" w:color="000000"/>
              <w:bottom w:val="nil" w:sz="6" w:space="0" w:color="auto"/>
              <w:right w:val="single" w:sz="4" w:space="0" w:color="000000"/>
            </w:tcBorders>
            <w:shd w:val="clear" w:color="auto" w:fill="D2D2D2"/>
          </w:tcPr>
          <w:p>
            <w:pPr/>
          </w:p>
        </w:tc>
        <w:tc>
          <w:tcPr>
            <w:tcW w:w="23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33"/>
              <w:ind w:left="24" w:right="23"/>
              <w:jc w:val="left"/>
              <w:rPr>
                <w:rFonts w:ascii="宋体" w:hAnsi="宋体" w:cs="宋体" w:eastAsia="宋体" w:hint="default"/>
                <w:sz w:val="18"/>
                <w:szCs w:val="18"/>
              </w:rPr>
            </w:pPr>
            <w:r>
              <w:rPr>
                <w:rFonts w:ascii="宋体" w:hAnsi="宋体" w:cs="宋体" w:eastAsia="宋体" w:hint="default"/>
                <w:sz w:val="18"/>
                <w:szCs w:val="18"/>
              </w:rPr>
              <w:t>其 他</w:t>
            </w:r>
          </w:p>
        </w:tc>
        <w:tc>
          <w:tcPr>
            <w:tcW w:w="1849"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4" w:hRule="exact"/>
        </w:trPr>
        <w:tc>
          <w:tcPr>
            <w:tcW w:w="586" w:type="dxa"/>
            <w:vMerge w:val="restart"/>
            <w:tcBorders>
              <w:top w:val="nil" w:sz="6" w:space="0" w:color="auto"/>
              <w:left w:val="single" w:sz="4" w:space="0" w:color="000000"/>
              <w:right w:val="single" w:sz="4" w:space="0" w:color="000000"/>
            </w:tcBorders>
            <w:shd w:val="clear" w:color="auto" w:fill="D2D2D2"/>
          </w:tcPr>
          <w:p>
            <w:pPr/>
          </w:p>
        </w:tc>
        <w:tc>
          <w:tcPr>
            <w:tcW w:w="11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38" w:type="dxa"/>
            <w:vMerge/>
            <w:tcBorders>
              <w:left w:val="single" w:sz="4" w:space="0" w:color="000000"/>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01" w:type="dxa"/>
            <w:vMerge/>
            <w:tcBorders>
              <w:left w:val="single" w:sz="4" w:space="0" w:color="000000"/>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38" w:type="dxa"/>
            <w:vMerge/>
            <w:tcBorders>
              <w:left w:val="single" w:sz="4" w:space="0" w:color="000000"/>
              <w:right w:val="single" w:sz="4" w:space="0" w:color="000000"/>
            </w:tcBorders>
            <w:shd w:val="clear" w:color="auto" w:fill="D2D2D2"/>
          </w:tcPr>
          <w:p>
            <w:pPr/>
          </w:p>
        </w:tc>
        <w:tc>
          <w:tcPr>
            <w:tcW w:w="11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38" w:type="dxa"/>
            <w:vMerge/>
            <w:tcBorders>
              <w:left w:val="single" w:sz="4" w:space="0" w:color="000000"/>
              <w:right w:val="single" w:sz="4" w:space="0" w:color="000000"/>
            </w:tcBorders>
            <w:shd w:val="clear" w:color="auto" w:fill="D2D2D2"/>
          </w:tcPr>
          <w:p>
            <w:pPr/>
          </w:p>
        </w:tc>
        <w:tc>
          <w:tcPr>
            <w:tcW w:w="18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小计</w:t>
            </w:r>
          </w:p>
        </w:tc>
        <w:tc>
          <w:tcPr>
            <w:tcW w:w="1090"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97" w:hRule="exact"/>
        </w:trPr>
        <w:tc>
          <w:tcPr>
            <w:tcW w:w="586"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bottom w:val="nil" w:sz="6" w:space="0" w:color="auto"/>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bottom w:val="nil" w:sz="6" w:space="0" w:color="auto"/>
              <w:right w:val="single" w:sz="4" w:space="0" w:color="000000"/>
            </w:tcBorders>
            <w:shd w:val="clear" w:color="auto" w:fill="D2D2D2"/>
          </w:tcPr>
          <w:p>
            <w:pPr/>
          </w:p>
        </w:tc>
        <w:tc>
          <w:tcPr>
            <w:tcW w:w="1001" w:type="dxa"/>
            <w:vMerge/>
            <w:tcBorders>
              <w:left w:val="single" w:sz="4" w:space="0" w:color="000000"/>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150" w:type="dxa"/>
            <w:vMerge/>
            <w:tcBorders>
              <w:left w:val="single" w:sz="4" w:space="0" w:color="000000"/>
              <w:bottom w:val="nil" w:sz="6" w:space="0" w:color="auto"/>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849"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586" w:type="dxa"/>
            <w:vMerge/>
            <w:tcBorders>
              <w:left w:val="single" w:sz="4" w:space="0" w:color="000000"/>
              <w:right w:val="single" w:sz="4" w:space="0" w:color="000000"/>
            </w:tcBorders>
            <w:shd w:val="clear" w:color="auto" w:fill="D2D2D2"/>
          </w:tcPr>
          <w:p>
            <w:pPr/>
          </w:p>
        </w:tc>
        <w:tc>
          <w:tcPr>
            <w:tcW w:w="1174" w:type="dxa"/>
            <w:vMerge w:val="restart"/>
            <w:tcBorders>
              <w:top w:val="nil" w:sz="6" w:space="0" w:color="auto"/>
              <w:left w:val="single" w:sz="4" w:space="0" w:color="000000"/>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235"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202" w:type="dxa"/>
            <w:vMerge w:val="restart"/>
            <w:tcBorders>
              <w:top w:val="nil" w:sz="6" w:space="0" w:color="auto"/>
              <w:left w:val="single" w:sz="4" w:space="0" w:color="000000"/>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150" w:type="dxa"/>
            <w:vMerge w:val="restart"/>
            <w:tcBorders>
              <w:top w:val="nil" w:sz="6" w:space="0" w:color="auto"/>
              <w:left w:val="single" w:sz="4" w:space="0" w:color="000000"/>
              <w:right w:val="single" w:sz="4" w:space="0" w:color="000000"/>
            </w:tcBorders>
            <w:shd w:val="clear" w:color="auto" w:fill="D2D2D2"/>
          </w:tcPr>
          <w:p>
            <w:pPr/>
          </w:p>
        </w:tc>
        <w:tc>
          <w:tcPr>
            <w:tcW w:w="238" w:type="dxa"/>
            <w:vMerge/>
            <w:tcBorders>
              <w:left w:val="single" w:sz="4" w:space="0" w:color="000000"/>
              <w:bottom w:val="nil" w:sz="6" w:space="0" w:color="auto"/>
              <w:right w:val="single" w:sz="4" w:space="0" w:color="000000"/>
            </w:tcBorders>
            <w:shd w:val="clear" w:color="auto" w:fill="D2D2D2"/>
          </w:tcPr>
          <w:p>
            <w:pPr/>
          </w:p>
        </w:tc>
        <w:tc>
          <w:tcPr>
            <w:tcW w:w="1849" w:type="dxa"/>
            <w:vMerge w:val="restart"/>
            <w:tcBorders>
              <w:top w:val="nil" w:sz="6" w:space="0" w:color="auto"/>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312" w:hRule="exact"/>
        </w:trPr>
        <w:tc>
          <w:tcPr>
            <w:tcW w:w="586"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c>
          <w:tcPr>
            <w:tcW w:w="238" w:type="dxa"/>
            <w:vMerge/>
            <w:tcBorders>
              <w:left w:val="single" w:sz="4" w:space="0" w:color="000000"/>
              <w:bottom w:val="nil" w:sz="6" w:space="0" w:color="auto"/>
              <w:right w:val="single" w:sz="4" w:space="0" w:color="000000"/>
            </w:tcBorders>
            <w:shd w:val="clear" w:color="auto" w:fill="D2D2D2"/>
          </w:tcPr>
          <w:p>
            <w:pPr/>
          </w:p>
        </w:tc>
        <w:tc>
          <w:tcPr>
            <w:tcW w:w="235"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1001" w:type="dxa"/>
            <w:vMerge w:val="restart"/>
            <w:tcBorders>
              <w:top w:val="nil" w:sz="6" w:space="0" w:color="auto"/>
              <w:left w:val="single" w:sz="4" w:space="0" w:color="000000"/>
              <w:right w:val="single" w:sz="4" w:space="0" w:color="000000"/>
            </w:tcBorders>
            <w:shd w:val="clear" w:color="auto" w:fill="D2D2D2"/>
          </w:tcPr>
          <w:p>
            <w:pPr/>
          </w:p>
        </w:tc>
        <w:tc>
          <w:tcPr>
            <w:tcW w:w="238"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238" w:type="dxa"/>
            <w:vMerge/>
            <w:tcBorders>
              <w:left w:val="single" w:sz="4" w:space="0" w:color="000000"/>
              <w:right w:val="single" w:sz="4" w:space="0" w:color="000000"/>
            </w:tcBorders>
            <w:shd w:val="clear" w:color="auto" w:fill="D2D2D2"/>
          </w:tcPr>
          <w:p>
            <w:pPr/>
          </w:p>
        </w:tc>
        <w:tc>
          <w:tcPr>
            <w:tcW w:w="1150" w:type="dxa"/>
            <w:vMerge/>
            <w:tcBorders>
              <w:left w:val="single" w:sz="4" w:space="0" w:color="000000"/>
              <w:right w:val="single" w:sz="4" w:space="0" w:color="000000"/>
            </w:tcBorders>
            <w:shd w:val="clear" w:color="auto" w:fill="D2D2D2"/>
          </w:tcPr>
          <w:p>
            <w:pPr/>
          </w:p>
        </w:tc>
        <w:tc>
          <w:tcPr>
            <w:tcW w:w="238" w:type="dxa"/>
            <w:vMerge w:val="restart"/>
            <w:tcBorders>
              <w:top w:val="nil" w:sz="6" w:space="0" w:color="auto"/>
              <w:left w:val="single" w:sz="4" w:space="0" w:color="000000"/>
              <w:right w:val="single" w:sz="4" w:space="0" w:color="000000"/>
            </w:tcBorders>
            <w:shd w:val="clear" w:color="auto" w:fill="D2D2D2"/>
          </w:tcPr>
          <w:p>
            <w:pPr/>
          </w:p>
        </w:tc>
        <w:tc>
          <w:tcPr>
            <w:tcW w:w="1849"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295" w:hRule="exact"/>
        </w:trPr>
        <w:tc>
          <w:tcPr>
            <w:tcW w:w="586" w:type="dxa"/>
            <w:vMerge/>
            <w:tcBorders>
              <w:left w:val="single" w:sz="4" w:space="0" w:color="000000"/>
              <w:bottom w:val="single" w:sz="4" w:space="0" w:color="000000"/>
              <w:right w:val="single" w:sz="4" w:space="0" w:color="000000"/>
            </w:tcBorders>
            <w:shd w:val="clear" w:color="auto" w:fill="D2D2D2"/>
          </w:tcPr>
          <w:p>
            <w:pPr/>
          </w:p>
        </w:tc>
        <w:tc>
          <w:tcPr>
            <w:tcW w:w="1174" w:type="dxa"/>
            <w:vMerge/>
            <w:tcBorders>
              <w:left w:val="single" w:sz="4" w:space="0" w:color="000000"/>
              <w:bottom w:val="single" w:sz="4" w:space="0" w:color="000000"/>
              <w:right w:val="single" w:sz="4" w:space="0" w:color="000000"/>
            </w:tcBorders>
            <w:shd w:val="clear" w:color="auto" w:fill="D2D2D2"/>
          </w:tcPr>
          <w:p>
            <w:pPr/>
          </w:p>
        </w:tc>
        <w:tc>
          <w:tcPr>
            <w:tcW w:w="23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2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238" w:type="dxa"/>
            <w:vMerge/>
            <w:tcBorders>
              <w:left w:val="single" w:sz="4" w:space="0" w:color="000000"/>
              <w:bottom w:val="single" w:sz="4" w:space="0" w:color="000000"/>
              <w:right w:val="single" w:sz="4" w:space="0" w:color="000000"/>
            </w:tcBorders>
            <w:shd w:val="clear" w:color="auto" w:fill="D2D2D2"/>
          </w:tcPr>
          <w:p>
            <w:pPr/>
          </w:p>
        </w:tc>
        <w:tc>
          <w:tcPr>
            <w:tcW w:w="1150" w:type="dxa"/>
            <w:vMerge/>
            <w:tcBorders>
              <w:left w:val="single" w:sz="4" w:space="0" w:color="000000"/>
              <w:bottom w:val="single" w:sz="4" w:space="0" w:color="000000"/>
              <w:right w:val="single" w:sz="4" w:space="0" w:color="000000"/>
            </w:tcBorders>
            <w:shd w:val="clear" w:color="auto" w:fill="D2D2D2"/>
          </w:tcPr>
          <w:p>
            <w:pPr/>
          </w:p>
        </w:tc>
        <w:tc>
          <w:tcPr>
            <w:tcW w:w="238" w:type="dxa"/>
            <w:vMerge/>
            <w:tcBorders>
              <w:left w:val="single" w:sz="4" w:space="0" w:color="000000"/>
              <w:bottom w:val="single" w:sz="4" w:space="0" w:color="000000"/>
              <w:right w:val="single" w:sz="4" w:space="0" w:color="000000"/>
            </w:tcBorders>
            <w:shd w:val="clear" w:color="auto" w:fill="D2D2D2"/>
          </w:tcPr>
          <w:p>
            <w:pPr/>
          </w:p>
        </w:tc>
        <w:tc>
          <w:tcPr>
            <w:tcW w:w="1849"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362" w:hRule="exact"/>
        </w:trPr>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174" w:type="dxa"/>
            <w:tcBorders>
              <w:top w:val="single" w:sz="4" w:space="0" w:color="000000"/>
              <w:left w:val="single" w:sz="10" w:space="0" w:color="D2D2D2"/>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 w:right="22"/>
              <w:jc w:val="left"/>
              <w:rPr>
                <w:rFonts w:ascii="宋体" w:hAnsi="宋体" w:cs="宋体" w:eastAsia="宋体" w:hint="default"/>
                <w:sz w:val="18"/>
                <w:szCs w:val="18"/>
              </w:rPr>
            </w:pPr>
            <w:r>
              <w:rPr>
                <w:rFonts w:ascii="Times New Roman" w:hAnsi="Times New Roman" w:cs="Times New Roman" w:eastAsia="Times New Roman" w:hint="default"/>
                <w:spacing w:val="-23"/>
                <w:sz w:val="18"/>
                <w:szCs w:val="18"/>
              </w:rPr>
              <w:t>1</w:t>
            </w:r>
            <w:r>
              <w:rPr>
                <w:rFonts w:ascii="宋体" w:hAnsi="宋体" w:cs="宋体" w:eastAsia="宋体" w:hint="default"/>
                <w:spacing w:val="-23"/>
                <w:sz w:val="18"/>
                <w:szCs w:val="18"/>
              </w:rPr>
              <w:t>．本期</w:t>
            </w:r>
            <w:r>
              <w:rPr>
                <w:rFonts w:ascii="宋体" w:hAnsi="宋体" w:cs="宋体" w:eastAsia="宋体" w:hint="default"/>
                <w:sz w:val="18"/>
                <w:szCs w:val="18"/>
              </w:rPr>
              <w:t> 提取</w:t>
            </w:r>
          </w:p>
        </w:tc>
        <w:tc>
          <w:tcPr>
            <w:tcW w:w="1174" w:type="dxa"/>
            <w:tcBorders>
              <w:top w:val="single" w:sz="4" w:space="0" w:color="000000"/>
              <w:left w:val="single" w:sz="10" w:space="0" w:color="D2D2D2"/>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 w:right="22"/>
              <w:jc w:val="left"/>
              <w:rPr>
                <w:rFonts w:ascii="宋体" w:hAnsi="宋体" w:cs="宋体" w:eastAsia="宋体" w:hint="default"/>
                <w:sz w:val="18"/>
                <w:szCs w:val="18"/>
              </w:rPr>
            </w:pPr>
            <w:r>
              <w:rPr>
                <w:rFonts w:ascii="Times New Roman" w:hAnsi="Times New Roman" w:cs="Times New Roman" w:eastAsia="Times New Roman" w:hint="default"/>
                <w:spacing w:val="-23"/>
                <w:sz w:val="18"/>
                <w:szCs w:val="18"/>
              </w:rPr>
              <w:t>2</w:t>
            </w:r>
            <w:r>
              <w:rPr>
                <w:rFonts w:ascii="宋体" w:hAnsi="宋体" w:cs="宋体" w:eastAsia="宋体" w:hint="default"/>
                <w:spacing w:val="-23"/>
                <w:sz w:val="18"/>
                <w:szCs w:val="18"/>
              </w:rPr>
              <w:t>．本期</w:t>
            </w:r>
            <w:r>
              <w:rPr>
                <w:rFonts w:ascii="宋体" w:hAnsi="宋体" w:cs="宋体" w:eastAsia="宋体" w:hint="default"/>
                <w:sz w:val="18"/>
                <w:szCs w:val="18"/>
              </w:rPr>
              <w:t> 使用</w:t>
            </w:r>
          </w:p>
        </w:tc>
        <w:tc>
          <w:tcPr>
            <w:tcW w:w="1174" w:type="dxa"/>
            <w:tcBorders>
              <w:top w:val="single" w:sz="4" w:space="0" w:color="000000"/>
              <w:left w:val="single" w:sz="10" w:space="0" w:color="D2D2D2"/>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22"/>
              <w:jc w:val="left"/>
              <w:rPr>
                <w:rFonts w:ascii="宋体" w:hAnsi="宋体" w:cs="宋体" w:eastAsia="宋体" w:hint="default"/>
                <w:sz w:val="18"/>
                <w:szCs w:val="18"/>
              </w:rPr>
            </w:pPr>
            <w:r>
              <w:rPr>
                <w:rFonts w:ascii="宋体" w:hAnsi="宋体" w:cs="宋体" w:eastAsia="宋体" w:hint="default"/>
                <w:sz w:val="18"/>
                <w:szCs w:val="18"/>
              </w:rPr>
              <w:t>（六） 其他</w:t>
            </w:r>
          </w:p>
        </w:tc>
        <w:tc>
          <w:tcPr>
            <w:tcW w:w="1174" w:type="dxa"/>
            <w:tcBorders>
              <w:top w:val="single" w:sz="4" w:space="0" w:color="000000"/>
              <w:left w:val="single" w:sz="10" w:space="0" w:color="D2D2D2"/>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22"/>
              <w:jc w:val="both"/>
              <w:rPr>
                <w:rFonts w:ascii="宋体" w:hAnsi="宋体" w:cs="宋体" w:eastAsia="宋体" w:hint="default"/>
                <w:sz w:val="18"/>
                <w:szCs w:val="18"/>
              </w:rPr>
            </w:pPr>
            <w:r>
              <w:rPr>
                <w:rFonts w:ascii="宋体" w:hAnsi="宋体" w:cs="宋体" w:eastAsia="宋体" w:hint="default"/>
                <w:sz w:val="18"/>
                <w:szCs w:val="18"/>
              </w:rPr>
              <w:t>四、本 期期末 余额</w:t>
            </w:r>
          </w:p>
        </w:tc>
        <w:tc>
          <w:tcPr>
            <w:tcW w:w="11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711,253,742.00</w:t>
            </w:r>
          </w:p>
        </w:tc>
        <w:tc>
          <w:tcPr>
            <w:tcW w:w="2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154,532,434.87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271,050,007.76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64,311,636.61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2,472,494.23</w:t>
            </w:r>
          </w:p>
        </w:tc>
        <w:tc>
          <w:tcPr>
            <w:tcW w:w="23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72,495,704.44</w:t>
            </w:r>
          </w:p>
        </w:tc>
        <w:tc>
          <w:tcPr>
            <w:tcW w:w="23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14,922,706.30</w:t>
            </w:r>
          </w:p>
        </w:tc>
        <w:tc>
          <w:tcPr>
            <w:tcW w:w="238"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54" w:right="0"/>
              <w:jc w:val="left"/>
              <w:rPr>
                <w:rFonts w:ascii="Times New Roman" w:hAnsi="Times New Roman" w:cs="Times New Roman" w:eastAsia="Times New Roman" w:hint="default"/>
                <w:sz w:val="18"/>
                <w:szCs w:val="18"/>
              </w:rPr>
            </w:pPr>
            <w:r>
              <w:rPr>
                <w:rFonts w:ascii="Times New Roman"/>
                <w:sz w:val="18"/>
              </w:rPr>
              <w:t>1,162,415,452.99</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31,741,754.55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1,194,157,207.54</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8"/>
          <w:szCs w:val="28"/>
        </w:rPr>
      </w:pPr>
    </w:p>
    <w:p>
      <w:pPr>
        <w:pStyle w:val="BodyText"/>
        <w:spacing w:line="240" w:lineRule="auto" w:before="44"/>
        <w:ind w:left="140" w:right="0"/>
        <w:jc w:val="left"/>
      </w:pPr>
      <w:r>
        <w:rPr/>
        <w:t>上期金额</w:t>
      </w:r>
    </w:p>
    <w:p>
      <w:pPr>
        <w:pStyle w:val="BodyText"/>
        <w:spacing w:line="240" w:lineRule="auto" w:before="117"/>
        <w:ind w:left="0" w:right="157"/>
        <w:jc w:val="right"/>
      </w:pPr>
      <w:r>
        <w:rPr/>
        <w:t>单位：元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646"/>
        <w:gridCol w:w="1193"/>
        <w:gridCol w:w="245"/>
        <w:gridCol w:w="242"/>
        <w:gridCol w:w="1181"/>
        <w:gridCol w:w="1241"/>
        <w:gridCol w:w="1152"/>
        <w:gridCol w:w="1003"/>
        <w:gridCol w:w="250"/>
        <w:gridCol w:w="1092"/>
        <w:gridCol w:w="257"/>
        <w:gridCol w:w="1241"/>
        <w:gridCol w:w="240"/>
        <w:gridCol w:w="1376"/>
        <w:gridCol w:w="1241"/>
        <w:gridCol w:w="1378"/>
      </w:tblGrid>
      <w:tr>
        <w:trPr>
          <w:trHeight w:val="402" w:hRule="exact"/>
        </w:trPr>
        <w:tc>
          <w:tcPr>
            <w:tcW w:w="646" w:type="dxa"/>
            <w:vMerge w:val="restart"/>
            <w:tcBorders>
              <w:top w:val="single" w:sz="4" w:space="0" w:color="000000"/>
              <w:left w:val="single" w:sz="4" w:space="0" w:color="000000"/>
              <w:right w:val="single" w:sz="4" w:space="0" w:color="000000"/>
            </w:tcBorders>
            <w:shd w:val="clear" w:color="auto" w:fill="D2D2D2"/>
          </w:tcPr>
          <w:p>
            <w:pPr/>
          </w:p>
        </w:tc>
        <w:tc>
          <w:tcPr>
            <w:tcW w:w="13331"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1" w:hRule="exact"/>
        </w:trPr>
        <w:tc>
          <w:tcPr>
            <w:tcW w:w="646" w:type="dxa"/>
            <w:vMerge/>
            <w:tcBorders>
              <w:left w:val="single" w:sz="4" w:space="0" w:color="000000"/>
              <w:right w:val="single" w:sz="4" w:space="0" w:color="000000"/>
            </w:tcBorders>
            <w:shd w:val="clear" w:color="auto" w:fill="D2D2D2"/>
          </w:tcPr>
          <w:p>
            <w:pPr/>
          </w:p>
        </w:tc>
        <w:tc>
          <w:tcPr>
            <w:tcW w:w="1071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41" w:type="dxa"/>
            <w:vMerge w:val="restart"/>
            <w:tcBorders>
              <w:top w:val="single" w:sz="4" w:space="0" w:color="000000"/>
              <w:left w:val="single" w:sz="4" w:space="0" w:color="000000"/>
              <w:right w:val="single" w:sz="4" w:space="0" w:color="000000"/>
            </w:tcBorders>
            <w:shd w:val="clear" w:color="auto" w:fill="D2D2D2"/>
          </w:tcPr>
          <w:p>
            <w:pPr/>
          </w:p>
        </w:tc>
        <w:tc>
          <w:tcPr>
            <w:tcW w:w="1378" w:type="dxa"/>
            <w:vMerge w:val="restart"/>
            <w:tcBorders>
              <w:top w:val="single" w:sz="4" w:space="0" w:color="000000"/>
              <w:left w:val="single" w:sz="4" w:space="0" w:color="000000"/>
              <w:right w:val="single" w:sz="4" w:space="0" w:color="000000"/>
            </w:tcBorders>
            <w:shd w:val="clear" w:color="auto" w:fill="D2D2D2"/>
          </w:tcPr>
          <w:p>
            <w:pPr/>
          </w:p>
        </w:tc>
      </w:tr>
      <w:tr>
        <w:trPr>
          <w:trHeight w:val="352" w:hRule="exact"/>
        </w:trPr>
        <w:tc>
          <w:tcPr>
            <w:tcW w:w="646" w:type="dxa"/>
            <w:vMerge/>
            <w:tcBorders>
              <w:left w:val="single" w:sz="4" w:space="0" w:color="000000"/>
              <w:bottom w:val="nil" w:sz="6" w:space="0" w:color="auto"/>
              <w:right w:val="single" w:sz="4" w:space="0" w:color="000000"/>
            </w:tcBorders>
            <w:shd w:val="clear" w:color="auto" w:fill="D2D2D2"/>
          </w:tcPr>
          <w:p>
            <w:pPr/>
          </w:p>
        </w:tc>
        <w:tc>
          <w:tcPr>
            <w:tcW w:w="1193" w:type="dxa"/>
            <w:vMerge w:val="restart"/>
            <w:tcBorders>
              <w:top w:val="single" w:sz="4" w:space="0" w:color="000000"/>
              <w:left w:val="single" w:sz="4" w:space="0" w:color="000000"/>
              <w:right w:val="single" w:sz="4" w:space="0" w:color="000000"/>
            </w:tcBorders>
            <w:shd w:val="clear" w:color="auto" w:fill="D2D2D2"/>
          </w:tcPr>
          <w:p>
            <w:pPr/>
          </w:p>
        </w:tc>
        <w:tc>
          <w:tcPr>
            <w:tcW w:w="16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41" w:type="dxa"/>
            <w:vMerge w:val="restart"/>
            <w:tcBorders>
              <w:top w:val="single" w:sz="4" w:space="0" w:color="000000"/>
              <w:left w:val="single" w:sz="4" w:space="0" w:color="000000"/>
              <w:right w:val="single" w:sz="4" w:space="0" w:color="000000"/>
            </w:tcBorders>
            <w:shd w:val="clear" w:color="auto" w:fill="D2D2D2"/>
          </w:tcPr>
          <w:p>
            <w:pPr/>
          </w:p>
        </w:tc>
        <w:tc>
          <w:tcPr>
            <w:tcW w:w="1152" w:type="dxa"/>
            <w:vMerge w:val="restart"/>
            <w:tcBorders>
              <w:top w:val="single" w:sz="4" w:space="0" w:color="000000"/>
              <w:left w:val="single" w:sz="4" w:space="0" w:color="000000"/>
              <w:right w:val="single" w:sz="4" w:space="0" w:color="000000"/>
            </w:tcBorders>
            <w:shd w:val="clear" w:color="auto" w:fill="D2D2D2"/>
          </w:tcPr>
          <w:p>
            <w:pPr/>
          </w:p>
        </w:tc>
        <w:tc>
          <w:tcPr>
            <w:tcW w:w="1003" w:type="dxa"/>
            <w:vMerge w:val="restart"/>
            <w:tcBorders>
              <w:top w:val="single" w:sz="4" w:space="0" w:color="000000"/>
              <w:left w:val="single" w:sz="4" w:space="0" w:color="000000"/>
              <w:right w:val="single" w:sz="4" w:space="0" w:color="FFFFFF"/>
            </w:tcBorders>
            <w:shd w:val="clear" w:color="auto" w:fill="D2D2D2"/>
          </w:tcPr>
          <w:p>
            <w:pPr/>
          </w:p>
        </w:tc>
        <w:tc>
          <w:tcPr>
            <w:tcW w:w="250" w:type="dxa"/>
            <w:tcBorders>
              <w:top w:val="single" w:sz="4" w:space="0" w:color="000000"/>
              <w:left w:val="single" w:sz="4" w:space="0" w:color="FFFFFF"/>
              <w:bottom w:val="nil" w:sz="6" w:space="0" w:color="auto"/>
              <w:right w:val="single" w:sz="4" w:space="0" w:color="000000"/>
            </w:tcBorders>
            <w:shd w:val="clear" w:color="auto" w:fill="D2D2D2"/>
          </w:tcPr>
          <w:p>
            <w:pPr/>
          </w:p>
        </w:tc>
        <w:tc>
          <w:tcPr>
            <w:tcW w:w="1092" w:type="dxa"/>
            <w:vMerge w:val="restart"/>
            <w:tcBorders>
              <w:top w:val="single" w:sz="4" w:space="0" w:color="000000"/>
              <w:left w:val="single" w:sz="4" w:space="0" w:color="000000"/>
              <w:right w:val="single" w:sz="4" w:space="0" w:color="000000"/>
            </w:tcBorders>
            <w:shd w:val="clear" w:color="auto" w:fill="D2D2D2"/>
          </w:tcPr>
          <w:p>
            <w:pPr/>
          </w:p>
        </w:tc>
        <w:tc>
          <w:tcPr>
            <w:tcW w:w="25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 w:right="35"/>
              <w:jc w:val="both"/>
              <w:rPr>
                <w:rFonts w:ascii="宋体" w:hAnsi="宋体" w:cs="宋体" w:eastAsia="宋体" w:hint="default"/>
                <w:sz w:val="18"/>
                <w:szCs w:val="18"/>
              </w:rPr>
            </w:pPr>
            <w:r>
              <w:rPr>
                <w:rFonts w:ascii="宋体" w:hAnsi="宋体" w:cs="宋体" w:eastAsia="宋体" w:hint="default"/>
                <w:sz w:val="18"/>
                <w:szCs w:val="18"/>
              </w:rPr>
              <w:t>一 般 风 险 准 备</w:t>
            </w:r>
          </w:p>
        </w:tc>
        <w:tc>
          <w:tcPr>
            <w:tcW w:w="1241" w:type="dxa"/>
            <w:vMerge w:val="restart"/>
            <w:tcBorders>
              <w:top w:val="single" w:sz="4" w:space="0" w:color="000000"/>
              <w:left w:val="single" w:sz="4" w:space="0" w:color="000000"/>
              <w:right w:val="single" w:sz="4" w:space="0" w:color="000000"/>
            </w:tcBorders>
            <w:shd w:val="clear" w:color="auto" w:fill="D2D2D2"/>
          </w:tcPr>
          <w:p>
            <w:pPr/>
          </w:p>
        </w:tc>
        <w:tc>
          <w:tcPr>
            <w:tcW w:w="240" w:type="dxa"/>
            <w:vMerge w:val="restart"/>
            <w:tcBorders>
              <w:top w:val="single" w:sz="4" w:space="0" w:color="000000"/>
              <w:left w:val="single" w:sz="4" w:space="0" w:color="000000"/>
              <w:right w:val="single" w:sz="4" w:space="0" w:color="000000"/>
            </w:tcBorders>
            <w:shd w:val="clear" w:color="auto" w:fill="D2D2D2"/>
          </w:tcPr>
          <w:p>
            <w:pPr/>
          </w:p>
        </w:tc>
        <w:tc>
          <w:tcPr>
            <w:tcW w:w="1376" w:type="dxa"/>
            <w:vMerge w:val="restart"/>
            <w:tcBorders>
              <w:top w:val="single" w:sz="4" w:space="0" w:color="000000"/>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right w:val="single" w:sz="4" w:space="0" w:color="000000"/>
            </w:tcBorders>
            <w:shd w:val="clear" w:color="auto" w:fill="D2D2D2"/>
          </w:tcPr>
          <w:p>
            <w:pPr/>
          </w:p>
        </w:tc>
      </w:tr>
      <w:tr>
        <w:trPr>
          <w:trHeight w:val="231" w:hRule="exact"/>
        </w:trPr>
        <w:tc>
          <w:tcPr>
            <w:tcW w:w="6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left="13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93" w:type="dxa"/>
            <w:vMerge/>
            <w:tcBorders>
              <w:left w:val="single" w:sz="4" w:space="0" w:color="000000"/>
              <w:right w:val="single" w:sz="4" w:space="0" w:color="000000"/>
            </w:tcBorders>
            <w:shd w:val="clear" w:color="auto" w:fill="D2D2D2"/>
          </w:tcPr>
          <w:p>
            <w:pPr/>
          </w:p>
        </w:tc>
        <w:tc>
          <w:tcPr>
            <w:tcW w:w="245" w:type="dxa"/>
            <w:tcBorders>
              <w:top w:val="single" w:sz="4" w:space="0" w:color="000000"/>
              <w:left w:val="single" w:sz="4" w:space="0" w:color="000000"/>
              <w:bottom w:val="nil" w:sz="6" w:space="0" w:color="auto"/>
              <w:right w:val="single" w:sz="4" w:space="0" w:color="000000"/>
            </w:tcBorders>
            <w:shd w:val="clear" w:color="auto" w:fill="D2D2D2"/>
          </w:tcPr>
          <w:p>
            <w:pPr/>
          </w:p>
        </w:tc>
        <w:tc>
          <w:tcPr>
            <w:tcW w:w="24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1003" w:type="dxa"/>
            <w:vMerge/>
            <w:tcBorders>
              <w:left w:val="single" w:sz="4" w:space="0" w:color="000000"/>
              <w:bottom w:val="nil" w:sz="6" w:space="0" w:color="auto"/>
              <w:right w:val="single" w:sz="4" w:space="0" w:color="FFFFFF"/>
            </w:tcBorders>
            <w:shd w:val="clear" w:color="auto" w:fill="D2D2D2"/>
          </w:tcPr>
          <w:p>
            <w:pPr/>
          </w:p>
        </w:tc>
        <w:tc>
          <w:tcPr>
            <w:tcW w:w="250"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16"/>
              <w:ind w:left="28" w:right="29"/>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092" w:type="dxa"/>
            <w:vMerge/>
            <w:tcBorders>
              <w:left w:val="single" w:sz="4" w:space="0" w:color="000000"/>
              <w:right w:val="single" w:sz="4" w:space="0" w:color="000000"/>
            </w:tcBorders>
            <w:shd w:val="clear" w:color="auto" w:fill="D2D2D2"/>
          </w:tcPr>
          <w:p>
            <w:pPr/>
          </w:p>
        </w:tc>
        <w:tc>
          <w:tcPr>
            <w:tcW w:w="257"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240" w:type="dxa"/>
            <w:vMerge/>
            <w:tcBorders>
              <w:left w:val="single" w:sz="4" w:space="0" w:color="000000"/>
              <w:bottom w:val="nil" w:sz="6" w:space="0" w:color="auto"/>
              <w:right w:val="single" w:sz="4" w:space="0" w:color="000000"/>
            </w:tcBorders>
            <w:shd w:val="clear" w:color="auto" w:fill="D2D2D2"/>
          </w:tcPr>
          <w:p>
            <w:pPr/>
          </w:p>
        </w:tc>
        <w:tc>
          <w:tcPr>
            <w:tcW w:w="1376"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bottom w:val="nil" w:sz="6" w:space="0" w:color="auto"/>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r>
      <w:tr>
        <w:trPr>
          <w:trHeight w:val="141" w:hRule="exact"/>
        </w:trPr>
        <w:tc>
          <w:tcPr>
            <w:tcW w:w="646" w:type="dxa"/>
            <w:vMerge/>
            <w:tcBorders>
              <w:left w:val="single" w:sz="4" w:space="0" w:color="000000"/>
              <w:bottom w:val="nil" w:sz="6" w:space="0" w:color="auto"/>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24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7"/>
              <w:ind w:left="23" w:right="29"/>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4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7"/>
              <w:ind w:left="24" w:right="26"/>
              <w:jc w:val="both"/>
              <w:rPr>
                <w:rFonts w:ascii="宋体" w:hAnsi="宋体" w:cs="宋体" w:eastAsia="宋体" w:hint="default"/>
                <w:sz w:val="18"/>
                <w:szCs w:val="18"/>
              </w:rPr>
            </w:pPr>
            <w:r>
              <w:rPr>
                <w:rFonts w:ascii="宋体" w:hAnsi="宋体" w:cs="宋体" w:eastAsia="宋体" w:hint="default"/>
                <w:sz w:val="18"/>
                <w:szCs w:val="18"/>
              </w:rPr>
              <w:t>永 续 债</w:t>
            </w:r>
          </w:p>
        </w:tc>
        <w:tc>
          <w:tcPr>
            <w:tcW w:w="1181"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bottom w:val="nil" w:sz="6" w:space="0" w:color="auto"/>
              <w:right w:val="single" w:sz="4" w:space="0" w:color="000000"/>
            </w:tcBorders>
            <w:shd w:val="clear" w:color="auto" w:fill="D2D2D2"/>
          </w:tcPr>
          <w:p>
            <w:pPr/>
          </w:p>
        </w:tc>
        <w:tc>
          <w:tcPr>
            <w:tcW w:w="1152" w:type="dxa"/>
            <w:vMerge/>
            <w:tcBorders>
              <w:left w:val="single" w:sz="4" w:space="0" w:color="000000"/>
              <w:bottom w:val="nil" w:sz="6" w:space="0" w:color="auto"/>
              <w:right w:val="single" w:sz="4" w:space="0" w:color="000000"/>
            </w:tcBorders>
            <w:shd w:val="clear" w:color="auto" w:fill="D2D2D2"/>
          </w:tcPr>
          <w:p>
            <w:pPr/>
          </w:p>
        </w:tc>
        <w:tc>
          <w:tcPr>
            <w:tcW w:w="1003" w:type="dxa"/>
            <w:vMerge w:val="restart"/>
            <w:tcBorders>
              <w:top w:val="nil" w:sz="6" w:space="0" w:color="auto"/>
              <w:left w:val="single" w:sz="4" w:space="0" w:color="000000"/>
              <w:right w:val="single" w:sz="4" w:space="0" w:color="FFFFFF"/>
            </w:tcBorders>
            <w:shd w:val="clear" w:color="auto" w:fill="D2D2D2"/>
          </w:tcPr>
          <w:p>
            <w:pPr>
              <w:pStyle w:val="TableParagraph"/>
              <w:spacing w:line="314" w:lineRule="auto" w:before="61"/>
              <w:ind w:left="408" w:right="43"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250" w:type="dxa"/>
            <w:vMerge/>
            <w:tcBorders>
              <w:left w:val="single" w:sz="4" w:space="0" w:color="FFFFFF"/>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257"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bottom w:val="nil" w:sz="6" w:space="0" w:color="auto"/>
              <w:right w:val="single" w:sz="4" w:space="0" w:color="000000"/>
            </w:tcBorders>
            <w:shd w:val="clear" w:color="auto" w:fill="D2D2D2"/>
          </w:tcPr>
          <w:p>
            <w:pPr/>
          </w:p>
        </w:tc>
        <w:tc>
          <w:tcPr>
            <w:tcW w:w="240"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33"/>
              <w:ind w:left="24" w:right="24"/>
              <w:jc w:val="left"/>
              <w:rPr>
                <w:rFonts w:ascii="宋体" w:hAnsi="宋体" w:cs="宋体" w:eastAsia="宋体" w:hint="default"/>
                <w:sz w:val="18"/>
                <w:szCs w:val="18"/>
              </w:rPr>
            </w:pPr>
            <w:r>
              <w:rPr>
                <w:rFonts w:ascii="宋体" w:hAnsi="宋体" w:cs="宋体" w:eastAsia="宋体" w:hint="default"/>
                <w:sz w:val="18"/>
                <w:szCs w:val="18"/>
              </w:rPr>
              <w:t>其 他</w:t>
            </w:r>
          </w:p>
        </w:tc>
        <w:tc>
          <w:tcPr>
            <w:tcW w:w="1376" w:type="dxa"/>
            <w:vMerge/>
            <w:tcBorders>
              <w:left w:val="single" w:sz="4" w:space="0" w:color="000000"/>
              <w:bottom w:val="nil" w:sz="6" w:space="0" w:color="auto"/>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76"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5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4" w:hRule="exact"/>
        </w:trPr>
        <w:tc>
          <w:tcPr>
            <w:tcW w:w="646" w:type="dxa"/>
            <w:vMerge w:val="restart"/>
            <w:tcBorders>
              <w:top w:val="nil" w:sz="6" w:space="0" w:color="auto"/>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45" w:type="dxa"/>
            <w:vMerge/>
            <w:tcBorders>
              <w:left w:val="single" w:sz="4" w:space="0" w:color="000000"/>
              <w:right w:val="single" w:sz="4" w:space="0" w:color="000000"/>
            </w:tcBorders>
            <w:shd w:val="clear" w:color="auto" w:fill="D2D2D2"/>
          </w:tcPr>
          <w:p>
            <w:pPr/>
          </w:p>
        </w:tc>
        <w:tc>
          <w:tcPr>
            <w:tcW w:w="242"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5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03" w:type="dxa"/>
            <w:vMerge/>
            <w:tcBorders>
              <w:left w:val="single" w:sz="4" w:space="0" w:color="000000"/>
              <w:right w:val="single" w:sz="4" w:space="0" w:color="FFFFFF"/>
            </w:tcBorders>
            <w:shd w:val="clear" w:color="auto" w:fill="D2D2D2"/>
          </w:tcPr>
          <w:p>
            <w:pPr/>
          </w:p>
        </w:tc>
        <w:tc>
          <w:tcPr>
            <w:tcW w:w="250" w:type="dxa"/>
            <w:vMerge/>
            <w:tcBorders>
              <w:left w:val="single" w:sz="4" w:space="0" w:color="FFFFFF"/>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7" w:type="dxa"/>
            <w:vMerge/>
            <w:tcBorders>
              <w:left w:val="single" w:sz="4" w:space="0" w:color="000000"/>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0" w:type="dxa"/>
            <w:vMerge/>
            <w:tcBorders>
              <w:left w:val="single" w:sz="4" w:space="0" w:color="000000"/>
              <w:right w:val="single" w:sz="4" w:space="0" w:color="000000"/>
            </w:tcBorders>
            <w:shd w:val="clear" w:color="auto" w:fill="D2D2D2"/>
          </w:tcPr>
          <w:p>
            <w:pPr/>
          </w:p>
        </w:tc>
        <w:tc>
          <w:tcPr>
            <w:tcW w:w="13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小计</w:t>
            </w:r>
          </w:p>
        </w:tc>
        <w:tc>
          <w:tcPr>
            <w:tcW w:w="1241" w:type="dxa"/>
            <w:vMerge/>
            <w:tcBorders>
              <w:left w:val="single" w:sz="4" w:space="0" w:color="000000"/>
              <w:bottom w:val="nil" w:sz="6" w:space="0" w:color="auto"/>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r>
      <w:tr>
        <w:trPr>
          <w:trHeight w:val="197" w:hRule="exact"/>
        </w:trPr>
        <w:tc>
          <w:tcPr>
            <w:tcW w:w="646"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245" w:type="dxa"/>
            <w:vMerge/>
            <w:tcBorders>
              <w:left w:val="single" w:sz="4" w:space="0" w:color="000000"/>
              <w:right w:val="single" w:sz="4" w:space="0" w:color="000000"/>
            </w:tcBorders>
            <w:shd w:val="clear" w:color="auto" w:fill="D2D2D2"/>
          </w:tcPr>
          <w:p>
            <w:pPr/>
          </w:p>
        </w:tc>
        <w:tc>
          <w:tcPr>
            <w:tcW w:w="242"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41" w:type="dxa"/>
            <w:vMerge/>
            <w:tcBorders>
              <w:left w:val="single" w:sz="4" w:space="0" w:color="000000"/>
              <w:bottom w:val="nil" w:sz="6" w:space="0" w:color="auto"/>
              <w:right w:val="single" w:sz="4" w:space="0" w:color="000000"/>
            </w:tcBorders>
            <w:shd w:val="clear" w:color="auto" w:fill="D2D2D2"/>
          </w:tcPr>
          <w:p>
            <w:pPr/>
          </w:p>
        </w:tc>
        <w:tc>
          <w:tcPr>
            <w:tcW w:w="1152" w:type="dxa"/>
            <w:vMerge/>
            <w:tcBorders>
              <w:left w:val="single" w:sz="4" w:space="0" w:color="000000"/>
              <w:bottom w:val="nil" w:sz="6" w:space="0" w:color="auto"/>
              <w:right w:val="single" w:sz="4" w:space="0" w:color="000000"/>
            </w:tcBorders>
            <w:shd w:val="clear" w:color="auto" w:fill="D2D2D2"/>
          </w:tcPr>
          <w:p>
            <w:pPr/>
          </w:p>
        </w:tc>
        <w:tc>
          <w:tcPr>
            <w:tcW w:w="1003" w:type="dxa"/>
            <w:vMerge/>
            <w:tcBorders>
              <w:left w:val="single" w:sz="4" w:space="0" w:color="000000"/>
              <w:right w:val="single" w:sz="4" w:space="0" w:color="FFFFFF"/>
            </w:tcBorders>
            <w:shd w:val="clear" w:color="auto" w:fill="D2D2D2"/>
          </w:tcPr>
          <w:p>
            <w:pPr/>
          </w:p>
        </w:tc>
        <w:tc>
          <w:tcPr>
            <w:tcW w:w="250" w:type="dxa"/>
            <w:vMerge/>
            <w:tcBorders>
              <w:left w:val="single" w:sz="4" w:space="0" w:color="FFFFFF"/>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257"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bottom w:val="nil" w:sz="6" w:space="0" w:color="auto"/>
              <w:right w:val="single" w:sz="4" w:space="0" w:color="000000"/>
            </w:tcBorders>
            <w:shd w:val="clear" w:color="auto" w:fill="D2D2D2"/>
          </w:tcPr>
          <w:p>
            <w:pPr/>
          </w:p>
        </w:tc>
        <w:tc>
          <w:tcPr>
            <w:tcW w:w="240" w:type="dxa"/>
            <w:vMerge/>
            <w:tcBorders>
              <w:left w:val="single" w:sz="4" w:space="0" w:color="000000"/>
              <w:right w:val="single" w:sz="4" w:space="0" w:color="000000"/>
            </w:tcBorders>
            <w:shd w:val="clear" w:color="auto" w:fill="D2D2D2"/>
          </w:tcPr>
          <w:p>
            <w:pPr/>
          </w:p>
        </w:tc>
        <w:tc>
          <w:tcPr>
            <w:tcW w:w="1376" w:type="dxa"/>
            <w:vMerge/>
            <w:tcBorders>
              <w:left w:val="single" w:sz="4" w:space="0" w:color="000000"/>
              <w:bottom w:val="nil" w:sz="6" w:space="0" w:color="auto"/>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646"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
        </w:tc>
        <w:tc>
          <w:tcPr>
            <w:tcW w:w="245" w:type="dxa"/>
            <w:vMerge/>
            <w:tcBorders>
              <w:left w:val="single" w:sz="4" w:space="0" w:color="000000"/>
              <w:right w:val="single" w:sz="4" w:space="0" w:color="000000"/>
            </w:tcBorders>
            <w:shd w:val="clear" w:color="auto" w:fill="D2D2D2"/>
          </w:tcPr>
          <w:p>
            <w:pPr/>
          </w:p>
        </w:tc>
        <w:tc>
          <w:tcPr>
            <w:tcW w:w="242"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
        </w:tc>
        <w:tc>
          <w:tcPr>
            <w:tcW w:w="1152" w:type="dxa"/>
            <w:vMerge w:val="restart"/>
            <w:tcBorders>
              <w:top w:val="nil" w:sz="6" w:space="0" w:color="auto"/>
              <w:left w:val="single" w:sz="4" w:space="0" w:color="000000"/>
              <w:right w:val="single" w:sz="4" w:space="0" w:color="000000"/>
            </w:tcBorders>
            <w:shd w:val="clear" w:color="auto" w:fill="D2D2D2"/>
          </w:tcPr>
          <w:p>
            <w:pPr/>
          </w:p>
        </w:tc>
        <w:tc>
          <w:tcPr>
            <w:tcW w:w="1003" w:type="dxa"/>
            <w:vMerge/>
            <w:tcBorders>
              <w:left w:val="single" w:sz="4" w:space="0" w:color="000000"/>
              <w:bottom w:val="nil" w:sz="6" w:space="0" w:color="auto"/>
              <w:right w:val="single" w:sz="4" w:space="0" w:color="FFFFFF"/>
            </w:tcBorders>
            <w:shd w:val="clear" w:color="auto" w:fill="D2D2D2"/>
          </w:tcPr>
          <w:p>
            <w:pPr/>
          </w:p>
        </w:tc>
        <w:tc>
          <w:tcPr>
            <w:tcW w:w="250" w:type="dxa"/>
            <w:vMerge/>
            <w:tcBorders>
              <w:left w:val="single" w:sz="4" w:space="0" w:color="FFFFFF"/>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
        </w:tc>
        <w:tc>
          <w:tcPr>
            <w:tcW w:w="257" w:type="dxa"/>
            <w:vMerge/>
            <w:tcBorders>
              <w:left w:val="single" w:sz="4" w:space="0" w:color="000000"/>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
        </w:tc>
        <w:tc>
          <w:tcPr>
            <w:tcW w:w="240" w:type="dxa"/>
            <w:vMerge/>
            <w:tcBorders>
              <w:left w:val="single" w:sz="4" w:space="0" w:color="000000"/>
              <w:bottom w:val="nil" w:sz="6" w:space="0" w:color="auto"/>
              <w:right w:val="single" w:sz="4" w:space="0" w:color="000000"/>
            </w:tcBorders>
            <w:shd w:val="clear" w:color="auto" w:fill="D2D2D2"/>
          </w:tcPr>
          <w:p>
            <w:pPr/>
          </w:p>
        </w:tc>
        <w:tc>
          <w:tcPr>
            <w:tcW w:w="1376" w:type="dxa"/>
            <w:vMerge w:val="restart"/>
            <w:tcBorders>
              <w:top w:val="nil" w:sz="6" w:space="0" w:color="auto"/>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right w:val="single" w:sz="4" w:space="0" w:color="000000"/>
            </w:tcBorders>
            <w:shd w:val="clear" w:color="auto" w:fill="D2D2D2"/>
          </w:tcPr>
          <w:p>
            <w:pPr/>
          </w:p>
        </w:tc>
      </w:tr>
      <w:tr>
        <w:trPr>
          <w:trHeight w:val="312" w:hRule="exact"/>
        </w:trPr>
        <w:tc>
          <w:tcPr>
            <w:tcW w:w="646"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245" w:type="dxa"/>
            <w:vMerge/>
            <w:tcBorders>
              <w:left w:val="single" w:sz="4" w:space="0" w:color="000000"/>
              <w:bottom w:val="nil" w:sz="6" w:space="0" w:color="auto"/>
              <w:right w:val="single" w:sz="4" w:space="0" w:color="000000"/>
            </w:tcBorders>
            <w:shd w:val="clear" w:color="auto" w:fill="D2D2D2"/>
          </w:tcPr>
          <w:p>
            <w:pPr/>
          </w:p>
        </w:tc>
        <w:tc>
          <w:tcPr>
            <w:tcW w:w="242"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1003" w:type="dxa"/>
            <w:vMerge w:val="restart"/>
            <w:tcBorders>
              <w:top w:val="nil" w:sz="6" w:space="0" w:color="auto"/>
              <w:left w:val="single" w:sz="4" w:space="0" w:color="000000"/>
              <w:right w:val="single" w:sz="4" w:space="0" w:color="FFFFFF"/>
            </w:tcBorders>
            <w:shd w:val="clear" w:color="auto" w:fill="D2D2D2"/>
          </w:tcPr>
          <w:p>
            <w:pPr/>
          </w:p>
        </w:tc>
        <w:tc>
          <w:tcPr>
            <w:tcW w:w="250" w:type="dxa"/>
            <w:vMerge/>
            <w:tcBorders>
              <w:left w:val="single" w:sz="4" w:space="0" w:color="FFFFFF"/>
              <w:bottom w:val="nil" w:sz="6" w:space="0" w:color="auto"/>
              <w:right w:val="single" w:sz="4" w:space="0" w:color="000000"/>
            </w:tcBorders>
            <w:shd w:val="clear" w:color="auto" w:fill="D2D2D2"/>
          </w:tcPr>
          <w:p>
            <w:pPr/>
          </w:p>
        </w:tc>
        <w:tc>
          <w:tcPr>
            <w:tcW w:w="1092" w:type="dxa"/>
            <w:vMerge/>
            <w:tcBorders>
              <w:left w:val="single" w:sz="4" w:space="0" w:color="000000"/>
              <w:right w:val="single" w:sz="4" w:space="0" w:color="000000"/>
            </w:tcBorders>
            <w:shd w:val="clear" w:color="auto" w:fill="D2D2D2"/>
          </w:tcPr>
          <w:p>
            <w:pPr/>
          </w:p>
        </w:tc>
        <w:tc>
          <w:tcPr>
            <w:tcW w:w="257"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240" w:type="dxa"/>
            <w:vMerge w:val="restart"/>
            <w:tcBorders>
              <w:top w:val="nil" w:sz="6" w:space="0" w:color="auto"/>
              <w:left w:val="single" w:sz="4" w:space="0" w:color="000000"/>
              <w:right w:val="single" w:sz="4" w:space="0" w:color="000000"/>
            </w:tcBorders>
            <w:shd w:val="clear" w:color="auto" w:fill="D2D2D2"/>
          </w:tcPr>
          <w:p>
            <w:pPr/>
          </w:p>
        </w:tc>
        <w:tc>
          <w:tcPr>
            <w:tcW w:w="1376"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right w:val="single" w:sz="4" w:space="0" w:color="000000"/>
            </w:tcBorders>
            <w:shd w:val="clear" w:color="auto" w:fill="D2D2D2"/>
          </w:tcPr>
          <w:p>
            <w:pPr/>
          </w:p>
        </w:tc>
      </w:tr>
      <w:tr>
        <w:trPr>
          <w:trHeight w:val="294" w:hRule="exact"/>
        </w:trPr>
        <w:tc>
          <w:tcPr>
            <w:tcW w:w="646"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245" w:type="dxa"/>
            <w:tcBorders>
              <w:top w:val="nil" w:sz="6" w:space="0" w:color="auto"/>
              <w:left w:val="single" w:sz="4" w:space="0" w:color="000000"/>
              <w:bottom w:val="single" w:sz="4" w:space="0" w:color="000000"/>
              <w:right w:val="single" w:sz="4" w:space="0" w:color="000000"/>
            </w:tcBorders>
            <w:shd w:val="clear" w:color="auto" w:fill="D2D2D2"/>
          </w:tcPr>
          <w:p>
            <w:pPr/>
          </w:p>
        </w:tc>
        <w:tc>
          <w:tcPr>
            <w:tcW w:w="24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241"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FFFFFF"/>
            </w:tcBorders>
            <w:shd w:val="clear" w:color="auto" w:fill="D2D2D2"/>
          </w:tcPr>
          <w:p>
            <w:pPr/>
          </w:p>
        </w:tc>
        <w:tc>
          <w:tcPr>
            <w:tcW w:w="250" w:type="dxa"/>
            <w:tcBorders>
              <w:top w:val="nil" w:sz="6" w:space="0" w:color="auto"/>
              <w:left w:val="single" w:sz="4" w:space="0" w:color="FFFFFF"/>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257" w:type="dxa"/>
            <w:vMerge/>
            <w:tcBorders>
              <w:left w:val="single" w:sz="4" w:space="0" w:color="000000"/>
              <w:bottom w:val="single" w:sz="4" w:space="0" w:color="000000"/>
              <w:right w:val="single" w:sz="4" w:space="0" w:color="000000"/>
            </w:tcBorders>
            <w:shd w:val="clear" w:color="auto" w:fill="D2D2D2"/>
          </w:tcPr>
          <w:p>
            <w:pPr/>
          </w:p>
        </w:tc>
        <w:tc>
          <w:tcPr>
            <w:tcW w:w="1241" w:type="dxa"/>
            <w:vMerge/>
            <w:tcBorders>
              <w:left w:val="single" w:sz="4" w:space="0" w:color="000000"/>
              <w:bottom w:val="single" w:sz="4" w:space="0" w:color="000000"/>
              <w:right w:val="single" w:sz="4" w:space="0" w:color="000000"/>
            </w:tcBorders>
            <w:shd w:val="clear" w:color="auto" w:fill="D2D2D2"/>
          </w:tcPr>
          <w:p>
            <w:pPr/>
          </w:p>
        </w:tc>
        <w:tc>
          <w:tcPr>
            <w:tcW w:w="240" w:type="dxa"/>
            <w:vMerge/>
            <w:tcBorders>
              <w:left w:val="single" w:sz="4" w:space="0" w:color="000000"/>
              <w:bottom w:val="single" w:sz="4" w:space="0" w:color="000000"/>
              <w:right w:val="single" w:sz="4" w:space="0" w:color="000000"/>
            </w:tcBorders>
            <w:shd w:val="clear" w:color="auto" w:fill="D2D2D2"/>
          </w:tcPr>
          <w:p>
            <w:pPr/>
          </w:p>
        </w:tc>
        <w:tc>
          <w:tcPr>
            <w:tcW w:w="1376" w:type="dxa"/>
            <w:vMerge/>
            <w:tcBorders>
              <w:left w:val="single" w:sz="4" w:space="0" w:color="000000"/>
              <w:bottom w:val="single" w:sz="4" w:space="0" w:color="000000"/>
              <w:right w:val="single" w:sz="4" w:space="0" w:color="000000"/>
            </w:tcBorders>
            <w:shd w:val="clear" w:color="auto" w:fill="D2D2D2"/>
          </w:tcPr>
          <w:p>
            <w:pPr/>
          </w:p>
        </w:tc>
        <w:tc>
          <w:tcPr>
            <w:tcW w:w="1241" w:type="dxa"/>
            <w:vMerge/>
            <w:tcBorders>
              <w:left w:val="single" w:sz="4" w:space="0" w:color="000000"/>
              <w:bottom w:val="single" w:sz="4" w:space="0" w:color="000000"/>
              <w:right w:val="single" w:sz="4" w:space="0" w:color="000000"/>
            </w:tcBorders>
            <w:shd w:val="clear" w:color="auto" w:fill="D2D2D2"/>
          </w:tcPr>
          <w:p>
            <w:pPr/>
          </w:p>
        </w:tc>
        <w:tc>
          <w:tcPr>
            <w:tcW w:w="1378"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82"/>
              <w:jc w:val="both"/>
              <w:rPr>
                <w:rFonts w:ascii="宋体" w:hAnsi="宋体" w:cs="宋体" w:eastAsia="宋体" w:hint="default"/>
                <w:sz w:val="18"/>
                <w:szCs w:val="18"/>
              </w:rPr>
            </w:pPr>
            <w:r>
              <w:rPr>
                <w:rFonts w:ascii="宋体" w:hAnsi="宋体" w:cs="宋体" w:eastAsia="宋体" w:hint="default"/>
                <w:sz w:val="18"/>
                <w:szCs w:val="18"/>
              </w:rPr>
              <w:t>一、上 年期末 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710,727,417.00</w:t>
            </w:r>
          </w:p>
        </w:tc>
        <w:tc>
          <w:tcPr>
            <w:tcW w:w="245" w:type="dxa"/>
            <w:tcBorders>
              <w:top w:val="single" w:sz="4" w:space="0" w:color="000000"/>
              <w:left w:val="single" w:sz="4" w:space="0" w:color="000000"/>
              <w:bottom w:val="single" w:sz="4" w:space="0" w:color="000000"/>
              <w:right w:val="single" w:sz="4" w:space="0" w:color="000000"/>
            </w:tcBorders>
          </w:tcPr>
          <w:p>
            <w:pPr/>
          </w:p>
        </w:tc>
        <w:tc>
          <w:tcPr>
            <w:tcW w:w="2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154,607,862.97</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891,956,409.25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43,131,880.00</w:t>
            </w:r>
          </w:p>
        </w:tc>
        <w:tc>
          <w:tcPr>
            <w:tcW w:w="100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-989,779.34</w:t>
            </w:r>
          </w:p>
        </w:tc>
        <w:tc>
          <w:tcPr>
            <w:tcW w:w="250" w:type="dxa"/>
            <w:tcBorders>
              <w:top w:val="single" w:sz="4" w:space="0" w:color="000000"/>
              <w:left w:val="single" w:sz="4" w:space="0" w:color="FFFFFF"/>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72,495,704.44</w:t>
            </w:r>
          </w:p>
        </w:tc>
        <w:tc>
          <w:tcPr>
            <w:tcW w:w="25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828,390,827.75</w:t>
            </w:r>
          </w:p>
        </w:tc>
        <w:tc>
          <w:tcPr>
            <w:tcW w:w="24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2,614,056,562.07</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149,805,020.31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2,763,861,582.38</w:t>
            </w:r>
          </w:p>
        </w:tc>
      </w:tr>
      <w:tr>
        <w:trPr>
          <w:trHeight w:val="1340" w:hRule="exact"/>
        </w:trPr>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1" w:right="82"/>
              <w:jc w:val="both"/>
              <w:rPr>
                <w:rFonts w:ascii="宋体" w:hAnsi="宋体" w:cs="宋体" w:eastAsia="宋体" w:hint="default"/>
                <w:sz w:val="18"/>
                <w:szCs w:val="18"/>
              </w:rPr>
            </w:pPr>
            <w:r>
              <w:rPr>
                <w:rFonts w:ascii="宋体" w:hAnsi="宋体" w:cs="宋体" w:eastAsia="宋体" w:hint="default"/>
                <w:sz w:val="18"/>
                <w:szCs w:val="18"/>
              </w:rPr>
              <w:t>加：会 计政策 变更</w:t>
            </w:r>
          </w:p>
        </w:tc>
        <w:tc>
          <w:tcPr>
            <w:tcW w:w="1193" w:type="dxa"/>
            <w:tcBorders>
              <w:top w:val="single" w:sz="4" w:space="0" w:color="000000"/>
              <w:left w:val="single" w:sz="13" w:space="0" w:color="D2D2D2"/>
              <w:bottom w:val="single" w:sz="4" w:space="0" w:color="000000"/>
              <w:right w:val="single" w:sz="4" w:space="0" w:color="000000"/>
            </w:tcBorders>
          </w:tcPr>
          <w:p>
            <w:pPr/>
          </w:p>
        </w:tc>
        <w:tc>
          <w:tcPr>
            <w:tcW w:w="245" w:type="dxa"/>
            <w:tcBorders>
              <w:top w:val="single" w:sz="4" w:space="0" w:color="000000"/>
              <w:left w:val="single" w:sz="4" w:space="0" w:color="000000"/>
              <w:bottom w:val="single" w:sz="4" w:space="0" w:color="000000"/>
              <w:right w:val="single" w:sz="4" w:space="0" w:color="000000"/>
            </w:tcBorders>
          </w:tcPr>
          <w:p>
            <w:pPr/>
          </w:p>
        </w:tc>
        <w:tc>
          <w:tcPr>
            <w:tcW w:w="2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FFFFFF"/>
            </w:tcBorders>
          </w:tcPr>
          <w:p>
            <w:pPr/>
          </w:p>
        </w:tc>
        <w:tc>
          <w:tcPr>
            <w:tcW w:w="250" w:type="dxa"/>
            <w:tcBorders>
              <w:top w:val="single" w:sz="4" w:space="0" w:color="000000"/>
              <w:left w:val="single" w:sz="4" w:space="0" w:color="FFFFFF"/>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 w:right="82"/>
              <w:jc w:val="left"/>
              <w:rPr>
                <w:rFonts w:ascii="宋体" w:hAnsi="宋体" w:cs="宋体" w:eastAsia="宋体" w:hint="default"/>
                <w:sz w:val="18"/>
                <w:szCs w:val="18"/>
              </w:rPr>
            </w:pPr>
            <w:r>
              <w:rPr>
                <w:rFonts w:ascii="宋体" w:hAnsi="宋体" w:cs="宋体" w:eastAsia="宋体" w:hint="default"/>
                <w:sz w:val="18"/>
                <w:szCs w:val="18"/>
              </w:rPr>
              <w:t>前期差 错更正</w:t>
            </w:r>
          </w:p>
        </w:tc>
        <w:tc>
          <w:tcPr>
            <w:tcW w:w="1193" w:type="dxa"/>
            <w:tcBorders>
              <w:top w:val="single" w:sz="4" w:space="0" w:color="000000"/>
              <w:left w:val="single" w:sz="13" w:space="0" w:color="D2D2D2"/>
              <w:bottom w:val="single" w:sz="4" w:space="0" w:color="000000"/>
              <w:right w:val="single" w:sz="4" w:space="0" w:color="000000"/>
            </w:tcBorders>
          </w:tcPr>
          <w:p>
            <w:pPr/>
          </w:p>
        </w:tc>
        <w:tc>
          <w:tcPr>
            <w:tcW w:w="245" w:type="dxa"/>
            <w:tcBorders>
              <w:top w:val="single" w:sz="4" w:space="0" w:color="000000"/>
              <w:left w:val="single" w:sz="4" w:space="0" w:color="000000"/>
              <w:bottom w:val="single" w:sz="4" w:space="0" w:color="000000"/>
              <w:right w:val="single" w:sz="4" w:space="0" w:color="000000"/>
            </w:tcBorders>
          </w:tcPr>
          <w:p>
            <w:pPr/>
          </w:p>
        </w:tc>
        <w:tc>
          <w:tcPr>
            <w:tcW w:w="2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FFFFFF"/>
            </w:tcBorders>
          </w:tcPr>
          <w:p>
            <w:pPr/>
          </w:p>
        </w:tc>
        <w:tc>
          <w:tcPr>
            <w:tcW w:w="250" w:type="dxa"/>
            <w:tcBorders>
              <w:top w:val="single" w:sz="4" w:space="0" w:color="000000"/>
              <w:left w:val="single" w:sz="4" w:space="0" w:color="FFFFFF"/>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1" w:right="82"/>
              <w:jc w:val="both"/>
              <w:rPr>
                <w:rFonts w:ascii="宋体" w:hAnsi="宋体" w:cs="宋体" w:eastAsia="宋体" w:hint="default"/>
                <w:sz w:val="18"/>
                <w:szCs w:val="18"/>
              </w:rPr>
            </w:pPr>
            <w:r>
              <w:rPr>
                <w:rFonts w:ascii="宋体" w:hAnsi="宋体" w:cs="宋体" w:eastAsia="宋体" w:hint="default"/>
                <w:sz w:val="18"/>
                <w:szCs w:val="18"/>
              </w:rPr>
              <w:t>同一控 制下企 业合并</w:t>
            </w:r>
          </w:p>
        </w:tc>
        <w:tc>
          <w:tcPr>
            <w:tcW w:w="1193" w:type="dxa"/>
            <w:tcBorders>
              <w:top w:val="single" w:sz="4" w:space="0" w:color="000000"/>
              <w:left w:val="single" w:sz="13" w:space="0" w:color="D2D2D2"/>
              <w:bottom w:val="single" w:sz="4" w:space="0" w:color="000000"/>
              <w:right w:val="single" w:sz="4" w:space="0" w:color="000000"/>
            </w:tcBorders>
          </w:tcPr>
          <w:p>
            <w:pPr/>
          </w:p>
        </w:tc>
        <w:tc>
          <w:tcPr>
            <w:tcW w:w="245" w:type="dxa"/>
            <w:tcBorders>
              <w:top w:val="single" w:sz="4" w:space="0" w:color="000000"/>
              <w:left w:val="single" w:sz="4" w:space="0" w:color="000000"/>
              <w:bottom w:val="single" w:sz="4" w:space="0" w:color="000000"/>
              <w:right w:val="single" w:sz="4" w:space="0" w:color="000000"/>
            </w:tcBorders>
          </w:tcPr>
          <w:p>
            <w:pPr/>
          </w:p>
        </w:tc>
        <w:tc>
          <w:tcPr>
            <w:tcW w:w="2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FFFFFF"/>
            </w:tcBorders>
          </w:tcPr>
          <w:p>
            <w:pPr/>
          </w:p>
        </w:tc>
        <w:tc>
          <w:tcPr>
            <w:tcW w:w="250" w:type="dxa"/>
            <w:tcBorders>
              <w:top w:val="single" w:sz="4" w:space="0" w:color="000000"/>
              <w:left w:val="single" w:sz="4" w:space="0" w:color="FFFFFF"/>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245" w:type="dxa"/>
            <w:tcBorders>
              <w:top w:val="single" w:sz="4" w:space="0" w:color="000000"/>
              <w:left w:val="single" w:sz="4" w:space="0" w:color="000000"/>
              <w:bottom w:val="single" w:sz="4" w:space="0" w:color="000000"/>
              <w:right w:val="single" w:sz="4" w:space="0" w:color="000000"/>
            </w:tcBorders>
          </w:tcPr>
          <w:p>
            <w:pPr/>
          </w:p>
        </w:tc>
        <w:tc>
          <w:tcPr>
            <w:tcW w:w="2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FFFFFF"/>
            </w:tcBorders>
          </w:tcPr>
          <w:p>
            <w:pPr/>
          </w:p>
        </w:tc>
        <w:tc>
          <w:tcPr>
            <w:tcW w:w="250" w:type="dxa"/>
            <w:tcBorders>
              <w:top w:val="single" w:sz="4" w:space="0" w:color="000000"/>
              <w:left w:val="single" w:sz="4" w:space="0" w:color="FFFFFF"/>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00" w:right="128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646"/>
        <w:gridCol w:w="1193"/>
        <w:gridCol w:w="245"/>
        <w:gridCol w:w="242"/>
        <w:gridCol w:w="1181"/>
        <w:gridCol w:w="1241"/>
        <w:gridCol w:w="1152"/>
        <w:gridCol w:w="1003"/>
        <w:gridCol w:w="250"/>
        <w:gridCol w:w="1092"/>
        <w:gridCol w:w="257"/>
        <w:gridCol w:w="1241"/>
        <w:gridCol w:w="240"/>
        <w:gridCol w:w="1376"/>
        <w:gridCol w:w="1241"/>
        <w:gridCol w:w="1378"/>
      </w:tblGrid>
      <w:tr>
        <w:trPr>
          <w:trHeight w:val="417" w:hRule="exact"/>
        </w:trPr>
        <w:tc>
          <w:tcPr>
            <w:tcW w:w="646" w:type="dxa"/>
            <w:vMerge w:val="restart"/>
            <w:tcBorders>
              <w:top w:val="single" w:sz="15" w:space="0" w:color="000000"/>
              <w:left w:val="single" w:sz="4" w:space="0" w:color="000000"/>
              <w:right w:val="single" w:sz="4" w:space="0" w:color="000000"/>
            </w:tcBorders>
            <w:shd w:val="clear" w:color="auto" w:fill="D2D2D2"/>
          </w:tcPr>
          <w:p>
            <w:pPr/>
          </w:p>
        </w:tc>
        <w:tc>
          <w:tcPr>
            <w:tcW w:w="13331" w:type="dxa"/>
            <w:gridSpan w:val="15"/>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1" w:hRule="exact"/>
        </w:trPr>
        <w:tc>
          <w:tcPr>
            <w:tcW w:w="646" w:type="dxa"/>
            <w:vMerge/>
            <w:tcBorders>
              <w:left w:val="single" w:sz="4" w:space="0" w:color="000000"/>
              <w:right w:val="single" w:sz="4" w:space="0" w:color="000000"/>
            </w:tcBorders>
            <w:shd w:val="clear" w:color="auto" w:fill="D2D2D2"/>
          </w:tcPr>
          <w:p>
            <w:pPr/>
          </w:p>
        </w:tc>
        <w:tc>
          <w:tcPr>
            <w:tcW w:w="1071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41" w:type="dxa"/>
            <w:vMerge w:val="restart"/>
            <w:tcBorders>
              <w:top w:val="single" w:sz="4" w:space="0" w:color="000000"/>
              <w:left w:val="single" w:sz="4" w:space="0" w:color="000000"/>
              <w:right w:val="single" w:sz="4" w:space="0" w:color="000000"/>
            </w:tcBorders>
            <w:shd w:val="clear" w:color="auto" w:fill="D2D2D2"/>
          </w:tcPr>
          <w:p>
            <w:pPr/>
          </w:p>
        </w:tc>
        <w:tc>
          <w:tcPr>
            <w:tcW w:w="1378" w:type="dxa"/>
            <w:vMerge w:val="restart"/>
            <w:tcBorders>
              <w:top w:val="single" w:sz="4" w:space="0" w:color="000000"/>
              <w:left w:val="single" w:sz="4" w:space="0" w:color="000000"/>
              <w:right w:val="single" w:sz="4" w:space="0" w:color="000000"/>
            </w:tcBorders>
            <w:shd w:val="clear" w:color="auto" w:fill="D2D2D2"/>
          </w:tcPr>
          <w:p>
            <w:pPr/>
          </w:p>
        </w:tc>
      </w:tr>
      <w:tr>
        <w:trPr>
          <w:trHeight w:val="352" w:hRule="exact"/>
        </w:trPr>
        <w:tc>
          <w:tcPr>
            <w:tcW w:w="646" w:type="dxa"/>
            <w:vMerge/>
            <w:tcBorders>
              <w:left w:val="single" w:sz="4" w:space="0" w:color="000000"/>
              <w:bottom w:val="nil" w:sz="6" w:space="0" w:color="auto"/>
              <w:right w:val="single" w:sz="4" w:space="0" w:color="000000"/>
            </w:tcBorders>
            <w:shd w:val="clear" w:color="auto" w:fill="D2D2D2"/>
          </w:tcPr>
          <w:p>
            <w:pPr/>
          </w:p>
        </w:tc>
        <w:tc>
          <w:tcPr>
            <w:tcW w:w="1193" w:type="dxa"/>
            <w:vMerge w:val="restart"/>
            <w:tcBorders>
              <w:top w:val="single" w:sz="4" w:space="0" w:color="000000"/>
              <w:left w:val="single" w:sz="4" w:space="0" w:color="000000"/>
              <w:right w:val="single" w:sz="4" w:space="0" w:color="000000"/>
            </w:tcBorders>
            <w:shd w:val="clear" w:color="auto" w:fill="D2D2D2"/>
          </w:tcPr>
          <w:p>
            <w:pPr/>
          </w:p>
        </w:tc>
        <w:tc>
          <w:tcPr>
            <w:tcW w:w="16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41" w:type="dxa"/>
            <w:vMerge w:val="restart"/>
            <w:tcBorders>
              <w:top w:val="single" w:sz="4" w:space="0" w:color="000000"/>
              <w:left w:val="single" w:sz="4" w:space="0" w:color="000000"/>
              <w:right w:val="single" w:sz="4" w:space="0" w:color="000000"/>
            </w:tcBorders>
            <w:shd w:val="clear" w:color="auto" w:fill="D2D2D2"/>
          </w:tcPr>
          <w:p>
            <w:pPr/>
          </w:p>
        </w:tc>
        <w:tc>
          <w:tcPr>
            <w:tcW w:w="1152" w:type="dxa"/>
            <w:vMerge w:val="restart"/>
            <w:tcBorders>
              <w:top w:val="single" w:sz="4" w:space="0" w:color="000000"/>
              <w:left w:val="single" w:sz="4" w:space="0" w:color="000000"/>
              <w:right w:val="single" w:sz="4" w:space="0" w:color="000000"/>
            </w:tcBorders>
            <w:shd w:val="clear" w:color="auto" w:fill="D2D2D2"/>
          </w:tcPr>
          <w:p>
            <w:pPr/>
          </w:p>
        </w:tc>
        <w:tc>
          <w:tcPr>
            <w:tcW w:w="1003" w:type="dxa"/>
            <w:vMerge w:val="restart"/>
            <w:tcBorders>
              <w:top w:val="single" w:sz="4" w:space="0" w:color="000000"/>
              <w:left w:val="single" w:sz="4" w:space="0" w:color="000000"/>
              <w:right w:val="single" w:sz="4" w:space="0" w:color="000000"/>
            </w:tcBorders>
            <w:shd w:val="clear" w:color="auto" w:fill="D2D2D2"/>
          </w:tcPr>
          <w:p>
            <w:pPr/>
          </w:p>
        </w:tc>
        <w:tc>
          <w:tcPr>
            <w:tcW w:w="2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2" w:type="dxa"/>
            <w:vMerge w:val="restart"/>
            <w:tcBorders>
              <w:top w:val="single" w:sz="4" w:space="0" w:color="000000"/>
              <w:left w:val="single" w:sz="4" w:space="0" w:color="000000"/>
              <w:right w:val="single" w:sz="4" w:space="0" w:color="000000"/>
            </w:tcBorders>
            <w:shd w:val="clear" w:color="auto" w:fill="D2D2D2"/>
          </w:tcPr>
          <w:p>
            <w:pPr/>
          </w:p>
        </w:tc>
        <w:tc>
          <w:tcPr>
            <w:tcW w:w="25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 w:right="35"/>
              <w:jc w:val="both"/>
              <w:rPr>
                <w:rFonts w:ascii="宋体" w:hAnsi="宋体" w:cs="宋体" w:eastAsia="宋体" w:hint="default"/>
                <w:sz w:val="18"/>
                <w:szCs w:val="18"/>
              </w:rPr>
            </w:pPr>
            <w:r>
              <w:rPr>
                <w:rFonts w:ascii="宋体" w:hAnsi="宋体" w:cs="宋体" w:eastAsia="宋体" w:hint="default"/>
                <w:sz w:val="18"/>
                <w:szCs w:val="18"/>
              </w:rPr>
              <w:t>一 般 风 险 准 备</w:t>
            </w:r>
          </w:p>
        </w:tc>
        <w:tc>
          <w:tcPr>
            <w:tcW w:w="1241" w:type="dxa"/>
            <w:vMerge w:val="restart"/>
            <w:tcBorders>
              <w:top w:val="single" w:sz="4" w:space="0" w:color="000000"/>
              <w:left w:val="single" w:sz="4" w:space="0" w:color="000000"/>
              <w:right w:val="single" w:sz="4" w:space="0" w:color="000000"/>
            </w:tcBorders>
            <w:shd w:val="clear" w:color="auto" w:fill="D2D2D2"/>
          </w:tcPr>
          <w:p>
            <w:pPr/>
          </w:p>
        </w:tc>
        <w:tc>
          <w:tcPr>
            <w:tcW w:w="240" w:type="dxa"/>
            <w:vMerge w:val="restart"/>
            <w:tcBorders>
              <w:top w:val="single" w:sz="4" w:space="0" w:color="000000"/>
              <w:left w:val="single" w:sz="4" w:space="0" w:color="000000"/>
              <w:right w:val="single" w:sz="4" w:space="0" w:color="000000"/>
            </w:tcBorders>
            <w:shd w:val="clear" w:color="auto" w:fill="D2D2D2"/>
          </w:tcPr>
          <w:p>
            <w:pPr/>
          </w:p>
        </w:tc>
        <w:tc>
          <w:tcPr>
            <w:tcW w:w="1376" w:type="dxa"/>
            <w:vMerge w:val="restart"/>
            <w:tcBorders>
              <w:top w:val="single" w:sz="4" w:space="0" w:color="000000"/>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right w:val="single" w:sz="4" w:space="0" w:color="000000"/>
            </w:tcBorders>
            <w:shd w:val="clear" w:color="auto" w:fill="D2D2D2"/>
          </w:tcPr>
          <w:p>
            <w:pPr/>
          </w:p>
        </w:tc>
      </w:tr>
      <w:tr>
        <w:trPr>
          <w:trHeight w:val="231" w:hRule="exact"/>
        </w:trPr>
        <w:tc>
          <w:tcPr>
            <w:tcW w:w="6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left="13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93" w:type="dxa"/>
            <w:vMerge/>
            <w:tcBorders>
              <w:left w:val="single" w:sz="4" w:space="0" w:color="000000"/>
              <w:right w:val="single" w:sz="4" w:space="0" w:color="000000"/>
            </w:tcBorders>
            <w:shd w:val="clear" w:color="auto" w:fill="D2D2D2"/>
          </w:tcPr>
          <w:p>
            <w:pPr/>
          </w:p>
        </w:tc>
        <w:tc>
          <w:tcPr>
            <w:tcW w:w="245" w:type="dxa"/>
            <w:tcBorders>
              <w:top w:val="single" w:sz="4" w:space="0" w:color="000000"/>
              <w:left w:val="single" w:sz="4" w:space="0" w:color="000000"/>
              <w:bottom w:val="nil" w:sz="6" w:space="0" w:color="auto"/>
              <w:right w:val="single" w:sz="4" w:space="0" w:color="000000"/>
            </w:tcBorders>
            <w:shd w:val="clear" w:color="auto" w:fill="D2D2D2"/>
          </w:tcPr>
          <w:p>
            <w:pPr/>
          </w:p>
        </w:tc>
        <w:tc>
          <w:tcPr>
            <w:tcW w:w="24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1003" w:type="dxa"/>
            <w:vMerge/>
            <w:tcBorders>
              <w:left w:val="single" w:sz="4" w:space="0" w:color="000000"/>
              <w:bottom w:val="nil" w:sz="6" w:space="0" w:color="auto"/>
              <w:right w:val="single" w:sz="4" w:space="0" w:color="000000"/>
            </w:tcBorders>
            <w:shd w:val="clear" w:color="auto" w:fill="D2D2D2"/>
          </w:tcPr>
          <w:p>
            <w:pPr/>
          </w:p>
        </w:tc>
        <w:tc>
          <w:tcPr>
            <w:tcW w:w="25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6"/>
              <w:ind w:left="28" w:right="29"/>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092" w:type="dxa"/>
            <w:vMerge/>
            <w:tcBorders>
              <w:left w:val="single" w:sz="4" w:space="0" w:color="000000"/>
              <w:right w:val="single" w:sz="4" w:space="0" w:color="000000"/>
            </w:tcBorders>
            <w:shd w:val="clear" w:color="auto" w:fill="D2D2D2"/>
          </w:tcPr>
          <w:p>
            <w:pPr/>
          </w:p>
        </w:tc>
        <w:tc>
          <w:tcPr>
            <w:tcW w:w="257"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240" w:type="dxa"/>
            <w:vMerge/>
            <w:tcBorders>
              <w:left w:val="single" w:sz="4" w:space="0" w:color="000000"/>
              <w:bottom w:val="nil" w:sz="6" w:space="0" w:color="auto"/>
              <w:right w:val="single" w:sz="4" w:space="0" w:color="000000"/>
            </w:tcBorders>
            <w:shd w:val="clear" w:color="auto" w:fill="D2D2D2"/>
          </w:tcPr>
          <w:p>
            <w:pPr/>
          </w:p>
        </w:tc>
        <w:tc>
          <w:tcPr>
            <w:tcW w:w="1376"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bottom w:val="nil" w:sz="6" w:space="0" w:color="auto"/>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r>
      <w:tr>
        <w:trPr>
          <w:trHeight w:val="140" w:hRule="exact"/>
        </w:trPr>
        <w:tc>
          <w:tcPr>
            <w:tcW w:w="646" w:type="dxa"/>
            <w:vMerge/>
            <w:tcBorders>
              <w:left w:val="single" w:sz="4" w:space="0" w:color="000000"/>
              <w:bottom w:val="nil" w:sz="6" w:space="0" w:color="auto"/>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24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6"/>
              <w:ind w:left="23" w:right="29"/>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4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6"/>
              <w:ind w:left="24" w:right="26"/>
              <w:jc w:val="both"/>
              <w:rPr>
                <w:rFonts w:ascii="宋体" w:hAnsi="宋体" w:cs="宋体" w:eastAsia="宋体" w:hint="default"/>
                <w:sz w:val="18"/>
                <w:szCs w:val="18"/>
              </w:rPr>
            </w:pPr>
            <w:r>
              <w:rPr>
                <w:rFonts w:ascii="宋体" w:hAnsi="宋体" w:cs="宋体" w:eastAsia="宋体" w:hint="default"/>
                <w:sz w:val="18"/>
                <w:szCs w:val="18"/>
              </w:rPr>
              <w:t>永 续 债</w:t>
            </w:r>
          </w:p>
        </w:tc>
        <w:tc>
          <w:tcPr>
            <w:tcW w:w="1181"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bottom w:val="nil" w:sz="6" w:space="0" w:color="auto"/>
              <w:right w:val="single" w:sz="4" w:space="0" w:color="000000"/>
            </w:tcBorders>
            <w:shd w:val="clear" w:color="auto" w:fill="D2D2D2"/>
          </w:tcPr>
          <w:p>
            <w:pPr/>
          </w:p>
        </w:tc>
        <w:tc>
          <w:tcPr>
            <w:tcW w:w="1152" w:type="dxa"/>
            <w:vMerge/>
            <w:tcBorders>
              <w:left w:val="single" w:sz="4" w:space="0" w:color="000000"/>
              <w:bottom w:val="nil" w:sz="6" w:space="0" w:color="auto"/>
              <w:right w:val="single" w:sz="4" w:space="0" w:color="000000"/>
            </w:tcBorders>
            <w:shd w:val="clear" w:color="auto" w:fill="D2D2D2"/>
          </w:tcPr>
          <w:p>
            <w:pPr/>
          </w:p>
        </w:tc>
        <w:tc>
          <w:tcPr>
            <w:tcW w:w="100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408" w:right="43"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250"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257"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bottom w:val="nil" w:sz="6" w:space="0" w:color="auto"/>
              <w:right w:val="single" w:sz="4" w:space="0" w:color="000000"/>
            </w:tcBorders>
            <w:shd w:val="clear" w:color="auto" w:fill="D2D2D2"/>
          </w:tcPr>
          <w:p>
            <w:pPr/>
          </w:p>
        </w:tc>
        <w:tc>
          <w:tcPr>
            <w:tcW w:w="240"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33"/>
              <w:ind w:left="24" w:right="24"/>
              <w:jc w:val="left"/>
              <w:rPr>
                <w:rFonts w:ascii="宋体" w:hAnsi="宋体" w:cs="宋体" w:eastAsia="宋体" w:hint="default"/>
                <w:sz w:val="18"/>
                <w:szCs w:val="18"/>
              </w:rPr>
            </w:pPr>
            <w:r>
              <w:rPr>
                <w:rFonts w:ascii="宋体" w:hAnsi="宋体" w:cs="宋体" w:eastAsia="宋体" w:hint="default"/>
                <w:sz w:val="18"/>
                <w:szCs w:val="18"/>
              </w:rPr>
              <w:t>其 他</w:t>
            </w:r>
          </w:p>
        </w:tc>
        <w:tc>
          <w:tcPr>
            <w:tcW w:w="1376" w:type="dxa"/>
            <w:vMerge/>
            <w:tcBorders>
              <w:left w:val="single" w:sz="4" w:space="0" w:color="000000"/>
              <w:bottom w:val="nil" w:sz="6" w:space="0" w:color="auto"/>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76"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5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4" w:hRule="exact"/>
        </w:trPr>
        <w:tc>
          <w:tcPr>
            <w:tcW w:w="646" w:type="dxa"/>
            <w:vMerge w:val="restart"/>
            <w:tcBorders>
              <w:top w:val="nil" w:sz="6" w:space="0" w:color="auto"/>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45" w:type="dxa"/>
            <w:vMerge/>
            <w:tcBorders>
              <w:left w:val="single" w:sz="4" w:space="0" w:color="000000"/>
              <w:right w:val="single" w:sz="4" w:space="0" w:color="000000"/>
            </w:tcBorders>
            <w:shd w:val="clear" w:color="auto" w:fill="D2D2D2"/>
          </w:tcPr>
          <w:p>
            <w:pPr/>
          </w:p>
        </w:tc>
        <w:tc>
          <w:tcPr>
            <w:tcW w:w="242"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5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03" w:type="dxa"/>
            <w:vMerge/>
            <w:tcBorders>
              <w:left w:val="single" w:sz="4" w:space="0" w:color="000000"/>
              <w:right w:val="single" w:sz="4" w:space="0" w:color="000000"/>
            </w:tcBorders>
            <w:shd w:val="clear" w:color="auto" w:fill="D2D2D2"/>
          </w:tcPr>
          <w:p>
            <w:pPr/>
          </w:p>
        </w:tc>
        <w:tc>
          <w:tcPr>
            <w:tcW w:w="250" w:type="dxa"/>
            <w:vMerge/>
            <w:tcBorders>
              <w:left w:val="single" w:sz="4" w:space="0" w:color="000000"/>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7" w:type="dxa"/>
            <w:vMerge/>
            <w:tcBorders>
              <w:left w:val="single" w:sz="4" w:space="0" w:color="000000"/>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0" w:type="dxa"/>
            <w:vMerge/>
            <w:tcBorders>
              <w:left w:val="single" w:sz="4" w:space="0" w:color="000000"/>
              <w:right w:val="single" w:sz="4" w:space="0" w:color="000000"/>
            </w:tcBorders>
            <w:shd w:val="clear" w:color="auto" w:fill="D2D2D2"/>
          </w:tcPr>
          <w:p>
            <w:pPr/>
          </w:p>
        </w:tc>
        <w:tc>
          <w:tcPr>
            <w:tcW w:w="13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小计</w:t>
            </w:r>
          </w:p>
        </w:tc>
        <w:tc>
          <w:tcPr>
            <w:tcW w:w="1241" w:type="dxa"/>
            <w:vMerge/>
            <w:tcBorders>
              <w:left w:val="single" w:sz="4" w:space="0" w:color="000000"/>
              <w:bottom w:val="nil" w:sz="6" w:space="0" w:color="auto"/>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r>
      <w:tr>
        <w:trPr>
          <w:trHeight w:val="197" w:hRule="exact"/>
        </w:trPr>
        <w:tc>
          <w:tcPr>
            <w:tcW w:w="646"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245" w:type="dxa"/>
            <w:vMerge/>
            <w:tcBorders>
              <w:left w:val="single" w:sz="4" w:space="0" w:color="000000"/>
              <w:right w:val="single" w:sz="4" w:space="0" w:color="000000"/>
            </w:tcBorders>
            <w:shd w:val="clear" w:color="auto" w:fill="D2D2D2"/>
          </w:tcPr>
          <w:p>
            <w:pPr/>
          </w:p>
        </w:tc>
        <w:tc>
          <w:tcPr>
            <w:tcW w:w="242"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41" w:type="dxa"/>
            <w:vMerge/>
            <w:tcBorders>
              <w:left w:val="single" w:sz="4" w:space="0" w:color="000000"/>
              <w:bottom w:val="nil" w:sz="6" w:space="0" w:color="auto"/>
              <w:right w:val="single" w:sz="4" w:space="0" w:color="000000"/>
            </w:tcBorders>
            <w:shd w:val="clear" w:color="auto" w:fill="D2D2D2"/>
          </w:tcPr>
          <w:p>
            <w:pPr/>
          </w:p>
        </w:tc>
        <w:tc>
          <w:tcPr>
            <w:tcW w:w="1152" w:type="dxa"/>
            <w:vMerge/>
            <w:tcBorders>
              <w:left w:val="single" w:sz="4" w:space="0" w:color="000000"/>
              <w:bottom w:val="nil" w:sz="6" w:space="0" w:color="auto"/>
              <w:right w:val="single" w:sz="4" w:space="0" w:color="000000"/>
            </w:tcBorders>
            <w:shd w:val="clear" w:color="auto" w:fill="D2D2D2"/>
          </w:tcPr>
          <w:p>
            <w:pPr/>
          </w:p>
        </w:tc>
        <w:tc>
          <w:tcPr>
            <w:tcW w:w="1003" w:type="dxa"/>
            <w:vMerge/>
            <w:tcBorders>
              <w:left w:val="single" w:sz="4" w:space="0" w:color="000000"/>
              <w:right w:val="single" w:sz="4" w:space="0" w:color="000000"/>
            </w:tcBorders>
            <w:shd w:val="clear" w:color="auto" w:fill="D2D2D2"/>
          </w:tcPr>
          <w:p>
            <w:pPr/>
          </w:p>
        </w:tc>
        <w:tc>
          <w:tcPr>
            <w:tcW w:w="250"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257"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bottom w:val="nil" w:sz="6" w:space="0" w:color="auto"/>
              <w:right w:val="single" w:sz="4" w:space="0" w:color="000000"/>
            </w:tcBorders>
            <w:shd w:val="clear" w:color="auto" w:fill="D2D2D2"/>
          </w:tcPr>
          <w:p>
            <w:pPr/>
          </w:p>
        </w:tc>
        <w:tc>
          <w:tcPr>
            <w:tcW w:w="240" w:type="dxa"/>
            <w:vMerge/>
            <w:tcBorders>
              <w:left w:val="single" w:sz="4" w:space="0" w:color="000000"/>
              <w:right w:val="single" w:sz="4" w:space="0" w:color="000000"/>
            </w:tcBorders>
            <w:shd w:val="clear" w:color="auto" w:fill="D2D2D2"/>
          </w:tcPr>
          <w:p>
            <w:pPr/>
          </w:p>
        </w:tc>
        <w:tc>
          <w:tcPr>
            <w:tcW w:w="1376" w:type="dxa"/>
            <w:vMerge/>
            <w:tcBorders>
              <w:left w:val="single" w:sz="4" w:space="0" w:color="000000"/>
              <w:bottom w:val="nil" w:sz="6" w:space="0" w:color="auto"/>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646"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
        </w:tc>
        <w:tc>
          <w:tcPr>
            <w:tcW w:w="245" w:type="dxa"/>
            <w:vMerge/>
            <w:tcBorders>
              <w:left w:val="single" w:sz="4" w:space="0" w:color="000000"/>
              <w:right w:val="single" w:sz="4" w:space="0" w:color="000000"/>
            </w:tcBorders>
            <w:shd w:val="clear" w:color="auto" w:fill="D2D2D2"/>
          </w:tcPr>
          <w:p>
            <w:pPr/>
          </w:p>
        </w:tc>
        <w:tc>
          <w:tcPr>
            <w:tcW w:w="242"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
        </w:tc>
        <w:tc>
          <w:tcPr>
            <w:tcW w:w="1152" w:type="dxa"/>
            <w:vMerge w:val="restart"/>
            <w:tcBorders>
              <w:top w:val="nil" w:sz="6" w:space="0" w:color="auto"/>
              <w:left w:val="single" w:sz="4" w:space="0" w:color="000000"/>
              <w:right w:val="single" w:sz="4" w:space="0" w:color="000000"/>
            </w:tcBorders>
            <w:shd w:val="clear" w:color="auto" w:fill="D2D2D2"/>
          </w:tcPr>
          <w:p>
            <w:pPr/>
          </w:p>
        </w:tc>
        <w:tc>
          <w:tcPr>
            <w:tcW w:w="1003" w:type="dxa"/>
            <w:vMerge/>
            <w:tcBorders>
              <w:left w:val="single" w:sz="4" w:space="0" w:color="000000"/>
              <w:bottom w:val="nil" w:sz="6" w:space="0" w:color="auto"/>
              <w:right w:val="single" w:sz="4" w:space="0" w:color="000000"/>
            </w:tcBorders>
            <w:shd w:val="clear" w:color="auto" w:fill="D2D2D2"/>
          </w:tcPr>
          <w:p>
            <w:pPr/>
          </w:p>
        </w:tc>
        <w:tc>
          <w:tcPr>
            <w:tcW w:w="250" w:type="dxa"/>
            <w:vMerge/>
            <w:tcBorders>
              <w:left w:val="single" w:sz="4" w:space="0" w:color="000000"/>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
        </w:tc>
        <w:tc>
          <w:tcPr>
            <w:tcW w:w="257" w:type="dxa"/>
            <w:vMerge/>
            <w:tcBorders>
              <w:left w:val="single" w:sz="4" w:space="0" w:color="000000"/>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
        </w:tc>
        <w:tc>
          <w:tcPr>
            <w:tcW w:w="240" w:type="dxa"/>
            <w:vMerge/>
            <w:tcBorders>
              <w:left w:val="single" w:sz="4" w:space="0" w:color="000000"/>
              <w:bottom w:val="nil" w:sz="6" w:space="0" w:color="auto"/>
              <w:right w:val="single" w:sz="4" w:space="0" w:color="000000"/>
            </w:tcBorders>
            <w:shd w:val="clear" w:color="auto" w:fill="D2D2D2"/>
          </w:tcPr>
          <w:p>
            <w:pPr/>
          </w:p>
        </w:tc>
        <w:tc>
          <w:tcPr>
            <w:tcW w:w="1376" w:type="dxa"/>
            <w:vMerge w:val="restart"/>
            <w:tcBorders>
              <w:top w:val="nil" w:sz="6" w:space="0" w:color="auto"/>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right w:val="single" w:sz="4" w:space="0" w:color="000000"/>
            </w:tcBorders>
            <w:shd w:val="clear" w:color="auto" w:fill="D2D2D2"/>
          </w:tcPr>
          <w:p>
            <w:pPr/>
          </w:p>
        </w:tc>
      </w:tr>
      <w:tr>
        <w:trPr>
          <w:trHeight w:val="312" w:hRule="exact"/>
        </w:trPr>
        <w:tc>
          <w:tcPr>
            <w:tcW w:w="646"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245" w:type="dxa"/>
            <w:vMerge/>
            <w:tcBorders>
              <w:left w:val="single" w:sz="4" w:space="0" w:color="000000"/>
              <w:bottom w:val="nil" w:sz="6" w:space="0" w:color="auto"/>
              <w:right w:val="single" w:sz="4" w:space="0" w:color="000000"/>
            </w:tcBorders>
            <w:shd w:val="clear" w:color="auto" w:fill="D2D2D2"/>
          </w:tcPr>
          <w:p>
            <w:pPr/>
          </w:p>
        </w:tc>
        <w:tc>
          <w:tcPr>
            <w:tcW w:w="242"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1003" w:type="dxa"/>
            <w:vMerge w:val="restart"/>
            <w:tcBorders>
              <w:top w:val="nil" w:sz="6" w:space="0" w:color="auto"/>
              <w:left w:val="single" w:sz="4" w:space="0" w:color="000000"/>
              <w:right w:val="single" w:sz="4" w:space="0" w:color="000000"/>
            </w:tcBorders>
            <w:shd w:val="clear" w:color="auto" w:fill="D2D2D2"/>
          </w:tcPr>
          <w:p>
            <w:pPr/>
          </w:p>
        </w:tc>
        <w:tc>
          <w:tcPr>
            <w:tcW w:w="250" w:type="dxa"/>
            <w:vMerge/>
            <w:tcBorders>
              <w:left w:val="single" w:sz="4" w:space="0" w:color="000000"/>
              <w:bottom w:val="nil" w:sz="6" w:space="0" w:color="auto"/>
              <w:right w:val="single" w:sz="4" w:space="0" w:color="000000"/>
            </w:tcBorders>
            <w:shd w:val="clear" w:color="auto" w:fill="D2D2D2"/>
          </w:tcPr>
          <w:p>
            <w:pPr/>
          </w:p>
        </w:tc>
        <w:tc>
          <w:tcPr>
            <w:tcW w:w="1092" w:type="dxa"/>
            <w:vMerge/>
            <w:tcBorders>
              <w:left w:val="single" w:sz="4" w:space="0" w:color="000000"/>
              <w:right w:val="single" w:sz="4" w:space="0" w:color="000000"/>
            </w:tcBorders>
            <w:shd w:val="clear" w:color="auto" w:fill="D2D2D2"/>
          </w:tcPr>
          <w:p>
            <w:pPr/>
          </w:p>
        </w:tc>
        <w:tc>
          <w:tcPr>
            <w:tcW w:w="257"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240" w:type="dxa"/>
            <w:vMerge w:val="restart"/>
            <w:tcBorders>
              <w:top w:val="nil" w:sz="6" w:space="0" w:color="auto"/>
              <w:left w:val="single" w:sz="4" w:space="0" w:color="000000"/>
              <w:right w:val="single" w:sz="4" w:space="0" w:color="000000"/>
            </w:tcBorders>
            <w:shd w:val="clear" w:color="auto" w:fill="D2D2D2"/>
          </w:tcPr>
          <w:p>
            <w:pPr/>
          </w:p>
        </w:tc>
        <w:tc>
          <w:tcPr>
            <w:tcW w:w="1376"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right w:val="single" w:sz="4" w:space="0" w:color="000000"/>
            </w:tcBorders>
            <w:shd w:val="clear" w:color="auto" w:fill="D2D2D2"/>
          </w:tcPr>
          <w:p>
            <w:pPr/>
          </w:p>
        </w:tc>
      </w:tr>
      <w:tr>
        <w:trPr>
          <w:trHeight w:val="295" w:hRule="exact"/>
        </w:trPr>
        <w:tc>
          <w:tcPr>
            <w:tcW w:w="646"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245" w:type="dxa"/>
            <w:tcBorders>
              <w:top w:val="nil" w:sz="6" w:space="0" w:color="auto"/>
              <w:left w:val="single" w:sz="4" w:space="0" w:color="000000"/>
              <w:bottom w:val="single" w:sz="4" w:space="0" w:color="000000"/>
              <w:right w:val="single" w:sz="4" w:space="0" w:color="000000"/>
            </w:tcBorders>
            <w:shd w:val="clear" w:color="auto" w:fill="D2D2D2"/>
          </w:tcPr>
          <w:p>
            <w:pPr/>
          </w:p>
        </w:tc>
        <w:tc>
          <w:tcPr>
            <w:tcW w:w="24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241"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2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257" w:type="dxa"/>
            <w:vMerge/>
            <w:tcBorders>
              <w:left w:val="single" w:sz="4" w:space="0" w:color="000000"/>
              <w:bottom w:val="single" w:sz="4" w:space="0" w:color="000000"/>
              <w:right w:val="single" w:sz="4" w:space="0" w:color="000000"/>
            </w:tcBorders>
            <w:shd w:val="clear" w:color="auto" w:fill="D2D2D2"/>
          </w:tcPr>
          <w:p>
            <w:pPr/>
          </w:p>
        </w:tc>
        <w:tc>
          <w:tcPr>
            <w:tcW w:w="1241" w:type="dxa"/>
            <w:vMerge/>
            <w:tcBorders>
              <w:left w:val="single" w:sz="4" w:space="0" w:color="000000"/>
              <w:bottom w:val="single" w:sz="4" w:space="0" w:color="000000"/>
              <w:right w:val="single" w:sz="4" w:space="0" w:color="000000"/>
            </w:tcBorders>
            <w:shd w:val="clear" w:color="auto" w:fill="D2D2D2"/>
          </w:tcPr>
          <w:p>
            <w:pPr/>
          </w:p>
        </w:tc>
        <w:tc>
          <w:tcPr>
            <w:tcW w:w="240" w:type="dxa"/>
            <w:vMerge/>
            <w:tcBorders>
              <w:left w:val="single" w:sz="4" w:space="0" w:color="000000"/>
              <w:bottom w:val="single" w:sz="4" w:space="0" w:color="000000"/>
              <w:right w:val="single" w:sz="4" w:space="0" w:color="000000"/>
            </w:tcBorders>
            <w:shd w:val="clear" w:color="auto" w:fill="D2D2D2"/>
          </w:tcPr>
          <w:p>
            <w:pPr/>
          </w:p>
        </w:tc>
        <w:tc>
          <w:tcPr>
            <w:tcW w:w="1376" w:type="dxa"/>
            <w:vMerge/>
            <w:tcBorders>
              <w:left w:val="single" w:sz="4" w:space="0" w:color="000000"/>
              <w:bottom w:val="single" w:sz="4" w:space="0" w:color="000000"/>
              <w:right w:val="single" w:sz="4" w:space="0" w:color="000000"/>
            </w:tcBorders>
            <w:shd w:val="clear" w:color="auto" w:fill="D2D2D2"/>
          </w:tcPr>
          <w:p>
            <w:pPr/>
          </w:p>
        </w:tc>
        <w:tc>
          <w:tcPr>
            <w:tcW w:w="1241" w:type="dxa"/>
            <w:vMerge/>
            <w:tcBorders>
              <w:left w:val="single" w:sz="4" w:space="0" w:color="000000"/>
              <w:bottom w:val="single" w:sz="4" w:space="0" w:color="000000"/>
              <w:right w:val="single" w:sz="4" w:space="0" w:color="000000"/>
            </w:tcBorders>
            <w:shd w:val="clear" w:color="auto" w:fill="D2D2D2"/>
          </w:tcPr>
          <w:p>
            <w:pPr/>
          </w:p>
        </w:tc>
        <w:tc>
          <w:tcPr>
            <w:tcW w:w="1378"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82"/>
              <w:jc w:val="both"/>
              <w:rPr>
                <w:rFonts w:ascii="宋体" w:hAnsi="宋体" w:cs="宋体" w:eastAsia="宋体" w:hint="default"/>
                <w:sz w:val="18"/>
                <w:szCs w:val="18"/>
              </w:rPr>
            </w:pPr>
            <w:r>
              <w:rPr>
                <w:rFonts w:ascii="宋体" w:hAnsi="宋体" w:cs="宋体" w:eastAsia="宋体" w:hint="default"/>
                <w:sz w:val="18"/>
                <w:szCs w:val="18"/>
              </w:rPr>
              <w:t>二、本 年期初 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710,727,417.00</w:t>
            </w:r>
          </w:p>
        </w:tc>
        <w:tc>
          <w:tcPr>
            <w:tcW w:w="245" w:type="dxa"/>
            <w:tcBorders>
              <w:top w:val="single" w:sz="4" w:space="0" w:color="000000"/>
              <w:left w:val="single" w:sz="4" w:space="0" w:color="000000"/>
              <w:bottom w:val="single" w:sz="4" w:space="0" w:color="000000"/>
              <w:right w:val="single" w:sz="4" w:space="0" w:color="000000"/>
            </w:tcBorders>
          </w:tcPr>
          <w:p>
            <w:pPr/>
          </w:p>
        </w:tc>
        <w:tc>
          <w:tcPr>
            <w:tcW w:w="2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154,607,862.97</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891,956,409.25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43,131,880.00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-989,779.34</w:t>
            </w:r>
          </w:p>
        </w:tc>
        <w:tc>
          <w:tcPr>
            <w:tcW w:w="25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72,495,704.44</w:t>
            </w:r>
          </w:p>
        </w:tc>
        <w:tc>
          <w:tcPr>
            <w:tcW w:w="25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828,390,827.75</w:t>
            </w:r>
          </w:p>
        </w:tc>
        <w:tc>
          <w:tcPr>
            <w:tcW w:w="24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2,614,056,562.07</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149,805,020.31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2,763,861,582.38</w:t>
            </w:r>
          </w:p>
        </w:tc>
      </w:tr>
      <w:tr>
        <w:trPr>
          <w:trHeight w:val="2276" w:hRule="exact"/>
        </w:trPr>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82"/>
              <w:jc w:val="left"/>
              <w:rPr>
                <w:rFonts w:ascii="宋体" w:hAnsi="宋体" w:cs="宋体" w:eastAsia="宋体" w:hint="default"/>
                <w:sz w:val="18"/>
                <w:szCs w:val="18"/>
              </w:rPr>
            </w:pPr>
            <w:r>
              <w:rPr>
                <w:rFonts w:ascii="宋体" w:hAnsi="宋体" w:cs="宋体" w:eastAsia="宋体" w:hint="default"/>
                <w:sz w:val="18"/>
                <w:szCs w:val="18"/>
              </w:rPr>
              <w:t>三、本 期增减 变动金 额（减 少以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 填列）</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499,161.00</w:t>
            </w:r>
          </w:p>
        </w:tc>
        <w:tc>
          <w:tcPr>
            <w:tcW w:w="245" w:type="dxa"/>
            <w:tcBorders>
              <w:top w:val="single" w:sz="4" w:space="0" w:color="000000"/>
              <w:left w:val="single" w:sz="4" w:space="0" w:color="000000"/>
              <w:bottom w:val="single" w:sz="4" w:space="0" w:color="000000"/>
              <w:right w:val="single" w:sz="4" w:space="0" w:color="000000"/>
            </w:tcBorders>
          </w:tcPr>
          <w:p>
            <w:pPr/>
          </w:p>
        </w:tc>
        <w:tc>
          <w:tcPr>
            <w:tcW w:w="2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-20,038.72</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-632,969,226.51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-13,257,856.00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1,781,644.37</w:t>
            </w:r>
          </w:p>
        </w:tc>
        <w:tc>
          <w:tcPr>
            <w:tcW w:w="25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-862,777,414.92</w:t>
            </w:r>
          </w:p>
        </w:tc>
        <w:tc>
          <w:tcPr>
            <w:tcW w:w="24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-1,480,228,018.78</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-117,064,375.46</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-1,597,292,394.24</w:t>
            </w:r>
          </w:p>
        </w:tc>
      </w:tr>
      <w:tr>
        <w:trPr>
          <w:trHeight w:val="1025" w:hRule="exact"/>
        </w:trPr>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82"/>
              <w:jc w:val="both"/>
              <w:rPr>
                <w:rFonts w:ascii="宋体" w:hAnsi="宋体" w:cs="宋体" w:eastAsia="宋体" w:hint="default"/>
                <w:sz w:val="18"/>
                <w:szCs w:val="18"/>
              </w:rPr>
            </w:pPr>
            <w:r>
              <w:rPr>
                <w:rFonts w:ascii="宋体" w:hAnsi="宋体" w:cs="宋体" w:eastAsia="宋体" w:hint="default"/>
                <w:sz w:val="18"/>
                <w:szCs w:val="18"/>
              </w:rPr>
              <w:t>（一） 综合收 益总额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245" w:type="dxa"/>
            <w:tcBorders>
              <w:top w:val="single" w:sz="4" w:space="0" w:color="000000"/>
              <w:left w:val="single" w:sz="4" w:space="0" w:color="000000"/>
              <w:bottom w:val="single" w:sz="4" w:space="0" w:color="000000"/>
              <w:right w:val="single" w:sz="4" w:space="0" w:color="000000"/>
            </w:tcBorders>
          </w:tcPr>
          <w:p>
            <w:pPr/>
          </w:p>
        </w:tc>
        <w:tc>
          <w:tcPr>
            <w:tcW w:w="2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1,781,644.37</w:t>
            </w:r>
          </w:p>
        </w:tc>
        <w:tc>
          <w:tcPr>
            <w:tcW w:w="25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-841,464,317.58</w:t>
            </w:r>
          </w:p>
        </w:tc>
        <w:tc>
          <w:tcPr>
            <w:tcW w:w="24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-839,682,673.21</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14,314,785.53</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-825,367,887.68</w:t>
            </w:r>
          </w:p>
        </w:tc>
      </w:tr>
      <w:tr>
        <w:trPr>
          <w:trHeight w:val="1652" w:hRule="exact"/>
        </w:trPr>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82"/>
              <w:jc w:val="both"/>
              <w:rPr>
                <w:rFonts w:ascii="宋体" w:hAnsi="宋体" w:cs="宋体" w:eastAsia="宋体" w:hint="default"/>
                <w:sz w:val="18"/>
                <w:szCs w:val="18"/>
              </w:rPr>
            </w:pPr>
            <w:r>
              <w:rPr>
                <w:rFonts w:ascii="宋体" w:hAnsi="宋体" w:cs="宋体" w:eastAsia="宋体" w:hint="default"/>
                <w:sz w:val="18"/>
                <w:szCs w:val="18"/>
              </w:rPr>
              <w:t>（二） 所有者 投入和 减少资 本</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499,161.00</w:t>
            </w:r>
          </w:p>
        </w:tc>
        <w:tc>
          <w:tcPr>
            <w:tcW w:w="245" w:type="dxa"/>
            <w:tcBorders>
              <w:top w:val="single" w:sz="4" w:space="0" w:color="000000"/>
              <w:left w:val="single" w:sz="4" w:space="0" w:color="000000"/>
              <w:bottom w:val="single" w:sz="4" w:space="0" w:color="000000"/>
              <w:right w:val="single" w:sz="4" w:space="0" w:color="000000"/>
            </w:tcBorders>
          </w:tcPr>
          <w:p>
            <w:pPr/>
          </w:p>
        </w:tc>
        <w:tc>
          <w:tcPr>
            <w:tcW w:w="2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-20,038.72</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-632,969,226.51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-13,257,856.00</w:t>
            </w:r>
          </w:p>
        </w:tc>
        <w:tc>
          <w:tcPr>
            <w:tcW w:w="1003"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-619,232,248.23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-130,714,160.99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-749,946,409.22</w:t>
            </w:r>
          </w:p>
        </w:tc>
      </w:tr>
      <w:tr>
        <w:trPr>
          <w:trHeight w:val="674" w:hRule="exact"/>
        </w:trPr>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 w:right="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．所有</w:t>
            </w:r>
            <w:r>
              <w:rPr>
                <w:rFonts w:ascii="宋体" w:hAnsi="宋体" w:cs="宋体" w:eastAsia="宋体" w:hint="default"/>
                <w:sz w:val="18"/>
                <w:szCs w:val="18"/>
              </w:rPr>
              <w:t> 者投入</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790,000.00</w:t>
            </w:r>
          </w:p>
        </w:tc>
        <w:tc>
          <w:tcPr>
            <w:tcW w:w="245" w:type="dxa"/>
            <w:tcBorders>
              <w:top w:val="single" w:sz="4" w:space="0" w:color="000000"/>
              <w:left w:val="single" w:sz="4" w:space="0" w:color="000000"/>
              <w:bottom w:val="single" w:sz="4" w:space="0" w:color="000000"/>
              <w:right w:val="single" w:sz="4" w:space="0" w:color="000000"/>
            </w:tcBorders>
          </w:tcPr>
          <w:p>
            <w:pPr/>
          </w:p>
        </w:tc>
        <w:tc>
          <w:tcPr>
            <w:tcW w:w="2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3,160,000.00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3,950,000.00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8,280,000.00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12,230,000.00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1340" w:right="128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646"/>
        <w:gridCol w:w="1193"/>
        <w:gridCol w:w="245"/>
        <w:gridCol w:w="242"/>
        <w:gridCol w:w="1181"/>
        <w:gridCol w:w="1241"/>
        <w:gridCol w:w="1152"/>
        <w:gridCol w:w="1003"/>
        <w:gridCol w:w="250"/>
        <w:gridCol w:w="1092"/>
        <w:gridCol w:w="257"/>
        <w:gridCol w:w="1241"/>
        <w:gridCol w:w="240"/>
        <w:gridCol w:w="1376"/>
        <w:gridCol w:w="1241"/>
        <w:gridCol w:w="1378"/>
      </w:tblGrid>
      <w:tr>
        <w:trPr>
          <w:trHeight w:val="417" w:hRule="exact"/>
        </w:trPr>
        <w:tc>
          <w:tcPr>
            <w:tcW w:w="646" w:type="dxa"/>
            <w:vMerge w:val="restart"/>
            <w:tcBorders>
              <w:top w:val="single" w:sz="15" w:space="0" w:color="000000"/>
              <w:left w:val="single" w:sz="4" w:space="0" w:color="000000"/>
              <w:right w:val="single" w:sz="4" w:space="0" w:color="000000"/>
            </w:tcBorders>
            <w:shd w:val="clear" w:color="auto" w:fill="D2D2D2"/>
          </w:tcPr>
          <w:p>
            <w:pPr/>
          </w:p>
        </w:tc>
        <w:tc>
          <w:tcPr>
            <w:tcW w:w="13331" w:type="dxa"/>
            <w:gridSpan w:val="15"/>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1" w:hRule="exact"/>
        </w:trPr>
        <w:tc>
          <w:tcPr>
            <w:tcW w:w="646" w:type="dxa"/>
            <w:vMerge/>
            <w:tcBorders>
              <w:left w:val="single" w:sz="4" w:space="0" w:color="000000"/>
              <w:right w:val="single" w:sz="4" w:space="0" w:color="000000"/>
            </w:tcBorders>
            <w:shd w:val="clear" w:color="auto" w:fill="D2D2D2"/>
          </w:tcPr>
          <w:p>
            <w:pPr/>
          </w:p>
        </w:tc>
        <w:tc>
          <w:tcPr>
            <w:tcW w:w="1071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41" w:type="dxa"/>
            <w:vMerge w:val="restart"/>
            <w:tcBorders>
              <w:top w:val="single" w:sz="4" w:space="0" w:color="000000"/>
              <w:left w:val="single" w:sz="4" w:space="0" w:color="000000"/>
              <w:right w:val="single" w:sz="4" w:space="0" w:color="000000"/>
            </w:tcBorders>
            <w:shd w:val="clear" w:color="auto" w:fill="D2D2D2"/>
          </w:tcPr>
          <w:p>
            <w:pPr/>
          </w:p>
        </w:tc>
        <w:tc>
          <w:tcPr>
            <w:tcW w:w="1378" w:type="dxa"/>
            <w:vMerge w:val="restart"/>
            <w:tcBorders>
              <w:top w:val="single" w:sz="4" w:space="0" w:color="000000"/>
              <w:left w:val="single" w:sz="4" w:space="0" w:color="000000"/>
              <w:right w:val="single" w:sz="4" w:space="0" w:color="000000"/>
            </w:tcBorders>
            <w:shd w:val="clear" w:color="auto" w:fill="D2D2D2"/>
          </w:tcPr>
          <w:p>
            <w:pPr/>
          </w:p>
        </w:tc>
      </w:tr>
      <w:tr>
        <w:trPr>
          <w:trHeight w:val="352" w:hRule="exact"/>
        </w:trPr>
        <w:tc>
          <w:tcPr>
            <w:tcW w:w="646" w:type="dxa"/>
            <w:vMerge/>
            <w:tcBorders>
              <w:left w:val="single" w:sz="4" w:space="0" w:color="000000"/>
              <w:bottom w:val="nil" w:sz="6" w:space="0" w:color="auto"/>
              <w:right w:val="single" w:sz="4" w:space="0" w:color="000000"/>
            </w:tcBorders>
            <w:shd w:val="clear" w:color="auto" w:fill="D2D2D2"/>
          </w:tcPr>
          <w:p>
            <w:pPr/>
          </w:p>
        </w:tc>
        <w:tc>
          <w:tcPr>
            <w:tcW w:w="1193" w:type="dxa"/>
            <w:vMerge w:val="restart"/>
            <w:tcBorders>
              <w:top w:val="single" w:sz="4" w:space="0" w:color="000000"/>
              <w:left w:val="single" w:sz="4" w:space="0" w:color="000000"/>
              <w:right w:val="single" w:sz="4" w:space="0" w:color="000000"/>
            </w:tcBorders>
            <w:shd w:val="clear" w:color="auto" w:fill="D2D2D2"/>
          </w:tcPr>
          <w:p>
            <w:pPr/>
          </w:p>
        </w:tc>
        <w:tc>
          <w:tcPr>
            <w:tcW w:w="16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41" w:type="dxa"/>
            <w:vMerge w:val="restart"/>
            <w:tcBorders>
              <w:top w:val="single" w:sz="4" w:space="0" w:color="000000"/>
              <w:left w:val="single" w:sz="4" w:space="0" w:color="000000"/>
              <w:right w:val="single" w:sz="4" w:space="0" w:color="000000"/>
            </w:tcBorders>
            <w:shd w:val="clear" w:color="auto" w:fill="D2D2D2"/>
          </w:tcPr>
          <w:p>
            <w:pPr/>
          </w:p>
        </w:tc>
        <w:tc>
          <w:tcPr>
            <w:tcW w:w="1152" w:type="dxa"/>
            <w:vMerge w:val="restart"/>
            <w:tcBorders>
              <w:top w:val="single" w:sz="4" w:space="0" w:color="000000"/>
              <w:left w:val="single" w:sz="4" w:space="0" w:color="000000"/>
              <w:right w:val="single" w:sz="4" w:space="0" w:color="000000"/>
            </w:tcBorders>
            <w:shd w:val="clear" w:color="auto" w:fill="D2D2D2"/>
          </w:tcPr>
          <w:p>
            <w:pPr/>
          </w:p>
        </w:tc>
        <w:tc>
          <w:tcPr>
            <w:tcW w:w="1003" w:type="dxa"/>
            <w:vMerge w:val="restart"/>
            <w:tcBorders>
              <w:top w:val="single" w:sz="4" w:space="0" w:color="000000"/>
              <w:left w:val="single" w:sz="4" w:space="0" w:color="000000"/>
              <w:right w:val="single" w:sz="4" w:space="0" w:color="000000"/>
            </w:tcBorders>
            <w:shd w:val="clear" w:color="auto" w:fill="D2D2D2"/>
          </w:tcPr>
          <w:p>
            <w:pPr/>
          </w:p>
        </w:tc>
        <w:tc>
          <w:tcPr>
            <w:tcW w:w="2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2" w:type="dxa"/>
            <w:vMerge w:val="restart"/>
            <w:tcBorders>
              <w:top w:val="single" w:sz="4" w:space="0" w:color="000000"/>
              <w:left w:val="single" w:sz="4" w:space="0" w:color="000000"/>
              <w:right w:val="single" w:sz="4" w:space="0" w:color="000000"/>
            </w:tcBorders>
            <w:shd w:val="clear" w:color="auto" w:fill="D2D2D2"/>
          </w:tcPr>
          <w:p>
            <w:pPr/>
          </w:p>
        </w:tc>
        <w:tc>
          <w:tcPr>
            <w:tcW w:w="25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 w:right="35"/>
              <w:jc w:val="both"/>
              <w:rPr>
                <w:rFonts w:ascii="宋体" w:hAnsi="宋体" w:cs="宋体" w:eastAsia="宋体" w:hint="default"/>
                <w:sz w:val="18"/>
                <w:szCs w:val="18"/>
              </w:rPr>
            </w:pPr>
            <w:r>
              <w:rPr>
                <w:rFonts w:ascii="宋体" w:hAnsi="宋体" w:cs="宋体" w:eastAsia="宋体" w:hint="default"/>
                <w:sz w:val="18"/>
                <w:szCs w:val="18"/>
              </w:rPr>
              <w:t>一 般 风 险 准 备</w:t>
            </w:r>
          </w:p>
        </w:tc>
        <w:tc>
          <w:tcPr>
            <w:tcW w:w="1241" w:type="dxa"/>
            <w:vMerge w:val="restart"/>
            <w:tcBorders>
              <w:top w:val="single" w:sz="4" w:space="0" w:color="000000"/>
              <w:left w:val="single" w:sz="4" w:space="0" w:color="000000"/>
              <w:right w:val="single" w:sz="4" w:space="0" w:color="000000"/>
            </w:tcBorders>
            <w:shd w:val="clear" w:color="auto" w:fill="D2D2D2"/>
          </w:tcPr>
          <w:p>
            <w:pPr/>
          </w:p>
        </w:tc>
        <w:tc>
          <w:tcPr>
            <w:tcW w:w="240" w:type="dxa"/>
            <w:vMerge w:val="restart"/>
            <w:tcBorders>
              <w:top w:val="single" w:sz="4" w:space="0" w:color="000000"/>
              <w:left w:val="single" w:sz="4" w:space="0" w:color="000000"/>
              <w:right w:val="single" w:sz="4" w:space="0" w:color="000000"/>
            </w:tcBorders>
            <w:shd w:val="clear" w:color="auto" w:fill="D2D2D2"/>
          </w:tcPr>
          <w:p>
            <w:pPr/>
          </w:p>
        </w:tc>
        <w:tc>
          <w:tcPr>
            <w:tcW w:w="1376" w:type="dxa"/>
            <w:vMerge w:val="restart"/>
            <w:tcBorders>
              <w:top w:val="single" w:sz="4" w:space="0" w:color="000000"/>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right w:val="single" w:sz="4" w:space="0" w:color="000000"/>
            </w:tcBorders>
            <w:shd w:val="clear" w:color="auto" w:fill="D2D2D2"/>
          </w:tcPr>
          <w:p>
            <w:pPr/>
          </w:p>
        </w:tc>
      </w:tr>
      <w:tr>
        <w:trPr>
          <w:trHeight w:val="231" w:hRule="exact"/>
        </w:trPr>
        <w:tc>
          <w:tcPr>
            <w:tcW w:w="6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left="13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93" w:type="dxa"/>
            <w:vMerge/>
            <w:tcBorders>
              <w:left w:val="single" w:sz="4" w:space="0" w:color="000000"/>
              <w:right w:val="single" w:sz="4" w:space="0" w:color="000000"/>
            </w:tcBorders>
            <w:shd w:val="clear" w:color="auto" w:fill="D2D2D2"/>
          </w:tcPr>
          <w:p>
            <w:pPr/>
          </w:p>
        </w:tc>
        <w:tc>
          <w:tcPr>
            <w:tcW w:w="245" w:type="dxa"/>
            <w:tcBorders>
              <w:top w:val="single" w:sz="4" w:space="0" w:color="000000"/>
              <w:left w:val="single" w:sz="4" w:space="0" w:color="000000"/>
              <w:bottom w:val="nil" w:sz="6" w:space="0" w:color="auto"/>
              <w:right w:val="single" w:sz="4" w:space="0" w:color="000000"/>
            </w:tcBorders>
            <w:shd w:val="clear" w:color="auto" w:fill="D2D2D2"/>
          </w:tcPr>
          <w:p>
            <w:pPr/>
          </w:p>
        </w:tc>
        <w:tc>
          <w:tcPr>
            <w:tcW w:w="24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1003" w:type="dxa"/>
            <w:vMerge/>
            <w:tcBorders>
              <w:left w:val="single" w:sz="4" w:space="0" w:color="000000"/>
              <w:bottom w:val="nil" w:sz="6" w:space="0" w:color="auto"/>
              <w:right w:val="single" w:sz="4" w:space="0" w:color="000000"/>
            </w:tcBorders>
            <w:shd w:val="clear" w:color="auto" w:fill="D2D2D2"/>
          </w:tcPr>
          <w:p>
            <w:pPr/>
          </w:p>
        </w:tc>
        <w:tc>
          <w:tcPr>
            <w:tcW w:w="25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6"/>
              <w:ind w:left="28" w:right="29"/>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092" w:type="dxa"/>
            <w:vMerge/>
            <w:tcBorders>
              <w:left w:val="single" w:sz="4" w:space="0" w:color="000000"/>
              <w:right w:val="single" w:sz="4" w:space="0" w:color="000000"/>
            </w:tcBorders>
            <w:shd w:val="clear" w:color="auto" w:fill="D2D2D2"/>
          </w:tcPr>
          <w:p>
            <w:pPr/>
          </w:p>
        </w:tc>
        <w:tc>
          <w:tcPr>
            <w:tcW w:w="257"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240" w:type="dxa"/>
            <w:vMerge/>
            <w:tcBorders>
              <w:left w:val="single" w:sz="4" w:space="0" w:color="000000"/>
              <w:bottom w:val="nil" w:sz="6" w:space="0" w:color="auto"/>
              <w:right w:val="single" w:sz="4" w:space="0" w:color="000000"/>
            </w:tcBorders>
            <w:shd w:val="clear" w:color="auto" w:fill="D2D2D2"/>
          </w:tcPr>
          <w:p>
            <w:pPr/>
          </w:p>
        </w:tc>
        <w:tc>
          <w:tcPr>
            <w:tcW w:w="1376"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bottom w:val="nil" w:sz="6" w:space="0" w:color="auto"/>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r>
      <w:tr>
        <w:trPr>
          <w:trHeight w:val="140" w:hRule="exact"/>
        </w:trPr>
        <w:tc>
          <w:tcPr>
            <w:tcW w:w="646" w:type="dxa"/>
            <w:vMerge/>
            <w:tcBorders>
              <w:left w:val="single" w:sz="4" w:space="0" w:color="000000"/>
              <w:bottom w:val="nil" w:sz="6" w:space="0" w:color="auto"/>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24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6"/>
              <w:ind w:left="23" w:right="29"/>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4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6"/>
              <w:ind w:left="24" w:right="26"/>
              <w:jc w:val="both"/>
              <w:rPr>
                <w:rFonts w:ascii="宋体" w:hAnsi="宋体" w:cs="宋体" w:eastAsia="宋体" w:hint="default"/>
                <w:sz w:val="18"/>
                <w:szCs w:val="18"/>
              </w:rPr>
            </w:pPr>
            <w:r>
              <w:rPr>
                <w:rFonts w:ascii="宋体" w:hAnsi="宋体" w:cs="宋体" w:eastAsia="宋体" w:hint="default"/>
                <w:sz w:val="18"/>
                <w:szCs w:val="18"/>
              </w:rPr>
              <w:t>永 续 债</w:t>
            </w:r>
          </w:p>
        </w:tc>
        <w:tc>
          <w:tcPr>
            <w:tcW w:w="1181"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bottom w:val="nil" w:sz="6" w:space="0" w:color="auto"/>
              <w:right w:val="single" w:sz="4" w:space="0" w:color="000000"/>
            </w:tcBorders>
            <w:shd w:val="clear" w:color="auto" w:fill="D2D2D2"/>
          </w:tcPr>
          <w:p>
            <w:pPr/>
          </w:p>
        </w:tc>
        <w:tc>
          <w:tcPr>
            <w:tcW w:w="1152" w:type="dxa"/>
            <w:vMerge/>
            <w:tcBorders>
              <w:left w:val="single" w:sz="4" w:space="0" w:color="000000"/>
              <w:bottom w:val="nil" w:sz="6" w:space="0" w:color="auto"/>
              <w:right w:val="single" w:sz="4" w:space="0" w:color="000000"/>
            </w:tcBorders>
            <w:shd w:val="clear" w:color="auto" w:fill="D2D2D2"/>
          </w:tcPr>
          <w:p>
            <w:pPr/>
          </w:p>
        </w:tc>
        <w:tc>
          <w:tcPr>
            <w:tcW w:w="100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408" w:right="43"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250"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257"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bottom w:val="nil" w:sz="6" w:space="0" w:color="auto"/>
              <w:right w:val="single" w:sz="4" w:space="0" w:color="000000"/>
            </w:tcBorders>
            <w:shd w:val="clear" w:color="auto" w:fill="D2D2D2"/>
          </w:tcPr>
          <w:p>
            <w:pPr/>
          </w:p>
        </w:tc>
        <w:tc>
          <w:tcPr>
            <w:tcW w:w="240"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33"/>
              <w:ind w:left="24" w:right="24"/>
              <w:jc w:val="left"/>
              <w:rPr>
                <w:rFonts w:ascii="宋体" w:hAnsi="宋体" w:cs="宋体" w:eastAsia="宋体" w:hint="default"/>
                <w:sz w:val="18"/>
                <w:szCs w:val="18"/>
              </w:rPr>
            </w:pPr>
            <w:r>
              <w:rPr>
                <w:rFonts w:ascii="宋体" w:hAnsi="宋体" w:cs="宋体" w:eastAsia="宋体" w:hint="default"/>
                <w:sz w:val="18"/>
                <w:szCs w:val="18"/>
              </w:rPr>
              <w:t>其 他</w:t>
            </w:r>
          </w:p>
        </w:tc>
        <w:tc>
          <w:tcPr>
            <w:tcW w:w="1376" w:type="dxa"/>
            <w:vMerge/>
            <w:tcBorders>
              <w:left w:val="single" w:sz="4" w:space="0" w:color="000000"/>
              <w:bottom w:val="nil" w:sz="6" w:space="0" w:color="auto"/>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76"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5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4" w:hRule="exact"/>
        </w:trPr>
        <w:tc>
          <w:tcPr>
            <w:tcW w:w="646" w:type="dxa"/>
            <w:vMerge w:val="restart"/>
            <w:tcBorders>
              <w:top w:val="nil" w:sz="6" w:space="0" w:color="auto"/>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45" w:type="dxa"/>
            <w:vMerge/>
            <w:tcBorders>
              <w:left w:val="single" w:sz="4" w:space="0" w:color="000000"/>
              <w:right w:val="single" w:sz="4" w:space="0" w:color="000000"/>
            </w:tcBorders>
            <w:shd w:val="clear" w:color="auto" w:fill="D2D2D2"/>
          </w:tcPr>
          <w:p>
            <w:pPr/>
          </w:p>
        </w:tc>
        <w:tc>
          <w:tcPr>
            <w:tcW w:w="242"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5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03" w:type="dxa"/>
            <w:vMerge/>
            <w:tcBorders>
              <w:left w:val="single" w:sz="4" w:space="0" w:color="000000"/>
              <w:right w:val="single" w:sz="4" w:space="0" w:color="000000"/>
            </w:tcBorders>
            <w:shd w:val="clear" w:color="auto" w:fill="D2D2D2"/>
          </w:tcPr>
          <w:p>
            <w:pPr/>
          </w:p>
        </w:tc>
        <w:tc>
          <w:tcPr>
            <w:tcW w:w="250" w:type="dxa"/>
            <w:vMerge/>
            <w:tcBorders>
              <w:left w:val="single" w:sz="4" w:space="0" w:color="000000"/>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7" w:type="dxa"/>
            <w:vMerge/>
            <w:tcBorders>
              <w:left w:val="single" w:sz="4" w:space="0" w:color="000000"/>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0" w:type="dxa"/>
            <w:vMerge/>
            <w:tcBorders>
              <w:left w:val="single" w:sz="4" w:space="0" w:color="000000"/>
              <w:right w:val="single" w:sz="4" w:space="0" w:color="000000"/>
            </w:tcBorders>
            <w:shd w:val="clear" w:color="auto" w:fill="D2D2D2"/>
          </w:tcPr>
          <w:p>
            <w:pPr/>
          </w:p>
        </w:tc>
        <w:tc>
          <w:tcPr>
            <w:tcW w:w="13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小计</w:t>
            </w:r>
          </w:p>
        </w:tc>
        <w:tc>
          <w:tcPr>
            <w:tcW w:w="1241" w:type="dxa"/>
            <w:vMerge/>
            <w:tcBorders>
              <w:left w:val="single" w:sz="4" w:space="0" w:color="000000"/>
              <w:bottom w:val="nil" w:sz="6" w:space="0" w:color="auto"/>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r>
      <w:tr>
        <w:trPr>
          <w:trHeight w:val="197" w:hRule="exact"/>
        </w:trPr>
        <w:tc>
          <w:tcPr>
            <w:tcW w:w="646"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245" w:type="dxa"/>
            <w:vMerge/>
            <w:tcBorders>
              <w:left w:val="single" w:sz="4" w:space="0" w:color="000000"/>
              <w:right w:val="single" w:sz="4" w:space="0" w:color="000000"/>
            </w:tcBorders>
            <w:shd w:val="clear" w:color="auto" w:fill="D2D2D2"/>
          </w:tcPr>
          <w:p>
            <w:pPr/>
          </w:p>
        </w:tc>
        <w:tc>
          <w:tcPr>
            <w:tcW w:w="242"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41" w:type="dxa"/>
            <w:vMerge/>
            <w:tcBorders>
              <w:left w:val="single" w:sz="4" w:space="0" w:color="000000"/>
              <w:bottom w:val="nil" w:sz="6" w:space="0" w:color="auto"/>
              <w:right w:val="single" w:sz="4" w:space="0" w:color="000000"/>
            </w:tcBorders>
            <w:shd w:val="clear" w:color="auto" w:fill="D2D2D2"/>
          </w:tcPr>
          <w:p>
            <w:pPr/>
          </w:p>
        </w:tc>
        <w:tc>
          <w:tcPr>
            <w:tcW w:w="1152" w:type="dxa"/>
            <w:vMerge/>
            <w:tcBorders>
              <w:left w:val="single" w:sz="4" w:space="0" w:color="000000"/>
              <w:bottom w:val="nil" w:sz="6" w:space="0" w:color="auto"/>
              <w:right w:val="single" w:sz="4" w:space="0" w:color="000000"/>
            </w:tcBorders>
            <w:shd w:val="clear" w:color="auto" w:fill="D2D2D2"/>
          </w:tcPr>
          <w:p>
            <w:pPr/>
          </w:p>
        </w:tc>
        <w:tc>
          <w:tcPr>
            <w:tcW w:w="1003" w:type="dxa"/>
            <w:vMerge/>
            <w:tcBorders>
              <w:left w:val="single" w:sz="4" w:space="0" w:color="000000"/>
              <w:right w:val="single" w:sz="4" w:space="0" w:color="000000"/>
            </w:tcBorders>
            <w:shd w:val="clear" w:color="auto" w:fill="D2D2D2"/>
          </w:tcPr>
          <w:p>
            <w:pPr/>
          </w:p>
        </w:tc>
        <w:tc>
          <w:tcPr>
            <w:tcW w:w="250"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257"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bottom w:val="nil" w:sz="6" w:space="0" w:color="auto"/>
              <w:right w:val="single" w:sz="4" w:space="0" w:color="000000"/>
            </w:tcBorders>
            <w:shd w:val="clear" w:color="auto" w:fill="D2D2D2"/>
          </w:tcPr>
          <w:p>
            <w:pPr/>
          </w:p>
        </w:tc>
        <w:tc>
          <w:tcPr>
            <w:tcW w:w="240" w:type="dxa"/>
            <w:vMerge/>
            <w:tcBorders>
              <w:left w:val="single" w:sz="4" w:space="0" w:color="000000"/>
              <w:right w:val="single" w:sz="4" w:space="0" w:color="000000"/>
            </w:tcBorders>
            <w:shd w:val="clear" w:color="auto" w:fill="D2D2D2"/>
          </w:tcPr>
          <w:p>
            <w:pPr/>
          </w:p>
        </w:tc>
        <w:tc>
          <w:tcPr>
            <w:tcW w:w="1376" w:type="dxa"/>
            <w:vMerge/>
            <w:tcBorders>
              <w:left w:val="single" w:sz="4" w:space="0" w:color="000000"/>
              <w:bottom w:val="nil" w:sz="6" w:space="0" w:color="auto"/>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646"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
        </w:tc>
        <w:tc>
          <w:tcPr>
            <w:tcW w:w="245" w:type="dxa"/>
            <w:vMerge/>
            <w:tcBorders>
              <w:left w:val="single" w:sz="4" w:space="0" w:color="000000"/>
              <w:right w:val="single" w:sz="4" w:space="0" w:color="000000"/>
            </w:tcBorders>
            <w:shd w:val="clear" w:color="auto" w:fill="D2D2D2"/>
          </w:tcPr>
          <w:p>
            <w:pPr/>
          </w:p>
        </w:tc>
        <w:tc>
          <w:tcPr>
            <w:tcW w:w="242"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
        </w:tc>
        <w:tc>
          <w:tcPr>
            <w:tcW w:w="1152" w:type="dxa"/>
            <w:vMerge w:val="restart"/>
            <w:tcBorders>
              <w:top w:val="nil" w:sz="6" w:space="0" w:color="auto"/>
              <w:left w:val="single" w:sz="4" w:space="0" w:color="000000"/>
              <w:right w:val="single" w:sz="4" w:space="0" w:color="000000"/>
            </w:tcBorders>
            <w:shd w:val="clear" w:color="auto" w:fill="D2D2D2"/>
          </w:tcPr>
          <w:p>
            <w:pPr/>
          </w:p>
        </w:tc>
        <w:tc>
          <w:tcPr>
            <w:tcW w:w="1003" w:type="dxa"/>
            <w:vMerge/>
            <w:tcBorders>
              <w:left w:val="single" w:sz="4" w:space="0" w:color="000000"/>
              <w:bottom w:val="nil" w:sz="6" w:space="0" w:color="auto"/>
              <w:right w:val="single" w:sz="4" w:space="0" w:color="000000"/>
            </w:tcBorders>
            <w:shd w:val="clear" w:color="auto" w:fill="D2D2D2"/>
          </w:tcPr>
          <w:p>
            <w:pPr/>
          </w:p>
        </w:tc>
        <w:tc>
          <w:tcPr>
            <w:tcW w:w="250" w:type="dxa"/>
            <w:vMerge/>
            <w:tcBorders>
              <w:left w:val="single" w:sz="4" w:space="0" w:color="000000"/>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
        </w:tc>
        <w:tc>
          <w:tcPr>
            <w:tcW w:w="257" w:type="dxa"/>
            <w:vMerge/>
            <w:tcBorders>
              <w:left w:val="single" w:sz="4" w:space="0" w:color="000000"/>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
        </w:tc>
        <w:tc>
          <w:tcPr>
            <w:tcW w:w="240" w:type="dxa"/>
            <w:vMerge/>
            <w:tcBorders>
              <w:left w:val="single" w:sz="4" w:space="0" w:color="000000"/>
              <w:bottom w:val="nil" w:sz="6" w:space="0" w:color="auto"/>
              <w:right w:val="single" w:sz="4" w:space="0" w:color="000000"/>
            </w:tcBorders>
            <w:shd w:val="clear" w:color="auto" w:fill="D2D2D2"/>
          </w:tcPr>
          <w:p>
            <w:pPr/>
          </w:p>
        </w:tc>
        <w:tc>
          <w:tcPr>
            <w:tcW w:w="1376" w:type="dxa"/>
            <w:vMerge w:val="restart"/>
            <w:tcBorders>
              <w:top w:val="nil" w:sz="6" w:space="0" w:color="auto"/>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right w:val="single" w:sz="4" w:space="0" w:color="000000"/>
            </w:tcBorders>
            <w:shd w:val="clear" w:color="auto" w:fill="D2D2D2"/>
          </w:tcPr>
          <w:p>
            <w:pPr/>
          </w:p>
        </w:tc>
      </w:tr>
      <w:tr>
        <w:trPr>
          <w:trHeight w:val="312" w:hRule="exact"/>
        </w:trPr>
        <w:tc>
          <w:tcPr>
            <w:tcW w:w="646"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245" w:type="dxa"/>
            <w:vMerge/>
            <w:tcBorders>
              <w:left w:val="single" w:sz="4" w:space="0" w:color="000000"/>
              <w:bottom w:val="nil" w:sz="6" w:space="0" w:color="auto"/>
              <w:right w:val="single" w:sz="4" w:space="0" w:color="000000"/>
            </w:tcBorders>
            <w:shd w:val="clear" w:color="auto" w:fill="D2D2D2"/>
          </w:tcPr>
          <w:p>
            <w:pPr/>
          </w:p>
        </w:tc>
        <w:tc>
          <w:tcPr>
            <w:tcW w:w="242"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1003" w:type="dxa"/>
            <w:vMerge w:val="restart"/>
            <w:tcBorders>
              <w:top w:val="nil" w:sz="6" w:space="0" w:color="auto"/>
              <w:left w:val="single" w:sz="4" w:space="0" w:color="000000"/>
              <w:right w:val="single" w:sz="4" w:space="0" w:color="000000"/>
            </w:tcBorders>
            <w:shd w:val="clear" w:color="auto" w:fill="D2D2D2"/>
          </w:tcPr>
          <w:p>
            <w:pPr/>
          </w:p>
        </w:tc>
        <w:tc>
          <w:tcPr>
            <w:tcW w:w="250" w:type="dxa"/>
            <w:vMerge/>
            <w:tcBorders>
              <w:left w:val="single" w:sz="4" w:space="0" w:color="000000"/>
              <w:bottom w:val="nil" w:sz="6" w:space="0" w:color="auto"/>
              <w:right w:val="single" w:sz="4" w:space="0" w:color="000000"/>
            </w:tcBorders>
            <w:shd w:val="clear" w:color="auto" w:fill="D2D2D2"/>
          </w:tcPr>
          <w:p>
            <w:pPr/>
          </w:p>
        </w:tc>
        <w:tc>
          <w:tcPr>
            <w:tcW w:w="1092" w:type="dxa"/>
            <w:vMerge/>
            <w:tcBorders>
              <w:left w:val="single" w:sz="4" w:space="0" w:color="000000"/>
              <w:right w:val="single" w:sz="4" w:space="0" w:color="000000"/>
            </w:tcBorders>
            <w:shd w:val="clear" w:color="auto" w:fill="D2D2D2"/>
          </w:tcPr>
          <w:p>
            <w:pPr/>
          </w:p>
        </w:tc>
        <w:tc>
          <w:tcPr>
            <w:tcW w:w="257"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240" w:type="dxa"/>
            <w:vMerge w:val="restart"/>
            <w:tcBorders>
              <w:top w:val="nil" w:sz="6" w:space="0" w:color="auto"/>
              <w:left w:val="single" w:sz="4" w:space="0" w:color="000000"/>
              <w:right w:val="single" w:sz="4" w:space="0" w:color="000000"/>
            </w:tcBorders>
            <w:shd w:val="clear" w:color="auto" w:fill="D2D2D2"/>
          </w:tcPr>
          <w:p>
            <w:pPr/>
          </w:p>
        </w:tc>
        <w:tc>
          <w:tcPr>
            <w:tcW w:w="1376"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right w:val="single" w:sz="4" w:space="0" w:color="000000"/>
            </w:tcBorders>
            <w:shd w:val="clear" w:color="auto" w:fill="D2D2D2"/>
          </w:tcPr>
          <w:p>
            <w:pPr/>
          </w:p>
        </w:tc>
      </w:tr>
      <w:tr>
        <w:trPr>
          <w:trHeight w:val="295" w:hRule="exact"/>
        </w:trPr>
        <w:tc>
          <w:tcPr>
            <w:tcW w:w="646"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245" w:type="dxa"/>
            <w:tcBorders>
              <w:top w:val="nil" w:sz="6" w:space="0" w:color="auto"/>
              <w:left w:val="single" w:sz="4" w:space="0" w:color="000000"/>
              <w:bottom w:val="single" w:sz="4" w:space="0" w:color="000000"/>
              <w:right w:val="single" w:sz="4" w:space="0" w:color="000000"/>
            </w:tcBorders>
            <w:shd w:val="clear" w:color="auto" w:fill="D2D2D2"/>
          </w:tcPr>
          <w:p>
            <w:pPr/>
          </w:p>
        </w:tc>
        <w:tc>
          <w:tcPr>
            <w:tcW w:w="24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241"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2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257" w:type="dxa"/>
            <w:vMerge/>
            <w:tcBorders>
              <w:left w:val="single" w:sz="4" w:space="0" w:color="000000"/>
              <w:bottom w:val="single" w:sz="4" w:space="0" w:color="000000"/>
              <w:right w:val="single" w:sz="4" w:space="0" w:color="000000"/>
            </w:tcBorders>
            <w:shd w:val="clear" w:color="auto" w:fill="D2D2D2"/>
          </w:tcPr>
          <w:p>
            <w:pPr/>
          </w:p>
        </w:tc>
        <w:tc>
          <w:tcPr>
            <w:tcW w:w="1241" w:type="dxa"/>
            <w:vMerge/>
            <w:tcBorders>
              <w:left w:val="single" w:sz="4" w:space="0" w:color="000000"/>
              <w:bottom w:val="single" w:sz="4" w:space="0" w:color="000000"/>
              <w:right w:val="single" w:sz="4" w:space="0" w:color="000000"/>
            </w:tcBorders>
            <w:shd w:val="clear" w:color="auto" w:fill="D2D2D2"/>
          </w:tcPr>
          <w:p>
            <w:pPr/>
          </w:p>
        </w:tc>
        <w:tc>
          <w:tcPr>
            <w:tcW w:w="240" w:type="dxa"/>
            <w:vMerge/>
            <w:tcBorders>
              <w:left w:val="single" w:sz="4" w:space="0" w:color="000000"/>
              <w:bottom w:val="single" w:sz="4" w:space="0" w:color="000000"/>
              <w:right w:val="single" w:sz="4" w:space="0" w:color="000000"/>
            </w:tcBorders>
            <w:shd w:val="clear" w:color="auto" w:fill="D2D2D2"/>
          </w:tcPr>
          <w:p>
            <w:pPr/>
          </w:p>
        </w:tc>
        <w:tc>
          <w:tcPr>
            <w:tcW w:w="1376" w:type="dxa"/>
            <w:vMerge/>
            <w:tcBorders>
              <w:left w:val="single" w:sz="4" w:space="0" w:color="000000"/>
              <w:bottom w:val="single" w:sz="4" w:space="0" w:color="000000"/>
              <w:right w:val="single" w:sz="4" w:space="0" w:color="000000"/>
            </w:tcBorders>
            <w:shd w:val="clear" w:color="auto" w:fill="D2D2D2"/>
          </w:tcPr>
          <w:p>
            <w:pPr/>
          </w:p>
        </w:tc>
        <w:tc>
          <w:tcPr>
            <w:tcW w:w="1241" w:type="dxa"/>
            <w:vMerge/>
            <w:tcBorders>
              <w:left w:val="single" w:sz="4" w:space="0" w:color="000000"/>
              <w:bottom w:val="single" w:sz="4" w:space="0" w:color="000000"/>
              <w:right w:val="single" w:sz="4" w:space="0" w:color="000000"/>
            </w:tcBorders>
            <w:shd w:val="clear" w:color="auto" w:fill="D2D2D2"/>
          </w:tcPr>
          <w:p>
            <w:pPr/>
          </w:p>
        </w:tc>
        <w:tc>
          <w:tcPr>
            <w:tcW w:w="1378" w:type="dxa"/>
            <w:vMerge/>
            <w:tcBorders>
              <w:left w:val="single" w:sz="4" w:space="0" w:color="000000"/>
              <w:bottom w:val="single" w:sz="4" w:space="0" w:color="000000"/>
              <w:right w:val="single" w:sz="4" w:space="0" w:color="000000"/>
            </w:tcBorders>
            <w:shd w:val="clear" w:color="auto" w:fill="D2D2D2"/>
          </w:tcPr>
          <w:p>
            <w:pPr/>
          </w:p>
        </w:tc>
      </w:tr>
      <w:tr>
        <w:trPr>
          <w:trHeight w:val="674" w:hRule="exact"/>
        </w:trPr>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1" w:right="82"/>
              <w:jc w:val="left"/>
              <w:rPr>
                <w:rFonts w:ascii="宋体" w:hAnsi="宋体" w:cs="宋体" w:eastAsia="宋体" w:hint="default"/>
                <w:sz w:val="18"/>
                <w:szCs w:val="18"/>
              </w:rPr>
            </w:pPr>
            <w:r>
              <w:rPr>
                <w:rFonts w:ascii="宋体" w:hAnsi="宋体" w:cs="宋体" w:eastAsia="宋体" w:hint="default"/>
                <w:sz w:val="18"/>
                <w:szCs w:val="18"/>
              </w:rPr>
              <w:t>的普通 股</w:t>
            </w:r>
          </w:p>
        </w:tc>
        <w:tc>
          <w:tcPr>
            <w:tcW w:w="1193" w:type="dxa"/>
            <w:tcBorders>
              <w:top w:val="single" w:sz="4" w:space="0" w:color="000000"/>
              <w:left w:val="single" w:sz="13" w:space="0" w:color="D2D2D2"/>
              <w:bottom w:val="single" w:sz="4" w:space="0" w:color="000000"/>
              <w:right w:val="single" w:sz="4" w:space="0" w:color="000000"/>
            </w:tcBorders>
          </w:tcPr>
          <w:p>
            <w:pPr/>
          </w:p>
        </w:tc>
        <w:tc>
          <w:tcPr>
            <w:tcW w:w="245" w:type="dxa"/>
            <w:tcBorders>
              <w:top w:val="single" w:sz="4" w:space="0" w:color="000000"/>
              <w:left w:val="single" w:sz="4" w:space="0" w:color="000000"/>
              <w:bottom w:val="single" w:sz="4" w:space="0" w:color="000000"/>
              <w:right w:val="single" w:sz="4" w:space="0" w:color="000000"/>
            </w:tcBorders>
          </w:tcPr>
          <w:p>
            <w:pPr/>
          </w:p>
        </w:tc>
        <w:tc>
          <w:tcPr>
            <w:tcW w:w="2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 w:right="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．其他</w:t>
            </w:r>
            <w:r>
              <w:rPr>
                <w:rFonts w:ascii="宋体" w:hAnsi="宋体" w:cs="宋体" w:eastAsia="宋体" w:hint="default"/>
                <w:sz w:val="18"/>
                <w:szCs w:val="18"/>
              </w:rPr>
              <w:t> 权益工 具持有 者投入 资本</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7,834.00</w:t>
            </w:r>
          </w:p>
        </w:tc>
        <w:tc>
          <w:tcPr>
            <w:tcW w:w="245" w:type="dxa"/>
            <w:tcBorders>
              <w:top w:val="single" w:sz="4" w:space="0" w:color="000000"/>
              <w:left w:val="single" w:sz="4" w:space="0" w:color="000000"/>
              <w:bottom w:val="single" w:sz="4" w:space="0" w:color="000000"/>
              <w:right w:val="single" w:sz="4" w:space="0" w:color="000000"/>
            </w:tcBorders>
          </w:tcPr>
          <w:p>
            <w:pPr/>
          </w:p>
        </w:tc>
        <w:tc>
          <w:tcPr>
            <w:tcW w:w="2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-20,038.72</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94,956.00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82,751.28</w:t>
            </w:r>
          </w:p>
        </w:tc>
        <w:tc>
          <w:tcPr>
            <w:tcW w:w="124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82,751.28</w:t>
            </w:r>
          </w:p>
        </w:tc>
      </w:tr>
      <w:tr>
        <w:trPr>
          <w:trHeight w:val="1652" w:hRule="exact"/>
        </w:trPr>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 w:right="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．股份</w:t>
            </w:r>
            <w:r>
              <w:rPr>
                <w:rFonts w:ascii="宋体" w:hAnsi="宋体" w:cs="宋体" w:eastAsia="宋体" w:hint="default"/>
                <w:sz w:val="18"/>
                <w:szCs w:val="18"/>
              </w:rPr>
              <w:t> 支付计 入所有 者权益 的金额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245" w:type="dxa"/>
            <w:tcBorders>
              <w:top w:val="single" w:sz="4" w:space="0" w:color="000000"/>
              <w:left w:val="single" w:sz="4" w:space="0" w:color="000000"/>
              <w:bottom w:val="single" w:sz="4" w:space="0" w:color="000000"/>
              <w:right w:val="single" w:sz="4" w:space="0" w:color="000000"/>
            </w:tcBorders>
          </w:tcPr>
          <w:p>
            <w:pPr/>
          </w:p>
        </w:tc>
        <w:tc>
          <w:tcPr>
            <w:tcW w:w="2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25,190,584.50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25,190,584.50</w:t>
            </w:r>
          </w:p>
        </w:tc>
        <w:tc>
          <w:tcPr>
            <w:tcW w:w="124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25,190,584.50</w:t>
            </w:r>
          </w:p>
        </w:tc>
      </w:tr>
      <w:tr>
        <w:trPr>
          <w:trHeight w:val="401" w:hRule="exact"/>
        </w:trPr>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-298,673.00</w:t>
            </w:r>
          </w:p>
        </w:tc>
        <w:tc>
          <w:tcPr>
            <w:tcW w:w="245" w:type="dxa"/>
            <w:tcBorders>
              <w:top w:val="single" w:sz="4" w:space="0" w:color="000000"/>
              <w:left w:val="single" w:sz="4" w:space="0" w:color="000000"/>
              <w:bottom w:val="single" w:sz="4" w:space="0" w:color="000000"/>
              <w:right w:val="single" w:sz="4" w:space="0" w:color="000000"/>
            </w:tcBorders>
          </w:tcPr>
          <w:p>
            <w:pPr/>
          </w:p>
        </w:tc>
        <w:tc>
          <w:tcPr>
            <w:tcW w:w="2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-661,414,767.01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-13,257,856.00</w:t>
            </w:r>
          </w:p>
        </w:tc>
        <w:tc>
          <w:tcPr>
            <w:tcW w:w="1003"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-648,455,584.01</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-138,994,160.99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-787,449,745.00</w:t>
            </w:r>
          </w:p>
        </w:tc>
      </w:tr>
      <w:tr>
        <w:trPr>
          <w:trHeight w:val="1028" w:hRule="exact"/>
        </w:trPr>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 w:right="82"/>
              <w:jc w:val="both"/>
              <w:rPr>
                <w:rFonts w:ascii="宋体" w:hAnsi="宋体" w:cs="宋体" w:eastAsia="宋体" w:hint="default"/>
                <w:sz w:val="18"/>
                <w:szCs w:val="18"/>
              </w:rPr>
            </w:pPr>
            <w:r>
              <w:rPr>
                <w:rFonts w:ascii="宋体" w:hAnsi="宋体" w:cs="宋体" w:eastAsia="宋体" w:hint="default"/>
                <w:sz w:val="18"/>
                <w:szCs w:val="18"/>
              </w:rPr>
              <w:t>（三） 利润分 配</w:t>
            </w:r>
          </w:p>
        </w:tc>
        <w:tc>
          <w:tcPr>
            <w:tcW w:w="1193" w:type="dxa"/>
            <w:tcBorders>
              <w:top w:val="single" w:sz="4" w:space="0" w:color="000000"/>
              <w:left w:val="single" w:sz="13" w:space="0" w:color="D2D2D2"/>
              <w:bottom w:val="single" w:sz="4" w:space="0" w:color="000000"/>
              <w:right w:val="single" w:sz="4" w:space="0" w:color="000000"/>
            </w:tcBorders>
          </w:tcPr>
          <w:p>
            <w:pPr/>
          </w:p>
        </w:tc>
        <w:tc>
          <w:tcPr>
            <w:tcW w:w="245" w:type="dxa"/>
            <w:tcBorders>
              <w:top w:val="single" w:sz="4" w:space="0" w:color="000000"/>
              <w:left w:val="single" w:sz="4" w:space="0" w:color="000000"/>
              <w:bottom w:val="single" w:sz="4" w:space="0" w:color="000000"/>
              <w:right w:val="single" w:sz="4" w:space="0" w:color="000000"/>
            </w:tcBorders>
          </w:tcPr>
          <w:p>
            <w:pPr/>
          </w:p>
        </w:tc>
        <w:tc>
          <w:tcPr>
            <w:tcW w:w="2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-21,313,097.34</w:t>
            </w:r>
          </w:p>
        </w:tc>
        <w:tc>
          <w:tcPr>
            <w:tcW w:w="24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-21,313,097.34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-665,000.00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-21,978,097.34</w:t>
            </w:r>
          </w:p>
        </w:tc>
      </w:tr>
      <w:tr>
        <w:trPr>
          <w:trHeight w:val="1025" w:hRule="exact"/>
        </w:trPr>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1" w:right="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．提取</w:t>
            </w:r>
            <w:r>
              <w:rPr>
                <w:rFonts w:ascii="宋体" w:hAnsi="宋体" w:cs="宋体" w:eastAsia="宋体" w:hint="default"/>
                <w:sz w:val="18"/>
                <w:szCs w:val="18"/>
              </w:rPr>
              <w:t> 盈余公 积</w:t>
            </w:r>
          </w:p>
        </w:tc>
        <w:tc>
          <w:tcPr>
            <w:tcW w:w="1193" w:type="dxa"/>
            <w:tcBorders>
              <w:top w:val="single" w:sz="4" w:space="0" w:color="000000"/>
              <w:left w:val="single" w:sz="13" w:space="0" w:color="D2D2D2"/>
              <w:bottom w:val="single" w:sz="4" w:space="0" w:color="000000"/>
              <w:right w:val="single" w:sz="4" w:space="0" w:color="000000"/>
            </w:tcBorders>
          </w:tcPr>
          <w:p>
            <w:pPr/>
          </w:p>
        </w:tc>
        <w:tc>
          <w:tcPr>
            <w:tcW w:w="245" w:type="dxa"/>
            <w:tcBorders>
              <w:top w:val="single" w:sz="4" w:space="0" w:color="000000"/>
              <w:left w:val="single" w:sz="4" w:space="0" w:color="000000"/>
              <w:bottom w:val="single" w:sz="4" w:space="0" w:color="000000"/>
              <w:right w:val="single" w:sz="4" w:space="0" w:color="000000"/>
            </w:tcBorders>
          </w:tcPr>
          <w:p>
            <w:pPr/>
          </w:p>
        </w:tc>
        <w:tc>
          <w:tcPr>
            <w:tcW w:w="2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40" w:right="1280"/>
        </w:sectPr>
      </w:pPr>
    </w:p>
    <w:p>
      <w:pPr>
        <w:spacing w:line="240" w:lineRule="auto" w:before="5"/>
        <w:rPr>
          <w:rFonts w:ascii="Times New Roman" w:hAnsi="Times New Roman" w:cs="Times New Roman" w:eastAsia="Times New Roman"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646"/>
        <w:gridCol w:w="1193"/>
        <w:gridCol w:w="245"/>
        <w:gridCol w:w="242"/>
        <w:gridCol w:w="1181"/>
        <w:gridCol w:w="1241"/>
        <w:gridCol w:w="1152"/>
        <w:gridCol w:w="1003"/>
        <w:gridCol w:w="250"/>
        <w:gridCol w:w="1092"/>
        <w:gridCol w:w="257"/>
        <w:gridCol w:w="1241"/>
        <w:gridCol w:w="240"/>
        <w:gridCol w:w="1376"/>
        <w:gridCol w:w="1241"/>
        <w:gridCol w:w="1378"/>
      </w:tblGrid>
      <w:tr>
        <w:trPr>
          <w:trHeight w:val="417" w:hRule="exact"/>
        </w:trPr>
        <w:tc>
          <w:tcPr>
            <w:tcW w:w="646" w:type="dxa"/>
            <w:vMerge w:val="restart"/>
            <w:tcBorders>
              <w:top w:val="single" w:sz="15" w:space="0" w:color="000000"/>
              <w:left w:val="single" w:sz="4" w:space="0" w:color="000000"/>
              <w:right w:val="single" w:sz="4" w:space="0" w:color="000000"/>
            </w:tcBorders>
            <w:shd w:val="clear" w:color="auto" w:fill="D2D2D2"/>
          </w:tcPr>
          <w:p>
            <w:pPr/>
          </w:p>
        </w:tc>
        <w:tc>
          <w:tcPr>
            <w:tcW w:w="13331" w:type="dxa"/>
            <w:gridSpan w:val="15"/>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1" w:hRule="exact"/>
        </w:trPr>
        <w:tc>
          <w:tcPr>
            <w:tcW w:w="646" w:type="dxa"/>
            <w:vMerge/>
            <w:tcBorders>
              <w:left w:val="single" w:sz="4" w:space="0" w:color="000000"/>
              <w:right w:val="single" w:sz="4" w:space="0" w:color="000000"/>
            </w:tcBorders>
            <w:shd w:val="clear" w:color="auto" w:fill="D2D2D2"/>
          </w:tcPr>
          <w:p>
            <w:pPr/>
          </w:p>
        </w:tc>
        <w:tc>
          <w:tcPr>
            <w:tcW w:w="1071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41" w:type="dxa"/>
            <w:vMerge w:val="restart"/>
            <w:tcBorders>
              <w:top w:val="single" w:sz="4" w:space="0" w:color="000000"/>
              <w:left w:val="single" w:sz="4" w:space="0" w:color="000000"/>
              <w:right w:val="single" w:sz="4" w:space="0" w:color="000000"/>
            </w:tcBorders>
            <w:shd w:val="clear" w:color="auto" w:fill="D2D2D2"/>
          </w:tcPr>
          <w:p>
            <w:pPr/>
          </w:p>
        </w:tc>
        <w:tc>
          <w:tcPr>
            <w:tcW w:w="1378" w:type="dxa"/>
            <w:vMerge w:val="restart"/>
            <w:tcBorders>
              <w:top w:val="single" w:sz="4" w:space="0" w:color="000000"/>
              <w:left w:val="single" w:sz="4" w:space="0" w:color="000000"/>
              <w:right w:val="single" w:sz="4" w:space="0" w:color="000000"/>
            </w:tcBorders>
            <w:shd w:val="clear" w:color="auto" w:fill="D2D2D2"/>
          </w:tcPr>
          <w:p>
            <w:pPr/>
          </w:p>
        </w:tc>
      </w:tr>
      <w:tr>
        <w:trPr>
          <w:trHeight w:val="352" w:hRule="exact"/>
        </w:trPr>
        <w:tc>
          <w:tcPr>
            <w:tcW w:w="646" w:type="dxa"/>
            <w:vMerge/>
            <w:tcBorders>
              <w:left w:val="single" w:sz="4" w:space="0" w:color="000000"/>
              <w:bottom w:val="nil" w:sz="6" w:space="0" w:color="auto"/>
              <w:right w:val="single" w:sz="4" w:space="0" w:color="000000"/>
            </w:tcBorders>
            <w:shd w:val="clear" w:color="auto" w:fill="D2D2D2"/>
          </w:tcPr>
          <w:p>
            <w:pPr/>
          </w:p>
        </w:tc>
        <w:tc>
          <w:tcPr>
            <w:tcW w:w="1193" w:type="dxa"/>
            <w:vMerge w:val="restart"/>
            <w:tcBorders>
              <w:top w:val="single" w:sz="4" w:space="0" w:color="000000"/>
              <w:left w:val="single" w:sz="4" w:space="0" w:color="000000"/>
              <w:right w:val="single" w:sz="4" w:space="0" w:color="000000"/>
            </w:tcBorders>
            <w:shd w:val="clear" w:color="auto" w:fill="D2D2D2"/>
          </w:tcPr>
          <w:p>
            <w:pPr/>
          </w:p>
        </w:tc>
        <w:tc>
          <w:tcPr>
            <w:tcW w:w="16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8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41" w:type="dxa"/>
            <w:vMerge w:val="restart"/>
            <w:tcBorders>
              <w:top w:val="single" w:sz="4" w:space="0" w:color="000000"/>
              <w:left w:val="single" w:sz="4" w:space="0" w:color="000000"/>
              <w:right w:val="single" w:sz="4" w:space="0" w:color="000000"/>
            </w:tcBorders>
            <w:shd w:val="clear" w:color="auto" w:fill="D2D2D2"/>
          </w:tcPr>
          <w:p>
            <w:pPr/>
          </w:p>
        </w:tc>
        <w:tc>
          <w:tcPr>
            <w:tcW w:w="1152" w:type="dxa"/>
            <w:vMerge w:val="restart"/>
            <w:tcBorders>
              <w:top w:val="single" w:sz="4" w:space="0" w:color="000000"/>
              <w:left w:val="single" w:sz="4" w:space="0" w:color="000000"/>
              <w:right w:val="single" w:sz="4" w:space="0" w:color="000000"/>
            </w:tcBorders>
            <w:shd w:val="clear" w:color="auto" w:fill="D2D2D2"/>
          </w:tcPr>
          <w:p>
            <w:pPr/>
          </w:p>
        </w:tc>
        <w:tc>
          <w:tcPr>
            <w:tcW w:w="1003" w:type="dxa"/>
            <w:vMerge w:val="restart"/>
            <w:tcBorders>
              <w:top w:val="single" w:sz="4" w:space="0" w:color="000000"/>
              <w:left w:val="single" w:sz="4" w:space="0" w:color="000000"/>
              <w:right w:val="single" w:sz="4" w:space="0" w:color="000000"/>
            </w:tcBorders>
            <w:shd w:val="clear" w:color="auto" w:fill="D2D2D2"/>
          </w:tcPr>
          <w:p>
            <w:pPr/>
          </w:p>
        </w:tc>
        <w:tc>
          <w:tcPr>
            <w:tcW w:w="2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2" w:type="dxa"/>
            <w:vMerge w:val="restart"/>
            <w:tcBorders>
              <w:top w:val="single" w:sz="4" w:space="0" w:color="000000"/>
              <w:left w:val="single" w:sz="4" w:space="0" w:color="000000"/>
              <w:right w:val="single" w:sz="4" w:space="0" w:color="000000"/>
            </w:tcBorders>
            <w:shd w:val="clear" w:color="auto" w:fill="D2D2D2"/>
          </w:tcPr>
          <w:p>
            <w:pPr/>
          </w:p>
        </w:tc>
        <w:tc>
          <w:tcPr>
            <w:tcW w:w="25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1"/>
              <w:ind w:left="31" w:right="35"/>
              <w:jc w:val="both"/>
              <w:rPr>
                <w:rFonts w:ascii="宋体" w:hAnsi="宋体" w:cs="宋体" w:eastAsia="宋体" w:hint="default"/>
                <w:sz w:val="18"/>
                <w:szCs w:val="18"/>
              </w:rPr>
            </w:pPr>
            <w:r>
              <w:rPr>
                <w:rFonts w:ascii="宋体" w:hAnsi="宋体" w:cs="宋体" w:eastAsia="宋体" w:hint="default"/>
                <w:sz w:val="18"/>
                <w:szCs w:val="18"/>
              </w:rPr>
              <w:t>一 般 风 险 准 备</w:t>
            </w:r>
          </w:p>
        </w:tc>
        <w:tc>
          <w:tcPr>
            <w:tcW w:w="1241" w:type="dxa"/>
            <w:vMerge w:val="restart"/>
            <w:tcBorders>
              <w:top w:val="single" w:sz="4" w:space="0" w:color="000000"/>
              <w:left w:val="single" w:sz="4" w:space="0" w:color="000000"/>
              <w:right w:val="single" w:sz="4" w:space="0" w:color="000000"/>
            </w:tcBorders>
            <w:shd w:val="clear" w:color="auto" w:fill="D2D2D2"/>
          </w:tcPr>
          <w:p>
            <w:pPr/>
          </w:p>
        </w:tc>
        <w:tc>
          <w:tcPr>
            <w:tcW w:w="240" w:type="dxa"/>
            <w:vMerge w:val="restart"/>
            <w:tcBorders>
              <w:top w:val="single" w:sz="4" w:space="0" w:color="000000"/>
              <w:left w:val="single" w:sz="4" w:space="0" w:color="000000"/>
              <w:right w:val="single" w:sz="4" w:space="0" w:color="000000"/>
            </w:tcBorders>
            <w:shd w:val="clear" w:color="auto" w:fill="D2D2D2"/>
          </w:tcPr>
          <w:p>
            <w:pPr/>
          </w:p>
        </w:tc>
        <w:tc>
          <w:tcPr>
            <w:tcW w:w="1376" w:type="dxa"/>
            <w:vMerge w:val="restart"/>
            <w:tcBorders>
              <w:top w:val="single" w:sz="4" w:space="0" w:color="000000"/>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right w:val="single" w:sz="4" w:space="0" w:color="000000"/>
            </w:tcBorders>
            <w:shd w:val="clear" w:color="auto" w:fill="D2D2D2"/>
          </w:tcPr>
          <w:p>
            <w:pPr/>
          </w:p>
        </w:tc>
      </w:tr>
      <w:tr>
        <w:trPr>
          <w:trHeight w:val="231" w:hRule="exact"/>
        </w:trPr>
        <w:tc>
          <w:tcPr>
            <w:tcW w:w="6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5"/>
              <w:ind w:left="13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93" w:type="dxa"/>
            <w:vMerge/>
            <w:tcBorders>
              <w:left w:val="single" w:sz="4" w:space="0" w:color="000000"/>
              <w:right w:val="single" w:sz="4" w:space="0" w:color="000000"/>
            </w:tcBorders>
            <w:shd w:val="clear" w:color="auto" w:fill="D2D2D2"/>
          </w:tcPr>
          <w:p>
            <w:pPr/>
          </w:p>
        </w:tc>
        <w:tc>
          <w:tcPr>
            <w:tcW w:w="245" w:type="dxa"/>
            <w:tcBorders>
              <w:top w:val="single" w:sz="4" w:space="0" w:color="000000"/>
              <w:left w:val="single" w:sz="4" w:space="0" w:color="000000"/>
              <w:bottom w:val="nil" w:sz="6" w:space="0" w:color="auto"/>
              <w:right w:val="single" w:sz="4" w:space="0" w:color="000000"/>
            </w:tcBorders>
            <w:shd w:val="clear" w:color="auto" w:fill="D2D2D2"/>
          </w:tcPr>
          <w:p>
            <w:pPr/>
          </w:p>
        </w:tc>
        <w:tc>
          <w:tcPr>
            <w:tcW w:w="24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1003" w:type="dxa"/>
            <w:vMerge/>
            <w:tcBorders>
              <w:left w:val="single" w:sz="4" w:space="0" w:color="000000"/>
              <w:bottom w:val="nil" w:sz="6" w:space="0" w:color="auto"/>
              <w:right w:val="single" w:sz="4" w:space="0" w:color="000000"/>
            </w:tcBorders>
            <w:shd w:val="clear" w:color="auto" w:fill="D2D2D2"/>
          </w:tcPr>
          <w:p>
            <w:pPr/>
          </w:p>
        </w:tc>
        <w:tc>
          <w:tcPr>
            <w:tcW w:w="25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26"/>
              <w:ind w:left="28" w:right="29"/>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092" w:type="dxa"/>
            <w:vMerge/>
            <w:tcBorders>
              <w:left w:val="single" w:sz="4" w:space="0" w:color="000000"/>
              <w:right w:val="single" w:sz="4" w:space="0" w:color="000000"/>
            </w:tcBorders>
            <w:shd w:val="clear" w:color="auto" w:fill="D2D2D2"/>
          </w:tcPr>
          <w:p>
            <w:pPr/>
          </w:p>
        </w:tc>
        <w:tc>
          <w:tcPr>
            <w:tcW w:w="257"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240" w:type="dxa"/>
            <w:vMerge/>
            <w:tcBorders>
              <w:left w:val="single" w:sz="4" w:space="0" w:color="000000"/>
              <w:bottom w:val="nil" w:sz="6" w:space="0" w:color="auto"/>
              <w:right w:val="single" w:sz="4" w:space="0" w:color="000000"/>
            </w:tcBorders>
            <w:shd w:val="clear" w:color="auto" w:fill="D2D2D2"/>
          </w:tcPr>
          <w:p>
            <w:pPr/>
          </w:p>
        </w:tc>
        <w:tc>
          <w:tcPr>
            <w:tcW w:w="1376"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bottom w:val="nil" w:sz="6" w:space="0" w:color="auto"/>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r>
      <w:tr>
        <w:trPr>
          <w:trHeight w:val="140" w:hRule="exact"/>
        </w:trPr>
        <w:tc>
          <w:tcPr>
            <w:tcW w:w="646" w:type="dxa"/>
            <w:vMerge/>
            <w:tcBorders>
              <w:left w:val="single" w:sz="4" w:space="0" w:color="000000"/>
              <w:bottom w:val="nil" w:sz="6" w:space="0" w:color="auto"/>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24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6"/>
              <w:ind w:left="23" w:right="29"/>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4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6"/>
              <w:ind w:left="24" w:right="26"/>
              <w:jc w:val="both"/>
              <w:rPr>
                <w:rFonts w:ascii="宋体" w:hAnsi="宋体" w:cs="宋体" w:eastAsia="宋体" w:hint="default"/>
                <w:sz w:val="18"/>
                <w:szCs w:val="18"/>
              </w:rPr>
            </w:pPr>
            <w:r>
              <w:rPr>
                <w:rFonts w:ascii="宋体" w:hAnsi="宋体" w:cs="宋体" w:eastAsia="宋体" w:hint="default"/>
                <w:sz w:val="18"/>
                <w:szCs w:val="18"/>
              </w:rPr>
              <w:t>永 续 债</w:t>
            </w:r>
          </w:p>
        </w:tc>
        <w:tc>
          <w:tcPr>
            <w:tcW w:w="1181"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bottom w:val="nil" w:sz="6" w:space="0" w:color="auto"/>
              <w:right w:val="single" w:sz="4" w:space="0" w:color="000000"/>
            </w:tcBorders>
            <w:shd w:val="clear" w:color="auto" w:fill="D2D2D2"/>
          </w:tcPr>
          <w:p>
            <w:pPr/>
          </w:p>
        </w:tc>
        <w:tc>
          <w:tcPr>
            <w:tcW w:w="1152" w:type="dxa"/>
            <w:vMerge/>
            <w:tcBorders>
              <w:left w:val="single" w:sz="4" w:space="0" w:color="000000"/>
              <w:bottom w:val="nil" w:sz="6" w:space="0" w:color="auto"/>
              <w:right w:val="single" w:sz="4" w:space="0" w:color="000000"/>
            </w:tcBorders>
            <w:shd w:val="clear" w:color="auto" w:fill="D2D2D2"/>
          </w:tcPr>
          <w:p>
            <w:pPr/>
          </w:p>
        </w:tc>
        <w:tc>
          <w:tcPr>
            <w:tcW w:w="100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0"/>
              <w:ind w:left="408" w:right="43"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250"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257"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bottom w:val="nil" w:sz="6" w:space="0" w:color="auto"/>
              <w:right w:val="single" w:sz="4" w:space="0" w:color="000000"/>
            </w:tcBorders>
            <w:shd w:val="clear" w:color="auto" w:fill="D2D2D2"/>
          </w:tcPr>
          <w:p>
            <w:pPr/>
          </w:p>
        </w:tc>
        <w:tc>
          <w:tcPr>
            <w:tcW w:w="240"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2"/>
              <w:ind w:left="24" w:right="24"/>
              <w:jc w:val="left"/>
              <w:rPr>
                <w:rFonts w:ascii="宋体" w:hAnsi="宋体" w:cs="宋体" w:eastAsia="宋体" w:hint="default"/>
                <w:sz w:val="18"/>
                <w:szCs w:val="18"/>
              </w:rPr>
            </w:pPr>
            <w:r>
              <w:rPr>
                <w:rFonts w:ascii="宋体" w:hAnsi="宋体" w:cs="宋体" w:eastAsia="宋体" w:hint="default"/>
                <w:sz w:val="18"/>
                <w:szCs w:val="18"/>
              </w:rPr>
              <w:t>其 他</w:t>
            </w:r>
          </w:p>
        </w:tc>
        <w:tc>
          <w:tcPr>
            <w:tcW w:w="1376" w:type="dxa"/>
            <w:vMerge/>
            <w:tcBorders>
              <w:left w:val="single" w:sz="4" w:space="0" w:color="000000"/>
              <w:bottom w:val="nil" w:sz="6" w:space="0" w:color="auto"/>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5"/>
              <w:ind w:left="76"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5"/>
              <w:ind w:left="5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4" w:hRule="exact"/>
        </w:trPr>
        <w:tc>
          <w:tcPr>
            <w:tcW w:w="646" w:type="dxa"/>
            <w:vMerge w:val="restart"/>
            <w:tcBorders>
              <w:top w:val="nil" w:sz="6" w:space="0" w:color="auto"/>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7"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45" w:type="dxa"/>
            <w:vMerge/>
            <w:tcBorders>
              <w:left w:val="single" w:sz="4" w:space="0" w:color="000000"/>
              <w:right w:val="single" w:sz="4" w:space="0" w:color="000000"/>
            </w:tcBorders>
            <w:shd w:val="clear" w:color="auto" w:fill="D2D2D2"/>
          </w:tcPr>
          <w:p>
            <w:pPr/>
          </w:p>
        </w:tc>
        <w:tc>
          <w:tcPr>
            <w:tcW w:w="242"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25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119"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03" w:type="dxa"/>
            <w:vMerge/>
            <w:tcBorders>
              <w:left w:val="single" w:sz="4" w:space="0" w:color="000000"/>
              <w:right w:val="single" w:sz="4" w:space="0" w:color="000000"/>
            </w:tcBorders>
            <w:shd w:val="clear" w:color="auto" w:fill="D2D2D2"/>
          </w:tcPr>
          <w:p>
            <w:pPr/>
          </w:p>
        </w:tc>
        <w:tc>
          <w:tcPr>
            <w:tcW w:w="250" w:type="dxa"/>
            <w:vMerge/>
            <w:tcBorders>
              <w:left w:val="single" w:sz="4" w:space="0" w:color="000000"/>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7" w:type="dxa"/>
            <w:vMerge/>
            <w:tcBorders>
              <w:left w:val="single" w:sz="4" w:space="0" w:color="000000"/>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1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0" w:type="dxa"/>
            <w:vMerge/>
            <w:tcBorders>
              <w:left w:val="single" w:sz="4" w:space="0" w:color="000000"/>
              <w:right w:val="single" w:sz="4" w:space="0" w:color="000000"/>
            </w:tcBorders>
            <w:shd w:val="clear" w:color="auto" w:fill="D2D2D2"/>
          </w:tcPr>
          <w:p>
            <w:pPr/>
          </w:p>
        </w:tc>
        <w:tc>
          <w:tcPr>
            <w:tcW w:w="13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小计</w:t>
            </w:r>
          </w:p>
        </w:tc>
        <w:tc>
          <w:tcPr>
            <w:tcW w:w="1241" w:type="dxa"/>
            <w:vMerge/>
            <w:tcBorders>
              <w:left w:val="single" w:sz="4" w:space="0" w:color="000000"/>
              <w:bottom w:val="nil" w:sz="6" w:space="0" w:color="auto"/>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r>
      <w:tr>
        <w:trPr>
          <w:trHeight w:val="197" w:hRule="exact"/>
        </w:trPr>
        <w:tc>
          <w:tcPr>
            <w:tcW w:w="646"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245" w:type="dxa"/>
            <w:vMerge/>
            <w:tcBorders>
              <w:left w:val="single" w:sz="4" w:space="0" w:color="000000"/>
              <w:right w:val="single" w:sz="4" w:space="0" w:color="000000"/>
            </w:tcBorders>
            <w:shd w:val="clear" w:color="auto" w:fill="D2D2D2"/>
          </w:tcPr>
          <w:p>
            <w:pPr/>
          </w:p>
        </w:tc>
        <w:tc>
          <w:tcPr>
            <w:tcW w:w="242"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41" w:type="dxa"/>
            <w:vMerge/>
            <w:tcBorders>
              <w:left w:val="single" w:sz="4" w:space="0" w:color="000000"/>
              <w:bottom w:val="nil" w:sz="6" w:space="0" w:color="auto"/>
              <w:right w:val="single" w:sz="4" w:space="0" w:color="000000"/>
            </w:tcBorders>
            <w:shd w:val="clear" w:color="auto" w:fill="D2D2D2"/>
          </w:tcPr>
          <w:p>
            <w:pPr/>
          </w:p>
        </w:tc>
        <w:tc>
          <w:tcPr>
            <w:tcW w:w="1152" w:type="dxa"/>
            <w:vMerge/>
            <w:tcBorders>
              <w:left w:val="single" w:sz="4" w:space="0" w:color="000000"/>
              <w:bottom w:val="nil" w:sz="6" w:space="0" w:color="auto"/>
              <w:right w:val="single" w:sz="4" w:space="0" w:color="000000"/>
            </w:tcBorders>
            <w:shd w:val="clear" w:color="auto" w:fill="D2D2D2"/>
          </w:tcPr>
          <w:p>
            <w:pPr/>
          </w:p>
        </w:tc>
        <w:tc>
          <w:tcPr>
            <w:tcW w:w="1003" w:type="dxa"/>
            <w:vMerge/>
            <w:tcBorders>
              <w:left w:val="single" w:sz="4" w:space="0" w:color="000000"/>
              <w:right w:val="single" w:sz="4" w:space="0" w:color="000000"/>
            </w:tcBorders>
            <w:shd w:val="clear" w:color="auto" w:fill="D2D2D2"/>
          </w:tcPr>
          <w:p>
            <w:pPr/>
          </w:p>
        </w:tc>
        <w:tc>
          <w:tcPr>
            <w:tcW w:w="250"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257"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bottom w:val="nil" w:sz="6" w:space="0" w:color="auto"/>
              <w:right w:val="single" w:sz="4" w:space="0" w:color="000000"/>
            </w:tcBorders>
            <w:shd w:val="clear" w:color="auto" w:fill="D2D2D2"/>
          </w:tcPr>
          <w:p>
            <w:pPr/>
          </w:p>
        </w:tc>
        <w:tc>
          <w:tcPr>
            <w:tcW w:w="240" w:type="dxa"/>
            <w:vMerge/>
            <w:tcBorders>
              <w:left w:val="single" w:sz="4" w:space="0" w:color="000000"/>
              <w:right w:val="single" w:sz="4" w:space="0" w:color="000000"/>
            </w:tcBorders>
            <w:shd w:val="clear" w:color="auto" w:fill="D2D2D2"/>
          </w:tcPr>
          <w:p>
            <w:pPr/>
          </w:p>
        </w:tc>
        <w:tc>
          <w:tcPr>
            <w:tcW w:w="1376" w:type="dxa"/>
            <w:vMerge/>
            <w:tcBorders>
              <w:left w:val="single" w:sz="4" w:space="0" w:color="000000"/>
              <w:bottom w:val="nil" w:sz="6" w:space="0" w:color="auto"/>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646"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
        </w:tc>
        <w:tc>
          <w:tcPr>
            <w:tcW w:w="245" w:type="dxa"/>
            <w:vMerge/>
            <w:tcBorders>
              <w:left w:val="single" w:sz="4" w:space="0" w:color="000000"/>
              <w:right w:val="single" w:sz="4" w:space="0" w:color="000000"/>
            </w:tcBorders>
            <w:shd w:val="clear" w:color="auto" w:fill="D2D2D2"/>
          </w:tcPr>
          <w:p>
            <w:pPr/>
          </w:p>
        </w:tc>
        <w:tc>
          <w:tcPr>
            <w:tcW w:w="242"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
        </w:tc>
        <w:tc>
          <w:tcPr>
            <w:tcW w:w="1152" w:type="dxa"/>
            <w:vMerge w:val="restart"/>
            <w:tcBorders>
              <w:top w:val="nil" w:sz="6" w:space="0" w:color="auto"/>
              <w:left w:val="single" w:sz="4" w:space="0" w:color="000000"/>
              <w:right w:val="single" w:sz="4" w:space="0" w:color="000000"/>
            </w:tcBorders>
            <w:shd w:val="clear" w:color="auto" w:fill="D2D2D2"/>
          </w:tcPr>
          <w:p>
            <w:pPr/>
          </w:p>
        </w:tc>
        <w:tc>
          <w:tcPr>
            <w:tcW w:w="1003" w:type="dxa"/>
            <w:vMerge/>
            <w:tcBorders>
              <w:left w:val="single" w:sz="4" w:space="0" w:color="000000"/>
              <w:bottom w:val="nil" w:sz="6" w:space="0" w:color="auto"/>
              <w:right w:val="single" w:sz="4" w:space="0" w:color="000000"/>
            </w:tcBorders>
            <w:shd w:val="clear" w:color="auto" w:fill="D2D2D2"/>
          </w:tcPr>
          <w:p>
            <w:pPr/>
          </w:p>
        </w:tc>
        <w:tc>
          <w:tcPr>
            <w:tcW w:w="250" w:type="dxa"/>
            <w:vMerge/>
            <w:tcBorders>
              <w:left w:val="single" w:sz="4" w:space="0" w:color="000000"/>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
        </w:tc>
        <w:tc>
          <w:tcPr>
            <w:tcW w:w="257" w:type="dxa"/>
            <w:vMerge/>
            <w:tcBorders>
              <w:left w:val="single" w:sz="4" w:space="0" w:color="000000"/>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
        </w:tc>
        <w:tc>
          <w:tcPr>
            <w:tcW w:w="240" w:type="dxa"/>
            <w:vMerge/>
            <w:tcBorders>
              <w:left w:val="single" w:sz="4" w:space="0" w:color="000000"/>
              <w:bottom w:val="nil" w:sz="6" w:space="0" w:color="auto"/>
              <w:right w:val="single" w:sz="4" w:space="0" w:color="000000"/>
            </w:tcBorders>
            <w:shd w:val="clear" w:color="auto" w:fill="D2D2D2"/>
          </w:tcPr>
          <w:p>
            <w:pPr/>
          </w:p>
        </w:tc>
        <w:tc>
          <w:tcPr>
            <w:tcW w:w="1376" w:type="dxa"/>
            <w:vMerge w:val="restart"/>
            <w:tcBorders>
              <w:top w:val="nil" w:sz="6" w:space="0" w:color="auto"/>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right w:val="single" w:sz="4" w:space="0" w:color="000000"/>
            </w:tcBorders>
            <w:shd w:val="clear" w:color="auto" w:fill="D2D2D2"/>
          </w:tcPr>
          <w:p>
            <w:pPr/>
          </w:p>
        </w:tc>
      </w:tr>
      <w:tr>
        <w:trPr>
          <w:trHeight w:val="312" w:hRule="exact"/>
        </w:trPr>
        <w:tc>
          <w:tcPr>
            <w:tcW w:w="646"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245" w:type="dxa"/>
            <w:vMerge/>
            <w:tcBorders>
              <w:left w:val="single" w:sz="4" w:space="0" w:color="000000"/>
              <w:bottom w:val="nil" w:sz="6" w:space="0" w:color="auto"/>
              <w:right w:val="single" w:sz="4" w:space="0" w:color="000000"/>
            </w:tcBorders>
            <w:shd w:val="clear" w:color="auto" w:fill="D2D2D2"/>
          </w:tcPr>
          <w:p>
            <w:pPr/>
          </w:p>
        </w:tc>
        <w:tc>
          <w:tcPr>
            <w:tcW w:w="242"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1003" w:type="dxa"/>
            <w:vMerge w:val="restart"/>
            <w:tcBorders>
              <w:top w:val="nil" w:sz="6" w:space="0" w:color="auto"/>
              <w:left w:val="single" w:sz="4" w:space="0" w:color="000000"/>
              <w:right w:val="single" w:sz="4" w:space="0" w:color="000000"/>
            </w:tcBorders>
            <w:shd w:val="clear" w:color="auto" w:fill="D2D2D2"/>
          </w:tcPr>
          <w:p>
            <w:pPr/>
          </w:p>
        </w:tc>
        <w:tc>
          <w:tcPr>
            <w:tcW w:w="250" w:type="dxa"/>
            <w:vMerge/>
            <w:tcBorders>
              <w:left w:val="single" w:sz="4" w:space="0" w:color="000000"/>
              <w:bottom w:val="nil" w:sz="6" w:space="0" w:color="auto"/>
              <w:right w:val="single" w:sz="4" w:space="0" w:color="000000"/>
            </w:tcBorders>
            <w:shd w:val="clear" w:color="auto" w:fill="D2D2D2"/>
          </w:tcPr>
          <w:p>
            <w:pPr/>
          </w:p>
        </w:tc>
        <w:tc>
          <w:tcPr>
            <w:tcW w:w="1092" w:type="dxa"/>
            <w:vMerge/>
            <w:tcBorders>
              <w:left w:val="single" w:sz="4" w:space="0" w:color="000000"/>
              <w:right w:val="single" w:sz="4" w:space="0" w:color="000000"/>
            </w:tcBorders>
            <w:shd w:val="clear" w:color="auto" w:fill="D2D2D2"/>
          </w:tcPr>
          <w:p>
            <w:pPr/>
          </w:p>
        </w:tc>
        <w:tc>
          <w:tcPr>
            <w:tcW w:w="257"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240" w:type="dxa"/>
            <w:vMerge w:val="restart"/>
            <w:tcBorders>
              <w:top w:val="nil" w:sz="6" w:space="0" w:color="auto"/>
              <w:left w:val="single" w:sz="4" w:space="0" w:color="000000"/>
              <w:right w:val="single" w:sz="4" w:space="0" w:color="000000"/>
            </w:tcBorders>
            <w:shd w:val="clear" w:color="auto" w:fill="D2D2D2"/>
          </w:tcPr>
          <w:p>
            <w:pPr/>
          </w:p>
        </w:tc>
        <w:tc>
          <w:tcPr>
            <w:tcW w:w="1376"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right w:val="single" w:sz="4" w:space="0" w:color="000000"/>
            </w:tcBorders>
            <w:shd w:val="clear" w:color="auto" w:fill="D2D2D2"/>
          </w:tcPr>
          <w:p>
            <w:pPr/>
          </w:p>
        </w:tc>
      </w:tr>
      <w:tr>
        <w:trPr>
          <w:trHeight w:val="295" w:hRule="exact"/>
        </w:trPr>
        <w:tc>
          <w:tcPr>
            <w:tcW w:w="646"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245" w:type="dxa"/>
            <w:tcBorders>
              <w:top w:val="nil" w:sz="6" w:space="0" w:color="auto"/>
              <w:left w:val="single" w:sz="4" w:space="0" w:color="000000"/>
              <w:bottom w:val="single" w:sz="4" w:space="0" w:color="000000"/>
              <w:right w:val="single" w:sz="4" w:space="0" w:color="000000"/>
            </w:tcBorders>
            <w:shd w:val="clear" w:color="auto" w:fill="D2D2D2"/>
          </w:tcPr>
          <w:p>
            <w:pPr/>
          </w:p>
        </w:tc>
        <w:tc>
          <w:tcPr>
            <w:tcW w:w="24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241"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2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257" w:type="dxa"/>
            <w:vMerge/>
            <w:tcBorders>
              <w:left w:val="single" w:sz="4" w:space="0" w:color="000000"/>
              <w:bottom w:val="single" w:sz="4" w:space="0" w:color="000000"/>
              <w:right w:val="single" w:sz="4" w:space="0" w:color="000000"/>
            </w:tcBorders>
            <w:shd w:val="clear" w:color="auto" w:fill="D2D2D2"/>
          </w:tcPr>
          <w:p>
            <w:pPr/>
          </w:p>
        </w:tc>
        <w:tc>
          <w:tcPr>
            <w:tcW w:w="1241" w:type="dxa"/>
            <w:vMerge/>
            <w:tcBorders>
              <w:left w:val="single" w:sz="4" w:space="0" w:color="000000"/>
              <w:bottom w:val="single" w:sz="4" w:space="0" w:color="000000"/>
              <w:right w:val="single" w:sz="4" w:space="0" w:color="000000"/>
            </w:tcBorders>
            <w:shd w:val="clear" w:color="auto" w:fill="D2D2D2"/>
          </w:tcPr>
          <w:p>
            <w:pPr/>
          </w:p>
        </w:tc>
        <w:tc>
          <w:tcPr>
            <w:tcW w:w="240" w:type="dxa"/>
            <w:vMerge/>
            <w:tcBorders>
              <w:left w:val="single" w:sz="4" w:space="0" w:color="000000"/>
              <w:bottom w:val="single" w:sz="4" w:space="0" w:color="000000"/>
              <w:right w:val="single" w:sz="4" w:space="0" w:color="000000"/>
            </w:tcBorders>
            <w:shd w:val="clear" w:color="auto" w:fill="D2D2D2"/>
          </w:tcPr>
          <w:p>
            <w:pPr/>
          </w:p>
        </w:tc>
        <w:tc>
          <w:tcPr>
            <w:tcW w:w="1376" w:type="dxa"/>
            <w:vMerge/>
            <w:tcBorders>
              <w:left w:val="single" w:sz="4" w:space="0" w:color="000000"/>
              <w:bottom w:val="single" w:sz="4" w:space="0" w:color="000000"/>
              <w:right w:val="single" w:sz="4" w:space="0" w:color="000000"/>
            </w:tcBorders>
            <w:shd w:val="clear" w:color="auto" w:fill="D2D2D2"/>
          </w:tcPr>
          <w:p>
            <w:pPr/>
          </w:p>
        </w:tc>
        <w:tc>
          <w:tcPr>
            <w:tcW w:w="1241" w:type="dxa"/>
            <w:vMerge/>
            <w:tcBorders>
              <w:left w:val="single" w:sz="4" w:space="0" w:color="000000"/>
              <w:bottom w:val="single" w:sz="4" w:space="0" w:color="000000"/>
              <w:right w:val="single" w:sz="4" w:space="0" w:color="000000"/>
            </w:tcBorders>
            <w:shd w:val="clear" w:color="auto" w:fill="D2D2D2"/>
          </w:tcPr>
          <w:p>
            <w:pPr/>
          </w:p>
        </w:tc>
        <w:tc>
          <w:tcPr>
            <w:tcW w:w="1378"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11" w:right="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．提取</w:t>
            </w:r>
            <w:r>
              <w:rPr>
                <w:rFonts w:ascii="宋体" w:hAnsi="宋体" w:cs="宋体" w:eastAsia="宋体" w:hint="default"/>
                <w:sz w:val="18"/>
                <w:szCs w:val="18"/>
              </w:rPr>
              <w:t> 一般风 险准备</w:t>
            </w:r>
          </w:p>
        </w:tc>
        <w:tc>
          <w:tcPr>
            <w:tcW w:w="1193" w:type="dxa"/>
            <w:tcBorders>
              <w:top w:val="single" w:sz="4" w:space="0" w:color="000000"/>
              <w:left w:val="single" w:sz="13" w:space="0" w:color="D2D2D2"/>
              <w:bottom w:val="single" w:sz="4" w:space="0" w:color="000000"/>
              <w:right w:val="single" w:sz="4" w:space="0" w:color="000000"/>
            </w:tcBorders>
          </w:tcPr>
          <w:p>
            <w:pPr/>
          </w:p>
        </w:tc>
        <w:tc>
          <w:tcPr>
            <w:tcW w:w="245" w:type="dxa"/>
            <w:tcBorders>
              <w:top w:val="single" w:sz="4" w:space="0" w:color="000000"/>
              <w:left w:val="single" w:sz="4" w:space="0" w:color="000000"/>
              <w:bottom w:val="single" w:sz="4" w:space="0" w:color="000000"/>
              <w:right w:val="single" w:sz="4" w:space="0" w:color="000000"/>
            </w:tcBorders>
          </w:tcPr>
          <w:p>
            <w:pPr/>
          </w:p>
        </w:tc>
        <w:tc>
          <w:tcPr>
            <w:tcW w:w="2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61"/>
              <w:ind w:left="11" w:right="7"/>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．对所</w:t>
            </w:r>
            <w:r>
              <w:rPr>
                <w:rFonts w:ascii="宋体" w:hAnsi="宋体" w:cs="宋体" w:eastAsia="宋体" w:hint="default"/>
                <w:sz w:val="18"/>
                <w:szCs w:val="18"/>
              </w:rPr>
              <w:t> 有者</w:t>
            </w:r>
          </w:p>
          <w:p>
            <w:pPr>
              <w:pStyle w:val="TableParagraph"/>
              <w:spacing w:line="319" w:lineRule="auto" w:before="33"/>
              <w:ind w:left="11" w:right="82"/>
              <w:jc w:val="both"/>
              <w:rPr>
                <w:rFonts w:ascii="宋体" w:hAnsi="宋体" w:cs="宋体" w:eastAsia="宋体" w:hint="default"/>
                <w:sz w:val="18"/>
                <w:szCs w:val="18"/>
              </w:rPr>
            </w:pPr>
            <w:r>
              <w:rPr>
                <w:rFonts w:ascii="宋体" w:hAnsi="宋体" w:cs="宋体" w:eastAsia="宋体" w:hint="default"/>
                <w:sz w:val="18"/>
                <w:szCs w:val="18"/>
              </w:rPr>
              <w:t>（或股 东）的 分配</w:t>
            </w:r>
          </w:p>
        </w:tc>
        <w:tc>
          <w:tcPr>
            <w:tcW w:w="1193" w:type="dxa"/>
            <w:tcBorders>
              <w:top w:val="single" w:sz="4" w:space="0" w:color="000000"/>
              <w:left w:val="single" w:sz="13" w:space="0" w:color="D2D2D2"/>
              <w:bottom w:val="single" w:sz="4" w:space="0" w:color="000000"/>
              <w:right w:val="single" w:sz="4" w:space="0" w:color="000000"/>
            </w:tcBorders>
          </w:tcPr>
          <w:p>
            <w:pPr/>
          </w:p>
        </w:tc>
        <w:tc>
          <w:tcPr>
            <w:tcW w:w="245" w:type="dxa"/>
            <w:tcBorders>
              <w:top w:val="single" w:sz="4" w:space="0" w:color="000000"/>
              <w:left w:val="single" w:sz="4" w:space="0" w:color="000000"/>
              <w:bottom w:val="single" w:sz="4" w:space="0" w:color="000000"/>
              <w:right w:val="single" w:sz="4" w:space="0" w:color="000000"/>
            </w:tcBorders>
          </w:tcPr>
          <w:p>
            <w:pPr/>
          </w:p>
        </w:tc>
        <w:tc>
          <w:tcPr>
            <w:tcW w:w="2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12" w:right="0"/>
              <w:jc w:val="left"/>
              <w:rPr>
                <w:rFonts w:ascii="Times New Roman" w:hAnsi="Times New Roman" w:cs="Times New Roman" w:eastAsia="Times New Roman" w:hint="default"/>
                <w:sz w:val="18"/>
                <w:szCs w:val="18"/>
              </w:rPr>
            </w:pPr>
            <w:r>
              <w:rPr>
                <w:rFonts w:ascii="Times New Roman"/>
                <w:sz w:val="18"/>
              </w:rPr>
              <w:t>-21,313,097.34</w:t>
            </w:r>
          </w:p>
        </w:tc>
        <w:tc>
          <w:tcPr>
            <w:tcW w:w="24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7" w:right="0"/>
              <w:jc w:val="left"/>
              <w:rPr>
                <w:rFonts w:ascii="Times New Roman" w:hAnsi="Times New Roman" w:cs="Times New Roman" w:eastAsia="Times New Roman" w:hint="default"/>
                <w:sz w:val="18"/>
                <w:szCs w:val="18"/>
              </w:rPr>
            </w:pPr>
            <w:r>
              <w:rPr>
                <w:rFonts w:ascii="Times New Roman"/>
                <w:sz w:val="18"/>
              </w:rPr>
              <w:t>-21,313,097.34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338" w:right="0"/>
              <w:jc w:val="left"/>
              <w:rPr>
                <w:rFonts w:ascii="Times New Roman" w:hAnsi="Times New Roman" w:cs="Times New Roman" w:eastAsia="Times New Roman" w:hint="default"/>
                <w:sz w:val="18"/>
                <w:szCs w:val="18"/>
              </w:rPr>
            </w:pPr>
            <w:r>
              <w:rPr>
                <w:rFonts w:ascii="Times New Roman"/>
                <w:sz w:val="18"/>
              </w:rPr>
              <w:t>-665,000.00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9" w:right="0"/>
              <w:jc w:val="left"/>
              <w:rPr>
                <w:rFonts w:ascii="Times New Roman" w:hAnsi="Times New Roman" w:cs="Times New Roman" w:eastAsia="Times New Roman" w:hint="default"/>
                <w:sz w:val="18"/>
                <w:szCs w:val="18"/>
              </w:rPr>
            </w:pPr>
            <w:r>
              <w:rPr>
                <w:rFonts w:ascii="Times New Roman"/>
                <w:sz w:val="18"/>
              </w:rPr>
              <w:t>-21,978,097.34</w:t>
            </w:r>
          </w:p>
        </w:tc>
      </w:tr>
      <w:tr>
        <w:trPr>
          <w:trHeight w:val="401" w:hRule="exact"/>
        </w:trPr>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245" w:type="dxa"/>
            <w:tcBorders>
              <w:top w:val="single" w:sz="4" w:space="0" w:color="000000"/>
              <w:left w:val="single" w:sz="4" w:space="0" w:color="000000"/>
              <w:bottom w:val="single" w:sz="4" w:space="0" w:color="000000"/>
              <w:right w:val="single" w:sz="4" w:space="0" w:color="000000"/>
            </w:tcBorders>
          </w:tcPr>
          <w:p>
            <w:pPr/>
          </w:p>
        </w:tc>
        <w:tc>
          <w:tcPr>
            <w:tcW w:w="2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11" w:right="82"/>
              <w:jc w:val="both"/>
              <w:rPr>
                <w:rFonts w:ascii="宋体" w:hAnsi="宋体" w:cs="宋体" w:eastAsia="宋体" w:hint="default"/>
                <w:sz w:val="18"/>
                <w:szCs w:val="18"/>
              </w:rPr>
            </w:pPr>
            <w:r>
              <w:rPr>
                <w:rFonts w:ascii="宋体" w:hAnsi="宋体" w:cs="宋体" w:eastAsia="宋体" w:hint="default"/>
                <w:sz w:val="18"/>
                <w:szCs w:val="18"/>
              </w:rPr>
              <w:t>（四） 所有者 权益内 部结转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245" w:type="dxa"/>
            <w:tcBorders>
              <w:top w:val="single" w:sz="4" w:space="0" w:color="000000"/>
              <w:left w:val="single" w:sz="4" w:space="0" w:color="000000"/>
              <w:bottom w:val="single" w:sz="4" w:space="0" w:color="000000"/>
              <w:right w:val="single" w:sz="4" w:space="0" w:color="000000"/>
            </w:tcBorders>
          </w:tcPr>
          <w:p>
            <w:pPr/>
          </w:p>
        </w:tc>
        <w:tc>
          <w:tcPr>
            <w:tcW w:w="2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11" w:right="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w:t>
            </w:r>
            <w:r>
              <w:rPr>
                <w:rFonts w:ascii="宋体" w:hAnsi="宋体" w:cs="宋体" w:eastAsia="宋体" w:hint="default"/>
                <w:sz w:val="18"/>
                <w:szCs w:val="18"/>
              </w:rPr>
              <w:t> 公积转 增资本</w:t>
            </w:r>
          </w:p>
          <w:p>
            <w:pPr>
              <w:pStyle w:val="TableParagraph"/>
              <w:spacing w:line="316" w:lineRule="auto" w:before="24"/>
              <w:ind w:left="11" w:right="82"/>
              <w:jc w:val="left"/>
              <w:rPr>
                <w:rFonts w:ascii="宋体" w:hAnsi="宋体" w:cs="宋体" w:eastAsia="宋体" w:hint="default"/>
                <w:sz w:val="18"/>
                <w:szCs w:val="18"/>
              </w:rPr>
            </w:pPr>
            <w:r>
              <w:rPr>
                <w:rFonts w:ascii="宋体" w:hAnsi="宋体" w:cs="宋体" w:eastAsia="宋体" w:hint="default"/>
                <w:sz w:val="18"/>
                <w:szCs w:val="18"/>
              </w:rPr>
              <w:t>（或股 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245" w:type="dxa"/>
            <w:tcBorders>
              <w:top w:val="single" w:sz="4" w:space="0" w:color="000000"/>
              <w:left w:val="single" w:sz="4" w:space="0" w:color="000000"/>
              <w:bottom w:val="single" w:sz="4" w:space="0" w:color="000000"/>
              <w:right w:val="single" w:sz="4" w:space="0" w:color="000000"/>
            </w:tcBorders>
          </w:tcPr>
          <w:p>
            <w:pPr/>
          </w:p>
        </w:tc>
        <w:tc>
          <w:tcPr>
            <w:tcW w:w="2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61"/>
              <w:ind w:left="11" w:right="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w:t>
            </w:r>
            <w:r>
              <w:rPr>
                <w:rFonts w:ascii="宋体" w:hAnsi="宋体" w:cs="宋体" w:eastAsia="宋体" w:hint="default"/>
                <w:sz w:val="18"/>
                <w:szCs w:val="18"/>
              </w:rPr>
              <w:t> 公积转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245" w:type="dxa"/>
            <w:tcBorders>
              <w:top w:val="single" w:sz="4" w:space="0" w:color="000000"/>
              <w:left w:val="single" w:sz="4" w:space="0" w:color="000000"/>
              <w:bottom w:val="single" w:sz="4" w:space="0" w:color="000000"/>
              <w:right w:val="single" w:sz="4" w:space="0" w:color="000000"/>
            </w:tcBorders>
          </w:tcPr>
          <w:p>
            <w:pPr/>
          </w:p>
        </w:tc>
        <w:tc>
          <w:tcPr>
            <w:tcW w:w="2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260" w:left="1340" w:right="128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646"/>
        <w:gridCol w:w="1193"/>
        <w:gridCol w:w="245"/>
        <w:gridCol w:w="242"/>
        <w:gridCol w:w="1181"/>
        <w:gridCol w:w="1241"/>
        <w:gridCol w:w="1152"/>
        <w:gridCol w:w="1003"/>
        <w:gridCol w:w="250"/>
        <w:gridCol w:w="1092"/>
        <w:gridCol w:w="257"/>
        <w:gridCol w:w="1241"/>
        <w:gridCol w:w="240"/>
        <w:gridCol w:w="1376"/>
        <w:gridCol w:w="1241"/>
        <w:gridCol w:w="1378"/>
      </w:tblGrid>
      <w:tr>
        <w:trPr>
          <w:trHeight w:val="417" w:hRule="exact"/>
        </w:trPr>
        <w:tc>
          <w:tcPr>
            <w:tcW w:w="646" w:type="dxa"/>
            <w:vMerge w:val="restart"/>
            <w:tcBorders>
              <w:top w:val="single" w:sz="15" w:space="0" w:color="000000"/>
              <w:left w:val="single" w:sz="4" w:space="0" w:color="000000"/>
              <w:right w:val="single" w:sz="4" w:space="0" w:color="000000"/>
            </w:tcBorders>
            <w:shd w:val="clear" w:color="auto" w:fill="D2D2D2"/>
          </w:tcPr>
          <w:p>
            <w:pPr/>
          </w:p>
        </w:tc>
        <w:tc>
          <w:tcPr>
            <w:tcW w:w="13331" w:type="dxa"/>
            <w:gridSpan w:val="15"/>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1" w:hRule="exact"/>
        </w:trPr>
        <w:tc>
          <w:tcPr>
            <w:tcW w:w="646" w:type="dxa"/>
            <w:vMerge/>
            <w:tcBorders>
              <w:left w:val="single" w:sz="4" w:space="0" w:color="000000"/>
              <w:right w:val="single" w:sz="4" w:space="0" w:color="000000"/>
            </w:tcBorders>
            <w:shd w:val="clear" w:color="auto" w:fill="D2D2D2"/>
          </w:tcPr>
          <w:p>
            <w:pPr/>
          </w:p>
        </w:tc>
        <w:tc>
          <w:tcPr>
            <w:tcW w:w="1071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41" w:type="dxa"/>
            <w:vMerge w:val="restart"/>
            <w:tcBorders>
              <w:top w:val="single" w:sz="4" w:space="0" w:color="000000"/>
              <w:left w:val="single" w:sz="4" w:space="0" w:color="000000"/>
              <w:right w:val="single" w:sz="4" w:space="0" w:color="000000"/>
            </w:tcBorders>
            <w:shd w:val="clear" w:color="auto" w:fill="D2D2D2"/>
          </w:tcPr>
          <w:p>
            <w:pPr/>
          </w:p>
        </w:tc>
        <w:tc>
          <w:tcPr>
            <w:tcW w:w="1378" w:type="dxa"/>
            <w:vMerge w:val="restart"/>
            <w:tcBorders>
              <w:top w:val="single" w:sz="4" w:space="0" w:color="000000"/>
              <w:left w:val="single" w:sz="4" w:space="0" w:color="000000"/>
              <w:right w:val="single" w:sz="4" w:space="0" w:color="000000"/>
            </w:tcBorders>
            <w:shd w:val="clear" w:color="auto" w:fill="D2D2D2"/>
          </w:tcPr>
          <w:p>
            <w:pPr/>
          </w:p>
        </w:tc>
      </w:tr>
      <w:tr>
        <w:trPr>
          <w:trHeight w:val="352" w:hRule="exact"/>
        </w:trPr>
        <w:tc>
          <w:tcPr>
            <w:tcW w:w="646" w:type="dxa"/>
            <w:vMerge/>
            <w:tcBorders>
              <w:left w:val="single" w:sz="4" w:space="0" w:color="000000"/>
              <w:bottom w:val="nil" w:sz="6" w:space="0" w:color="auto"/>
              <w:right w:val="single" w:sz="4" w:space="0" w:color="000000"/>
            </w:tcBorders>
            <w:shd w:val="clear" w:color="auto" w:fill="D2D2D2"/>
          </w:tcPr>
          <w:p>
            <w:pPr/>
          </w:p>
        </w:tc>
        <w:tc>
          <w:tcPr>
            <w:tcW w:w="1193" w:type="dxa"/>
            <w:vMerge w:val="restart"/>
            <w:tcBorders>
              <w:top w:val="single" w:sz="4" w:space="0" w:color="000000"/>
              <w:left w:val="single" w:sz="4" w:space="0" w:color="000000"/>
              <w:right w:val="single" w:sz="4" w:space="0" w:color="000000"/>
            </w:tcBorders>
            <w:shd w:val="clear" w:color="auto" w:fill="D2D2D2"/>
          </w:tcPr>
          <w:p>
            <w:pPr/>
          </w:p>
        </w:tc>
        <w:tc>
          <w:tcPr>
            <w:tcW w:w="16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41" w:type="dxa"/>
            <w:vMerge w:val="restart"/>
            <w:tcBorders>
              <w:top w:val="single" w:sz="4" w:space="0" w:color="000000"/>
              <w:left w:val="single" w:sz="4" w:space="0" w:color="000000"/>
              <w:right w:val="single" w:sz="4" w:space="0" w:color="000000"/>
            </w:tcBorders>
            <w:shd w:val="clear" w:color="auto" w:fill="D2D2D2"/>
          </w:tcPr>
          <w:p>
            <w:pPr/>
          </w:p>
        </w:tc>
        <w:tc>
          <w:tcPr>
            <w:tcW w:w="1152" w:type="dxa"/>
            <w:vMerge w:val="restart"/>
            <w:tcBorders>
              <w:top w:val="single" w:sz="4" w:space="0" w:color="000000"/>
              <w:left w:val="single" w:sz="4" w:space="0" w:color="000000"/>
              <w:right w:val="single" w:sz="4" w:space="0" w:color="000000"/>
            </w:tcBorders>
            <w:shd w:val="clear" w:color="auto" w:fill="D2D2D2"/>
          </w:tcPr>
          <w:p>
            <w:pPr/>
          </w:p>
        </w:tc>
        <w:tc>
          <w:tcPr>
            <w:tcW w:w="1003" w:type="dxa"/>
            <w:vMerge w:val="restart"/>
            <w:tcBorders>
              <w:top w:val="single" w:sz="4" w:space="0" w:color="000000"/>
              <w:left w:val="single" w:sz="4" w:space="0" w:color="000000"/>
              <w:right w:val="single" w:sz="4" w:space="0" w:color="000000"/>
            </w:tcBorders>
            <w:shd w:val="clear" w:color="auto" w:fill="D2D2D2"/>
          </w:tcPr>
          <w:p>
            <w:pPr/>
          </w:p>
        </w:tc>
        <w:tc>
          <w:tcPr>
            <w:tcW w:w="2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2" w:type="dxa"/>
            <w:vMerge w:val="restart"/>
            <w:tcBorders>
              <w:top w:val="single" w:sz="4" w:space="0" w:color="000000"/>
              <w:left w:val="single" w:sz="4" w:space="0" w:color="000000"/>
              <w:right w:val="single" w:sz="4" w:space="0" w:color="000000"/>
            </w:tcBorders>
            <w:shd w:val="clear" w:color="auto" w:fill="D2D2D2"/>
          </w:tcPr>
          <w:p>
            <w:pPr/>
          </w:p>
        </w:tc>
        <w:tc>
          <w:tcPr>
            <w:tcW w:w="25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 w:right="35"/>
              <w:jc w:val="both"/>
              <w:rPr>
                <w:rFonts w:ascii="宋体" w:hAnsi="宋体" w:cs="宋体" w:eastAsia="宋体" w:hint="default"/>
                <w:sz w:val="18"/>
                <w:szCs w:val="18"/>
              </w:rPr>
            </w:pPr>
            <w:r>
              <w:rPr>
                <w:rFonts w:ascii="宋体" w:hAnsi="宋体" w:cs="宋体" w:eastAsia="宋体" w:hint="default"/>
                <w:sz w:val="18"/>
                <w:szCs w:val="18"/>
              </w:rPr>
              <w:t>一 般 风 险 准 备</w:t>
            </w:r>
          </w:p>
        </w:tc>
        <w:tc>
          <w:tcPr>
            <w:tcW w:w="1241" w:type="dxa"/>
            <w:vMerge w:val="restart"/>
            <w:tcBorders>
              <w:top w:val="single" w:sz="4" w:space="0" w:color="000000"/>
              <w:left w:val="single" w:sz="4" w:space="0" w:color="000000"/>
              <w:right w:val="single" w:sz="4" w:space="0" w:color="000000"/>
            </w:tcBorders>
            <w:shd w:val="clear" w:color="auto" w:fill="D2D2D2"/>
          </w:tcPr>
          <w:p>
            <w:pPr/>
          </w:p>
        </w:tc>
        <w:tc>
          <w:tcPr>
            <w:tcW w:w="240" w:type="dxa"/>
            <w:vMerge w:val="restart"/>
            <w:tcBorders>
              <w:top w:val="single" w:sz="4" w:space="0" w:color="000000"/>
              <w:left w:val="single" w:sz="4" w:space="0" w:color="000000"/>
              <w:right w:val="single" w:sz="4" w:space="0" w:color="000000"/>
            </w:tcBorders>
            <w:shd w:val="clear" w:color="auto" w:fill="D2D2D2"/>
          </w:tcPr>
          <w:p>
            <w:pPr/>
          </w:p>
        </w:tc>
        <w:tc>
          <w:tcPr>
            <w:tcW w:w="1376" w:type="dxa"/>
            <w:vMerge w:val="restart"/>
            <w:tcBorders>
              <w:top w:val="single" w:sz="4" w:space="0" w:color="000000"/>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right w:val="single" w:sz="4" w:space="0" w:color="000000"/>
            </w:tcBorders>
            <w:shd w:val="clear" w:color="auto" w:fill="D2D2D2"/>
          </w:tcPr>
          <w:p>
            <w:pPr/>
          </w:p>
        </w:tc>
      </w:tr>
      <w:tr>
        <w:trPr>
          <w:trHeight w:val="231" w:hRule="exact"/>
        </w:trPr>
        <w:tc>
          <w:tcPr>
            <w:tcW w:w="6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left="13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93" w:type="dxa"/>
            <w:vMerge/>
            <w:tcBorders>
              <w:left w:val="single" w:sz="4" w:space="0" w:color="000000"/>
              <w:right w:val="single" w:sz="4" w:space="0" w:color="000000"/>
            </w:tcBorders>
            <w:shd w:val="clear" w:color="auto" w:fill="D2D2D2"/>
          </w:tcPr>
          <w:p>
            <w:pPr/>
          </w:p>
        </w:tc>
        <w:tc>
          <w:tcPr>
            <w:tcW w:w="245" w:type="dxa"/>
            <w:tcBorders>
              <w:top w:val="single" w:sz="4" w:space="0" w:color="000000"/>
              <w:left w:val="single" w:sz="4" w:space="0" w:color="000000"/>
              <w:bottom w:val="nil" w:sz="6" w:space="0" w:color="auto"/>
              <w:right w:val="single" w:sz="4" w:space="0" w:color="000000"/>
            </w:tcBorders>
            <w:shd w:val="clear" w:color="auto" w:fill="D2D2D2"/>
          </w:tcPr>
          <w:p>
            <w:pPr/>
          </w:p>
        </w:tc>
        <w:tc>
          <w:tcPr>
            <w:tcW w:w="24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1003" w:type="dxa"/>
            <w:vMerge/>
            <w:tcBorders>
              <w:left w:val="single" w:sz="4" w:space="0" w:color="000000"/>
              <w:bottom w:val="nil" w:sz="6" w:space="0" w:color="auto"/>
              <w:right w:val="single" w:sz="4" w:space="0" w:color="000000"/>
            </w:tcBorders>
            <w:shd w:val="clear" w:color="auto" w:fill="D2D2D2"/>
          </w:tcPr>
          <w:p>
            <w:pPr/>
          </w:p>
        </w:tc>
        <w:tc>
          <w:tcPr>
            <w:tcW w:w="25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6"/>
              <w:ind w:left="28" w:right="29"/>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092" w:type="dxa"/>
            <w:vMerge/>
            <w:tcBorders>
              <w:left w:val="single" w:sz="4" w:space="0" w:color="000000"/>
              <w:right w:val="single" w:sz="4" w:space="0" w:color="000000"/>
            </w:tcBorders>
            <w:shd w:val="clear" w:color="auto" w:fill="D2D2D2"/>
          </w:tcPr>
          <w:p>
            <w:pPr/>
          </w:p>
        </w:tc>
        <w:tc>
          <w:tcPr>
            <w:tcW w:w="257"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240" w:type="dxa"/>
            <w:vMerge/>
            <w:tcBorders>
              <w:left w:val="single" w:sz="4" w:space="0" w:color="000000"/>
              <w:bottom w:val="nil" w:sz="6" w:space="0" w:color="auto"/>
              <w:right w:val="single" w:sz="4" w:space="0" w:color="000000"/>
            </w:tcBorders>
            <w:shd w:val="clear" w:color="auto" w:fill="D2D2D2"/>
          </w:tcPr>
          <w:p>
            <w:pPr/>
          </w:p>
        </w:tc>
        <w:tc>
          <w:tcPr>
            <w:tcW w:w="1376"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bottom w:val="nil" w:sz="6" w:space="0" w:color="auto"/>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r>
      <w:tr>
        <w:trPr>
          <w:trHeight w:val="140" w:hRule="exact"/>
        </w:trPr>
        <w:tc>
          <w:tcPr>
            <w:tcW w:w="646" w:type="dxa"/>
            <w:vMerge/>
            <w:tcBorders>
              <w:left w:val="single" w:sz="4" w:space="0" w:color="000000"/>
              <w:bottom w:val="nil" w:sz="6" w:space="0" w:color="auto"/>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24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6"/>
              <w:ind w:left="23" w:right="29"/>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4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6"/>
              <w:ind w:left="24" w:right="26"/>
              <w:jc w:val="both"/>
              <w:rPr>
                <w:rFonts w:ascii="宋体" w:hAnsi="宋体" w:cs="宋体" w:eastAsia="宋体" w:hint="default"/>
                <w:sz w:val="18"/>
                <w:szCs w:val="18"/>
              </w:rPr>
            </w:pPr>
            <w:r>
              <w:rPr>
                <w:rFonts w:ascii="宋体" w:hAnsi="宋体" w:cs="宋体" w:eastAsia="宋体" w:hint="default"/>
                <w:sz w:val="18"/>
                <w:szCs w:val="18"/>
              </w:rPr>
              <w:t>永 续 债</w:t>
            </w:r>
          </w:p>
        </w:tc>
        <w:tc>
          <w:tcPr>
            <w:tcW w:w="1181"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bottom w:val="nil" w:sz="6" w:space="0" w:color="auto"/>
              <w:right w:val="single" w:sz="4" w:space="0" w:color="000000"/>
            </w:tcBorders>
            <w:shd w:val="clear" w:color="auto" w:fill="D2D2D2"/>
          </w:tcPr>
          <w:p>
            <w:pPr/>
          </w:p>
        </w:tc>
        <w:tc>
          <w:tcPr>
            <w:tcW w:w="1152" w:type="dxa"/>
            <w:vMerge/>
            <w:tcBorders>
              <w:left w:val="single" w:sz="4" w:space="0" w:color="000000"/>
              <w:bottom w:val="nil" w:sz="6" w:space="0" w:color="auto"/>
              <w:right w:val="single" w:sz="4" w:space="0" w:color="000000"/>
            </w:tcBorders>
            <w:shd w:val="clear" w:color="auto" w:fill="D2D2D2"/>
          </w:tcPr>
          <w:p>
            <w:pPr/>
          </w:p>
        </w:tc>
        <w:tc>
          <w:tcPr>
            <w:tcW w:w="100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408" w:right="43"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250"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257"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bottom w:val="nil" w:sz="6" w:space="0" w:color="auto"/>
              <w:right w:val="single" w:sz="4" w:space="0" w:color="000000"/>
            </w:tcBorders>
            <w:shd w:val="clear" w:color="auto" w:fill="D2D2D2"/>
          </w:tcPr>
          <w:p>
            <w:pPr/>
          </w:p>
        </w:tc>
        <w:tc>
          <w:tcPr>
            <w:tcW w:w="240"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33"/>
              <w:ind w:left="24" w:right="24"/>
              <w:jc w:val="left"/>
              <w:rPr>
                <w:rFonts w:ascii="宋体" w:hAnsi="宋体" w:cs="宋体" w:eastAsia="宋体" w:hint="default"/>
                <w:sz w:val="18"/>
                <w:szCs w:val="18"/>
              </w:rPr>
            </w:pPr>
            <w:r>
              <w:rPr>
                <w:rFonts w:ascii="宋体" w:hAnsi="宋体" w:cs="宋体" w:eastAsia="宋体" w:hint="default"/>
                <w:sz w:val="18"/>
                <w:szCs w:val="18"/>
              </w:rPr>
              <w:t>其 他</w:t>
            </w:r>
          </w:p>
        </w:tc>
        <w:tc>
          <w:tcPr>
            <w:tcW w:w="1376" w:type="dxa"/>
            <w:vMerge/>
            <w:tcBorders>
              <w:left w:val="single" w:sz="4" w:space="0" w:color="000000"/>
              <w:bottom w:val="nil" w:sz="6" w:space="0" w:color="auto"/>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76"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5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4" w:hRule="exact"/>
        </w:trPr>
        <w:tc>
          <w:tcPr>
            <w:tcW w:w="646" w:type="dxa"/>
            <w:vMerge w:val="restart"/>
            <w:tcBorders>
              <w:top w:val="nil" w:sz="6" w:space="0" w:color="auto"/>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45" w:type="dxa"/>
            <w:vMerge/>
            <w:tcBorders>
              <w:left w:val="single" w:sz="4" w:space="0" w:color="000000"/>
              <w:right w:val="single" w:sz="4" w:space="0" w:color="000000"/>
            </w:tcBorders>
            <w:shd w:val="clear" w:color="auto" w:fill="D2D2D2"/>
          </w:tcPr>
          <w:p>
            <w:pPr/>
          </w:p>
        </w:tc>
        <w:tc>
          <w:tcPr>
            <w:tcW w:w="242"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5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03" w:type="dxa"/>
            <w:vMerge/>
            <w:tcBorders>
              <w:left w:val="single" w:sz="4" w:space="0" w:color="000000"/>
              <w:right w:val="single" w:sz="4" w:space="0" w:color="000000"/>
            </w:tcBorders>
            <w:shd w:val="clear" w:color="auto" w:fill="D2D2D2"/>
          </w:tcPr>
          <w:p>
            <w:pPr/>
          </w:p>
        </w:tc>
        <w:tc>
          <w:tcPr>
            <w:tcW w:w="250" w:type="dxa"/>
            <w:vMerge/>
            <w:tcBorders>
              <w:left w:val="single" w:sz="4" w:space="0" w:color="000000"/>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7" w:type="dxa"/>
            <w:vMerge/>
            <w:tcBorders>
              <w:left w:val="single" w:sz="4" w:space="0" w:color="000000"/>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0" w:type="dxa"/>
            <w:vMerge/>
            <w:tcBorders>
              <w:left w:val="single" w:sz="4" w:space="0" w:color="000000"/>
              <w:right w:val="single" w:sz="4" w:space="0" w:color="000000"/>
            </w:tcBorders>
            <w:shd w:val="clear" w:color="auto" w:fill="D2D2D2"/>
          </w:tcPr>
          <w:p>
            <w:pPr/>
          </w:p>
        </w:tc>
        <w:tc>
          <w:tcPr>
            <w:tcW w:w="13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小计</w:t>
            </w:r>
          </w:p>
        </w:tc>
        <w:tc>
          <w:tcPr>
            <w:tcW w:w="1241" w:type="dxa"/>
            <w:vMerge/>
            <w:tcBorders>
              <w:left w:val="single" w:sz="4" w:space="0" w:color="000000"/>
              <w:bottom w:val="nil" w:sz="6" w:space="0" w:color="auto"/>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r>
      <w:tr>
        <w:trPr>
          <w:trHeight w:val="197" w:hRule="exact"/>
        </w:trPr>
        <w:tc>
          <w:tcPr>
            <w:tcW w:w="646"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245" w:type="dxa"/>
            <w:vMerge/>
            <w:tcBorders>
              <w:left w:val="single" w:sz="4" w:space="0" w:color="000000"/>
              <w:right w:val="single" w:sz="4" w:space="0" w:color="000000"/>
            </w:tcBorders>
            <w:shd w:val="clear" w:color="auto" w:fill="D2D2D2"/>
          </w:tcPr>
          <w:p>
            <w:pPr/>
          </w:p>
        </w:tc>
        <w:tc>
          <w:tcPr>
            <w:tcW w:w="242"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41" w:type="dxa"/>
            <w:vMerge/>
            <w:tcBorders>
              <w:left w:val="single" w:sz="4" w:space="0" w:color="000000"/>
              <w:bottom w:val="nil" w:sz="6" w:space="0" w:color="auto"/>
              <w:right w:val="single" w:sz="4" w:space="0" w:color="000000"/>
            </w:tcBorders>
            <w:shd w:val="clear" w:color="auto" w:fill="D2D2D2"/>
          </w:tcPr>
          <w:p>
            <w:pPr/>
          </w:p>
        </w:tc>
        <w:tc>
          <w:tcPr>
            <w:tcW w:w="1152" w:type="dxa"/>
            <w:vMerge/>
            <w:tcBorders>
              <w:left w:val="single" w:sz="4" w:space="0" w:color="000000"/>
              <w:bottom w:val="nil" w:sz="6" w:space="0" w:color="auto"/>
              <w:right w:val="single" w:sz="4" w:space="0" w:color="000000"/>
            </w:tcBorders>
            <w:shd w:val="clear" w:color="auto" w:fill="D2D2D2"/>
          </w:tcPr>
          <w:p>
            <w:pPr/>
          </w:p>
        </w:tc>
        <w:tc>
          <w:tcPr>
            <w:tcW w:w="1003" w:type="dxa"/>
            <w:vMerge/>
            <w:tcBorders>
              <w:left w:val="single" w:sz="4" w:space="0" w:color="000000"/>
              <w:right w:val="single" w:sz="4" w:space="0" w:color="000000"/>
            </w:tcBorders>
            <w:shd w:val="clear" w:color="auto" w:fill="D2D2D2"/>
          </w:tcPr>
          <w:p>
            <w:pPr/>
          </w:p>
        </w:tc>
        <w:tc>
          <w:tcPr>
            <w:tcW w:w="250"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257"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bottom w:val="nil" w:sz="6" w:space="0" w:color="auto"/>
              <w:right w:val="single" w:sz="4" w:space="0" w:color="000000"/>
            </w:tcBorders>
            <w:shd w:val="clear" w:color="auto" w:fill="D2D2D2"/>
          </w:tcPr>
          <w:p>
            <w:pPr/>
          </w:p>
        </w:tc>
        <w:tc>
          <w:tcPr>
            <w:tcW w:w="240" w:type="dxa"/>
            <w:vMerge/>
            <w:tcBorders>
              <w:left w:val="single" w:sz="4" w:space="0" w:color="000000"/>
              <w:right w:val="single" w:sz="4" w:space="0" w:color="000000"/>
            </w:tcBorders>
            <w:shd w:val="clear" w:color="auto" w:fill="D2D2D2"/>
          </w:tcPr>
          <w:p>
            <w:pPr/>
          </w:p>
        </w:tc>
        <w:tc>
          <w:tcPr>
            <w:tcW w:w="1376" w:type="dxa"/>
            <w:vMerge/>
            <w:tcBorders>
              <w:left w:val="single" w:sz="4" w:space="0" w:color="000000"/>
              <w:bottom w:val="nil" w:sz="6" w:space="0" w:color="auto"/>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646"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
        </w:tc>
        <w:tc>
          <w:tcPr>
            <w:tcW w:w="245" w:type="dxa"/>
            <w:vMerge/>
            <w:tcBorders>
              <w:left w:val="single" w:sz="4" w:space="0" w:color="000000"/>
              <w:right w:val="single" w:sz="4" w:space="0" w:color="000000"/>
            </w:tcBorders>
            <w:shd w:val="clear" w:color="auto" w:fill="D2D2D2"/>
          </w:tcPr>
          <w:p>
            <w:pPr/>
          </w:p>
        </w:tc>
        <w:tc>
          <w:tcPr>
            <w:tcW w:w="242"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
        </w:tc>
        <w:tc>
          <w:tcPr>
            <w:tcW w:w="1152" w:type="dxa"/>
            <w:vMerge w:val="restart"/>
            <w:tcBorders>
              <w:top w:val="nil" w:sz="6" w:space="0" w:color="auto"/>
              <w:left w:val="single" w:sz="4" w:space="0" w:color="000000"/>
              <w:right w:val="single" w:sz="4" w:space="0" w:color="000000"/>
            </w:tcBorders>
            <w:shd w:val="clear" w:color="auto" w:fill="D2D2D2"/>
          </w:tcPr>
          <w:p>
            <w:pPr/>
          </w:p>
        </w:tc>
        <w:tc>
          <w:tcPr>
            <w:tcW w:w="1003" w:type="dxa"/>
            <w:vMerge/>
            <w:tcBorders>
              <w:left w:val="single" w:sz="4" w:space="0" w:color="000000"/>
              <w:bottom w:val="nil" w:sz="6" w:space="0" w:color="auto"/>
              <w:right w:val="single" w:sz="4" w:space="0" w:color="000000"/>
            </w:tcBorders>
            <w:shd w:val="clear" w:color="auto" w:fill="D2D2D2"/>
          </w:tcPr>
          <w:p>
            <w:pPr/>
          </w:p>
        </w:tc>
        <w:tc>
          <w:tcPr>
            <w:tcW w:w="250" w:type="dxa"/>
            <w:vMerge/>
            <w:tcBorders>
              <w:left w:val="single" w:sz="4" w:space="0" w:color="000000"/>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
        </w:tc>
        <w:tc>
          <w:tcPr>
            <w:tcW w:w="257" w:type="dxa"/>
            <w:vMerge/>
            <w:tcBorders>
              <w:left w:val="single" w:sz="4" w:space="0" w:color="000000"/>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
        </w:tc>
        <w:tc>
          <w:tcPr>
            <w:tcW w:w="240" w:type="dxa"/>
            <w:vMerge/>
            <w:tcBorders>
              <w:left w:val="single" w:sz="4" w:space="0" w:color="000000"/>
              <w:bottom w:val="nil" w:sz="6" w:space="0" w:color="auto"/>
              <w:right w:val="single" w:sz="4" w:space="0" w:color="000000"/>
            </w:tcBorders>
            <w:shd w:val="clear" w:color="auto" w:fill="D2D2D2"/>
          </w:tcPr>
          <w:p>
            <w:pPr/>
          </w:p>
        </w:tc>
        <w:tc>
          <w:tcPr>
            <w:tcW w:w="1376" w:type="dxa"/>
            <w:vMerge w:val="restart"/>
            <w:tcBorders>
              <w:top w:val="nil" w:sz="6" w:space="0" w:color="auto"/>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right w:val="single" w:sz="4" w:space="0" w:color="000000"/>
            </w:tcBorders>
            <w:shd w:val="clear" w:color="auto" w:fill="D2D2D2"/>
          </w:tcPr>
          <w:p>
            <w:pPr/>
          </w:p>
        </w:tc>
      </w:tr>
      <w:tr>
        <w:trPr>
          <w:trHeight w:val="312" w:hRule="exact"/>
        </w:trPr>
        <w:tc>
          <w:tcPr>
            <w:tcW w:w="646"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245" w:type="dxa"/>
            <w:vMerge/>
            <w:tcBorders>
              <w:left w:val="single" w:sz="4" w:space="0" w:color="000000"/>
              <w:bottom w:val="nil" w:sz="6" w:space="0" w:color="auto"/>
              <w:right w:val="single" w:sz="4" w:space="0" w:color="000000"/>
            </w:tcBorders>
            <w:shd w:val="clear" w:color="auto" w:fill="D2D2D2"/>
          </w:tcPr>
          <w:p>
            <w:pPr/>
          </w:p>
        </w:tc>
        <w:tc>
          <w:tcPr>
            <w:tcW w:w="242"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1003" w:type="dxa"/>
            <w:vMerge w:val="restart"/>
            <w:tcBorders>
              <w:top w:val="nil" w:sz="6" w:space="0" w:color="auto"/>
              <w:left w:val="single" w:sz="4" w:space="0" w:color="000000"/>
              <w:right w:val="single" w:sz="4" w:space="0" w:color="000000"/>
            </w:tcBorders>
            <w:shd w:val="clear" w:color="auto" w:fill="D2D2D2"/>
          </w:tcPr>
          <w:p>
            <w:pPr/>
          </w:p>
        </w:tc>
        <w:tc>
          <w:tcPr>
            <w:tcW w:w="250" w:type="dxa"/>
            <w:vMerge/>
            <w:tcBorders>
              <w:left w:val="single" w:sz="4" w:space="0" w:color="000000"/>
              <w:bottom w:val="nil" w:sz="6" w:space="0" w:color="auto"/>
              <w:right w:val="single" w:sz="4" w:space="0" w:color="000000"/>
            </w:tcBorders>
            <w:shd w:val="clear" w:color="auto" w:fill="D2D2D2"/>
          </w:tcPr>
          <w:p>
            <w:pPr/>
          </w:p>
        </w:tc>
        <w:tc>
          <w:tcPr>
            <w:tcW w:w="1092" w:type="dxa"/>
            <w:vMerge/>
            <w:tcBorders>
              <w:left w:val="single" w:sz="4" w:space="0" w:color="000000"/>
              <w:right w:val="single" w:sz="4" w:space="0" w:color="000000"/>
            </w:tcBorders>
            <w:shd w:val="clear" w:color="auto" w:fill="D2D2D2"/>
          </w:tcPr>
          <w:p>
            <w:pPr/>
          </w:p>
        </w:tc>
        <w:tc>
          <w:tcPr>
            <w:tcW w:w="257"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240" w:type="dxa"/>
            <w:vMerge w:val="restart"/>
            <w:tcBorders>
              <w:top w:val="nil" w:sz="6" w:space="0" w:color="auto"/>
              <w:left w:val="single" w:sz="4" w:space="0" w:color="000000"/>
              <w:right w:val="single" w:sz="4" w:space="0" w:color="000000"/>
            </w:tcBorders>
            <w:shd w:val="clear" w:color="auto" w:fill="D2D2D2"/>
          </w:tcPr>
          <w:p>
            <w:pPr/>
          </w:p>
        </w:tc>
        <w:tc>
          <w:tcPr>
            <w:tcW w:w="1376"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right w:val="single" w:sz="4" w:space="0" w:color="000000"/>
            </w:tcBorders>
            <w:shd w:val="clear" w:color="auto" w:fill="D2D2D2"/>
          </w:tcPr>
          <w:p>
            <w:pPr/>
          </w:p>
        </w:tc>
      </w:tr>
      <w:tr>
        <w:trPr>
          <w:trHeight w:val="295" w:hRule="exact"/>
        </w:trPr>
        <w:tc>
          <w:tcPr>
            <w:tcW w:w="646"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245" w:type="dxa"/>
            <w:tcBorders>
              <w:top w:val="nil" w:sz="6" w:space="0" w:color="auto"/>
              <w:left w:val="single" w:sz="4" w:space="0" w:color="000000"/>
              <w:bottom w:val="single" w:sz="4" w:space="0" w:color="000000"/>
              <w:right w:val="single" w:sz="4" w:space="0" w:color="000000"/>
            </w:tcBorders>
            <w:shd w:val="clear" w:color="auto" w:fill="D2D2D2"/>
          </w:tcPr>
          <w:p>
            <w:pPr/>
          </w:p>
        </w:tc>
        <w:tc>
          <w:tcPr>
            <w:tcW w:w="24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241"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2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257" w:type="dxa"/>
            <w:vMerge/>
            <w:tcBorders>
              <w:left w:val="single" w:sz="4" w:space="0" w:color="000000"/>
              <w:bottom w:val="single" w:sz="4" w:space="0" w:color="000000"/>
              <w:right w:val="single" w:sz="4" w:space="0" w:color="000000"/>
            </w:tcBorders>
            <w:shd w:val="clear" w:color="auto" w:fill="D2D2D2"/>
          </w:tcPr>
          <w:p>
            <w:pPr/>
          </w:p>
        </w:tc>
        <w:tc>
          <w:tcPr>
            <w:tcW w:w="1241" w:type="dxa"/>
            <w:vMerge/>
            <w:tcBorders>
              <w:left w:val="single" w:sz="4" w:space="0" w:color="000000"/>
              <w:bottom w:val="single" w:sz="4" w:space="0" w:color="000000"/>
              <w:right w:val="single" w:sz="4" w:space="0" w:color="000000"/>
            </w:tcBorders>
            <w:shd w:val="clear" w:color="auto" w:fill="D2D2D2"/>
          </w:tcPr>
          <w:p>
            <w:pPr/>
          </w:p>
        </w:tc>
        <w:tc>
          <w:tcPr>
            <w:tcW w:w="240" w:type="dxa"/>
            <w:vMerge/>
            <w:tcBorders>
              <w:left w:val="single" w:sz="4" w:space="0" w:color="000000"/>
              <w:bottom w:val="single" w:sz="4" w:space="0" w:color="000000"/>
              <w:right w:val="single" w:sz="4" w:space="0" w:color="000000"/>
            </w:tcBorders>
            <w:shd w:val="clear" w:color="auto" w:fill="D2D2D2"/>
          </w:tcPr>
          <w:p>
            <w:pPr/>
          </w:p>
        </w:tc>
        <w:tc>
          <w:tcPr>
            <w:tcW w:w="1376" w:type="dxa"/>
            <w:vMerge/>
            <w:tcBorders>
              <w:left w:val="single" w:sz="4" w:space="0" w:color="000000"/>
              <w:bottom w:val="single" w:sz="4" w:space="0" w:color="000000"/>
              <w:right w:val="single" w:sz="4" w:space="0" w:color="000000"/>
            </w:tcBorders>
            <w:shd w:val="clear" w:color="auto" w:fill="D2D2D2"/>
          </w:tcPr>
          <w:p>
            <w:pPr/>
          </w:p>
        </w:tc>
        <w:tc>
          <w:tcPr>
            <w:tcW w:w="1241" w:type="dxa"/>
            <w:vMerge/>
            <w:tcBorders>
              <w:left w:val="single" w:sz="4" w:space="0" w:color="000000"/>
              <w:bottom w:val="single" w:sz="4" w:space="0" w:color="000000"/>
              <w:right w:val="single" w:sz="4" w:space="0" w:color="000000"/>
            </w:tcBorders>
            <w:shd w:val="clear" w:color="auto" w:fill="D2D2D2"/>
          </w:tcPr>
          <w:p>
            <w:pPr/>
          </w:p>
        </w:tc>
        <w:tc>
          <w:tcPr>
            <w:tcW w:w="1378" w:type="dxa"/>
            <w:vMerge/>
            <w:tcBorders>
              <w:left w:val="single" w:sz="4" w:space="0" w:color="000000"/>
              <w:bottom w:val="single" w:sz="4" w:space="0" w:color="000000"/>
              <w:right w:val="single" w:sz="4" w:space="0" w:color="000000"/>
            </w:tcBorders>
            <w:shd w:val="clear" w:color="auto" w:fill="D2D2D2"/>
          </w:tcPr>
          <w:p>
            <w:pPr/>
          </w:p>
        </w:tc>
      </w:tr>
      <w:tr>
        <w:trPr>
          <w:trHeight w:val="986" w:hRule="exact"/>
        </w:trPr>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增资本</w:t>
            </w:r>
          </w:p>
          <w:p>
            <w:pPr>
              <w:pStyle w:val="TableParagraph"/>
              <w:spacing w:line="316" w:lineRule="auto" w:before="76"/>
              <w:ind w:left="11" w:right="82"/>
              <w:jc w:val="left"/>
              <w:rPr>
                <w:rFonts w:ascii="宋体" w:hAnsi="宋体" w:cs="宋体" w:eastAsia="宋体" w:hint="default"/>
                <w:sz w:val="18"/>
                <w:szCs w:val="18"/>
              </w:rPr>
            </w:pPr>
            <w:r>
              <w:rPr>
                <w:rFonts w:ascii="宋体" w:hAnsi="宋体" w:cs="宋体" w:eastAsia="宋体" w:hint="default"/>
                <w:sz w:val="18"/>
                <w:szCs w:val="18"/>
              </w:rPr>
              <w:t>（或股 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245" w:type="dxa"/>
            <w:tcBorders>
              <w:top w:val="single" w:sz="4" w:space="0" w:color="000000"/>
              <w:left w:val="single" w:sz="4" w:space="0" w:color="000000"/>
              <w:bottom w:val="single" w:sz="4" w:space="0" w:color="000000"/>
              <w:right w:val="single" w:sz="4" w:space="0" w:color="000000"/>
            </w:tcBorders>
          </w:tcPr>
          <w:p>
            <w:pPr/>
          </w:p>
        </w:tc>
        <w:tc>
          <w:tcPr>
            <w:tcW w:w="2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1" w:right="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．盈余</w:t>
            </w:r>
            <w:r>
              <w:rPr>
                <w:rFonts w:ascii="宋体" w:hAnsi="宋体" w:cs="宋体" w:eastAsia="宋体" w:hint="default"/>
                <w:sz w:val="18"/>
                <w:szCs w:val="18"/>
              </w:rPr>
              <w:t> 公积弥 补亏损</w:t>
            </w:r>
          </w:p>
        </w:tc>
        <w:tc>
          <w:tcPr>
            <w:tcW w:w="1193" w:type="dxa"/>
            <w:tcBorders>
              <w:top w:val="single" w:sz="4" w:space="0" w:color="000000"/>
              <w:left w:val="single" w:sz="13" w:space="0" w:color="D2D2D2"/>
              <w:bottom w:val="single" w:sz="4" w:space="0" w:color="000000"/>
              <w:right w:val="single" w:sz="4" w:space="0" w:color="000000"/>
            </w:tcBorders>
          </w:tcPr>
          <w:p>
            <w:pPr/>
          </w:p>
        </w:tc>
        <w:tc>
          <w:tcPr>
            <w:tcW w:w="245" w:type="dxa"/>
            <w:tcBorders>
              <w:top w:val="single" w:sz="4" w:space="0" w:color="000000"/>
              <w:left w:val="single" w:sz="4" w:space="0" w:color="000000"/>
              <w:bottom w:val="single" w:sz="4" w:space="0" w:color="000000"/>
              <w:right w:val="single" w:sz="4" w:space="0" w:color="000000"/>
            </w:tcBorders>
          </w:tcPr>
          <w:p>
            <w:pPr/>
          </w:p>
        </w:tc>
        <w:tc>
          <w:tcPr>
            <w:tcW w:w="2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 w:right="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．设定</w:t>
            </w:r>
            <w:r>
              <w:rPr>
                <w:rFonts w:ascii="宋体" w:hAnsi="宋体" w:cs="宋体" w:eastAsia="宋体" w:hint="default"/>
                <w:sz w:val="18"/>
                <w:szCs w:val="18"/>
              </w:rPr>
              <w:t> 受益计 划变动 额结转 留存收 益</w:t>
            </w:r>
          </w:p>
        </w:tc>
        <w:tc>
          <w:tcPr>
            <w:tcW w:w="1193" w:type="dxa"/>
            <w:tcBorders>
              <w:top w:val="single" w:sz="4" w:space="0" w:color="000000"/>
              <w:left w:val="single" w:sz="13" w:space="0" w:color="D2D2D2"/>
              <w:bottom w:val="single" w:sz="4" w:space="0" w:color="000000"/>
              <w:right w:val="single" w:sz="4" w:space="0" w:color="000000"/>
            </w:tcBorders>
          </w:tcPr>
          <w:p>
            <w:pPr/>
          </w:p>
        </w:tc>
        <w:tc>
          <w:tcPr>
            <w:tcW w:w="245" w:type="dxa"/>
            <w:tcBorders>
              <w:top w:val="single" w:sz="4" w:space="0" w:color="000000"/>
              <w:left w:val="single" w:sz="4" w:space="0" w:color="000000"/>
              <w:bottom w:val="single" w:sz="4" w:space="0" w:color="000000"/>
              <w:right w:val="single" w:sz="4" w:space="0" w:color="000000"/>
            </w:tcBorders>
          </w:tcPr>
          <w:p>
            <w:pPr/>
          </w:p>
        </w:tc>
        <w:tc>
          <w:tcPr>
            <w:tcW w:w="2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 w:right="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．其他</w:t>
            </w:r>
            <w:r>
              <w:rPr>
                <w:rFonts w:ascii="宋体" w:hAnsi="宋体" w:cs="宋体" w:eastAsia="宋体" w:hint="default"/>
                <w:sz w:val="18"/>
                <w:szCs w:val="18"/>
              </w:rPr>
              <w:t> 综合收 益结转 留存收 益</w:t>
            </w:r>
          </w:p>
        </w:tc>
        <w:tc>
          <w:tcPr>
            <w:tcW w:w="1193" w:type="dxa"/>
            <w:tcBorders>
              <w:top w:val="single" w:sz="4" w:space="0" w:color="000000"/>
              <w:left w:val="single" w:sz="13" w:space="0" w:color="D2D2D2"/>
              <w:bottom w:val="single" w:sz="4" w:space="0" w:color="000000"/>
              <w:right w:val="single" w:sz="4" w:space="0" w:color="000000"/>
            </w:tcBorders>
          </w:tcPr>
          <w:p>
            <w:pPr/>
          </w:p>
        </w:tc>
        <w:tc>
          <w:tcPr>
            <w:tcW w:w="245" w:type="dxa"/>
            <w:tcBorders>
              <w:top w:val="single" w:sz="4" w:space="0" w:color="000000"/>
              <w:left w:val="single" w:sz="4" w:space="0" w:color="000000"/>
              <w:bottom w:val="single" w:sz="4" w:space="0" w:color="000000"/>
              <w:right w:val="single" w:sz="4" w:space="0" w:color="000000"/>
            </w:tcBorders>
          </w:tcPr>
          <w:p>
            <w:pPr/>
          </w:p>
        </w:tc>
        <w:tc>
          <w:tcPr>
            <w:tcW w:w="2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245" w:type="dxa"/>
            <w:tcBorders>
              <w:top w:val="single" w:sz="4" w:space="0" w:color="000000"/>
              <w:left w:val="single" w:sz="4" w:space="0" w:color="000000"/>
              <w:bottom w:val="single" w:sz="4" w:space="0" w:color="000000"/>
              <w:right w:val="single" w:sz="4" w:space="0" w:color="000000"/>
            </w:tcBorders>
          </w:tcPr>
          <w:p>
            <w:pPr/>
          </w:p>
        </w:tc>
        <w:tc>
          <w:tcPr>
            <w:tcW w:w="2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82"/>
              <w:jc w:val="left"/>
              <w:rPr>
                <w:rFonts w:ascii="宋体" w:hAnsi="宋体" w:cs="宋体" w:eastAsia="宋体" w:hint="default"/>
                <w:sz w:val="18"/>
                <w:szCs w:val="18"/>
              </w:rPr>
            </w:pPr>
            <w:r>
              <w:rPr>
                <w:rFonts w:ascii="宋体" w:hAnsi="宋体" w:cs="宋体" w:eastAsia="宋体" w:hint="default"/>
                <w:sz w:val="18"/>
                <w:szCs w:val="18"/>
              </w:rPr>
              <w:t>（五） 专项储</w:t>
            </w:r>
          </w:p>
        </w:tc>
        <w:tc>
          <w:tcPr>
            <w:tcW w:w="1193" w:type="dxa"/>
            <w:tcBorders>
              <w:top w:val="single" w:sz="4" w:space="0" w:color="000000"/>
              <w:left w:val="single" w:sz="13" w:space="0" w:color="D2D2D2"/>
              <w:bottom w:val="single" w:sz="4" w:space="0" w:color="000000"/>
              <w:right w:val="single" w:sz="4" w:space="0" w:color="000000"/>
            </w:tcBorders>
          </w:tcPr>
          <w:p>
            <w:pPr/>
          </w:p>
        </w:tc>
        <w:tc>
          <w:tcPr>
            <w:tcW w:w="245" w:type="dxa"/>
            <w:tcBorders>
              <w:top w:val="single" w:sz="4" w:space="0" w:color="000000"/>
              <w:left w:val="single" w:sz="4" w:space="0" w:color="000000"/>
              <w:bottom w:val="single" w:sz="4" w:space="0" w:color="000000"/>
              <w:right w:val="single" w:sz="4" w:space="0" w:color="000000"/>
            </w:tcBorders>
          </w:tcPr>
          <w:p>
            <w:pPr/>
          </w:p>
        </w:tc>
        <w:tc>
          <w:tcPr>
            <w:tcW w:w="2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40" w:right="128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658"/>
        <w:gridCol w:w="1181"/>
        <w:gridCol w:w="245"/>
        <w:gridCol w:w="242"/>
        <w:gridCol w:w="1181"/>
        <w:gridCol w:w="1241"/>
        <w:gridCol w:w="1152"/>
        <w:gridCol w:w="1003"/>
        <w:gridCol w:w="250"/>
        <w:gridCol w:w="1092"/>
        <w:gridCol w:w="257"/>
        <w:gridCol w:w="1241"/>
        <w:gridCol w:w="240"/>
        <w:gridCol w:w="1376"/>
        <w:gridCol w:w="1241"/>
        <w:gridCol w:w="1378"/>
      </w:tblGrid>
      <w:tr>
        <w:trPr>
          <w:trHeight w:val="417" w:hRule="exact"/>
        </w:trPr>
        <w:tc>
          <w:tcPr>
            <w:tcW w:w="658" w:type="dxa"/>
            <w:vMerge w:val="restart"/>
            <w:tcBorders>
              <w:top w:val="single" w:sz="15" w:space="0" w:color="000000"/>
              <w:left w:val="single" w:sz="4" w:space="0" w:color="000000"/>
              <w:right w:val="single" w:sz="4" w:space="0" w:color="000000"/>
            </w:tcBorders>
            <w:shd w:val="clear" w:color="auto" w:fill="D2D2D2"/>
          </w:tcPr>
          <w:p>
            <w:pPr/>
          </w:p>
        </w:tc>
        <w:tc>
          <w:tcPr>
            <w:tcW w:w="13319" w:type="dxa"/>
            <w:gridSpan w:val="15"/>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1" w:hRule="exact"/>
        </w:trPr>
        <w:tc>
          <w:tcPr>
            <w:tcW w:w="658" w:type="dxa"/>
            <w:vMerge/>
            <w:tcBorders>
              <w:left w:val="single" w:sz="4" w:space="0" w:color="000000"/>
              <w:right w:val="single" w:sz="4" w:space="0" w:color="000000"/>
            </w:tcBorders>
            <w:shd w:val="clear" w:color="auto" w:fill="D2D2D2"/>
          </w:tcPr>
          <w:p>
            <w:pPr/>
          </w:p>
        </w:tc>
        <w:tc>
          <w:tcPr>
            <w:tcW w:w="1070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41" w:type="dxa"/>
            <w:vMerge w:val="restart"/>
            <w:tcBorders>
              <w:top w:val="single" w:sz="4" w:space="0" w:color="000000"/>
              <w:left w:val="single" w:sz="4" w:space="0" w:color="000000"/>
              <w:right w:val="single" w:sz="4" w:space="0" w:color="000000"/>
            </w:tcBorders>
            <w:shd w:val="clear" w:color="auto" w:fill="D2D2D2"/>
          </w:tcPr>
          <w:p>
            <w:pPr/>
          </w:p>
        </w:tc>
        <w:tc>
          <w:tcPr>
            <w:tcW w:w="1378" w:type="dxa"/>
            <w:vMerge w:val="restart"/>
            <w:tcBorders>
              <w:top w:val="single" w:sz="4" w:space="0" w:color="000000"/>
              <w:left w:val="single" w:sz="4" w:space="0" w:color="000000"/>
              <w:right w:val="single" w:sz="4" w:space="0" w:color="000000"/>
            </w:tcBorders>
            <w:shd w:val="clear" w:color="auto" w:fill="D2D2D2"/>
          </w:tcPr>
          <w:p>
            <w:pPr/>
          </w:p>
        </w:tc>
      </w:tr>
      <w:tr>
        <w:trPr>
          <w:trHeight w:val="352" w:hRule="exact"/>
        </w:trPr>
        <w:tc>
          <w:tcPr>
            <w:tcW w:w="658"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6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41" w:type="dxa"/>
            <w:vMerge w:val="restart"/>
            <w:tcBorders>
              <w:top w:val="single" w:sz="4" w:space="0" w:color="000000"/>
              <w:left w:val="single" w:sz="4" w:space="0" w:color="000000"/>
              <w:right w:val="single" w:sz="4" w:space="0" w:color="000000"/>
            </w:tcBorders>
            <w:shd w:val="clear" w:color="auto" w:fill="D2D2D2"/>
          </w:tcPr>
          <w:p>
            <w:pPr/>
          </w:p>
        </w:tc>
        <w:tc>
          <w:tcPr>
            <w:tcW w:w="1152" w:type="dxa"/>
            <w:vMerge w:val="restart"/>
            <w:tcBorders>
              <w:top w:val="single" w:sz="4" w:space="0" w:color="000000"/>
              <w:left w:val="single" w:sz="4" w:space="0" w:color="000000"/>
              <w:right w:val="single" w:sz="4" w:space="0" w:color="000000"/>
            </w:tcBorders>
            <w:shd w:val="clear" w:color="auto" w:fill="D2D2D2"/>
          </w:tcPr>
          <w:p>
            <w:pPr/>
          </w:p>
        </w:tc>
        <w:tc>
          <w:tcPr>
            <w:tcW w:w="1003" w:type="dxa"/>
            <w:vMerge w:val="restart"/>
            <w:tcBorders>
              <w:top w:val="single" w:sz="4" w:space="0" w:color="000000"/>
              <w:left w:val="single" w:sz="4" w:space="0" w:color="000000"/>
              <w:right w:val="single" w:sz="4" w:space="0" w:color="000000"/>
            </w:tcBorders>
            <w:shd w:val="clear" w:color="auto" w:fill="D2D2D2"/>
          </w:tcPr>
          <w:p>
            <w:pPr/>
          </w:p>
        </w:tc>
        <w:tc>
          <w:tcPr>
            <w:tcW w:w="2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2" w:type="dxa"/>
            <w:vMerge w:val="restart"/>
            <w:tcBorders>
              <w:top w:val="single" w:sz="4" w:space="0" w:color="000000"/>
              <w:left w:val="single" w:sz="4" w:space="0" w:color="000000"/>
              <w:right w:val="single" w:sz="4" w:space="0" w:color="000000"/>
            </w:tcBorders>
            <w:shd w:val="clear" w:color="auto" w:fill="D2D2D2"/>
          </w:tcPr>
          <w:p>
            <w:pPr/>
          </w:p>
        </w:tc>
        <w:tc>
          <w:tcPr>
            <w:tcW w:w="25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 w:right="35"/>
              <w:jc w:val="both"/>
              <w:rPr>
                <w:rFonts w:ascii="宋体" w:hAnsi="宋体" w:cs="宋体" w:eastAsia="宋体" w:hint="default"/>
                <w:sz w:val="18"/>
                <w:szCs w:val="18"/>
              </w:rPr>
            </w:pPr>
            <w:r>
              <w:rPr>
                <w:rFonts w:ascii="宋体" w:hAnsi="宋体" w:cs="宋体" w:eastAsia="宋体" w:hint="default"/>
                <w:sz w:val="18"/>
                <w:szCs w:val="18"/>
              </w:rPr>
              <w:t>一 般 风 险 准 备</w:t>
            </w:r>
          </w:p>
        </w:tc>
        <w:tc>
          <w:tcPr>
            <w:tcW w:w="1241" w:type="dxa"/>
            <w:vMerge w:val="restart"/>
            <w:tcBorders>
              <w:top w:val="single" w:sz="4" w:space="0" w:color="000000"/>
              <w:left w:val="single" w:sz="4" w:space="0" w:color="000000"/>
              <w:right w:val="single" w:sz="4" w:space="0" w:color="000000"/>
            </w:tcBorders>
            <w:shd w:val="clear" w:color="auto" w:fill="D2D2D2"/>
          </w:tcPr>
          <w:p>
            <w:pPr/>
          </w:p>
        </w:tc>
        <w:tc>
          <w:tcPr>
            <w:tcW w:w="240" w:type="dxa"/>
            <w:vMerge w:val="restart"/>
            <w:tcBorders>
              <w:top w:val="single" w:sz="4" w:space="0" w:color="000000"/>
              <w:left w:val="single" w:sz="4" w:space="0" w:color="000000"/>
              <w:right w:val="single" w:sz="4" w:space="0" w:color="000000"/>
            </w:tcBorders>
            <w:shd w:val="clear" w:color="auto" w:fill="D2D2D2"/>
          </w:tcPr>
          <w:p>
            <w:pPr/>
          </w:p>
        </w:tc>
        <w:tc>
          <w:tcPr>
            <w:tcW w:w="1376" w:type="dxa"/>
            <w:vMerge w:val="restart"/>
            <w:tcBorders>
              <w:top w:val="single" w:sz="4" w:space="0" w:color="000000"/>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right w:val="single" w:sz="4" w:space="0" w:color="000000"/>
            </w:tcBorders>
            <w:shd w:val="clear" w:color="auto" w:fill="D2D2D2"/>
          </w:tcPr>
          <w:p>
            <w:pPr/>
          </w:p>
        </w:tc>
      </w:tr>
      <w:tr>
        <w:trPr>
          <w:trHeight w:val="231" w:hRule="exact"/>
        </w:trPr>
        <w:tc>
          <w:tcPr>
            <w:tcW w:w="6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left="13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81" w:type="dxa"/>
            <w:vMerge/>
            <w:tcBorders>
              <w:left w:val="single" w:sz="4" w:space="0" w:color="000000"/>
              <w:right w:val="single" w:sz="4" w:space="0" w:color="000000"/>
            </w:tcBorders>
            <w:shd w:val="clear" w:color="auto" w:fill="D2D2D2"/>
          </w:tcPr>
          <w:p>
            <w:pPr/>
          </w:p>
        </w:tc>
        <w:tc>
          <w:tcPr>
            <w:tcW w:w="245" w:type="dxa"/>
            <w:tcBorders>
              <w:top w:val="single" w:sz="4" w:space="0" w:color="000000"/>
              <w:left w:val="single" w:sz="4" w:space="0" w:color="000000"/>
              <w:bottom w:val="nil" w:sz="6" w:space="0" w:color="auto"/>
              <w:right w:val="single" w:sz="4" w:space="0" w:color="000000"/>
            </w:tcBorders>
            <w:shd w:val="clear" w:color="auto" w:fill="D2D2D2"/>
          </w:tcPr>
          <w:p>
            <w:pPr/>
          </w:p>
        </w:tc>
        <w:tc>
          <w:tcPr>
            <w:tcW w:w="24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1003" w:type="dxa"/>
            <w:vMerge/>
            <w:tcBorders>
              <w:left w:val="single" w:sz="4" w:space="0" w:color="000000"/>
              <w:bottom w:val="nil" w:sz="6" w:space="0" w:color="auto"/>
              <w:right w:val="single" w:sz="4" w:space="0" w:color="000000"/>
            </w:tcBorders>
            <w:shd w:val="clear" w:color="auto" w:fill="D2D2D2"/>
          </w:tcPr>
          <w:p>
            <w:pPr/>
          </w:p>
        </w:tc>
        <w:tc>
          <w:tcPr>
            <w:tcW w:w="25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6"/>
              <w:ind w:left="28" w:right="29"/>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092" w:type="dxa"/>
            <w:vMerge/>
            <w:tcBorders>
              <w:left w:val="single" w:sz="4" w:space="0" w:color="000000"/>
              <w:right w:val="single" w:sz="4" w:space="0" w:color="000000"/>
            </w:tcBorders>
            <w:shd w:val="clear" w:color="auto" w:fill="D2D2D2"/>
          </w:tcPr>
          <w:p>
            <w:pPr/>
          </w:p>
        </w:tc>
        <w:tc>
          <w:tcPr>
            <w:tcW w:w="257"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240" w:type="dxa"/>
            <w:vMerge/>
            <w:tcBorders>
              <w:left w:val="single" w:sz="4" w:space="0" w:color="000000"/>
              <w:bottom w:val="nil" w:sz="6" w:space="0" w:color="auto"/>
              <w:right w:val="single" w:sz="4" w:space="0" w:color="000000"/>
            </w:tcBorders>
            <w:shd w:val="clear" w:color="auto" w:fill="D2D2D2"/>
          </w:tcPr>
          <w:p>
            <w:pPr/>
          </w:p>
        </w:tc>
        <w:tc>
          <w:tcPr>
            <w:tcW w:w="1376"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bottom w:val="nil" w:sz="6" w:space="0" w:color="auto"/>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r>
      <w:tr>
        <w:trPr>
          <w:trHeight w:val="140" w:hRule="exact"/>
        </w:trPr>
        <w:tc>
          <w:tcPr>
            <w:tcW w:w="658"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24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6"/>
              <w:ind w:left="23" w:right="29"/>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4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6"/>
              <w:ind w:left="24" w:right="26"/>
              <w:jc w:val="both"/>
              <w:rPr>
                <w:rFonts w:ascii="宋体" w:hAnsi="宋体" w:cs="宋体" w:eastAsia="宋体" w:hint="default"/>
                <w:sz w:val="18"/>
                <w:szCs w:val="18"/>
              </w:rPr>
            </w:pPr>
            <w:r>
              <w:rPr>
                <w:rFonts w:ascii="宋体" w:hAnsi="宋体" w:cs="宋体" w:eastAsia="宋体" w:hint="default"/>
                <w:sz w:val="18"/>
                <w:szCs w:val="18"/>
              </w:rPr>
              <w:t>永 续 债</w:t>
            </w:r>
          </w:p>
        </w:tc>
        <w:tc>
          <w:tcPr>
            <w:tcW w:w="1181"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bottom w:val="nil" w:sz="6" w:space="0" w:color="auto"/>
              <w:right w:val="single" w:sz="4" w:space="0" w:color="000000"/>
            </w:tcBorders>
            <w:shd w:val="clear" w:color="auto" w:fill="D2D2D2"/>
          </w:tcPr>
          <w:p>
            <w:pPr/>
          </w:p>
        </w:tc>
        <w:tc>
          <w:tcPr>
            <w:tcW w:w="1152" w:type="dxa"/>
            <w:vMerge/>
            <w:tcBorders>
              <w:left w:val="single" w:sz="4" w:space="0" w:color="000000"/>
              <w:bottom w:val="nil" w:sz="6" w:space="0" w:color="auto"/>
              <w:right w:val="single" w:sz="4" w:space="0" w:color="000000"/>
            </w:tcBorders>
            <w:shd w:val="clear" w:color="auto" w:fill="D2D2D2"/>
          </w:tcPr>
          <w:p>
            <w:pPr/>
          </w:p>
        </w:tc>
        <w:tc>
          <w:tcPr>
            <w:tcW w:w="100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408" w:right="43"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250"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257"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bottom w:val="nil" w:sz="6" w:space="0" w:color="auto"/>
              <w:right w:val="single" w:sz="4" w:space="0" w:color="000000"/>
            </w:tcBorders>
            <w:shd w:val="clear" w:color="auto" w:fill="D2D2D2"/>
          </w:tcPr>
          <w:p>
            <w:pPr/>
          </w:p>
        </w:tc>
        <w:tc>
          <w:tcPr>
            <w:tcW w:w="240"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33"/>
              <w:ind w:left="24" w:right="24"/>
              <w:jc w:val="left"/>
              <w:rPr>
                <w:rFonts w:ascii="宋体" w:hAnsi="宋体" w:cs="宋体" w:eastAsia="宋体" w:hint="default"/>
                <w:sz w:val="18"/>
                <w:szCs w:val="18"/>
              </w:rPr>
            </w:pPr>
            <w:r>
              <w:rPr>
                <w:rFonts w:ascii="宋体" w:hAnsi="宋体" w:cs="宋体" w:eastAsia="宋体" w:hint="default"/>
                <w:sz w:val="18"/>
                <w:szCs w:val="18"/>
              </w:rPr>
              <w:t>其 他</w:t>
            </w:r>
          </w:p>
        </w:tc>
        <w:tc>
          <w:tcPr>
            <w:tcW w:w="1376" w:type="dxa"/>
            <w:vMerge/>
            <w:tcBorders>
              <w:left w:val="single" w:sz="4" w:space="0" w:color="000000"/>
              <w:bottom w:val="nil" w:sz="6" w:space="0" w:color="auto"/>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76"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5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4" w:hRule="exact"/>
        </w:trPr>
        <w:tc>
          <w:tcPr>
            <w:tcW w:w="658" w:type="dxa"/>
            <w:vMerge w:val="restart"/>
            <w:tcBorders>
              <w:top w:val="nil" w:sz="6" w:space="0" w:color="auto"/>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股本</w:t>
            </w:r>
          </w:p>
        </w:tc>
        <w:tc>
          <w:tcPr>
            <w:tcW w:w="245" w:type="dxa"/>
            <w:vMerge/>
            <w:tcBorders>
              <w:left w:val="single" w:sz="4" w:space="0" w:color="000000"/>
              <w:right w:val="single" w:sz="4" w:space="0" w:color="000000"/>
            </w:tcBorders>
            <w:shd w:val="clear" w:color="auto" w:fill="D2D2D2"/>
          </w:tcPr>
          <w:p>
            <w:pPr/>
          </w:p>
        </w:tc>
        <w:tc>
          <w:tcPr>
            <w:tcW w:w="242"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5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03" w:type="dxa"/>
            <w:vMerge/>
            <w:tcBorders>
              <w:left w:val="single" w:sz="4" w:space="0" w:color="000000"/>
              <w:right w:val="single" w:sz="4" w:space="0" w:color="000000"/>
            </w:tcBorders>
            <w:shd w:val="clear" w:color="auto" w:fill="D2D2D2"/>
          </w:tcPr>
          <w:p>
            <w:pPr/>
          </w:p>
        </w:tc>
        <w:tc>
          <w:tcPr>
            <w:tcW w:w="250" w:type="dxa"/>
            <w:vMerge/>
            <w:tcBorders>
              <w:left w:val="single" w:sz="4" w:space="0" w:color="000000"/>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7" w:type="dxa"/>
            <w:vMerge/>
            <w:tcBorders>
              <w:left w:val="single" w:sz="4" w:space="0" w:color="000000"/>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0" w:type="dxa"/>
            <w:vMerge/>
            <w:tcBorders>
              <w:left w:val="single" w:sz="4" w:space="0" w:color="000000"/>
              <w:right w:val="single" w:sz="4" w:space="0" w:color="000000"/>
            </w:tcBorders>
            <w:shd w:val="clear" w:color="auto" w:fill="D2D2D2"/>
          </w:tcPr>
          <w:p>
            <w:pPr/>
          </w:p>
        </w:tc>
        <w:tc>
          <w:tcPr>
            <w:tcW w:w="13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小计</w:t>
            </w:r>
          </w:p>
        </w:tc>
        <w:tc>
          <w:tcPr>
            <w:tcW w:w="1241" w:type="dxa"/>
            <w:vMerge/>
            <w:tcBorders>
              <w:left w:val="single" w:sz="4" w:space="0" w:color="000000"/>
              <w:bottom w:val="nil" w:sz="6" w:space="0" w:color="auto"/>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r>
      <w:tr>
        <w:trPr>
          <w:trHeight w:val="197" w:hRule="exact"/>
        </w:trPr>
        <w:tc>
          <w:tcPr>
            <w:tcW w:w="658"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245" w:type="dxa"/>
            <w:vMerge/>
            <w:tcBorders>
              <w:left w:val="single" w:sz="4" w:space="0" w:color="000000"/>
              <w:right w:val="single" w:sz="4" w:space="0" w:color="000000"/>
            </w:tcBorders>
            <w:shd w:val="clear" w:color="auto" w:fill="D2D2D2"/>
          </w:tcPr>
          <w:p>
            <w:pPr/>
          </w:p>
        </w:tc>
        <w:tc>
          <w:tcPr>
            <w:tcW w:w="242"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41" w:type="dxa"/>
            <w:vMerge/>
            <w:tcBorders>
              <w:left w:val="single" w:sz="4" w:space="0" w:color="000000"/>
              <w:bottom w:val="nil" w:sz="6" w:space="0" w:color="auto"/>
              <w:right w:val="single" w:sz="4" w:space="0" w:color="000000"/>
            </w:tcBorders>
            <w:shd w:val="clear" w:color="auto" w:fill="D2D2D2"/>
          </w:tcPr>
          <w:p>
            <w:pPr/>
          </w:p>
        </w:tc>
        <w:tc>
          <w:tcPr>
            <w:tcW w:w="1152" w:type="dxa"/>
            <w:vMerge/>
            <w:tcBorders>
              <w:left w:val="single" w:sz="4" w:space="0" w:color="000000"/>
              <w:bottom w:val="nil" w:sz="6" w:space="0" w:color="auto"/>
              <w:right w:val="single" w:sz="4" w:space="0" w:color="000000"/>
            </w:tcBorders>
            <w:shd w:val="clear" w:color="auto" w:fill="D2D2D2"/>
          </w:tcPr>
          <w:p>
            <w:pPr/>
          </w:p>
        </w:tc>
        <w:tc>
          <w:tcPr>
            <w:tcW w:w="1003" w:type="dxa"/>
            <w:vMerge/>
            <w:tcBorders>
              <w:left w:val="single" w:sz="4" w:space="0" w:color="000000"/>
              <w:right w:val="single" w:sz="4" w:space="0" w:color="000000"/>
            </w:tcBorders>
            <w:shd w:val="clear" w:color="auto" w:fill="D2D2D2"/>
          </w:tcPr>
          <w:p>
            <w:pPr/>
          </w:p>
        </w:tc>
        <w:tc>
          <w:tcPr>
            <w:tcW w:w="250"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257"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bottom w:val="nil" w:sz="6" w:space="0" w:color="auto"/>
              <w:right w:val="single" w:sz="4" w:space="0" w:color="000000"/>
            </w:tcBorders>
            <w:shd w:val="clear" w:color="auto" w:fill="D2D2D2"/>
          </w:tcPr>
          <w:p>
            <w:pPr/>
          </w:p>
        </w:tc>
        <w:tc>
          <w:tcPr>
            <w:tcW w:w="240" w:type="dxa"/>
            <w:vMerge/>
            <w:tcBorders>
              <w:left w:val="single" w:sz="4" w:space="0" w:color="000000"/>
              <w:right w:val="single" w:sz="4" w:space="0" w:color="000000"/>
            </w:tcBorders>
            <w:shd w:val="clear" w:color="auto" w:fill="D2D2D2"/>
          </w:tcPr>
          <w:p>
            <w:pPr/>
          </w:p>
        </w:tc>
        <w:tc>
          <w:tcPr>
            <w:tcW w:w="1376" w:type="dxa"/>
            <w:vMerge/>
            <w:tcBorders>
              <w:left w:val="single" w:sz="4" w:space="0" w:color="000000"/>
              <w:bottom w:val="nil" w:sz="6" w:space="0" w:color="auto"/>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658"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245" w:type="dxa"/>
            <w:vMerge/>
            <w:tcBorders>
              <w:left w:val="single" w:sz="4" w:space="0" w:color="000000"/>
              <w:right w:val="single" w:sz="4" w:space="0" w:color="000000"/>
            </w:tcBorders>
            <w:shd w:val="clear" w:color="auto" w:fill="D2D2D2"/>
          </w:tcPr>
          <w:p>
            <w:pPr/>
          </w:p>
        </w:tc>
        <w:tc>
          <w:tcPr>
            <w:tcW w:w="242"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
        </w:tc>
        <w:tc>
          <w:tcPr>
            <w:tcW w:w="1152" w:type="dxa"/>
            <w:vMerge w:val="restart"/>
            <w:tcBorders>
              <w:top w:val="nil" w:sz="6" w:space="0" w:color="auto"/>
              <w:left w:val="single" w:sz="4" w:space="0" w:color="000000"/>
              <w:right w:val="single" w:sz="4" w:space="0" w:color="000000"/>
            </w:tcBorders>
            <w:shd w:val="clear" w:color="auto" w:fill="D2D2D2"/>
          </w:tcPr>
          <w:p>
            <w:pPr/>
          </w:p>
        </w:tc>
        <w:tc>
          <w:tcPr>
            <w:tcW w:w="1003" w:type="dxa"/>
            <w:vMerge/>
            <w:tcBorders>
              <w:left w:val="single" w:sz="4" w:space="0" w:color="000000"/>
              <w:bottom w:val="nil" w:sz="6" w:space="0" w:color="auto"/>
              <w:right w:val="single" w:sz="4" w:space="0" w:color="000000"/>
            </w:tcBorders>
            <w:shd w:val="clear" w:color="auto" w:fill="D2D2D2"/>
          </w:tcPr>
          <w:p>
            <w:pPr/>
          </w:p>
        </w:tc>
        <w:tc>
          <w:tcPr>
            <w:tcW w:w="250" w:type="dxa"/>
            <w:vMerge/>
            <w:tcBorders>
              <w:left w:val="single" w:sz="4" w:space="0" w:color="000000"/>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
        </w:tc>
        <w:tc>
          <w:tcPr>
            <w:tcW w:w="257" w:type="dxa"/>
            <w:vMerge/>
            <w:tcBorders>
              <w:left w:val="single" w:sz="4" w:space="0" w:color="000000"/>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
        </w:tc>
        <w:tc>
          <w:tcPr>
            <w:tcW w:w="240" w:type="dxa"/>
            <w:vMerge/>
            <w:tcBorders>
              <w:left w:val="single" w:sz="4" w:space="0" w:color="000000"/>
              <w:bottom w:val="nil" w:sz="6" w:space="0" w:color="auto"/>
              <w:right w:val="single" w:sz="4" w:space="0" w:color="000000"/>
            </w:tcBorders>
            <w:shd w:val="clear" w:color="auto" w:fill="D2D2D2"/>
          </w:tcPr>
          <w:p>
            <w:pPr/>
          </w:p>
        </w:tc>
        <w:tc>
          <w:tcPr>
            <w:tcW w:w="1376" w:type="dxa"/>
            <w:vMerge w:val="restart"/>
            <w:tcBorders>
              <w:top w:val="nil" w:sz="6" w:space="0" w:color="auto"/>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right w:val="single" w:sz="4" w:space="0" w:color="000000"/>
            </w:tcBorders>
            <w:shd w:val="clear" w:color="auto" w:fill="D2D2D2"/>
          </w:tcPr>
          <w:p>
            <w:pPr/>
          </w:p>
        </w:tc>
      </w:tr>
      <w:tr>
        <w:trPr>
          <w:trHeight w:val="312" w:hRule="exact"/>
        </w:trPr>
        <w:tc>
          <w:tcPr>
            <w:tcW w:w="658"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245" w:type="dxa"/>
            <w:vMerge/>
            <w:tcBorders>
              <w:left w:val="single" w:sz="4" w:space="0" w:color="000000"/>
              <w:bottom w:val="nil" w:sz="6" w:space="0" w:color="auto"/>
              <w:right w:val="single" w:sz="4" w:space="0" w:color="000000"/>
            </w:tcBorders>
            <w:shd w:val="clear" w:color="auto" w:fill="D2D2D2"/>
          </w:tcPr>
          <w:p>
            <w:pPr/>
          </w:p>
        </w:tc>
        <w:tc>
          <w:tcPr>
            <w:tcW w:w="242"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1003" w:type="dxa"/>
            <w:vMerge w:val="restart"/>
            <w:tcBorders>
              <w:top w:val="nil" w:sz="6" w:space="0" w:color="auto"/>
              <w:left w:val="single" w:sz="4" w:space="0" w:color="000000"/>
              <w:right w:val="single" w:sz="4" w:space="0" w:color="000000"/>
            </w:tcBorders>
            <w:shd w:val="clear" w:color="auto" w:fill="D2D2D2"/>
          </w:tcPr>
          <w:p>
            <w:pPr/>
          </w:p>
        </w:tc>
        <w:tc>
          <w:tcPr>
            <w:tcW w:w="250" w:type="dxa"/>
            <w:vMerge/>
            <w:tcBorders>
              <w:left w:val="single" w:sz="4" w:space="0" w:color="000000"/>
              <w:bottom w:val="nil" w:sz="6" w:space="0" w:color="auto"/>
              <w:right w:val="single" w:sz="4" w:space="0" w:color="000000"/>
            </w:tcBorders>
            <w:shd w:val="clear" w:color="auto" w:fill="D2D2D2"/>
          </w:tcPr>
          <w:p>
            <w:pPr/>
          </w:p>
        </w:tc>
        <w:tc>
          <w:tcPr>
            <w:tcW w:w="1092" w:type="dxa"/>
            <w:vMerge/>
            <w:tcBorders>
              <w:left w:val="single" w:sz="4" w:space="0" w:color="000000"/>
              <w:right w:val="single" w:sz="4" w:space="0" w:color="000000"/>
            </w:tcBorders>
            <w:shd w:val="clear" w:color="auto" w:fill="D2D2D2"/>
          </w:tcPr>
          <w:p>
            <w:pPr/>
          </w:p>
        </w:tc>
        <w:tc>
          <w:tcPr>
            <w:tcW w:w="257"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240" w:type="dxa"/>
            <w:vMerge w:val="restart"/>
            <w:tcBorders>
              <w:top w:val="nil" w:sz="6" w:space="0" w:color="auto"/>
              <w:left w:val="single" w:sz="4" w:space="0" w:color="000000"/>
              <w:right w:val="single" w:sz="4" w:space="0" w:color="000000"/>
            </w:tcBorders>
            <w:shd w:val="clear" w:color="auto" w:fill="D2D2D2"/>
          </w:tcPr>
          <w:p>
            <w:pPr/>
          </w:p>
        </w:tc>
        <w:tc>
          <w:tcPr>
            <w:tcW w:w="1376"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right w:val="single" w:sz="4" w:space="0" w:color="000000"/>
            </w:tcBorders>
            <w:shd w:val="clear" w:color="auto" w:fill="D2D2D2"/>
          </w:tcPr>
          <w:p>
            <w:pPr/>
          </w:p>
        </w:tc>
      </w:tr>
      <w:tr>
        <w:trPr>
          <w:trHeight w:val="295" w:hRule="exact"/>
        </w:trPr>
        <w:tc>
          <w:tcPr>
            <w:tcW w:w="658"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245" w:type="dxa"/>
            <w:tcBorders>
              <w:top w:val="nil" w:sz="6" w:space="0" w:color="auto"/>
              <w:left w:val="single" w:sz="4" w:space="0" w:color="000000"/>
              <w:bottom w:val="single" w:sz="4" w:space="0" w:color="000000"/>
              <w:right w:val="single" w:sz="4" w:space="0" w:color="000000"/>
            </w:tcBorders>
            <w:shd w:val="clear" w:color="auto" w:fill="D2D2D2"/>
          </w:tcPr>
          <w:p>
            <w:pPr/>
          </w:p>
        </w:tc>
        <w:tc>
          <w:tcPr>
            <w:tcW w:w="24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241"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2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257" w:type="dxa"/>
            <w:vMerge/>
            <w:tcBorders>
              <w:left w:val="single" w:sz="4" w:space="0" w:color="000000"/>
              <w:bottom w:val="single" w:sz="4" w:space="0" w:color="000000"/>
              <w:right w:val="single" w:sz="4" w:space="0" w:color="000000"/>
            </w:tcBorders>
            <w:shd w:val="clear" w:color="auto" w:fill="D2D2D2"/>
          </w:tcPr>
          <w:p>
            <w:pPr/>
          </w:p>
        </w:tc>
        <w:tc>
          <w:tcPr>
            <w:tcW w:w="1241" w:type="dxa"/>
            <w:vMerge/>
            <w:tcBorders>
              <w:left w:val="single" w:sz="4" w:space="0" w:color="000000"/>
              <w:bottom w:val="single" w:sz="4" w:space="0" w:color="000000"/>
              <w:right w:val="single" w:sz="4" w:space="0" w:color="000000"/>
            </w:tcBorders>
            <w:shd w:val="clear" w:color="auto" w:fill="D2D2D2"/>
          </w:tcPr>
          <w:p>
            <w:pPr/>
          </w:p>
        </w:tc>
        <w:tc>
          <w:tcPr>
            <w:tcW w:w="240" w:type="dxa"/>
            <w:vMerge/>
            <w:tcBorders>
              <w:left w:val="single" w:sz="4" w:space="0" w:color="000000"/>
              <w:bottom w:val="single" w:sz="4" w:space="0" w:color="000000"/>
              <w:right w:val="single" w:sz="4" w:space="0" w:color="000000"/>
            </w:tcBorders>
            <w:shd w:val="clear" w:color="auto" w:fill="D2D2D2"/>
          </w:tcPr>
          <w:p>
            <w:pPr/>
          </w:p>
        </w:tc>
        <w:tc>
          <w:tcPr>
            <w:tcW w:w="1376" w:type="dxa"/>
            <w:vMerge/>
            <w:tcBorders>
              <w:left w:val="single" w:sz="4" w:space="0" w:color="000000"/>
              <w:bottom w:val="single" w:sz="4" w:space="0" w:color="000000"/>
              <w:right w:val="single" w:sz="4" w:space="0" w:color="000000"/>
            </w:tcBorders>
            <w:shd w:val="clear" w:color="auto" w:fill="D2D2D2"/>
          </w:tcPr>
          <w:p>
            <w:pPr/>
          </w:p>
        </w:tc>
        <w:tc>
          <w:tcPr>
            <w:tcW w:w="1241" w:type="dxa"/>
            <w:vMerge/>
            <w:tcBorders>
              <w:left w:val="single" w:sz="4" w:space="0" w:color="000000"/>
              <w:bottom w:val="single" w:sz="4" w:space="0" w:color="000000"/>
              <w:right w:val="single" w:sz="4" w:space="0" w:color="000000"/>
            </w:tcBorders>
            <w:shd w:val="clear" w:color="auto" w:fill="D2D2D2"/>
          </w:tcPr>
          <w:p>
            <w:pPr/>
          </w:p>
        </w:tc>
        <w:tc>
          <w:tcPr>
            <w:tcW w:w="1378" w:type="dxa"/>
            <w:vMerge/>
            <w:tcBorders>
              <w:left w:val="single" w:sz="4" w:space="0" w:color="000000"/>
              <w:bottom w:val="single" w:sz="4" w:space="0" w:color="000000"/>
              <w:right w:val="single" w:sz="4" w:space="0" w:color="000000"/>
            </w:tcBorders>
            <w:shd w:val="clear" w:color="auto" w:fill="D2D2D2"/>
          </w:tcPr>
          <w:p>
            <w:pPr/>
          </w:p>
        </w:tc>
      </w:tr>
      <w:tr>
        <w:trPr>
          <w:trHeight w:val="362" w:hRule="exact"/>
        </w:trPr>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181" w:type="dxa"/>
            <w:tcBorders>
              <w:top w:val="single" w:sz="4" w:space="0" w:color="000000"/>
              <w:left w:val="single" w:sz="13" w:space="0" w:color="D2D2D2"/>
              <w:bottom w:val="single" w:sz="4" w:space="0" w:color="000000"/>
              <w:right w:val="single" w:sz="4" w:space="0" w:color="000000"/>
            </w:tcBorders>
          </w:tcPr>
          <w:p>
            <w:pPr/>
          </w:p>
        </w:tc>
        <w:tc>
          <w:tcPr>
            <w:tcW w:w="245" w:type="dxa"/>
            <w:tcBorders>
              <w:top w:val="single" w:sz="4" w:space="0" w:color="000000"/>
              <w:left w:val="single" w:sz="4" w:space="0" w:color="000000"/>
              <w:bottom w:val="single" w:sz="4" w:space="0" w:color="000000"/>
              <w:right w:val="single" w:sz="4" w:space="0" w:color="000000"/>
            </w:tcBorders>
          </w:tcPr>
          <w:p>
            <w:pPr/>
          </w:p>
        </w:tc>
        <w:tc>
          <w:tcPr>
            <w:tcW w:w="2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 w:right="1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．本期</w:t>
            </w:r>
            <w:r>
              <w:rPr>
                <w:rFonts w:ascii="宋体" w:hAnsi="宋体" w:cs="宋体" w:eastAsia="宋体" w:hint="default"/>
                <w:sz w:val="18"/>
                <w:szCs w:val="18"/>
              </w:rPr>
              <w:t> 提取</w:t>
            </w:r>
          </w:p>
        </w:tc>
        <w:tc>
          <w:tcPr>
            <w:tcW w:w="1181" w:type="dxa"/>
            <w:tcBorders>
              <w:top w:val="single" w:sz="4" w:space="0" w:color="000000"/>
              <w:left w:val="single" w:sz="13" w:space="0" w:color="D2D2D2"/>
              <w:bottom w:val="single" w:sz="4" w:space="0" w:color="000000"/>
              <w:right w:val="single" w:sz="4" w:space="0" w:color="000000"/>
            </w:tcBorders>
          </w:tcPr>
          <w:p>
            <w:pPr/>
          </w:p>
        </w:tc>
        <w:tc>
          <w:tcPr>
            <w:tcW w:w="245" w:type="dxa"/>
            <w:tcBorders>
              <w:top w:val="single" w:sz="4" w:space="0" w:color="000000"/>
              <w:left w:val="single" w:sz="4" w:space="0" w:color="000000"/>
              <w:bottom w:val="single" w:sz="4" w:space="0" w:color="000000"/>
              <w:right w:val="single" w:sz="4" w:space="0" w:color="000000"/>
            </w:tcBorders>
          </w:tcPr>
          <w:p>
            <w:pPr/>
          </w:p>
        </w:tc>
        <w:tc>
          <w:tcPr>
            <w:tcW w:w="2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 w:right="1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．本期</w:t>
            </w:r>
            <w:r>
              <w:rPr>
                <w:rFonts w:ascii="宋体" w:hAnsi="宋体" w:cs="宋体" w:eastAsia="宋体" w:hint="default"/>
                <w:sz w:val="18"/>
                <w:szCs w:val="18"/>
              </w:rPr>
              <w:t> 使用</w:t>
            </w:r>
          </w:p>
        </w:tc>
        <w:tc>
          <w:tcPr>
            <w:tcW w:w="1181" w:type="dxa"/>
            <w:tcBorders>
              <w:top w:val="single" w:sz="4" w:space="0" w:color="000000"/>
              <w:left w:val="single" w:sz="13" w:space="0" w:color="D2D2D2"/>
              <w:bottom w:val="single" w:sz="4" w:space="0" w:color="000000"/>
              <w:right w:val="single" w:sz="4" w:space="0" w:color="000000"/>
            </w:tcBorders>
          </w:tcPr>
          <w:p>
            <w:pPr/>
          </w:p>
        </w:tc>
        <w:tc>
          <w:tcPr>
            <w:tcW w:w="245" w:type="dxa"/>
            <w:tcBorders>
              <w:top w:val="single" w:sz="4" w:space="0" w:color="000000"/>
              <w:left w:val="single" w:sz="4" w:space="0" w:color="000000"/>
              <w:bottom w:val="single" w:sz="4" w:space="0" w:color="000000"/>
              <w:right w:val="single" w:sz="4" w:space="0" w:color="000000"/>
            </w:tcBorders>
          </w:tcPr>
          <w:p>
            <w:pPr/>
          </w:p>
        </w:tc>
        <w:tc>
          <w:tcPr>
            <w:tcW w:w="2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94"/>
              <w:jc w:val="left"/>
              <w:rPr>
                <w:rFonts w:ascii="宋体" w:hAnsi="宋体" w:cs="宋体" w:eastAsia="宋体" w:hint="default"/>
                <w:sz w:val="18"/>
                <w:szCs w:val="18"/>
              </w:rPr>
            </w:pPr>
            <w:r>
              <w:rPr>
                <w:rFonts w:ascii="宋体" w:hAnsi="宋体" w:cs="宋体" w:eastAsia="宋体" w:hint="default"/>
                <w:sz w:val="18"/>
                <w:szCs w:val="18"/>
              </w:rPr>
              <w:t>（六） 其他</w:t>
            </w:r>
          </w:p>
        </w:tc>
        <w:tc>
          <w:tcPr>
            <w:tcW w:w="1181" w:type="dxa"/>
            <w:tcBorders>
              <w:top w:val="single" w:sz="4" w:space="0" w:color="000000"/>
              <w:left w:val="single" w:sz="13" w:space="0" w:color="D2D2D2"/>
              <w:bottom w:val="single" w:sz="4" w:space="0" w:color="000000"/>
              <w:right w:val="single" w:sz="4" w:space="0" w:color="000000"/>
            </w:tcBorders>
          </w:tcPr>
          <w:p>
            <w:pPr/>
          </w:p>
        </w:tc>
        <w:tc>
          <w:tcPr>
            <w:tcW w:w="245" w:type="dxa"/>
            <w:tcBorders>
              <w:top w:val="single" w:sz="4" w:space="0" w:color="000000"/>
              <w:left w:val="single" w:sz="4" w:space="0" w:color="000000"/>
              <w:bottom w:val="single" w:sz="4" w:space="0" w:color="000000"/>
              <w:right w:val="single" w:sz="4" w:space="0" w:color="000000"/>
            </w:tcBorders>
          </w:tcPr>
          <w:p>
            <w:pPr/>
          </w:p>
        </w:tc>
        <w:tc>
          <w:tcPr>
            <w:tcW w:w="2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25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94"/>
              <w:jc w:val="both"/>
              <w:rPr>
                <w:rFonts w:ascii="宋体" w:hAnsi="宋体" w:cs="宋体" w:eastAsia="宋体" w:hint="default"/>
                <w:sz w:val="18"/>
                <w:szCs w:val="18"/>
              </w:rPr>
            </w:pPr>
            <w:r>
              <w:rPr>
                <w:rFonts w:ascii="宋体" w:hAnsi="宋体" w:cs="宋体" w:eastAsia="宋体" w:hint="default"/>
                <w:sz w:val="18"/>
                <w:szCs w:val="18"/>
              </w:rPr>
              <w:t>四、本 期期末 余额</w:t>
            </w:r>
          </w:p>
        </w:tc>
        <w:tc>
          <w:tcPr>
            <w:tcW w:w="1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sz w:val="18"/>
              </w:rPr>
              <w:t>711,226,578.00</w:t>
            </w:r>
          </w:p>
        </w:tc>
        <w:tc>
          <w:tcPr>
            <w:tcW w:w="245" w:type="dxa"/>
            <w:tcBorders>
              <w:top w:val="single" w:sz="4" w:space="0" w:color="000000"/>
              <w:left w:val="single" w:sz="4" w:space="0" w:color="000000"/>
              <w:bottom w:val="single" w:sz="4" w:space="0" w:color="000000"/>
              <w:right w:val="single" w:sz="4" w:space="0" w:color="000000"/>
            </w:tcBorders>
          </w:tcPr>
          <w:p>
            <w:pPr/>
          </w:p>
        </w:tc>
        <w:tc>
          <w:tcPr>
            <w:tcW w:w="2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154,587,824.25</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258,987,182.74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29,874,024.00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791,865.03</w:t>
            </w:r>
          </w:p>
        </w:tc>
        <w:tc>
          <w:tcPr>
            <w:tcW w:w="25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72,495,704.44</w:t>
            </w:r>
          </w:p>
        </w:tc>
        <w:tc>
          <w:tcPr>
            <w:tcW w:w="25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-34,386,587.17</w:t>
            </w:r>
          </w:p>
        </w:tc>
        <w:tc>
          <w:tcPr>
            <w:tcW w:w="24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1,133,828,543.29</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32,740,644.85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1,166,569,188.14</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80" w:top="1060" w:bottom="1160" w:left="1340" w:right="1280"/>
        </w:sectPr>
      </w:pPr>
    </w:p>
    <w:p>
      <w:pPr>
        <w:spacing w:line="240" w:lineRule="auto" w:before="2"/>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3"/>
        <w:spacing w:line="240" w:lineRule="auto"/>
        <w:ind w:left="140" w:right="0"/>
        <w:jc w:val="left"/>
        <w:rPr>
          <w:b w:val="0"/>
          <w:bCs w:val="0"/>
        </w:rPr>
      </w:pPr>
      <w:bookmarkStart w:name="8、母公司所有者权益变动表" w:id="172"/>
      <w:bookmarkEnd w:id="172"/>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140" w:right="0"/>
        <w:jc w:val="left"/>
      </w:pPr>
      <w:r>
        <w:rPr/>
        <w:t>本期金额</w:t>
      </w:r>
    </w:p>
    <w:p>
      <w:pPr>
        <w:pStyle w:val="BodyText"/>
        <w:spacing w:line="240" w:lineRule="auto" w:before="117"/>
        <w:ind w:left="0" w:right="157"/>
        <w:jc w:val="right"/>
      </w:pPr>
      <w:r>
        <w:rPr/>
        <w:t>单位：元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762"/>
        <w:gridCol w:w="1187"/>
        <w:gridCol w:w="494"/>
        <w:gridCol w:w="497"/>
        <w:gridCol w:w="1181"/>
        <w:gridCol w:w="1181"/>
        <w:gridCol w:w="1150"/>
        <w:gridCol w:w="886"/>
        <w:gridCol w:w="624"/>
        <w:gridCol w:w="1093"/>
        <w:gridCol w:w="1241"/>
        <w:gridCol w:w="365"/>
        <w:gridCol w:w="1318"/>
      </w:tblGrid>
      <w:tr>
        <w:trPr>
          <w:trHeight w:val="397" w:hRule="exact"/>
        </w:trPr>
        <w:tc>
          <w:tcPr>
            <w:tcW w:w="2762" w:type="dxa"/>
            <w:vMerge w:val="restart"/>
            <w:tcBorders>
              <w:top w:val="single" w:sz="4" w:space="0" w:color="000000"/>
              <w:left w:val="single" w:sz="4" w:space="0" w:color="000000"/>
              <w:right w:val="single" w:sz="4" w:space="0" w:color="000000"/>
            </w:tcBorders>
            <w:shd w:val="clear" w:color="auto" w:fill="D2D2D2"/>
          </w:tcPr>
          <w:p>
            <w:pPr/>
          </w:p>
        </w:tc>
        <w:tc>
          <w:tcPr>
            <w:tcW w:w="11216"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188" w:hRule="exact"/>
        </w:trPr>
        <w:tc>
          <w:tcPr>
            <w:tcW w:w="2762" w:type="dxa"/>
            <w:vMerge/>
            <w:tcBorders>
              <w:left w:val="single" w:sz="4" w:space="0" w:color="000000"/>
              <w:bottom w:val="nil" w:sz="6" w:space="0" w:color="auto"/>
              <w:right w:val="single" w:sz="4" w:space="0" w:color="000000"/>
            </w:tcBorders>
            <w:shd w:val="clear" w:color="auto" w:fill="D2D2D2"/>
          </w:tcPr>
          <w:p>
            <w:pPr/>
          </w:p>
        </w:tc>
        <w:tc>
          <w:tcPr>
            <w:tcW w:w="1187" w:type="dxa"/>
            <w:vMerge w:val="restart"/>
            <w:tcBorders>
              <w:top w:val="single" w:sz="4" w:space="0" w:color="000000"/>
              <w:left w:val="single" w:sz="4" w:space="0" w:color="000000"/>
              <w:right w:val="single" w:sz="4" w:space="0" w:color="000000"/>
            </w:tcBorders>
            <w:shd w:val="clear" w:color="auto" w:fill="D2D2D2"/>
          </w:tcPr>
          <w:p>
            <w:pPr/>
          </w:p>
        </w:tc>
        <w:tc>
          <w:tcPr>
            <w:tcW w:w="217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4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150" w:type="dxa"/>
            <w:vMerge w:val="restart"/>
            <w:tcBorders>
              <w:top w:val="single" w:sz="4" w:space="0" w:color="000000"/>
              <w:left w:val="single" w:sz="4" w:space="0" w:color="000000"/>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3" w:type="dxa"/>
            <w:vMerge w:val="restart"/>
            <w:tcBorders>
              <w:top w:val="single" w:sz="4" w:space="0" w:color="000000"/>
              <w:left w:val="single" w:sz="4" w:space="0" w:color="000000"/>
              <w:right w:val="single" w:sz="4" w:space="0" w:color="000000"/>
            </w:tcBorders>
            <w:shd w:val="clear" w:color="auto" w:fill="D2D2D2"/>
          </w:tcPr>
          <w:p>
            <w:pPr/>
          </w:p>
        </w:tc>
        <w:tc>
          <w:tcPr>
            <w:tcW w:w="1241" w:type="dxa"/>
            <w:vMerge w:val="restart"/>
            <w:tcBorders>
              <w:top w:val="single" w:sz="4" w:space="0" w:color="000000"/>
              <w:left w:val="single" w:sz="4" w:space="0" w:color="000000"/>
              <w:right w:val="single" w:sz="4" w:space="0" w:color="000000"/>
            </w:tcBorders>
            <w:shd w:val="clear" w:color="auto" w:fill="D2D2D2"/>
          </w:tcPr>
          <w:p>
            <w:pPr/>
          </w:p>
        </w:tc>
        <w:tc>
          <w:tcPr>
            <w:tcW w:w="3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8" w:type="dxa"/>
            <w:vMerge w:val="restart"/>
            <w:tcBorders>
              <w:top w:val="single" w:sz="4" w:space="0" w:color="000000"/>
              <w:left w:val="single" w:sz="4" w:space="0" w:color="000000"/>
              <w:right w:val="single" w:sz="4" w:space="0" w:color="000000"/>
            </w:tcBorders>
            <w:shd w:val="clear" w:color="auto" w:fill="D2D2D2"/>
          </w:tcPr>
          <w:p>
            <w:pPr/>
          </w:p>
        </w:tc>
      </w:tr>
      <w:tr>
        <w:trPr>
          <w:trHeight w:val="179" w:hRule="exact"/>
        </w:trPr>
        <w:tc>
          <w:tcPr>
            <w:tcW w:w="2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87" w:type="dxa"/>
            <w:vMerge/>
            <w:tcBorders>
              <w:left w:val="single" w:sz="4" w:space="0" w:color="000000"/>
              <w:bottom w:val="nil" w:sz="6" w:space="0" w:color="auto"/>
              <w:right w:val="single" w:sz="4" w:space="0" w:color="000000"/>
            </w:tcBorders>
            <w:shd w:val="clear" w:color="auto" w:fill="D2D2D2"/>
          </w:tcPr>
          <w:p>
            <w:pPr/>
          </w:p>
        </w:tc>
        <w:tc>
          <w:tcPr>
            <w:tcW w:w="2172" w:type="dxa"/>
            <w:gridSpan w:val="3"/>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50" w:type="dxa"/>
            <w:vMerge/>
            <w:tcBorders>
              <w:left w:val="single" w:sz="4" w:space="0" w:color="000000"/>
              <w:bottom w:val="nil" w:sz="6" w:space="0" w:color="auto"/>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256" w:right="77"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62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216" w:right="3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93" w:type="dxa"/>
            <w:vMerge/>
            <w:tcBorders>
              <w:left w:val="single" w:sz="4" w:space="0" w:color="000000"/>
              <w:bottom w:val="nil" w:sz="6" w:space="0" w:color="auto"/>
              <w:right w:val="single" w:sz="4" w:space="0" w:color="000000"/>
            </w:tcBorders>
            <w:shd w:val="clear" w:color="auto" w:fill="D2D2D2"/>
          </w:tcPr>
          <w:p>
            <w:pPr/>
          </w:p>
        </w:tc>
        <w:tc>
          <w:tcPr>
            <w:tcW w:w="1241" w:type="dxa"/>
            <w:vMerge/>
            <w:tcBorders>
              <w:left w:val="single" w:sz="4" w:space="0" w:color="000000"/>
              <w:bottom w:val="nil" w:sz="6" w:space="0" w:color="auto"/>
              <w:right w:val="single" w:sz="4" w:space="0" w:color="000000"/>
            </w:tcBorders>
            <w:shd w:val="clear" w:color="auto" w:fill="D2D2D2"/>
          </w:tcPr>
          <w:p>
            <w:pPr/>
          </w:p>
        </w:tc>
        <w:tc>
          <w:tcPr>
            <w:tcW w:w="3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86" w:right="86"/>
              <w:jc w:val="left"/>
              <w:rPr>
                <w:rFonts w:ascii="宋体" w:hAnsi="宋体" w:cs="宋体" w:eastAsia="宋体" w:hint="default"/>
                <w:sz w:val="18"/>
                <w:szCs w:val="18"/>
              </w:rPr>
            </w:pPr>
            <w:r>
              <w:rPr>
                <w:rFonts w:ascii="宋体" w:hAnsi="宋体" w:cs="宋体" w:eastAsia="宋体" w:hint="default"/>
                <w:sz w:val="18"/>
                <w:szCs w:val="18"/>
              </w:rPr>
              <w:t>其 他</w:t>
            </w: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90" w:hRule="exact"/>
        </w:trPr>
        <w:tc>
          <w:tcPr>
            <w:tcW w:w="2762" w:type="dxa"/>
            <w:vMerge/>
            <w:tcBorders>
              <w:left w:val="single" w:sz="4" w:space="0" w:color="000000"/>
              <w:bottom w:val="nil" w:sz="6" w:space="0" w:color="auto"/>
              <w:right w:val="single" w:sz="4" w:space="0" w:color="000000"/>
            </w:tcBorders>
            <w:shd w:val="clear" w:color="auto" w:fill="D2D2D2"/>
          </w:tcPr>
          <w:p>
            <w:pPr/>
          </w:p>
        </w:tc>
        <w:tc>
          <w:tcPr>
            <w:tcW w:w="11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7"/>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4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8"/>
              <w:ind w:left="153" w:right="60"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8"/>
              <w:ind w:left="153" w:right="62"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7"/>
              <w:ind w:left="2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7"/>
              <w:ind w:left="11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886" w:type="dxa"/>
            <w:vMerge/>
            <w:tcBorders>
              <w:left w:val="single" w:sz="4" w:space="0" w:color="000000"/>
              <w:right w:val="single" w:sz="4" w:space="0" w:color="000000"/>
            </w:tcBorders>
            <w:shd w:val="clear" w:color="auto" w:fill="D2D2D2"/>
          </w:tcPr>
          <w:p>
            <w:pPr/>
          </w:p>
        </w:tc>
        <w:tc>
          <w:tcPr>
            <w:tcW w:w="624" w:type="dxa"/>
            <w:vMerge/>
            <w:tcBorders>
              <w:left w:val="single" w:sz="4" w:space="0" w:color="000000"/>
              <w:right w:val="single" w:sz="4" w:space="0" w:color="000000"/>
            </w:tcBorders>
            <w:shd w:val="clear" w:color="auto" w:fill="D2D2D2"/>
          </w:tcPr>
          <w:p>
            <w:pPr/>
          </w:p>
        </w:tc>
        <w:tc>
          <w:tcPr>
            <w:tcW w:w="10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3"/>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3"/>
              <w:ind w:left="1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65" w:type="dxa"/>
            <w:vMerge/>
            <w:tcBorders>
              <w:left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3"/>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6" w:hRule="exact"/>
        </w:trPr>
        <w:tc>
          <w:tcPr>
            <w:tcW w:w="2762" w:type="dxa"/>
            <w:vMerge w:val="restart"/>
            <w:tcBorders>
              <w:top w:val="nil" w:sz="6" w:space="0" w:color="auto"/>
              <w:left w:val="single" w:sz="4" w:space="0" w:color="000000"/>
              <w:right w:val="single" w:sz="4" w:space="0" w:color="000000"/>
            </w:tcBorders>
            <w:shd w:val="clear" w:color="auto" w:fill="D2D2D2"/>
          </w:tcPr>
          <w:p>
            <w:pPr/>
          </w:p>
        </w:tc>
        <w:tc>
          <w:tcPr>
            <w:tcW w:w="1187" w:type="dxa"/>
            <w:vMerge/>
            <w:tcBorders>
              <w:left w:val="single" w:sz="4" w:space="0" w:color="000000"/>
              <w:bottom w:val="nil" w:sz="6" w:space="0" w:color="auto"/>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c>
          <w:tcPr>
            <w:tcW w:w="497"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right="2"/>
              <w:jc w:val="center"/>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nil" w:sz="6" w:space="0" w:color="auto"/>
              <w:right w:val="single" w:sz="4" w:space="0" w:color="000000"/>
            </w:tcBorders>
            <w:shd w:val="clear" w:color="auto" w:fill="D2D2D2"/>
          </w:tcPr>
          <w:p>
            <w:pPr/>
          </w:p>
        </w:tc>
        <w:tc>
          <w:tcPr>
            <w:tcW w:w="1150"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right w:val="single" w:sz="4" w:space="0" w:color="000000"/>
            </w:tcBorders>
            <w:shd w:val="clear" w:color="auto" w:fill="D2D2D2"/>
          </w:tcPr>
          <w:p>
            <w:pPr/>
          </w:p>
        </w:tc>
        <w:tc>
          <w:tcPr>
            <w:tcW w:w="624" w:type="dxa"/>
            <w:vMerge/>
            <w:tcBorders>
              <w:left w:val="single" w:sz="4" w:space="0" w:color="000000"/>
              <w:right w:val="single" w:sz="4" w:space="0" w:color="000000"/>
            </w:tcBorders>
            <w:shd w:val="clear" w:color="auto" w:fill="D2D2D2"/>
          </w:tcPr>
          <w:p>
            <w:pPr/>
          </w:p>
        </w:tc>
        <w:tc>
          <w:tcPr>
            <w:tcW w:w="1093" w:type="dxa"/>
            <w:vMerge/>
            <w:tcBorders>
              <w:left w:val="single" w:sz="4" w:space="0" w:color="000000"/>
              <w:bottom w:val="nil" w:sz="6" w:space="0" w:color="auto"/>
              <w:right w:val="single" w:sz="4" w:space="0" w:color="000000"/>
            </w:tcBorders>
            <w:shd w:val="clear" w:color="auto" w:fill="D2D2D2"/>
          </w:tcPr>
          <w:p>
            <w:pPr/>
          </w:p>
        </w:tc>
        <w:tc>
          <w:tcPr>
            <w:tcW w:w="1241" w:type="dxa"/>
            <w:vMerge/>
            <w:tcBorders>
              <w:left w:val="single" w:sz="4" w:space="0" w:color="000000"/>
              <w:bottom w:val="nil" w:sz="6" w:space="0" w:color="auto"/>
              <w:right w:val="single" w:sz="4" w:space="0" w:color="000000"/>
            </w:tcBorders>
            <w:shd w:val="clear" w:color="auto" w:fill="D2D2D2"/>
          </w:tcPr>
          <w:p>
            <w:pPr/>
          </w:p>
        </w:tc>
        <w:tc>
          <w:tcPr>
            <w:tcW w:w="365"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2762" w:type="dxa"/>
            <w:vMerge/>
            <w:tcBorders>
              <w:left w:val="single" w:sz="4" w:space="0" w:color="000000"/>
              <w:right w:val="single" w:sz="4" w:space="0" w:color="000000"/>
            </w:tcBorders>
            <w:shd w:val="clear" w:color="auto" w:fill="D2D2D2"/>
          </w:tcPr>
          <w:p>
            <w:pPr/>
          </w:p>
        </w:tc>
        <w:tc>
          <w:tcPr>
            <w:tcW w:w="1187" w:type="dxa"/>
            <w:vMerge w:val="restart"/>
            <w:tcBorders>
              <w:top w:val="nil" w:sz="6" w:space="0" w:color="auto"/>
              <w:left w:val="single" w:sz="4"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c>
          <w:tcPr>
            <w:tcW w:w="497"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150" w:type="dxa"/>
            <w:vMerge w:val="restart"/>
            <w:tcBorders>
              <w:top w:val="nil" w:sz="6" w:space="0" w:color="auto"/>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624" w:type="dxa"/>
            <w:vMerge/>
            <w:tcBorders>
              <w:left w:val="single" w:sz="4" w:space="0" w:color="000000"/>
              <w:bottom w:val="nil" w:sz="6" w:space="0" w:color="auto"/>
              <w:right w:val="single" w:sz="4" w:space="0" w:color="000000"/>
            </w:tcBorders>
            <w:shd w:val="clear" w:color="auto" w:fill="D2D2D2"/>
          </w:tcPr>
          <w:p>
            <w:pPr/>
          </w:p>
        </w:tc>
        <w:tc>
          <w:tcPr>
            <w:tcW w:w="1093" w:type="dxa"/>
            <w:vMerge w:val="restart"/>
            <w:tcBorders>
              <w:top w:val="nil" w:sz="6" w:space="0" w:color="auto"/>
              <w:left w:val="single" w:sz="4" w:space="0" w:color="000000"/>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
        </w:tc>
        <w:tc>
          <w:tcPr>
            <w:tcW w:w="365" w:type="dxa"/>
            <w:vMerge/>
            <w:tcBorders>
              <w:left w:val="single" w:sz="4" w:space="0" w:color="000000"/>
              <w:bottom w:val="nil" w:sz="6" w:space="0" w:color="auto"/>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
        </w:tc>
      </w:tr>
      <w:tr>
        <w:trPr>
          <w:trHeight w:val="195" w:hRule="exact"/>
        </w:trPr>
        <w:tc>
          <w:tcPr>
            <w:tcW w:w="2762" w:type="dxa"/>
            <w:vMerge/>
            <w:tcBorders>
              <w:left w:val="single" w:sz="4" w:space="0" w:color="000000"/>
              <w:bottom w:val="single" w:sz="4" w:space="0" w:color="000000"/>
              <w:right w:val="single" w:sz="4" w:space="0" w:color="000000"/>
            </w:tcBorders>
            <w:shd w:val="clear" w:color="auto" w:fill="D2D2D2"/>
          </w:tcPr>
          <w:p>
            <w:pPr/>
          </w:p>
        </w:tc>
        <w:tc>
          <w:tcPr>
            <w:tcW w:w="1187"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97"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50"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3" w:type="dxa"/>
            <w:vMerge/>
            <w:tcBorders>
              <w:left w:val="single" w:sz="4" w:space="0" w:color="000000"/>
              <w:bottom w:val="single" w:sz="4" w:space="0" w:color="000000"/>
              <w:right w:val="single" w:sz="4" w:space="0" w:color="000000"/>
            </w:tcBorders>
            <w:shd w:val="clear" w:color="auto" w:fill="D2D2D2"/>
          </w:tcPr>
          <w:p>
            <w:pPr/>
          </w:p>
        </w:tc>
        <w:tc>
          <w:tcPr>
            <w:tcW w:w="1241" w:type="dxa"/>
            <w:vMerge/>
            <w:tcBorders>
              <w:left w:val="single" w:sz="4" w:space="0" w:color="000000"/>
              <w:bottom w:val="single" w:sz="4" w:space="0" w:color="000000"/>
              <w:right w:val="single" w:sz="4" w:space="0" w:color="000000"/>
            </w:tcBorders>
            <w:shd w:val="clear" w:color="auto" w:fill="D2D2D2"/>
          </w:tcPr>
          <w:p>
            <w:pPr/>
          </w:p>
        </w:tc>
        <w:tc>
          <w:tcPr>
            <w:tcW w:w="3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711,226,578.00</w:t>
            </w:r>
          </w:p>
        </w:tc>
        <w:tc>
          <w:tcPr>
            <w:tcW w:w="49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154,587,824.25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922,044,987.85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29,874,024.00</w:t>
            </w:r>
          </w:p>
        </w:tc>
        <w:tc>
          <w:tcPr>
            <w:tcW w:w="88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72,495,704.44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-705,853,759.19</w:t>
            </w:r>
          </w:p>
        </w:tc>
        <w:tc>
          <w:tcPr>
            <w:tcW w:w="36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1,124,627,311.35</w:t>
            </w:r>
          </w:p>
        </w:tc>
      </w:tr>
      <w:tr>
        <w:trPr>
          <w:trHeight w:val="403" w:hRule="exact"/>
        </w:trPr>
        <w:tc>
          <w:tcPr>
            <w:tcW w:w="2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7" w:type="dxa"/>
            <w:tcBorders>
              <w:top w:val="single" w:sz="4" w:space="0" w:color="000000"/>
              <w:left w:val="single" w:sz="9" w:space="0" w:color="D2D2D2"/>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-1,232,526.73</w:t>
            </w:r>
          </w:p>
        </w:tc>
        <w:tc>
          <w:tcPr>
            <w:tcW w:w="36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-1,232,526.73</w:t>
            </w:r>
          </w:p>
        </w:tc>
      </w:tr>
      <w:tr>
        <w:trPr>
          <w:trHeight w:val="401" w:hRule="exact"/>
        </w:trPr>
        <w:tc>
          <w:tcPr>
            <w:tcW w:w="2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87" w:type="dxa"/>
            <w:tcBorders>
              <w:top w:val="single" w:sz="4" w:space="0" w:color="000000"/>
              <w:left w:val="single" w:sz="9" w:space="0" w:color="D2D2D2"/>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7" w:type="dxa"/>
            <w:tcBorders>
              <w:top w:val="single" w:sz="4" w:space="0" w:color="000000"/>
              <w:left w:val="single" w:sz="9" w:space="0" w:color="D2D2D2"/>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711,226,578.00</w:t>
            </w:r>
          </w:p>
        </w:tc>
        <w:tc>
          <w:tcPr>
            <w:tcW w:w="49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154,587,824.25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922,044,987.85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29,874,024.00</w:t>
            </w:r>
          </w:p>
        </w:tc>
        <w:tc>
          <w:tcPr>
            <w:tcW w:w="88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72,495,704.44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-707,086,285.92</w:t>
            </w:r>
          </w:p>
        </w:tc>
        <w:tc>
          <w:tcPr>
            <w:tcW w:w="36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1,123,394,784.62</w:t>
            </w:r>
          </w:p>
        </w:tc>
      </w:tr>
      <w:tr>
        <w:trPr>
          <w:trHeight w:val="716" w:hRule="exact"/>
        </w:trPr>
        <w:tc>
          <w:tcPr>
            <w:tcW w:w="2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1" w:right="8"/>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三、本期增减变动金额（减少以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11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27,164.00</w:t>
            </w:r>
          </w:p>
        </w:tc>
        <w:tc>
          <w:tcPr>
            <w:tcW w:w="49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-55,389.38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12,062,825.02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34,437,612.61</w:t>
            </w:r>
          </w:p>
        </w:tc>
        <w:tc>
          <w:tcPr>
            <w:tcW w:w="88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93,214,165.58</w:t>
            </w:r>
          </w:p>
        </w:tc>
        <w:tc>
          <w:tcPr>
            <w:tcW w:w="36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70,811,152.61</w:t>
            </w:r>
          </w:p>
        </w:tc>
      </w:tr>
      <w:tr>
        <w:trPr>
          <w:trHeight w:val="401" w:hRule="exact"/>
        </w:trPr>
        <w:tc>
          <w:tcPr>
            <w:tcW w:w="2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7" w:type="dxa"/>
            <w:tcBorders>
              <w:top w:val="single" w:sz="4" w:space="0" w:color="000000"/>
              <w:left w:val="single" w:sz="9" w:space="0" w:color="D2D2D2"/>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93,214,165.58</w:t>
            </w:r>
          </w:p>
        </w:tc>
        <w:tc>
          <w:tcPr>
            <w:tcW w:w="36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93,214,165.58</w:t>
            </w:r>
          </w:p>
        </w:tc>
      </w:tr>
      <w:tr>
        <w:trPr>
          <w:trHeight w:val="403" w:hRule="exact"/>
        </w:trPr>
        <w:tc>
          <w:tcPr>
            <w:tcW w:w="2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1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27,164.00</w:t>
            </w:r>
          </w:p>
        </w:tc>
        <w:tc>
          <w:tcPr>
            <w:tcW w:w="49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-55,389.38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12,062,825.02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center"/>
              <w:rPr>
                <w:rFonts w:ascii="Times New Roman" w:hAnsi="Times New Roman" w:cs="Times New Roman" w:eastAsia="Times New Roman" w:hint="default"/>
                <w:sz w:val="18"/>
                <w:szCs w:val="18"/>
              </w:rPr>
            </w:pPr>
            <w:r>
              <w:rPr>
                <w:rFonts w:ascii="Times New Roman"/>
                <w:sz w:val="18"/>
              </w:rPr>
              <w:t>34,437,612.61</w:t>
            </w:r>
          </w:p>
        </w:tc>
        <w:tc>
          <w:tcPr>
            <w:tcW w:w="88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-22,403,012.97</w:t>
            </w:r>
          </w:p>
        </w:tc>
      </w:tr>
      <w:tr>
        <w:trPr>
          <w:trHeight w:val="401" w:hRule="exact"/>
        </w:trPr>
        <w:tc>
          <w:tcPr>
            <w:tcW w:w="2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187" w:type="dxa"/>
            <w:tcBorders>
              <w:top w:val="single" w:sz="4" w:space="0" w:color="000000"/>
              <w:left w:val="single" w:sz="9" w:space="0" w:color="D2D2D2"/>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48,002,514.61</w:t>
            </w:r>
          </w:p>
        </w:tc>
        <w:tc>
          <w:tcPr>
            <w:tcW w:w="88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-48,002,514.61</w:t>
            </w:r>
          </w:p>
        </w:tc>
      </w:tr>
      <w:tr>
        <w:trPr>
          <w:trHeight w:val="403" w:hRule="exact"/>
        </w:trPr>
        <w:tc>
          <w:tcPr>
            <w:tcW w:w="2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1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27,164.00</w:t>
            </w:r>
          </w:p>
        </w:tc>
        <w:tc>
          <w:tcPr>
            <w:tcW w:w="49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-55,389.38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295,916.52</w:t>
            </w:r>
          </w:p>
        </w:tc>
        <w:tc>
          <w:tcPr>
            <w:tcW w:w="115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267,691.14</w:t>
            </w:r>
          </w:p>
        </w:tc>
      </w:tr>
      <w:tr>
        <w:trPr>
          <w:trHeight w:val="401" w:hRule="exact"/>
        </w:trPr>
        <w:tc>
          <w:tcPr>
            <w:tcW w:w="2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．股份支付计入所有者权益的金额</w:t>
            </w:r>
          </w:p>
        </w:tc>
        <w:tc>
          <w:tcPr>
            <w:tcW w:w="1187" w:type="dxa"/>
            <w:tcBorders>
              <w:top w:val="single" w:sz="4" w:space="0" w:color="000000"/>
              <w:left w:val="single" w:sz="9" w:space="0" w:color="D2D2D2"/>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11,766,908.50</w:t>
            </w:r>
          </w:p>
        </w:tc>
        <w:tc>
          <w:tcPr>
            <w:tcW w:w="115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11,766,908.50</w:t>
            </w:r>
          </w:p>
        </w:tc>
      </w:tr>
      <w:tr>
        <w:trPr>
          <w:trHeight w:val="404" w:hRule="exact"/>
        </w:trPr>
        <w:tc>
          <w:tcPr>
            <w:tcW w:w="2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7" w:type="dxa"/>
            <w:tcBorders>
              <w:top w:val="single" w:sz="4" w:space="0" w:color="000000"/>
              <w:left w:val="single" w:sz="9" w:space="0" w:color="D2D2D2"/>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-13,564,902.00</w:t>
            </w:r>
          </w:p>
        </w:tc>
        <w:tc>
          <w:tcPr>
            <w:tcW w:w="88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13,564,902.00</w:t>
            </w:r>
          </w:p>
        </w:tc>
      </w:tr>
      <w:tr>
        <w:trPr>
          <w:trHeight w:val="401" w:hRule="exact"/>
        </w:trPr>
        <w:tc>
          <w:tcPr>
            <w:tcW w:w="2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7" w:type="dxa"/>
            <w:tcBorders>
              <w:top w:val="single" w:sz="4" w:space="0" w:color="000000"/>
              <w:left w:val="single" w:sz="9" w:space="0" w:color="D2D2D2"/>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7" w:type="dxa"/>
            <w:tcBorders>
              <w:top w:val="single" w:sz="4" w:space="0" w:color="000000"/>
              <w:left w:val="single" w:sz="9" w:space="0" w:color="D2D2D2"/>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187" w:type="dxa"/>
            <w:tcBorders>
              <w:top w:val="single" w:sz="4" w:space="0" w:color="000000"/>
              <w:left w:val="single" w:sz="9" w:space="0" w:color="D2D2D2"/>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00" w:right="128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762"/>
        <w:gridCol w:w="1187"/>
        <w:gridCol w:w="494"/>
        <w:gridCol w:w="497"/>
        <w:gridCol w:w="1181"/>
        <w:gridCol w:w="1181"/>
        <w:gridCol w:w="1150"/>
        <w:gridCol w:w="886"/>
        <w:gridCol w:w="624"/>
        <w:gridCol w:w="1093"/>
        <w:gridCol w:w="1241"/>
        <w:gridCol w:w="365"/>
        <w:gridCol w:w="1318"/>
      </w:tblGrid>
      <w:tr>
        <w:trPr>
          <w:trHeight w:val="412" w:hRule="exact"/>
        </w:trPr>
        <w:tc>
          <w:tcPr>
            <w:tcW w:w="2762" w:type="dxa"/>
            <w:vMerge w:val="restart"/>
            <w:tcBorders>
              <w:top w:val="single" w:sz="15" w:space="0" w:color="000000"/>
              <w:left w:val="single" w:sz="4" w:space="0" w:color="000000"/>
              <w:right w:val="single" w:sz="4" w:space="0" w:color="000000"/>
            </w:tcBorders>
            <w:shd w:val="clear" w:color="auto" w:fill="D2D2D2"/>
          </w:tcPr>
          <w:p>
            <w:pPr/>
          </w:p>
        </w:tc>
        <w:tc>
          <w:tcPr>
            <w:tcW w:w="11216" w:type="dxa"/>
            <w:gridSpan w:val="12"/>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188" w:hRule="exact"/>
        </w:trPr>
        <w:tc>
          <w:tcPr>
            <w:tcW w:w="2762" w:type="dxa"/>
            <w:vMerge/>
            <w:tcBorders>
              <w:left w:val="single" w:sz="4" w:space="0" w:color="000000"/>
              <w:bottom w:val="nil" w:sz="6" w:space="0" w:color="auto"/>
              <w:right w:val="single" w:sz="4" w:space="0" w:color="000000"/>
            </w:tcBorders>
            <w:shd w:val="clear" w:color="auto" w:fill="D2D2D2"/>
          </w:tcPr>
          <w:p>
            <w:pPr/>
          </w:p>
        </w:tc>
        <w:tc>
          <w:tcPr>
            <w:tcW w:w="1187" w:type="dxa"/>
            <w:vMerge w:val="restart"/>
            <w:tcBorders>
              <w:top w:val="single" w:sz="4" w:space="0" w:color="000000"/>
              <w:left w:val="single" w:sz="4" w:space="0" w:color="000000"/>
              <w:right w:val="single" w:sz="4" w:space="0" w:color="000000"/>
            </w:tcBorders>
            <w:shd w:val="clear" w:color="auto" w:fill="D2D2D2"/>
          </w:tcPr>
          <w:p>
            <w:pPr/>
          </w:p>
        </w:tc>
        <w:tc>
          <w:tcPr>
            <w:tcW w:w="217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4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150" w:type="dxa"/>
            <w:vMerge w:val="restart"/>
            <w:tcBorders>
              <w:top w:val="single" w:sz="4" w:space="0" w:color="000000"/>
              <w:left w:val="single" w:sz="4" w:space="0" w:color="000000"/>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3" w:type="dxa"/>
            <w:vMerge w:val="restart"/>
            <w:tcBorders>
              <w:top w:val="single" w:sz="4" w:space="0" w:color="000000"/>
              <w:left w:val="single" w:sz="4" w:space="0" w:color="000000"/>
              <w:right w:val="single" w:sz="4" w:space="0" w:color="000000"/>
            </w:tcBorders>
            <w:shd w:val="clear" w:color="auto" w:fill="D2D2D2"/>
          </w:tcPr>
          <w:p>
            <w:pPr/>
          </w:p>
        </w:tc>
        <w:tc>
          <w:tcPr>
            <w:tcW w:w="1241" w:type="dxa"/>
            <w:vMerge w:val="restart"/>
            <w:tcBorders>
              <w:top w:val="single" w:sz="4" w:space="0" w:color="000000"/>
              <w:left w:val="single" w:sz="4" w:space="0" w:color="000000"/>
              <w:right w:val="single" w:sz="4" w:space="0" w:color="000000"/>
            </w:tcBorders>
            <w:shd w:val="clear" w:color="auto" w:fill="D2D2D2"/>
          </w:tcPr>
          <w:p>
            <w:pPr/>
          </w:p>
        </w:tc>
        <w:tc>
          <w:tcPr>
            <w:tcW w:w="3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8" w:type="dxa"/>
            <w:vMerge w:val="restart"/>
            <w:tcBorders>
              <w:top w:val="single" w:sz="4" w:space="0" w:color="000000"/>
              <w:left w:val="single" w:sz="4" w:space="0" w:color="000000"/>
              <w:right w:val="single" w:sz="4" w:space="0" w:color="000000"/>
            </w:tcBorders>
            <w:shd w:val="clear" w:color="auto" w:fill="D2D2D2"/>
          </w:tcPr>
          <w:p>
            <w:pPr/>
          </w:p>
        </w:tc>
      </w:tr>
      <w:tr>
        <w:trPr>
          <w:trHeight w:val="179" w:hRule="exact"/>
        </w:trPr>
        <w:tc>
          <w:tcPr>
            <w:tcW w:w="2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87" w:type="dxa"/>
            <w:vMerge/>
            <w:tcBorders>
              <w:left w:val="single" w:sz="4" w:space="0" w:color="000000"/>
              <w:bottom w:val="nil" w:sz="6" w:space="0" w:color="auto"/>
              <w:right w:val="single" w:sz="4" w:space="0" w:color="000000"/>
            </w:tcBorders>
            <w:shd w:val="clear" w:color="auto" w:fill="D2D2D2"/>
          </w:tcPr>
          <w:p>
            <w:pPr/>
          </w:p>
        </w:tc>
        <w:tc>
          <w:tcPr>
            <w:tcW w:w="2172" w:type="dxa"/>
            <w:gridSpan w:val="3"/>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50" w:type="dxa"/>
            <w:vMerge/>
            <w:tcBorders>
              <w:left w:val="single" w:sz="4" w:space="0" w:color="000000"/>
              <w:bottom w:val="nil" w:sz="6" w:space="0" w:color="auto"/>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256" w:right="77"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62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216" w:right="3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93" w:type="dxa"/>
            <w:vMerge/>
            <w:tcBorders>
              <w:left w:val="single" w:sz="4" w:space="0" w:color="000000"/>
              <w:bottom w:val="nil" w:sz="6" w:space="0" w:color="auto"/>
              <w:right w:val="single" w:sz="4" w:space="0" w:color="000000"/>
            </w:tcBorders>
            <w:shd w:val="clear" w:color="auto" w:fill="D2D2D2"/>
          </w:tcPr>
          <w:p>
            <w:pPr/>
          </w:p>
        </w:tc>
        <w:tc>
          <w:tcPr>
            <w:tcW w:w="1241" w:type="dxa"/>
            <w:vMerge/>
            <w:tcBorders>
              <w:left w:val="single" w:sz="4" w:space="0" w:color="000000"/>
              <w:bottom w:val="nil" w:sz="6" w:space="0" w:color="auto"/>
              <w:right w:val="single" w:sz="4" w:space="0" w:color="000000"/>
            </w:tcBorders>
            <w:shd w:val="clear" w:color="auto" w:fill="D2D2D2"/>
          </w:tcPr>
          <w:p>
            <w:pPr/>
          </w:p>
        </w:tc>
        <w:tc>
          <w:tcPr>
            <w:tcW w:w="3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86" w:right="86"/>
              <w:jc w:val="left"/>
              <w:rPr>
                <w:rFonts w:ascii="宋体" w:hAnsi="宋体" w:cs="宋体" w:eastAsia="宋体" w:hint="default"/>
                <w:sz w:val="18"/>
                <w:szCs w:val="18"/>
              </w:rPr>
            </w:pPr>
            <w:r>
              <w:rPr>
                <w:rFonts w:ascii="宋体" w:hAnsi="宋体" w:cs="宋体" w:eastAsia="宋体" w:hint="default"/>
                <w:sz w:val="18"/>
                <w:szCs w:val="18"/>
              </w:rPr>
              <w:t>其 他</w:t>
            </w: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90" w:hRule="exact"/>
        </w:trPr>
        <w:tc>
          <w:tcPr>
            <w:tcW w:w="2762" w:type="dxa"/>
            <w:vMerge/>
            <w:tcBorders>
              <w:left w:val="single" w:sz="4" w:space="0" w:color="000000"/>
              <w:bottom w:val="nil" w:sz="6" w:space="0" w:color="auto"/>
              <w:right w:val="single" w:sz="4" w:space="0" w:color="000000"/>
            </w:tcBorders>
            <w:shd w:val="clear" w:color="auto" w:fill="D2D2D2"/>
          </w:tcPr>
          <w:p>
            <w:pPr/>
          </w:p>
        </w:tc>
        <w:tc>
          <w:tcPr>
            <w:tcW w:w="11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7"/>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49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8"/>
              <w:ind w:left="153" w:right="60"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8"/>
              <w:ind w:left="153" w:right="62"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7"/>
              <w:ind w:left="2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7"/>
              <w:ind w:left="11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886" w:type="dxa"/>
            <w:vMerge/>
            <w:tcBorders>
              <w:left w:val="single" w:sz="4" w:space="0" w:color="000000"/>
              <w:right w:val="single" w:sz="4" w:space="0" w:color="000000"/>
            </w:tcBorders>
            <w:shd w:val="clear" w:color="auto" w:fill="D2D2D2"/>
          </w:tcPr>
          <w:p>
            <w:pPr/>
          </w:p>
        </w:tc>
        <w:tc>
          <w:tcPr>
            <w:tcW w:w="624" w:type="dxa"/>
            <w:vMerge/>
            <w:tcBorders>
              <w:left w:val="single" w:sz="4" w:space="0" w:color="000000"/>
              <w:right w:val="single" w:sz="4" w:space="0" w:color="000000"/>
            </w:tcBorders>
            <w:shd w:val="clear" w:color="auto" w:fill="D2D2D2"/>
          </w:tcPr>
          <w:p>
            <w:pPr/>
          </w:p>
        </w:tc>
        <w:tc>
          <w:tcPr>
            <w:tcW w:w="10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3"/>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3"/>
              <w:ind w:left="1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65" w:type="dxa"/>
            <w:vMerge/>
            <w:tcBorders>
              <w:left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3"/>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6" w:hRule="exact"/>
        </w:trPr>
        <w:tc>
          <w:tcPr>
            <w:tcW w:w="2762" w:type="dxa"/>
            <w:vMerge w:val="restart"/>
            <w:tcBorders>
              <w:top w:val="nil" w:sz="6" w:space="0" w:color="auto"/>
              <w:left w:val="single" w:sz="4" w:space="0" w:color="000000"/>
              <w:right w:val="single" w:sz="4" w:space="0" w:color="000000"/>
            </w:tcBorders>
            <w:shd w:val="clear" w:color="auto" w:fill="D2D2D2"/>
          </w:tcPr>
          <w:p>
            <w:pPr/>
          </w:p>
        </w:tc>
        <w:tc>
          <w:tcPr>
            <w:tcW w:w="1187" w:type="dxa"/>
            <w:vMerge/>
            <w:tcBorders>
              <w:left w:val="single" w:sz="4" w:space="0" w:color="000000"/>
              <w:bottom w:val="nil" w:sz="6" w:space="0" w:color="auto"/>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c>
          <w:tcPr>
            <w:tcW w:w="497"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right="2"/>
              <w:jc w:val="center"/>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nil" w:sz="6" w:space="0" w:color="auto"/>
              <w:right w:val="single" w:sz="4" w:space="0" w:color="000000"/>
            </w:tcBorders>
            <w:shd w:val="clear" w:color="auto" w:fill="D2D2D2"/>
          </w:tcPr>
          <w:p>
            <w:pPr/>
          </w:p>
        </w:tc>
        <w:tc>
          <w:tcPr>
            <w:tcW w:w="1150"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right w:val="single" w:sz="4" w:space="0" w:color="000000"/>
            </w:tcBorders>
            <w:shd w:val="clear" w:color="auto" w:fill="D2D2D2"/>
          </w:tcPr>
          <w:p>
            <w:pPr/>
          </w:p>
        </w:tc>
        <w:tc>
          <w:tcPr>
            <w:tcW w:w="624" w:type="dxa"/>
            <w:vMerge/>
            <w:tcBorders>
              <w:left w:val="single" w:sz="4" w:space="0" w:color="000000"/>
              <w:right w:val="single" w:sz="4" w:space="0" w:color="000000"/>
            </w:tcBorders>
            <w:shd w:val="clear" w:color="auto" w:fill="D2D2D2"/>
          </w:tcPr>
          <w:p>
            <w:pPr/>
          </w:p>
        </w:tc>
        <w:tc>
          <w:tcPr>
            <w:tcW w:w="1093" w:type="dxa"/>
            <w:vMerge/>
            <w:tcBorders>
              <w:left w:val="single" w:sz="4" w:space="0" w:color="000000"/>
              <w:bottom w:val="nil" w:sz="6" w:space="0" w:color="auto"/>
              <w:right w:val="single" w:sz="4" w:space="0" w:color="000000"/>
            </w:tcBorders>
            <w:shd w:val="clear" w:color="auto" w:fill="D2D2D2"/>
          </w:tcPr>
          <w:p>
            <w:pPr/>
          </w:p>
        </w:tc>
        <w:tc>
          <w:tcPr>
            <w:tcW w:w="1241" w:type="dxa"/>
            <w:vMerge/>
            <w:tcBorders>
              <w:left w:val="single" w:sz="4" w:space="0" w:color="000000"/>
              <w:bottom w:val="nil" w:sz="6" w:space="0" w:color="auto"/>
              <w:right w:val="single" w:sz="4" w:space="0" w:color="000000"/>
            </w:tcBorders>
            <w:shd w:val="clear" w:color="auto" w:fill="D2D2D2"/>
          </w:tcPr>
          <w:p>
            <w:pPr/>
          </w:p>
        </w:tc>
        <w:tc>
          <w:tcPr>
            <w:tcW w:w="365"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2762" w:type="dxa"/>
            <w:vMerge/>
            <w:tcBorders>
              <w:left w:val="single" w:sz="4" w:space="0" w:color="000000"/>
              <w:right w:val="single" w:sz="4" w:space="0" w:color="000000"/>
            </w:tcBorders>
            <w:shd w:val="clear" w:color="auto" w:fill="D2D2D2"/>
          </w:tcPr>
          <w:p>
            <w:pPr/>
          </w:p>
        </w:tc>
        <w:tc>
          <w:tcPr>
            <w:tcW w:w="1187" w:type="dxa"/>
            <w:vMerge w:val="restart"/>
            <w:tcBorders>
              <w:top w:val="nil" w:sz="6" w:space="0" w:color="auto"/>
              <w:left w:val="single" w:sz="4"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c>
          <w:tcPr>
            <w:tcW w:w="497"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150" w:type="dxa"/>
            <w:vMerge w:val="restart"/>
            <w:tcBorders>
              <w:top w:val="nil" w:sz="6" w:space="0" w:color="auto"/>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624" w:type="dxa"/>
            <w:vMerge/>
            <w:tcBorders>
              <w:left w:val="single" w:sz="4" w:space="0" w:color="000000"/>
              <w:bottom w:val="nil" w:sz="6" w:space="0" w:color="auto"/>
              <w:right w:val="single" w:sz="4" w:space="0" w:color="000000"/>
            </w:tcBorders>
            <w:shd w:val="clear" w:color="auto" w:fill="D2D2D2"/>
          </w:tcPr>
          <w:p>
            <w:pPr/>
          </w:p>
        </w:tc>
        <w:tc>
          <w:tcPr>
            <w:tcW w:w="1093" w:type="dxa"/>
            <w:vMerge w:val="restart"/>
            <w:tcBorders>
              <w:top w:val="nil" w:sz="6" w:space="0" w:color="auto"/>
              <w:left w:val="single" w:sz="4" w:space="0" w:color="000000"/>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
        </w:tc>
        <w:tc>
          <w:tcPr>
            <w:tcW w:w="365" w:type="dxa"/>
            <w:vMerge/>
            <w:tcBorders>
              <w:left w:val="single" w:sz="4" w:space="0" w:color="000000"/>
              <w:bottom w:val="nil" w:sz="6" w:space="0" w:color="auto"/>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
        </w:tc>
      </w:tr>
      <w:tr>
        <w:trPr>
          <w:trHeight w:val="195" w:hRule="exact"/>
        </w:trPr>
        <w:tc>
          <w:tcPr>
            <w:tcW w:w="2762" w:type="dxa"/>
            <w:vMerge/>
            <w:tcBorders>
              <w:left w:val="single" w:sz="4" w:space="0" w:color="000000"/>
              <w:bottom w:val="single" w:sz="4" w:space="0" w:color="000000"/>
              <w:right w:val="single" w:sz="4" w:space="0" w:color="000000"/>
            </w:tcBorders>
            <w:shd w:val="clear" w:color="auto" w:fill="D2D2D2"/>
          </w:tcPr>
          <w:p>
            <w:pPr/>
          </w:p>
        </w:tc>
        <w:tc>
          <w:tcPr>
            <w:tcW w:w="1187"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97"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50"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3" w:type="dxa"/>
            <w:vMerge/>
            <w:tcBorders>
              <w:left w:val="single" w:sz="4" w:space="0" w:color="000000"/>
              <w:bottom w:val="single" w:sz="4" w:space="0" w:color="000000"/>
              <w:right w:val="single" w:sz="4" w:space="0" w:color="000000"/>
            </w:tcBorders>
            <w:shd w:val="clear" w:color="auto" w:fill="D2D2D2"/>
          </w:tcPr>
          <w:p>
            <w:pPr/>
          </w:p>
        </w:tc>
        <w:tc>
          <w:tcPr>
            <w:tcW w:w="1241" w:type="dxa"/>
            <w:vMerge/>
            <w:tcBorders>
              <w:left w:val="single" w:sz="4" w:space="0" w:color="000000"/>
              <w:bottom w:val="single" w:sz="4" w:space="0" w:color="000000"/>
              <w:right w:val="single" w:sz="4" w:space="0" w:color="000000"/>
            </w:tcBorders>
            <w:shd w:val="clear" w:color="auto" w:fill="D2D2D2"/>
          </w:tcPr>
          <w:p>
            <w:pPr/>
          </w:p>
        </w:tc>
        <w:tc>
          <w:tcPr>
            <w:tcW w:w="3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7" w:type="dxa"/>
            <w:tcBorders>
              <w:top w:val="single" w:sz="4" w:space="0" w:color="000000"/>
              <w:left w:val="single" w:sz="9" w:space="0" w:color="D2D2D2"/>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187" w:type="dxa"/>
            <w:tcBorders>
              <w:top w:val="single" w:sz="4" w:space="0" w:color="000000"/>
              <w:left w:val="single" w:sz="9" w:space="0" w:color="D2D2D2"/>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187" w:type="dxa"/>
            <w:tcBorders>
              <w:top w:val="single" w:sz="4" w:space="0" w:color="000000"/>
              <w:left w:val="single" w:sz="9" w:space="0" w:color="D2D2D2"/>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187" w:type="dxa"/>
            <w:tcBorders>
              <w:top w:val="single" w:sz="4" w:space="0" w:color="000000"/>
              <w:left w:val="single" w:sz="9" w:space="0" w:color="D2D2D2"/>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7" w:type="dxa"/>
            <w:tcBorders>
              <w:top w:val="single" w:sz="4" w:space="0" w:color="000000"/>
              <w:left w:val="single" w:sz="9" w:space="0" w:color="D2D2D2"/>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．设定受益计划变动额结转留存收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益</w:t>
            </w:r>
          </w:p>
        </w:tc>
        <w:tc>
          <w:tcPr>
            <w:tcW w:w="1187" w:type="dxa"/>
            <w:tcBorders>
              <w:top w:val="single" w:sz="4" w:space="0" w:color="000000"/>
              <w:left w:val="single" w:sz="9" w:space="0" w:color="D2D2D2"/>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．其他综合收益结转留存收益</w:t>
            </w:r>
          </w:p>
        </w:tc>
        <w:tc>
          <w:tcPr>
            <w:tcW w:w="1187" w:type="dxa"/>
            <w:tcBorders>
              <w:top w:val="single" w:sz="4" w:space="0" w:color="000000"/>
              <w:left w:val="single" w:sz="9" w:space="0" w:color="D2D2D2"/>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187" w:type="dxa"/>
            <w:tcBorders>
              <w:top w:val="single" w:sz="4" w:space="0" w:color="000000"/>
              <w:left w:val="single" w:sz="9" w:space="0" w:color="D2D2D2"/>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7" w:type="dxa"/>
            <w:tcBorders>
              <w:top w:val="single" w:sz="4" w:space="0" w:color="000000"/>
              <w:left w:val="single" w:sz="9" w:space="0" w:color="D2D2D2"/>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7" w:type="dxa"/>
            <w:tcBorders>
              <w:top w:val="single" w:sz="4" w:space="0" w:color="000000"/>
              <w:left w:val="single" w:sz="9" w:space="0" w:color="D2D2D2"/>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7" w:type="dxa"/>
            <w:tcBorders>
              <w:top w:val="single" w:sz="4" w:space="0" w:color="000000"/>
              <w:left w:val="single" w:sz="9" w:space="0" w:color="D2D2D2"/>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7" w:type="dxa"/>
            <w:tcBorders>
              <w:top w:val="single" w:sz="4" w:space="0" w:color="000000"/>
              <w:left w:val="single" w:sz="9" w:space="0" w:color="D2D2D2"/>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711,253,742.00</w:t>
            </w:r>
          </w:p>
        </w:tc>
        <w:tc>
          <w:tcPr>
            <w:tcW w:w="49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154,532,434.87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934,107,812.87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64,311,636.61</w:t>
            </w:r>
          </w:p>
        </w:tc>
        <w:tc>
          <w:tcPr>
            <w:tcW w:w="88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72,495,704.44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-613,872,120.34</w:t>
            </w:r>
          </w:p>
        </w:tc>
        <w:tc>
          <w:tcPr>
            <w:tcW w:w="36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1,194,205,937.23</w:t>
            </w:r>
          </w:p>
        </w:tc>
      </w:tr>
    </w:tbl>
    <w:p>
      <w:pPr>
        <w:spacing w:after="0" w:line="240" w:lineRule="auto"/>
        <w:jc w:val="left"/>
        <w:rPr>
          <w:rFonts w:ascii="Times New Roman" w:hAnsi="Times New Roman" w:cs="Times New Roman" w:eastAsia="Times New Roman" w:hint="default"/>
          <w:sz w:val="18"/>
          <w:szCs w:val="18"/>
        </w:rPr>
        <w:sectPr>
          <w:footerReference w:type="default" r:id="rId29"/>
          <w:pgSz w:w="16840" w:h="11910" w:orient="landscape"/>
          <w:pgMar w:footer="980" w:header="867" w:top="1060" w:bottom="1160" w:left="1340" w:right="1280"/>
          <w:pgNumType w:start="110"/>
        </w:sectPr>
      </w:pPr>
    </w:p>
    <w:p>
      <w:pPr>
        <w:spacing w:line="240" w:lineRule="auto" w:before="2"/>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17"/>
        <w:ind w:left="140" w:right="0"/>
        <w:jc w:val="left"/>
      </w:pPr>
      <w:r>
        <w:rPr/>
        <w:t>上期金额</w:t>
      </w:r>
    </w:p>
    <w:p>
      <w:pPr>
        <w:pStyle w:val="BodyText"/>
        <w:spacing w:line="240" w:lineRule="auto" w:before="117"/>
        <w:ind w:left="0" w:right="157"/>
        <w:jc w:val="right"/>
      </w:pPr>
      <w:r>
        <w:rPr/>
        <w:t>单位：元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648"/>
        <w:gridCol w:w="1193"/>
        <w:gridCol w:w="483"/>
        <w:gridCol w:w="482"/>
        <w:gridCol w:w="1181"/>
        <w:gridCol w:w="1181"/>
        <w:gridCol w:w="1150"/>
        <w:gridCol w:w="852"/>
        <w:gridCol w:w="605"/>
        <w:gridCol w:w="1090"/>
        <w:gridCol w:w="1378"/>
        <w:gridCol w:w="358"/>
        <w:gridCol w:w="1378"/>
      </w:tblGrid>
      <w:tr>
        <w:trPr>
          <w:trHeight w:val="396" w:hRule="exact"/>
        </w:trPr>
        <w:tc>
          <w:tcPr>
            <w:tcW w:w="2648" w:type="dxa"/>
            <w:vMerge w:val="restart"/>
            <w:tcBorders>
              <w:top w:val="single" w:sz="4" w:space="0" w:color="000000"/>
              <w:left w:val="single" w:sz="4" w:space="0" w:color="000000"/>
              <w:right w:val="single" w:sz="4" w:space="0" w:color="000000"/>
            </w:tcBorders>
            <w:shd w:val="clear" w:color="auto" w:fill="D2D2D2"/>
          </w:tcPr>
          <w:p>
            <w:pPr/>
          </w:p>
        </w:tc>
        <w:tc>
          <w:tcPr>
            <w:tcW w:w="1133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188" w:hRule="exact"/>
        </w:trPr>
        <w:tc>
          <w:tcPr>
            <w:tcW w:w="2648" w:type="dxa"/>
            <w:vMerge/>
            <w:tcBorders>
              <w:left w:val="single" w:sz="4" w:space="0" w:color="000000"/>
              <w:bottom w:val="nil" w:sz="6" w:space="0" w:color="auto"/>
              <w:right w:val="single" w:sz="4" w:space="0" w:color="000000"/>
            </w:tcBorders>
            <w:shd w:val="clear" w:color="auto" w:fill="D2D2D2"/>
          </w:tcPr>
          <w:p>
            <w:pPr/>
          </w:p>
        </w:tc>
        <w:tc>
          <w:tcPr>
            <w:tcW w:w="1193" w:type="dxa"/>
            <w:vMerge w:val="restart"/>
            <w:tcBorders>
              <w:top w:val="single" w:sz="4" w:space="0" w:color="000000"/>
              <w:left w:val="single" w:sz="4" w:space="0" w:color="000000"/>
              <w:right w:val="single" w:sz="4" w:space="0" w:color="000000"/>
            </w:tcBorders>
            <w:shd w:val="clear" w:color="auto" w:fill="D2D2D2"/>
          </w:tcPr>
          <w:p>
            <w:pPr/>
          </w:p>
        </w:tc>
        <w:tc>
          <w:tcPr>
            <w:tcW w:w="214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2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150" w:type="dxa"/>
            <w:vMerge w:val="restart"/>
            <w:tcBorders>
              <w:top w:val="single" w:sz="4" w:space="0" w:color="000000"/>
              <w:left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0" w:type="dxa"/>
            <w:vMerge w:val="restart"/>
            <w:tcBorders>
              <w:top w:val="single" w:sz="4" w:space="0" w:color="000000"/>
              <w:left w:val="single" w:sz="4" w:space="0" w:color="000000"/>
              <w:right w:val="single" w:sz="4" w:space="0" w:color="000000"/>
            </w:tcBorders>
            <w:shd w:val="clear" w:color="auto" w:fill="D2D2D2"/>
          </w:tcPr>
          <w:p>
            <w:pPr/>
          </w:p>
        </w:tc>
        <w:tc>
          <w:tcPr>
            <w:tcW w:w="1378" w:type="dxa"/>
            <w:vMerge w:val="restart"/>
            <w:tcBorders>
              <w:top w:val="single" w:sz="4" w:space="0" w:color="000000"/>
              <w:left w:val="single" w:sz="4" w:space="0" w:color="000000"/>
              <w:right w:val="single" w:sz="4" w:space="0" w:color="FFFFFF"/>
            </w:tcBorders>
            <w:shd w:val="clear" w:color="auto" w:fill="D2D2D2"/>
          </w:tcPr>
          <w:p>
            <w:pPr/>
          </w:p>
        </w:tc>
        <w:tc>
          <w:tcPr>
            <w:tcW w:w="358" w:type="dxa"/>
            <w:tcBorders>
              <w:top w:val="single" w:sz="4" w:space="0" w:color="000000"/>
              <w:left w:val="single" w:sz="4" w:space="0" w:color="FFFFFF"/>
              <w:bottom w:val="nil" w:sz="6" w:space="0" w:color="auto"/>
              <w:right w:val="single" w:sz="4" w:space="0" w:color="000000"/>
            </w:tcBorders>
            <w:shd w:val="clear" w:color="auto" w:fill="D2D2D2"/>
          </w:tcPr>
          <w:p>
            <w:pPr/>
          </w:p>
        </w:tc>
        <w:tc>
          <w:tcPr>
            <w:tcW w:w="1378" w:type="dxa"/>
            <w:vMerge w:val="restart"/>
            <w:tcBorders>
              <w:top w:val="single" w:sz="4" w:space="0" w:color="000000"/>
              <w:left w:val="single" w:sz="4" w:space="0" w:color="000000"/>
              <w:right w:val="single" w:sz="4" w:space="0" w:color="000000"/>
            </w:tcBorders>
            <w:shd w:val="clear" w:color="auto" w:fill="D2D2D2"/>
          </w:tcPr>
          <w:p>
            <w:pPr/>
          </w:p>
        </w:tc>
      </w:tr>
      <w:tr>
        <w:trPr>
          <w:trHeight w:val="176" w:hRule="exact"/>
        </w:trPr>
        <w:tc>
          <w:tcPr>
            <w:tcW w:w="264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vMerge/>
            <w:tcBorders>
              <w:left w:val="single" w:sz="4" w:space="0" w:color="000000"/>
              <w:bottom w:val="single" w:sz="14" w:space="0" w:color="FFFFFF"/>
              <w:right w:val="single" w:sz="4" w:space="0" w:color="000000"/>
            </w:tcBorders>
            <w:shd w:val="clear" w:color="auto" w:fill="D2D2D2"/>
          </w:tcPr>
          <w:p>
            <w:pPr/>
          </w:p>
        </w:tc>
        <w:tc>
          <w:tcPr>
            <w:tcW w:w="2146" w:type="dxa"/>
            <w:gridSpan w:val="3"/>
            <w:vMerge/>
            <w:tcBorders>
              <w:left w:val="single" w:sz="4" w:space="0" w:color="000000"/>
              <w:bottom w:val="single" w:sz="14" w:space="0" w:color="FFFFFF"/>
              <w:right w:val="single" w:sz="4" w:space="0" w:color="000000"/>
            </w:tcBorders>
            <w:shd w:val="clear" w:color="auto" w:fill="D2D2D2"/>
          </w:tcPr>
          <w:p>
            <w:pPr/>
          </w:p>
        </w:tc>
        <w:tc>
          <w:tcPr>
            <w:tcW w:w="1181" w:type="dxa"/>
            <w:vMerge/>
            <w:tcBorders>
              <w:left w:val="single" w:sz="4" w:space="0" w:color="000000"/>
              <w:bottom w:val="single" w:sz="14" w:space="0" w:color="FFFFFF"/>
              <w:right w:val="single" w:sz="4" w:space="0" w:color="000000"/>
            </w:tcBorders>
            <w:shd w:val="clear" w:color="auto" w:fill="D2D2D2"/>
          </w:tcPr>
          <w:p>
            <w:pPr/>
          </w:p>
        </w:tc>
        <w:tc>
          <w:tcPr>
            <w:tcW w:w="1150" w:type="dxa"/>
            <w:vMerge/>
            <w:tcBorders>
              <w:left w:val="single" w:sz="4" w:space="0" w:color="000000"/>
              <w:bottom w:val="single" w:sz="14" w:space="0" w:color="FFFFFF"/>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239" w:right="60"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60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206" w:right="2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90" w:type="dxa"/>
            <w:vMerge/>
            <w:tcBorders>
              <w:left w:val="single" w:sz="4" w:space="0" w:color="000000"/>
              <w:bottom w:val="nil" w:sz="6" w:space="0" w:color="auto"/>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FFFFFF"/>
            </w:tcBorders>
            <w:shd w:val="clear" w:color="auto" w:fill="D2D2D2"/>
          </w:tcPr>
          <w:p>
            <w:pPr/>
          </w:p>
        </w:tc>
        <w:tc>
          <w:tcPr>
            <w:tcW w:w="358"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60"/>
              <w:ind w:left="81" w:right="84"/>
              <w:jc w:val="left"/>
              <w:rPr>
                <w:rFonts w:ascii="宋体" w:hAnsi="宋体" w:cs="宋体" w:eastAsia="宋体" w:hint="default"/>
                <w:sz w:val="18"/>
                <w:szCs w:val="18"/>
              </w:rPr>
            </w:pPr>
            <w:r>
              <w:rPr>
                <w:rFonts w:ascii="宋体" w:hAnsi="宋体" w:cs="宋体" w:eastAsia="宋体" w:hint="default"/>
                <w:sz w:val="18"/>
                <w:szCs w:val="18"/>
              </w:rPr>
              <w:t>其 他</w:t>
            </w:r>
          </w:p>
        </w:tc>
        <w:tc>
          <w:tcPr>
            <w:tcW w:w="1378" w:type="dxa"/>
            <w:vMerge/>
            <w:tcBorders>
              <w:left w:val="single" w:sz="4" w:space="0" w:color="000000"/>
              <w:bottom w:val="nil" w:sz="6" w:space="0" w:color="auto"/>
              <w:right w:val="single" w:sz="4" w:space="0" w:color="000000"/>
            </w:tcBorders>
            <w:shd w:val="clear" w:color="auto" w:fill="D2D2D2"/>
          </w:tcPr>
          <w:p>
            <w:pPr/>
          </w:p>
        </w:tc>
      </w:tr>
      <w:tr>
        <w:trPr>
          <w:trHeight w:val="192" w:hRule="exact"/>
        </w:trPr>
        <w:tc>
          <w:tcPr>
            <w:tcW w:w="2648" w:type="dxa"/>
            <w:vMerge/>
            <w:tcBorders>
              <w:left w:val="single" w:sz="4" w:space="0" w:color="000000"/>
              <w:bottom w:val="nil" w:sz="6" w:space="0" w:color="auto"/>
              <w:right w:val="single" w:sz="4" w:space="0" w:color="000000"/>
            </w:tcBorders>
            <w:shd w:val="clear" w:color="auto" w:fill="D2D2D2"/>
          </w:tcPr>
          <w:p>
            <w:pPr/>
          </w:p>
        </w:tc>
        <w:tc>
          <w:tcPr>
            <w:tcW w:w="1193"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2"/>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48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7"/>
              <w:ind w:left="146" w:right="53"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82"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7"/>
              <w:ind w:left="144" w:right="55"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1181" w:type="dxa"/>
            <w:tcBorders>
              <w:top w:val="single" w:sz="14" w:space="0" w:color="FFFFFF"/>
              <w:left w:val="single" w:sz="4" w:space="0" w:color="000000"/>
              <w:bottom w:val="nil" w:sz="6" w:space="0" w:color="auto"/>
              <w:right w:val="single" w:sz="4" w:space="0" w:color="000000"/>
            </w:tcBorders>
            <w:shd w:val="clear" w:color="auto" w:fill="D2D2D2"/>
          </w:tcPr>
          <w:p>
            <w:pPr/>
          </w:p>
        </w:tc>
        <w:tc>
          <w:tcPr>
            <w:tcW w:w="1181"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2"/>
              <w:ind w:left="2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50"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2"/>
              <w:ind w:left="11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852" w:type="dxa"/>
            <w:vMerge/>
            <w:tcBorders>
              <w:left w:val="single" w:sz="4" w:space="0" w:color="000000"/>
              <w:right w:val="single" w:sz="4" w:space="0" w:color="000000"/>
            </w:tcBorders>
            <w:shd w:val="clear" w:color="auto" w:fill="D2D2D2"/>
          </w:tcPr>
          <w:p>
            <w:pPr/>
          </w:p>
        </w:tc>
        <w:tc>
          <w:tcPr>
            <w:tcW w:w="605" w:type="dxa"/>
            <w:vMerge/>
            <w:tcBorders>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4"/>
              <w:ind w:left="1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78"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44"/>
              <w:ind w:left="23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58" w:type="dxa"/>
            <w:vMerge/>
            <w:tcBorders>
              <w:left w:val="single" w:sz="4" w:space="0" w:color="FFFFFF"/>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4"/>
              <w:ind w:left="5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7" w:hRule="exact"/>
        </w:trPr>
        <w:tc>
          <w:tcPr>
            <w:tcW w:w="2648" w:type="dxa"/>
            <w:vMerge w:val="restart"/>
            <w:tcBorders>
              <w:top w:val="nil" w:sz="6" w:space="0" w:color="auto"/>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483" w:type="dxa"/>
            <w:vMerge/>
            <w:tcBorders>
              <w:left w:val="single" w:sz="4" w:space="0" w:color="000000"/>
              <w:right w:val="single" w:sz="4" w:space="0" w:color="000000"/>
            </w:tcBorders>
            <w:shd w:val="clear" w:color="auto" w:fill="D2D2D2"/>
          </w:tcPr>
          <w:p>
            <w:pPr/>
          </w:p>
        </w:tc>
        <w:tc>
          <w:tcPr>
            <w:tcW w:w="482"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nil" w:sz="6" w:space="0" w:color="auto"/>
              <w:right w:val="single" w:sz="4" w:space="0" w:color="000000"/>
            </w:tcBorders>
            <w:shd w:val="clear" w:color="auto" w:fill="D2D2D2"/>
          </w:tcPr>
          <w:p>
            <w:pPr/>
          </w:p>
        </w:tc>
        <w:tc>
          <w:tcPr>
            <w:tcW w:w="1150"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605"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FFFFFF"/>
            </w:tcBorders>
            <w:shd w:val="clear" w:color="auto" w:fill="D2D2D2"/>
          </w:tcPr>
          <w:p>
            <w:pPr/>
          </w:p>
        </w:tc>
        <w:tc>
          <w:tcPr>
            <w:tcW w:w="358" w:type="dxa"/>
            <w:vMerge/>
            <w:tcBorders>
              <w:left w:val="single" w:sz="4" w:space="0" w:color="FFFFFF"/>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r>
      <w:tr>
        <w:trPr>
          <w:trHeight w:val="178" w:hRule="exact"/>
        </w:trPr>
        <w:tc>
          <w:tcPr>
            <w:tcW w:w="2648"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
        </w:tc>
        <w:tc>
          <w:tcPr>
            <w:tcW w:w="483" w:type="dxa"/>
            <w:vMerge/>
            <w:tcBorders>
              <w:left w:val="single" w:sz="4" w:space="0" w:color="000000"/>
              <w:right w:val="single" w:sz="4" w:space="0" w:color="000000"/>
            </w:tcBorders>
            <w:shd w:val="clear" w:color="auto" w:fill="D2D2D2"/>
          </w:tcPr>
          <w:p>
            <w:pPr/>
          </w:p>
        </w:tc>
        <w:tc>
          <w:tcPr>
            <w:tcW w:w="482"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150"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605" w:type="dxa"/>
            <w:vMerge/>
            <w:tcBorders>
              <w:left w:val="single" w:sz="4" w:space="0" w:color="000000"/>
              <w:bottom w:val="nil" w:sz="6" w:space="0" w:color="auto"/>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FFFFFF"/>
            </w:tcBorders>
            <w:shd w:val="clear" w:color="auto" w:fill="D2D2D2"/>
          </w:tcPr>
          <w:p>
            <w:pPr/>
          </w:p>
        </w:tc>
        <w:tc>
          <w:tcPr>
            <w:tcW w:w="358" w:type="dxa"/>
            <w:vMerge/>
            <w:tcBorders>
              <w:left w:val="single" w:sz="4" w:space="0" w:color="FFFFFF"/>
              <w:bottom w:val="nil" w:sz="6" w:space="0" w:color="auto"/>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
        </w:tc>
      </w:tr>
      <w:tr>
        <w:trPr>
          <w:trHeight w:val="193" w:hRule="exact"/>
        </w:trPr>
        <w:tc>
          <w:tcPr>
            <w:tcW w:w="2648"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483" w:type="dxa"/>
            <w:vMerge/>
            <w:tcBorders>
              <w:left w:val="single" w:sz="4" w:space="0" w:color="000000"/>
              <w:bottom w:val="single" w:sz="4" w:space="0" w:color="000000"/>
              <w:right w:val="single" w:sz="4" w:space="0" w:color="000000"/>
            </w:tcBorders>
            <w:shd w:val="clear" w:color="auto" w:fill="D2D2D2"/>
          </w:tcPr>
          <w:p>
            <w:pPr/>
          </w:p>
        </w:tc>
        <w:tc>
          <w:tcPr>
            <w:tcW w:w="482"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50"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378" w:type="dxa"/>
            <w:vMerge/>
            <w:tcBorders>
              <w:left w:val="single" w:sz="4" w:space="0" w:color="000000"/>
              <w:bottom w:val="single" w:sz="4" w:space="0" w:color="000000"/>
              <w:right w:val="single" w:sz="4" w:space="0" w:color="FFFFFF"/>
            </w:tcBorders>
            <w:shd w:val="clear" w:color="auto" w:fill="D2D2D2"/>
          </w:tcPr>
          <w:p>
            <w:pPr/>
          </w:p>
        </w:tc>
        <w:tc>
          <w:tcPr>
            <w:tcW w:w="358" w:type="dxa"/>
            <w:tcBorders>
              <w:top w:val="nil" w:sz="6" w:space="0" w:color="auto"/>
              <w:left w:val="single" w:sz="4" w:space="0" w:color="FFFFFF"/>
              <w:bottom w:val="single" w:sz="4" w:space="0" w:color="000000"/>
              <w:right w:val="single" w:sz="4" w:space="0" w:color="000000"/>
            </w:tcBorders>
            <w:shd w:val="clear" w:color="auto" w:fill="D2D2D2"/>
          </w:tcPr>
          <w:p>
            <w:pPr/>
          </w:p>
        </w:tc>
        <w:tc>
          <w:tcPr>
            <w:tcW w:w="137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710,727,417.00</w:t>
            </w:r>
          </w:p>
        </w:tc>
        <w:tc>
          <w:tcPr>
            <w:tcW w:w="483"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154,607,862.97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894,008,375.35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43,131,880.00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72,495,704.44</w:t>
            </w:r>
          </w:p>
        </w:tc>
        <w:tc>
          <w:tcPr>
            <w:tcW w:w="137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405,815,326.43</w:t>
            </w:r>
          </w:p>
        </w:tc>
        <w:tc>
          <w:tcPr>
            <w:tcW w:w="358" w:type="dxa"/>
            <w:tcBorders>
              <w:top w:val="single" w:sz="4" w:space="0" w:color="000000"/>
              <w:left w:val="single" w:sz="4" w:space="0" w:color="FFFFFF"/>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2,194,522,806.19</w:t>
            </w:r>
          </w:p>
        </w:tc>
      </w:tr>
      <w:tr>
        <w:trPr>
          <w:trHeight w:val="401" w:hRule="exact"/>
        </w:trPr>
        <w:tc>
          <w:tcPr>
            <w:tcW w:w="2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FFFFFF"/>
            </w:tcBorders>
          </w:tcPr>
          <w:p>
            <w:pPr/>
          </w:p>
        </w:tc>
        <w:tc>
          <w:tcPr>
            <w:tcW w:w="358" w:type="dxa"/>
            <w:tcBorders>
              <w:top w:val="single" w:sz="4" w:space="0" w:color="000000"/>
              <w:left w:val="single" w:sz="4" w:space="0" w:color="FFFFFF"/>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FFFFFF"/>
            </w:tcBorders>
          </w:tcPr>
          <w:p>
            <w:pPr/>
          </w:p>
        </w:tc>
        <w:tc>
          <w:tcPr>
            <w:tcW w:w="358" w:type="dxa"/>
            <w:tcBorders>
              <w:top w:val="single" w:sz="4" w:space="0" w:color="000000"/>
              <w:left w:val="single" w:sz="4" w:space="0" w:color="FFFFFF"/>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FFFFFF"/>
            </w:tcBorders>
          </w:tcPr>
          <w:p>
            <w:pPr/>
          </w:p>
        </w:tc>
        <w:tc>
          <w:tcPr>
            <w:tcW w:w="358" w:type="dxa"/>
            <w:tcBorders>
              <w:top w:val="single" w:sz="4" w:space="0" w:color="000000"/>
              <w:left w:val="single" w:sz="4" w:space="0" w:color="FFFFFF"/>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710,727,417.00</w:t>
            </w:r>
          </w:p>
        </w:tc>
        <w:tc>
          <w:tcPr>
            <w:tcW w:w="483"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154,607,862.97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894,008,375.35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43,131,880.00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72,495,704.44</w:t>
            </w:r>
          </w:p>
        </w:tc>
        <w:tc>
          <w:tcPr>
            <w:tcW w:w="137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405,815,326.43</w:t>
            </w:r>
          </w:p>
        </w:tc>
        <w:tc>
          <w:tcPr>
            <w:tcW w:w="358" w:type="dxa"/>
            <w:tcBorders>
              <w:top w:val="single" w:sz="4" w:space="0" w:color="000000"/>
              <w:left w:val="single" w:sz="4" w:space="0" w:color="FFFFFF"/>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2,194,522,806.19</w:t>
            </w:r>
          </w:p>
        </w:tc>
      </w:tr>
      <w:tr>
        <w:trPr>
          <w:trHeight w:val="713" w:hRule="exact"/>
        </w:trPr>
        <w:tc>
          <w:tcPr>
            <w:tcW w:w="2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499,161.00</w:t>
            </w:r>
          </w:p>
        </w:tc>
        <w:tc>
          <w:tcPr>
            <w:tcW w:w="483"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-20,038.72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28,036,612.50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-13,257,856.00</w:t>
            </w:r>
          </w:p>
        </w:tc>
        <w:tc>
          <w:tcPr>
            <w:tcW w:w="85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-1,111,669,085.62</w:t>
            </w:r>
          </w:p>
        </w:tc>
        <w:tc>
          <w:tcPr>
            <w:tcW w:w="358" w:type="dxa"/>
            <w:tcBorders>
              <w:top w:val="single" w:sz="4" w:space="0" w:color="000000"/>
              <w:left w:val="single" w:sz="4" w:space="0" w:color="FFFFFF"/>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-1,069,895,494.84</w:t>
            </w:r>
          </w:p>
        </w:tc>
      </w:tr>
      <w:tr>
        <w:trPr>
          <w:trHeight w:val="404" w:hRule="exact"/>
        </w:trPr>
        <w:tc>
          <w:tcPr>
            <w:tcW w:w="2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-1,090,355,988.28</w:t>
            </w:r>
          </w:p>
        </w:tc>
        <w:tc>
          <w:tcPr>
            <w:tcW w:w="358" w:type="dxa"/>
            <w:tcBorders>
              <w:top w:val="single" w:sz="4" w:space="0" w:color="000000"/>
              <w:left w:val="single" w:sz="4" w:space="0" w:color="FFFFFF"/>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-1,090,355,988.28</w:t>
            </w:r>
          </w:p>
        </w:tc>
      </w:tr>
      <w:tr>
        <w:trPr>
          <w:trHeight w:val="401" w:hRule="exact"/>
        </w:trPr>
        <w:tc>
          <w:tcPr>
            <w:tcW w:w="2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499,161.00</w:t>
            </w:r>
          </w:p>
        </w:tc>
        <w:tc>
          <w:tcPr>
            <w:tcW w:w="483"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-20,038.72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28,036,612.50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-13,257,856.00</w:t>
            </w:r>
          </w:p>
        </w:tc>
        <w:tc>
          <w:tcPr>
            <w:tcW w:w="85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FFFFFF"/>
            </w:tcBorders>
          </w:tcPr>
          <w:p>
            <w:pPr/>
          </w:p>
        </w:tc>
        <w:tc>
          <w:tcPr>
            <w:tcW w:w="358" w:type="dxa"/>
            <w:tcBorders>
              <w:top w:val="single" w:sz="4" w:space="0" w:color="000000"/>
              <w:left w:val="single" w:sz="4" w:space="0" w:color="FFFFFF"/>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41,773,590.78</w:t>
            </w:r>
          </w:p>
        </w:tc>
      </w:tr>
      <w:tr>
        <w:trPr>
          <w:trHeight w:val="403" w:hRule="exact"/>
        </w:trPr>
        <w:tc>
          <w:tcPr>
            <w:tcW w:w="2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790,000.00</w:t>
            </w:r>
          </w:p>
        </w:tc>
        <w:tc>
          <w:tcPr>
            <w:tcW w:w="483"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3,160,000.00</w:t>
            </w:r>
          </w:p>
        </w:tc>
        <w:tc>
          <w:tcPr>
            <w:tcW w:w="11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FFFFFF"/>
            </w:tcBorders>
          </w:tcPr>
          <w:p>
            <w:pPr/>
          </w:p>
        </w:tc>
        <w:tc>
          <w:tcPr>
            <w:tcW w:w="358" w:type="dxa"/>
            <w:tcBorders>
              <w:top w:val="single" w:sz="4" w:space="0" w:color="000000"/>
              <w:left w:val="single" w:sz="4" w:space="0" w:color="FFFFFF"/>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3,950,000.00</w:t>
            </w:r>
          </w:p>
        </w:tc>
      </w:tr>
      <w:tr>
        <w:trPr>
          <w:trHeight w:val="401" w:hRule="exact"/>
        </w:trPr>
        <w:tc>
          <w:tcPr>
            <w:tcW w:w="2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7,834.00</w:t>
            </w:r>
          </w:p>
        </w:tc>
        <w:tc>
          <w:tcPr>
            <w:tcW w:w="483"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-20,038.72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94,956.00</w:t>
            </w:r>
          </w:p>
        </w:tc>
        <w:tc>
          <w:tcPr>
            <w:tcW w:w="11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FFFFFF"/>
            </w:tcBorders>
          </w:tcPr>
          <w:p>
            <w:pPr/>
          </w:p>
        </w:tc>
        <w:tc>
          <w:tcPr>
            <w:tcW w:w="358" w:type="dxa"/>
            <w:tcBorders>
              <w:top w:val="single" w:sz="4" w:space="0" w:color="000000"/>
              <w:left w:val="single" w:sz="4" w:space="0" w:color="FFFFFF"/>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82,751.28</w:t>
            </w:r>
          </w:p>
        </w:tc>
      </w:tr>
      <w:tr>
        <w:trPr>
          <w:trHeight w:val="715" w:hRule="exact"/>
        </w:trPr>
        <w:tc>
          <w:tcPr>
            <w:tcW w:w="2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 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25,190,584.50</w:t>
            </w:r>
          </w:p>
        </w:tc>
        <w:tc>
          <w:tcPr>
            <w:tcW w:w="11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FFFFFF"/>
            </w:tcBorders>
          </w:tcPr>
          <w:p>
            <w:pPr/>
          </w:p>
        </w:tc>
        <w:tc>
          <w:tcPr>
            <w:tcW w:w="358" w:type="dxa"/>
            <w:tcBorders>
              <w:top w:val="single" w:sz="4" w:space="0" w:color="000000"/>
              <w:left w:val="single" w:sz="4" w:space="0" w:color="FFFFFF"/>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25,190,584.50</w:t>
            </w:r>
          </w:p>
        </w:tc>
      </w:tr>
      <w:tr>
        <w:trPr>
          <w:trHeight w:val="401" w:hRule="exact"/>
        </w:trPr>
        <w:tc>
          <w:tcPr>
            <w:tcW w:w="2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-298,673.00</w:t>
            </w:r>
          </w:p>
        </w:tc>
        <w:tc>
          <w:tcPr>
            <w:tcW w:w="483"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-408,928.00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-13,257,856.00</w:t>
            </w:r>
          </w:p>
        </w:tc>
        <w:tc>
          <w:tcPr>
            <w:tcW w:w="85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FFFFFF"/>
            </w:tcBorders>
          </w:tcPr>
          <w:p>
            <w:pPr/>
          </w:p>
        </w:tc>
        <w:tc>
          <w:tcPr>
            <w:tcW w:w="358" w:type="dxa"/>
            <w:tcBorders>
              <w:top w:val="single" w:sz="4" w:space="0" w:color="000000"/>
              <w:left w:val="single" w:sz="4" w:space="0" w:color="FFFFFF"/>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12,550,255.00</w:t>
            </w:r>
          </w:p>
        </w:tc>
      </w:tr>
      <w:tr>
        <w:trPr>
          <w:trHeight w:val="404" w:hRule="exact"/>
        </w:trPr>
        <w:tc>
          <w:tcPr>
            <w:tcW w:w="2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-21,313,097.34</w:t>
            </w:r>
          </w:p>
        </w:tc>
        <w:tc>
          <w:tcPr>
            <w:tcW w:w="358" w:type="dxa"/>
            <w:tcBorders>
              <w:top w:val="single" w:sz="4" w:space="0" w:color="000000"/>
              <w:left w:val="single" w:sz="4" w:space="0" w:color="FFFFFF"/>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-21,313,097.34</w:t>
            </w:r>
          </w:p>
        </w:tc>
      </w:tr>
      <w:tr>
        <w:trPr>
          <w:trHeight w:val="401" w:hRule="exact"/>
        </w:trPr>
        <w:tc>
          <w:tcPr>
            <w:tcW w:w="2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FFFFFF"/>
            </w:tcBorders>
          </w:tcPr>
          <w:p>
            <w:pPr/>
          </w:p>
        </w:tc>
        <w:tc>
          <w:tcPr>
            <w:tcW w:w="358" w:type="dxa"/>
            <w:tcBorders>
              <w:top w:val="single" w:sz="4" w:space="0" w:color="000000"/>
              <w:left w:val="single" w:sz="4" w:space="0" w:color="FFFFFF"/>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-21,313,097.34</w:t>
            </w:r>
          </w:p>
        </w:tc>
        <w:tc>
          <w:tcPr>
            <w:tcW w:w="358" w:type="dxa"/>
            <w:tcBorders>
              <w:top w:val="single" w:sz="4" w:space="0" w:color="000000"/>
              <w:left w:val="single" w:sz="4" w:space="0" w:color="FFFFFF"/>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-21,313,097.34</w:t>
            </w:r>
          </w:p>
        </w:tc>
      </w:tr>
      <w:tr>
        <w:trPr>
          <w:trHeight w:val="401" w:hRule="exact"/>
        </w:trPr>
        <w:tc>
          <w:tcPr>
            <w:tcW w:w="2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FFFFFF"/>
            </w:tcBorders>
          </w:tcPr>
          <w:p>
            <w:pPr/>
          </w:p>
        </w:tc>
        <w:tc>
          <w:tcPr>
            <w:tcW w:w="358" w:type="dxa"/>
            <w:tcBorders>
              <w:top w:val="single" w:sz="4" w:space="0" w:color="000000"/>
              <w:left w:val="single" w:sz="4" w:space="0" w:color="FFFFFF"/>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672"/>
        <w:gridCol w:w="1181"/>
        <w:gridCol w:w="483"/>
        <w:gridCol w:w="482"/>
        <w:gridCol w:w="1181"/>
        <w:gridCol w:w="1181"/>
        <w:gridCol w:w="1150"/>
        <w:gridCol w:w="852"/>
        <w:gridCol w:w="605"/>
        <w:gridCol w:w="1090"/>
        <w:gridCol w:w="1378"/>
        <w:gridCol w:w="358"/>
        <w:gridCol w:w="1378"/>
      </w:tblGrid>
      <w:tr>
        <w:trPr>
          <w:trHeight w:val="418" w:hRule="exact"/>
        </w:trPr>
        <w:tc>
          <w:tcPr>
            <w:tcW w:w="267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181" w:type="dxa"/>
            <w:tcBorders>
              <w:top w:val="single" w:sz="15" w:space="0" w:color="000000"/>
              <w:left w:val="single" w:sz="4" w:space="0" w:color="000000"/>
              <w:bottom w:val="single" w:sz="4" w:space="0" w:color="000000"/>
              <w:right w:val="single" w:sz="4" w:space="0" w:color="000000"/>
            </w:tcBorders>
          </w:tcPr>
          <w:p>
            <w:pPr/>
          </w:p>
        </w:tc>
        <w:tc>
          <w:tcPr>
            <w:tcW w:w="483" w:type="dxa"/>
            <w:tcBorders>
              <w:top w:val="single" w:sz="15" w:space="0" w:color="000000"/>
              <w:left w:val="single" w:sz="4" w:space="0" w:color="000000"/>
              <w:bottom w:val="single" w:sz="4" w:space="0" w:color="000000"/>
              <w:right w:val="single" w:sz="4" w:space="0" w:color="000000"/>
            </w:tcBorders>
          </w:tcPr>
          <w:p>
            <w:pPr/>
          </w:p>
        </w:tc>
        <w:tc>
          <w:tcPr>
            <w:tcW w:w="482"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150" w:type="dxa"/>
            <w:tcBorders>
              <w:top w:val="single" w:sz="15" w:space="0" w:color="000000"/>
              <w:left w:val="single" w:sz="4" w:space="0" w:color="000000"/>
              <w:bottom w:val="single" w:sz="4" w:space="0" w:color="000000"/>
              <w:right w:val="single" w:sz="4" w:space="0" w:color="000000"/>
            </w:tcBorders>
          </w:tcPr>
          <w:p>
            <w:pPr/>
          </w:p>
        </w:tc>
        <w:tc>
          <w:tcPr>
            <w:tcW w:w="852" w:type="dxa"/>
            <w:tcBorders>
              <w:top w:val="single" w:sz="15" w:space="0" w:color="000000"/>
              <w:left w:val="single" w:sz="4" w:space="0" w:color="000000"/>
              <w:bottom w:val="single" w:sz="4" w:space="0" w:color="000000"/>
              <w:right w:val="single" w:sz="4" w:space="0" w:color="000000"/>
            </w:tcBorders>
          </w:tcPr>
          <w:p>
            <w:pPr/>
          </w:p>
        </w:tc>
        <w:tc>
          <w:tcPr>
            <w:tcW w:w="605"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1378" w:type="dxa"/>
            <w:tcBorders>
              <w:top w:val="single" w:sz="15" w:space="0" w:color="000000"/>
              <w:left w:val="single" w:sz="4" w:space="0" w:color="000000"/>
              <w:bottom w:val="single" w:sz="4" w:space="0" w:color="000000"/>
              <w:right w:val="single" w:sz="4" w:space="0" w:color="000000"/>
            </w:tcBorders>
          </w:tcPr>
          <w:p>
            <w:pPr/>
          </w:p>
        </w:tc>
        <w:tc>
          <w:tcPr>
            <w:tcW w:w="358" w:type="dxa"/>
            <w:tcBorders>
              <w:top w:val="single" w:sz="15" w:space="0" w:color="000000"/>
              <w:left w:val="single" w:sz="4" w:space="0" w:color="000000"/>
              <w:bottom w:val="single" w:sz="4" w:space="0" w:color="000000"/>
              <w:right w:val="single" w:sz="4" w:space="0" w:color="000000"/>
            </w:tcBorders>
          </w:tcPr>
          <w:p>
            <w:pPr/>
          </w:p>
        </w:tc>
        <w:tc>
          <w:tcPr>
            <w:tcW w:w="1378" w:type="dxa"/>
            <w:tcBorders>
              <w:top w:val="single" w:sz="15" w:space="0" w:color="000000"/>
              <w:left w:val="single" w:sz="4" w:space="0" w:color="000000"/>
              <w:bottom w:val="single" w:sz="4" w:space="0" w:color="000000"/>
              <w:right w:val="single" w:sz="4" w:space="0" w:color="000000"/>
            </w:tcBorders>
          </w:tcPr>
          <w:p>
            <w:pP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．设定受益计划变动额结转留存 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．其他综合收益结转留存收益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83"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711,226,578.00</w:t>
            </w:r>
          </w:p>
        </w:tc>
        <w:tc>
          <w:tcPr>
            <w:tcW w:w="483"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154,587,824.25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922,044,987.85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29,874,024.00</w:t>
            </w:r>
          </w:p>
        </w:tc>
        <w:tc>
          <w:tcPr>
            <w:tcW w:w="85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72,495,704.44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z w:val="18"/>
              </w:rPr>
              <w:t>-705,853,759.19</w:t>
            </w:r>
          </w:p>
        </w:tc>
        <w:tc>
          <w:tcPr>
            <w:tcW w:w="35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1,124,627,311.35</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80" w:top="1060" w:bottom="1160" w:left="1320" w:right="128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right="0"/>
        <w:jc w:val="both"/>
        <w:rPr>
          <w:b w:val="0"/>
          <w:bCs w:val="0"/>
        </w:rPr>
      </w:pPr>
      <w:bookmarkStart w:name="三、公司基本情况" w:id="173"/>
      <w:bookmarkEnd w:id="173"/>
      <w:r>
        <w:rPr>
          <w:b w:val="0"/>
          <w:bCs w:val="0"/>
        </w:rPr>
      </w:r>
      <w:r>
        <w:rPr/>
        <w:t>三、公司基本情况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1</w:t>
      </w:r>
      <w:r>
        <w:rPr/>
        <w:t>、公司概况</w:t>
      </w:r>
    </w:p>
    <w:p>
      <w:pPr>
        <w:spacing w:line="240" w:lineRule="auto" w:before="4"/>
        <w:rPr>
          <w:rFonts w:ascii="宋体" w:hAnsi="宋体" w:cs="宋体" w:eastAsia="宋体" w:hint="default"/>
          <w:sz w:val="21"/>
          <w:szCs w:val="21"/>
        </w:rPr>
      </w:pPr>
    </w:p>
    <w:p>
      <w:pPr>
        <w:pStyle w:val="BodyText"/>
        <w:spacing w:line="300" w:lineRule="auto"/>
        <w:ind w:right="1131"/>
        <w:jc w:val="both"/>
      </w:pPr>
      <w:r>
        <w:rPr>
          <w:spacing w:val="-3"/>
        </w:rPr>
        <w:t>北京久其软件股份有限公司（以下简称</w:t>
      </w:r>
      <w:r>
        <w:rPr>
          <w:rFonts w:ascii="Times New Roman" w:hAnsi="Times New Roman" w:cs="Times New Roman" w:eastAsia="Times New Roman" w:hint="default"/>
          <w:spacing w:val="-3"/>
        </w:rPr>
        <w:t>“</w:t>
      </w:r>
      <w:r>
        <w:rPr>
          <w:spacing w:val="-3"/>
        </w:rPr>
        <w:t>公司</w:t>
      </w:r>
      <w:r>
        <w:rPr>
          <w:rFonts w:ascii="Times New Roman" w:hAnsi="Times New Roman" w:cs="Times New Roman" w:eastAsia="Times New Roman" w:hint="default"/>
          <w:spacing w:val="-3"/>
        </w:rPr>
        <w:t>”</w:t>
      </w:r>
      <w:r>
        <w:rPr>
          <w:spacing w:val="-3"/>
        </w:rPr>
        <w:t>或</w:t>
      </w:r>
      <w:r>
        <w:rPr>
          <w:rFonts w:ascii="Times New Roman" w:hAnsi="Times New Roman" w:cs="Times New Roman" w:eastAsia="Times New Roman" w:hint="default"/>
          <w:spacing w:val="-3"/>
        </w:rPr>
        <w:t>“</w:t>
      </w:r>
      <w:r>
        <w:rPr>
          <w:spacing w:val="-3"/>
        </w:rPr>
        <w:t>本公司</w:t>
      </w:r>
      <w:r>
        <w:rPr>
          <w:rFonts w:ascii="Times New Roman" w:hAnsi="Times New Roman" w:cs="Times New Roman" w:eastAsia="Times New Roman" w:hint="default"/>
          <w:spacing w:val="-3"/>
        </w:rPr>
        <w:t>”</w:t>
      </w:r>
      <w:r>
        <w:rPr>
          <w:spacing w:val="-3"/>
        </w:rPr>
        <w:t>）成立于</w:t>
      </w:r>
      <w:r>
        <w:rPr>
          <w:rFonts w:ascii="Times New Roman" w:hAnsi="Times New Roman" w:cs="Times New Roman" w:eastAsia="Times New Roman" w:hint="default"/>
          <w:spacing w:val="-3"/>
        </w:rPr>
        <w:t>1999</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16</w:t>
      </w:r>
      <w:r>
        <w:rPr>
          <w:spacing w:val="-3"/>
        </w:rPr>
        <w:t>日，原名为北京久其北方软件技术有限公司，</w:t>
      </w:r>
      <w:r>
        <w:rPr>
          <w:spacing w:val="-48"/>
        </w:rPr>
        <w:t> </w:t>
      </w:r>
      <w:r>
        <w:rPr>
          <w:spacing w:val="-48"/>
        </w:rPr>
      </w:r>
      <w:r>
        <w:rPr/>
        <w:t>是经北京市工商行政管理局批准，由自然人董泰湘出资</w:t>
      </w:r>
      <w:r>
        <w:rPr>
          <w:rFonts w:ascii="Times New Roman" w:hAnsi="Times New Roman" w:cs="Times New Roman" w:eastAsia="Times New Roman" w:hint="default"/>
        </w:rPr>
        <w:t>25</w:t>
      </w:r>
      <w:r>
        <w:rPr/>
        <w:t>万元，自然人赵福君出资</w:t>
      </w:r>
      <w:r>
        <w:rPr>
          <w:rFonts w:ascii="Times New Roman" w:hAnsi="Times New Roman" w:cs="Times New Roman" w:eastAsia="Times New Roman" w:hint="default"/>
        </w:rPr>
        <w:t>20</w:t>
      </w:r>
      <w:r>
        <w:rPr/>
        <w:t>万元，自然人欧阳曜出资</w:t>
      </w:r>
      <w:r>
        <w:rPr>
          <w:rFonts w:ascii="Times New Roman" w:hAnsi="Times New Roman" w:cs="Times New Roman" w:eastAsia="Times New Roman" w:hint="default"/>
        </w:rPr>
        <w:t>5</w:t>
      </w:r>
      <w:r>
        <w:rPr/>
        <w:t>万元设立的</w:t>
      </w:r>
      <w:r>
        <w:rPr>
          <w:spacing w:val="-83"/>
        </w:rPr>
        <w:t> </w:t>
      </w:r>
      <w:r>
        <w:rPr/>
        <w:t>有限责任公司。上述出资业经北京中之光会计师事务所审验，并出具（</w:t>
      </w:r>
      <w:r>
        <w:rPr>
          <w:rFonts w:ascii="Times New Roman" w:hAnsi="Times New Roman" w:cs="Times New Roman" w:eastAsia="Times New Roman" w:hint="default"/>
        </w:rPr>
        <w:t>99</w:t>
      </w:r>
      <w:r>
        <w:rPr/>
        <w:t>）京之验字第</w:t>
      </w:r>
      <w:r>
        <w:rPr>
          <w:rFonts w:ascii="Times New Roman" w:hAnsi="Times New Roman" w:cs="Times New Roman" w:eastAsia="Times New Roman" w:hint="default"/>
        </w:rPr>
        <w:t>606</w:t>
      </w:r>
      <w:r>
        <w:rPr/>
        <w:t>号验资报告予以验证。</w:t>
      </w:r>
    </w:p>
    <w:p>
      <w:pPr>
        <w:spacing w:line="240" w:lineRule="auto" w:before="7"/>
        <w:rPr>
          <w:rFonts w:ascii="宋体" w:hAnsi="宋体" w:cs="宋体" w:eastAsia="宋体" w:hint="default"/>
          <w:sz w:val="17"/>
          <w:szCs w:val="17"/>
        </w:rPr>
      </w:pPr>
    </w:p>
    <w:p>
      <w:pPr>
        <w:pStyle w:val="BodyText"/>
        <w:spacing w:line="300" w:lineRule="auto"/>
        <w:ind w:right="1131"/>
        <w:jc w:val="both"/>
      </w:pPr>
      <w:r>
        <w:rPr>
          <w:rFonts w:ascii="Times New Roman" w:hAnsi="Times New Roman" w:cs="Times New Roman" w:eastAsia="Times New Roman" w:hint="default"/>
        </w:rPr>
        <w:t>2001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日，公司增加注册资本</w:t>
      </w:r>
      <w:r>
        <w:rPr>
          <w:rFonts w:ascii="Times New Roman" w:hAnsi="Times New Roman" w:cs="Times New Roman" w:eastAsia="Times New Roman" w:hint="default"/>
        </w:rPr>
        <w:t>450</w:t>
      </w:r>
      <w:r>
        <w:rPr/>
        <w:t>万元，分别由原股东董泰湘以货币形式追加投资</w:t>
      </w:r>
      <w:r>
        <w:rPr>
          <w:rFonts w:ascii="Times New Roman" w:hAnsi="Times New Roman" w:cs="Times New Roman" w:eastAsia="Times New Roman" w:hint="default"/>
        </w:rPr>
        <w:t>225</w:t>
      </w:r>
      <w:r>
        <w:rPr/>
        <w:t>万元，原股东赵福君以货币形式 追加投资</w:t>
      </w:r>
      <w:r>
        <w:rPr>
          <w:rFonts w:ascii="Times New Roman" w:hAnsi="Times New Roman" w:cs="Times New Roman" w:eastAsia="Times New Roman" w:hint="default"/>
        </w:rPr>
        <w:t>160</w:t>
      </w:r>
      <w:r>
        <w:rPr/>
        <w:t>万元，原股东欧阳曜以货币形式追加投资</w:t>
      </w:r>
      <w:r>
        <w:rPr>
          <w:rFonts w:ascii="Times New Roman" w:hAnsi="Times New Roman" w:cs="Times New Roman" w:eastAsia="Times New Roman" w:hint="default"/>
        </w:rPr>
        <w:t>45</w:t>
      </w:r>
      <w:r>
        <w:rPr/>
        <w:t>万元，新股东李坤奇以货币形式投资</w:t>
      </w:r>
      <w:r>
        <w:rPr>
          <w:rFonts w:ascii="Times New Roman" w:hAnsi="Times New Roman" w:cs="Times New Roman" w:eastAsia="Times New Roman" w:hint="default"/>
        </w:rPr>
        <w:t>10</w:t>
      </w:r>
      <w:r>
        <w:rPr/>
        <w:t>万元，新股东施瑞丰以货币</w:t>
      </w:r>
      <w:r>
        <w:rPr>
          <w:spacing w:val="-85"/>
        </w:rPr>
        <w:t> </w:t>
      </w:r>
      <w:r>
        <w:rPr/>
        <w:t>形式投资</w:t>
      </w:r>
      <w:r>
        <w:rPr>
          <w:rFonts w:ascii="Times New Roman" w:hAnsi="Times New Roman" w:cs="Times New Roman" w:eastAsia="Times New Roman" w:hint="default"/>
        </w:rPr>
        <w:t>10</w:t>
      </w:r>
      <w:r>
        <w:rPr/>
        <w:t>万元，公司的注册资本由</w:t>
      </w:r>
      <w:r>
        <w:rPr>
          <w:rFonts w:ascii="Times New Roman" w:hAnsi="Times New Roman" w:cs="Times New Roman" w:eastAsia="Times New Roman" w:hint="default"/>
        </w:rPr>
        <w:t>50</w:t>
      </w:r>
      <w:r>
        <w:rPr/>
        <w:t>万元变更为</w:t>
      </w:r>
      <w:r>
        <w:rPr>
          <w:rFonts w:ascii="Times New Roman" w:hAnsi="Times New Roman" w:cs="Times New Roman" w:eastAsia="Times New Roman" w:hint="default"/>
        </w:rPr>
        <w:t>500</w:t>
      </w:r>
      <w:r>
        <w:rPr/>
        <w:t>万元。上述出资业经中科华会计师事务所有限公司审验，并出具中科</w:t>
      </w:r>
      <w:r>
        <w:rPr>
          <w:spacing w:val="-85"/>
        </w:rPr>
        <w:t> </w:t>
      </w:r>
      <w:r>
        <w:rPr>
          <w:spacing w:val="-85"/>
        </w:rPr>
      </w:r>
      <w:r>
        <w:rPr/>
        <w:t>华验字（</w:t>
      </w:r>
      <w:r>
        <w:rPr>
          <w:rFonts w:ascii="Times New Roman" w:hAnsi="Times New Roman" w:cs="Times New Roman" w:eastAsia="Times New Roman" w:hint="default"/>
        </w:rPr>
        <w:t>2001</w:t>
      </w:r>
      <w:r>
        <w:rPr/>
        <w:t>）第</w:t>
      </w:r>
      <w:r>
        <w:rPr>
          <w:rFonts w:ascii="Times New Roman" w:hAnsi="Times New Roman" w:cs="Times New Roman" w:eastAsia="Times New Roman" w:hint="default"/>
        </w:rPr>
        <w:t>1420</w:t>
      </w:r>
      <w:r>
        <w:rPr/>
        <w:t>号验资报告予以验证。</w:t>
      </w:r>
    </w:p>
    <w:p>
      <w:pPr>
        <w:spacing w:line="240" w:lineRule="auto" w:before="7"/>
        <w:rPr>
          <w:rFonts w:ascii="宋体" w:hAnsi="宋体" w:cs="宋体" w:eastAsia="宋体" w:hint="default"/>
          <w:sz w:val="17"/>
          <w:szCs w:val="17"/>
        </w:rPr>
      </w:pPr>
    </w:p>
    <w:p>
      <w:pPr>
        <w:pStyle w:val="BodyText"/>
        <w:spacing w:line="300" w:lineRule="auto"/>
        <w:ind w:right="1131"/>
        <w:jc w:val="both"/>
      </w:pP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日，公司再次增加注册资金，新增的</w:t>
      </w:r>
      <w:r>
        <w:rPr>
          <w:rFonts w:ascii="Times New Roman" w:hAnsi="Times New Roman" w:cs="Times New Roman" w:eastAsia="Times New Roman" w:hint="default"/>
        </w:rPr>
        <w:t>260</w:t>
      </w:r>
      <w:r>
        <w:rPr/>
        <w:t>万元，全部由新股东北京久其科技投资有限公司以无形资产（非专利 </w:t>
      </w:r>
      <w:r>
        <w:rPr>
          <w:spacing w:val="-2"/>
        </w:rPr>
        <w:t>技术）</w:t>
      </w:r>
      <w:r>
        <w:rPr>
          <w:rFonts w:ascii="Times New Roman" w:hAnsi="Times New Roman" w:cs="Times New Roman" w:eastAsia="Times New Roman" w:hint="default"/>
          <w:spacing w:val="-2"/>
        </w:rPr>
        <w:t>——“</w:t>
      </w:r>
      <w:r>
        <w:rPr>
          <w:spacing w:val="-2"/>
        </w:rPr>
        <w:t>久其报表数据管理系统</w:t>
      </w:r>
      <w:r>
        <w:rPr>
          <w:rFonts w:ascii="Times New Roman" w:hAnsi="Times New Roman" w:cs="Times New Roman" w:eastAsia="Times New Roman" w:hint="default"/>
          <w:spacing w:val="-2"/>
        </w:rPr>
        <w:t>V2.0”</w:t>
      </w:r>
      <w:r>
        <w:rPr>
          <w:spacing w:val="-2"/>
        </w:rPr>
        <w:t>软件技术的形式追加投入。公司的注册资本由原来的</w:t>
      </w:r>
      <w:r>
        <w:rPr>
          <w:rFonts w:ascii="Times New Roman" w:hAnsi="Times New Roman" w:cs="Times New Roman" w:eastAsia="Times New Roman" w:hint="default"/>
          <w:spacing w:val="-2"/>
        </w:rPr>
        <w:t>500</w:t>
      </w:r>
      <w:r>
        <w:rPr>
          <w:spacing w:val="-2"/>
        </w:rPr>
        <w:t>万元变更为</w:t>
      </w:r>
      <w:r>
        <w:rPr>
          <w:rFonts w:ascii="Times New Roman" w:hAnsi="Times New Roman" w:cs="Times New Roman" w:eastAsia="Times New Roman" w:hint="default"/>
          <w:spacing w:val="-2"/>
        </w:rPr>
        <w:t>760</w:t>
      </w:r>
      <w:r>
        <w:rPr>
          <w:spacing w:val="-2"/>
        </w:rPr>
        <w:t>万元。上述</w:t>
      </w:r>
      <w:r>
        <w:rPr>
          <w:spacing w:val="-37"/>
        </w:rPr>
        <w:t> </w:t>
      </w:r>
      <w:r>
        <w:rPr>
          <w:spacing w:val="-37"/>
        </w:rPr>
      </w:r>
      <w:r>
        <w:rPr/>
        <w:t>增资业经中鸿信建元会计师事务所有限公司审验，并出具中鸿信建元验字（</w:t>
      </w:r>
      <w:r>
        <w:rPr>
          <w:rFonts w:ascii="Times New Roman" w:hAnsi="Times New Roman" w:cs="Times New Roman" w:eastAsia="Times New Roman" w:hint="default"/>
        </w:rPr>
        <w:t>2001</w:t>
      </w:r>
      <w:r>
        <w:rPr/>
        <w:t>）第</w:t>
      </w:r>
      <w:r>
        <w:rPr>
          <w:rFonts w:ascii="Times New Roman" w:hAnsi="Times New Roman" w:cs="Times New Roman" w:eastAsia="Times New Roman" w:hint="default"/>
        </w:rPr>
        <w:t>56</w:t>
      </w:r>
      <w:r>
        <w:rPr/>
        <w:t>号验资报告予以验证。</w:t>
      </w:r>
    </w:p>
    <w:p>
      <w:pPr>
        <w:spacing w:line="240" w:lineRule="auto" w:before="7"/>
        <w:rPr>
          <w:rFonts w:ascii="宋体" w:hAnsi="宋体" w:cs="宋体" w:eastAsia="宋体" w:hint="default"/>
          <w:sz w:val="17"/>
          <w:szCs w:val="17"/>
        </w:rPr>
      </w:pPr>
    </w:p>
    <w:p>
      <w:pPr>
        <w:pStyle w:val="BodyText"/>
        <w:spacing w:line="300" w:lineRule="auto"/>
        <w:ind w:right="1130"/>
        <w:jc w:val="both"/>
      </w:pP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18</w:t>
      </w:r>
      <w:r>
        <w:rPr>
          <w:spacing w:val="-1"/>
        </w:rPr>
        <w:t>日，经京政体改股函</w:t>
      </w:r>
      <w:r>
        <w:rPr>
          <w:rFonts w:ascii="Times New Roman" w:hAnsi="Times New Roman" w:cs="Times New Roman" w:eastAsia="Times New Roman" w:hint="default"/>
          <w:spacing w:val="-1"/>
        </w:rPr>
        <w:t>[2001]65</w:t>
      </w:r>
      <w:r>
        <w:rPr>
          <w:spacing w:val="-1"/>
        </w:rPr>
        <w:t>号文批准，公司整体改制为北京久其软件股份有限公司，并以截至</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30</w:t>
      </w:r>
      <w:r>
        <w:rPr>
          <w:rFonts w:ascii="Times New Roman" w:hAnsi="Times New Roman" w:cs="Times New Roman" w:eastAsia="Times New Roman" w:hint="default"/>
          <w:spacing w:val="-15"/>
        </w:rPr>
        <w:t> </w:t>
      </w:r>
      <w:r>
        <w:rPr/>
        <w:t>日止经中鸿信建元会计师事务所有限公司审计的净资产</w:t>
      </w:r>
      <w:r>
        <w:rPr>
          <w:rFonts w:ascii="Times New Roman" w:hAnsi="Times New Roman" w:cs="Times New Roman" w:eastAsia="Times New Roman" w:hint="default"/>
        </w:rPr>
        <w:t>45,740,037.00</w:t>
      </w:r>
      <w:r>
        <w:rPr/>
        <w:t>元为基准，按</w:t>
      </w:r>
      <w:r>
        <w:rPr>
          <w:rFonts w:ascii="Times New Roman" w:hAnsi="Times New Roman" w:cs="Times New Roman" w:eastAsia="Times New Roman" w:hint="default"/>
        </w:rPr>
        <w:t>1</w:t>
      </w:r>
      <w:r>
        <w:rPr/>
        <w:t>：</w:t>
      </w:r>
      <w:r>
        <w:rPr>
          <w:rFonts w:ascii="Times New Roman" w:hAnsi="Times New Roman" w:cs="Times New Roman" w:eastAsia="Times New Roman" w:hint="default"/>
        </w:rPr>
        <w:t>1</w:t>
      </w:r>
      <w:r>
        <w:rPr/>
        <w:t>的比例折股，改制后公司注册资本</w:t>
      </w:r>
      <w:r>
        <w:rPr>
          <w:spacing w:val="30"/>
        </w:rPr>
        <w:t> </w:t>
      </w:r>
      <w:r>
        <w:rPr>
          <w:spacing w:val="30"/>
        </w:rPr>
      </w:r>
      <w:r>
        <w:rPr>
          <w:rFonts w:ascii="Times New Roman" w:hAnsi="Times New Roman" w:cs="Times New Roman" w:eastAsia="Times New Roman" w:hint="default"/>
          <w:spacing w:val="2"/>
        </w:rPr>
        <w:t>45,740,037.00</w:t>
      </w:r>
      <w:r>
        <w:rPr>
          <w:spacing w:val="2"/>
        </w:rPr>
        <w:t>元，其中北京久其科技投资有限公司出资人民币</w:t>
      </w:r>
      <w:r>
        <w:rPr>
          <w:rFonts w:ascii="Times New Roman" w:hAnsi="Times New Roman" w:cs="Times New Roman" w:eastAsia="Times New Roman" w:hint="default"/>
          <w:spacing w:val="2"/>
        </w:rPr>
        <w:t>15,643,093.00</w:t>
      </w:r>
      <w:r>
        <w:rPr>
          <w:spacing w:val="2"/>
        </w:rPr>
        <w:t>元，占注册资本的</w:t>
      </w:r>
      <w:r>
        <w:rPr>
          <w:rFonts w:ascii="Times New Roman" w:hAnsi="Times New Roman" w:cs="Times New Roman" w:eastAsia="Times New Roman" w:hint="default"/>
          <w:spacing w:val="2"/>
        </w:rPr>
        <w:t>34.20%</w:t>
      </w:r>
      <w:r>
        <w:rPr>
          <w:spacing w:val="2"/>
        </w:rPr>
        <w:t>；董泰湘出资人民币</w:t>
      </w:r>
    </w:p>
    <w:p>
      <w:pPr>
        <w:pStyle w:val="BodyText"/>
        <w:spacing w:line="240" w:lineRule="auto" w:before="13"/>
        <w:ind w:right="0"/>
        <w:jc w:val="both"/>
      </w:pPr>
      <w:r>
        <w:rPr>
          <w:rFonts w:ascii="Times New Roman" w:hAnsi="Times New Roman" w:cs="Times New Roman" w:eastAsia="Times New Roman" w:hint="default"/>
          <w:spacing w:val="4"/>
        </w:rPr>
        <w:t>15,048,472.00</w:t>
      </w:r>
      <w:r>
        <w:rPr>
          <w:spacing w:val="4"/>
        </w:rPr>
        <w:t>元，占注册资本的</w:t>
      </w:r>
      <w:r>
        <w:rPr>
          <w:rFonts w:ascii="Times New Roman" w:hAnsi="Times New Roman" w:cs="Times New Roman" w:eastAsia="Times New Roman" w:hint="default"/>
          <w:spacing w:val="4"/>
        </w:rPr>
        <w:t>32.90%</w:t>
      </w:r>
      <w:r>
        <w:rPr>
          <w:spacing w:val="4"/>
        </w:rPr>
        <w:t>；赵福君出资人民币</w:t>
      </w:r>
      <w:r>
        <w:rPr>
          <w:rFonts w:ascii="Times New Roman" w:hAnsi="Times New Roman" w:cs="Times New Roman" w:eastAsia="Times New Roman" w:hint="default"/>
          <w:spacing w:val="4"/>
        </w:rPr>
        <w:t>10,840,390.00</w:t>
      </w:r>
      <w:r>
        <w:rPr>
          <w:spacing w:val="4"/>
        </w:rPr>
        <w:t>元，占注册资本的</w:t>
      </w:r>
      <w:r>
        <w:rPr>
          <w:rFonts w:ascii="Times New Roman" w:hAnsi="Times New Roman" w:cs="Times New Roman" w:eastAsia="Times New Roman" w:hint="default"/>
          <w:spacing w:val="4"/>
        </w:rPr>
        <w:t>23.70%</w:t>
      </w:r>
      <w:r>
        <w:rPr>
          <w:spacing w:val="4"/>
        </w:rPr>
        <w:t>；欧阳曜出资人民币</w:t>
      </w:r>
    </w:p>
    <w:p>
      <w:pPr>
        <w:pStyle w:val="BodyText"/>
        <w:spacing w:line="300" w:lineRule="auto" w:before="63"/>
        <w:ind w:right="1128"/>
        <w:jc w:val="both"/>
      </w:pPr>
      <w:r>
        <w:rPr>
          <w:rFonts w:ascii="Times New Roman" w:hAnsi="Times New Roman" w:cs="Times New Roman" w:eastAsia="Times New Roman" w:hint="default"/>
        </w:rPr>
        <w:t>3,018,842.00</w:t>
      </w:r>
      <w:r>
        <w:rPr/>
        <w:t>元，占注册资本的</w:t>
      </w:r>
      <w:r>
        <w:rPr>
          <w:rFonts w:ascii="Times New Roman" w:hAnsi="Times New Roman" w:cs="Times New Roman" w:eastAsia="Times New Roman" w:hint="default"/>
        </w:rPr>
        <w:t>6.60%</w:t>
      </w:r>
      <w:r>
        <w:rPr/>
        <w:t>；李坤奇出资人民币</w:t>
      </w:r>
      <w:r>
        <w:rPr>
          <w:rFonts w:ascii="Times New Roman" w:hAnsi="Times New Roman" w:cs="Times New Roman" w:eastAsia="Times New Roman" w:hint="default"/>
        </w:rPr>
        <w:t>594,620.00</w:t>
      </w:r>
      <w:r>
        <w:rPr/>
        <w:t>元，占注册资本的</w:t>
      </w:r>
      <w:r>
        <w:rPr>
          <w:rFonts w:ascii="Times New Roman" w:hAnsi="Times New Roman" w:cs="Times New Roman" w:eastAsia="Times New Roman" w:hint="default"/>
        </w:rPr>
        <w:t>1.30%</w:t>
      </w:r>
      <w:r>
        <w:rPr/>
        <w:t>；施瑞丰出资人民币</w:t>
      </w:r>
      <w:r>
        <w:rPr>
          <w:rFonts w:ascii="Times New Roman" w:hAnsi="Times New Roman" w:cs="Times New Roman" w:eastAsia="Times New Roman" w:hint="default"/>
        </w:rPr>
        <w:t>594,620.00</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t>元，占注册资本的</w:t>
      </w:r>
      <w:r>
        <w:rPr>
          <w:rFonts w:ascii="Times New Roman" w:hAnsi="Times New Roman" w:cs="Times New Roman" w:eastAsia="Times New Roman" w:hint="default"/>
        </w:rPr>
        <w:t>1.30%</w:t>
      </w:r>
      <w:r>
        <w:rPr/>
        <w:t>。上述行为业经中鸿信建元会计师事务所有限责任公司审验，并出具中鸿信建元验字</w:t>
      </w:r>
      <w:r>
        <w:rPr>
          <w:rFonts w:ascii="Times New Roman" w:hAnsi="Times New Roman" w:cs="Times New Roman" w:eastAsia="Times New Roman" w:hint="default"/>
        </w:rPr>
        <w:t>[2001]</w:t>
      </w:r>
      <w:r>
        <w:rPr/>
        <w:t>第</w:t>
      </w:r>
      <w:r>
        <w:rPr>
          <w:rFonts w:ascii="Times New Roman" w:hAnsi="Times New Roman" w:cs="Times New Roman" w:eastAsia="Times New Roman" w:hint="default"/>
        </w:rPr>
        <w:t>61</w:t>
      </w:r>
      <w:r>
        <w:rPr/>
        <w:t>号</w:t>
      </w:r>
      <w:r>
        <w:rPr>
          <w:spacing w:val="-43"/>
        </w:rPr>
        <w:t> </w:t>
      </w:r>
      <w:r>
        <w:rPr/>
        <w:t>验资报告予以验证。</w:t>
      </w:r>
    </w:p>
    <w:p>
      <w:pPr>
        <w:spacing w:line="240" w:lineRule="auto" w:before="12"/>
        <w:rPr>
          <w:rFonts w:ascii="宋体" w:hAnsi="宋体" w:cs="宋体" w:eastAsia="宋体" w:hint="default"/>
          <w:sz w:val="18"/>
          <w:szCs w:val="18"/>
        </w:rPr>
      </w:pPr>
    </w:p>
    <w:p>
      <w:pPr>
        <w:pStyle w:val="BodyText"/>
        <w:spacing w:line="300" w:lineRule="auto"/>
        <w:ind w:right="1128"/>
        <w:jc w:val="both"/>
      </w:pPr>
      <w:r>
        <w:rPr>
          <w:spacing w:val="2"/>
        </w:rPr>
        <w:t>根据本公司</w:t>
      </w:r>
      <w:r>
        <w:rPr>
          <w:rFonts w:ascii="Times New Roman" w:hAnsi="Times New Roman" w:cs="Times New Roman" w:eastAsia="Times New Roman" w:hint="default"/>
          <w:spacing w:val="2"/>
        </w:rPr>
        <w:t>2007</w:t>
      </w:r>
      <w:r>
        <w:rPr>
          <w:spacing w:val="2"/>
        </w:rPr>
        <w:t>年度和</w:t>
      </w:r>
      <w:r>
        <w:rPr>
          <w:rFonts w:ascii="Times New Roman" w:hAnsi="Times New Roman" w:cs="Times New Roman" w:eastAsia="Times New Roman" w:hint="default"/>
          <w:spacing w:val="2"/>
        </w:rPr>
        <w:t>2008</w:t>
      </w:r>
      <w:r>
        <w:rPr>
          <w:spacing w:val="2"/>
        </w:rPr>
        <w:t>年度股东大会决议和中国证券监督管理委员会证监许可</w:t>
      </w:r>
      <w:r>
        <w:rPr>
          <w:rFonts w:ascii="Times New Roman" w:hAnsi="Times New Roman" w:cs="Times New Roman" w:eastAsia="Times New Roman" w:hint="default"/>
          <w:spacing w:val="2"/>
        </w:rPr>
        <w:t>[2009]671</w:t>
      </w:r>
      <w:r>
        <w:rPr>
          <w:spacing w:val="2"/>
        </w:rPr>
        <w:t>号</w:t>
      </w:r>
      <w:r>
        <w:rPr>
          <w:rFonts w:ascii="Times New Roman" w:hAnsi="Times New Roman" w:cs="Times New Roman" w:eastAsia="Times New Roman" w:hint="default"/>
          <w:spacing w:val="2"/>
        </w:rPr>
        <w:t>“</w:t>
      </w:r>
      <w:r>
        <w:rPr>
          <w:spacing w:val="2"/>
        </w:rPr>
        <w:t>关于核准北京久其软件股</w:t>
      </w:r>
      <w:r>
        <w:rPr>
          <w:spacing w:val="-73"/>
        </w:rPr>
        <w:t> </w:t>
      </w:r>
      <w:r>
        <w:rPr>
          <w:spacing w:val="-73"/>
        </w:rPr>
      </w:r>
      <w:r>
        <w:rPr/>
        <w:t>份有限公司首次公开发行股票的批复</w:t>
      </w:r>
      <w:r>
        <w:rPr>
          <w:rFonts w:ascii="Times New Roman" w:hAnsi="Times New Roman" w:cs="Times New Roman" w:eastAsia="Times New Roman" w:hint="default"/>
        </w:rPr>
        <w:t>”</w:t>
      </w:r>
      <w:r>
        <w:rPr/>
        <w:t>规定，本公司于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4</w:t>
      </w:r>
      <w:r>
        <w:rPr/>
        <w:t>日前向不特定对象公开募集股份（</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1,530</w:t>
      </w:r>
      <w:r>
        <w:rPr/>
        <w:t>万股，增加</w:t>
      </w:r>
      <w:r>
        <w:rPr>
          <w:spacing w:val="-71"/>
        </w:rPr>
        <w:t> </w:t>
      </w:r>
      <w:r>
        <w:rPr>
          <w:spacing w:val="-1"/>
        </w:rPr>
        <w:t>注册资本</w:t>
      </w:r>
      <w:r>
        <w:rPr>
          <w:rFonts w:ascii="Times New Roman" w:hAnsi="Times New Roman" w:cs="Times New Roman" w:eastAsia="Times New Roman" w:hint="default"/>
          <w:spacing w:val="-1"/>
        </w:rPr>
        <w:t>1,530</w:t>
      </w:r>
      <w:r>
        <w:rPr>
          <w:spacing w:val="-1"/>
        </w:rPr>
        <w:t>万元，变更后的注册资本为人民币</w:t>
      </w:r>
      <w:r>
        <w:rPr>
          <w:rFonts w:ascii="Times New Roman" w:hAnsi="Times New Roman" w:cs="Times New Roman" w:eastAsia="Times New Roman" w:hint="default"/>
          <w:spacing w:val="-1"/>
        </w:rPr>
        <w:t>6,104.0037</w:t>
      </w:r>
      <w:r>
        <w:rPr>
          <w:spacing w:val="-1"/>
        </w:rPr>
        <w:t>万元，上述募集资金到位情况业经大信会计师事务有限公司予以</w:t>
      </w:r>
      <w:r>
        <w:rPr>
          <w:spacing w:val="-72"/>
        </w:rPr>
        <w:t> </w:t>
      </w:r>
      <w:r>
        <w:rPr>
          <w:spacing w:val="-72"/>
        </w:rPr>
      </w:r>
      <w:r>
        <w:rPr/>
        <w:t>验证，并出具大信验字</w:t>
      </w:r>
      <w:r>
        <w:rPr>
          <w:rFonts w:ascii="Times New Roman" w:hAnsi="Times New Roman" w:cs="Times New Roman" w:eastAsia="Times New Roman" w:hint="default"/>
        </w:rPr>
        <w:t>[2009]</w:t>
      </w:r>
      <w:r>
        <w:rPr/>
        <w:t>第</w:t>
      </w:r>
      <w:r>
        <w:rPr>
          <w:rFonts w:ascii="Times New Roman" w:hAnsi="Times New Roman" w:cs="Times New Roman" w:eastAsia="Times New Roman" w:hint="default"/>
        </w:rPr>
        <w:t>1-0021</w:t>
      </w:r>
      <w:r>
        <w:rPr/>
        <w:t>号《验资报告》。</w:t>
      </w:r>
    </w:p>
    <w:p>
      <w:pPr>
        <w:spacing w:line="240" w:lineRule="auto" w:before="7"/>
        <w:rPr>
          <w:rFonts w:ascii="宋体" w:hAnsi="宋体" w:cs="宋体" w:eastAsia="宋体" w:hint="default"/>
          <w:sz w:val="17"/>
          <w:szCs w:val="17"/>
        </w:rPr>
      </w:pPr>
    </w:p>
    <w:p>
      <w:pPr>
        <w:pStyle w:val="BodyText"/>
        <w:spacing w:line="300" w:lineRule="auto"/>
        <w:ind w:right="1128"/>
        <w:jc w:val="both"/>
      </w:pPr>
      <w:r>
        <w:rPr>
          <w:rFonts w:ascii="Times New Roman" w:hAnsi="Times New Roman" w:cs="Times New Roman" w:eastAsia="Times New Roman" w:hint="default"/>
          <w:spacing w:val="-7"/>
        </w:rPr>
        <w:t>2010</w:t>
      </w:r>
      <w:r>
        <w:rPr>
          <w:spacing w:val="-7"/>
        </w:rPr>
        <w:t>年</w:t>
      </w:r>
      <w:r>
        <w:rPr>
          <w:rFonts w:ascii="Times New Roman" w:hAnsi="Times New Roman" w:cs="Times New Roman" w:eastAsia="Times New Roman" w:hint="default"/>
          <w:spacing w:val="-7"/>
        </w:rPr>
        <w:t>5</w:t>
      </w:r>
      <w:r>
        <w:rPr>
          <w:spacing w:val="-7"/>
        </w:rPr>
        <w:t>月，根据</w:t>
      </w:r>
      <w:r>
        <w:rPr>
          <w:rFonts w:ascii="Times New Roman" w:hAnsi="Times New Roman" w:cs="Times New Roman" w:eastAsia="Times New Roman" w:hint="default"/>
          <w:spacing w:val="-7"/>
        </w:rPr>
        <w:t>2009</w:t>
      </w:r>
      <w:r>
        <w:rPr>
          <w:spacing w:val="-7"/>
        </w:rPr>
        <w:t>年度股东大会通过的有关决议，公司以</w:t>
      </w:r>
      <w:r>
        <w:rPr>
          <w:rFonts w:ascii="Times New Roman" w:hAnsi="Times New Roman" w:cs="Times New Roman" w:eastAsia="Times New Roman" w:hint="default"/>
          <w:spacing w:val="-7"/>
        </w:rPr>
        <w:t>2009</w:t>
      </w:r>
      <w:r>
        <w:rPr>
          <w:spacing w:val="-7"/>
        </w:rPr>
        <w:t>年</w:t>
      </w:r>
      <w:r>
        <w:rPr>
          <w:rFonts w:ascii="Times New Roman" w:hAnsi="Times New Roman" w:cs="Times New Roman" w:eastAsia="Times New Roman" w:hint="default"/>
          <w:spacing w:val="-7"/>
        </w:rPr>
        <w:t>12</w:t>
      </w:r>
      <w:r>
        <w:rPr>
          <w:spacing w:val="-7"/>
        </w:rPr>
        <w:t>月</w:t>
      </w:r>
      <w:r>
        <w:rPr>
          <w:rFonts w:ascii="Times New Roman" w:hAnsi="Times New Roman" w:cs="Times New Roman" w:eastAsia="Times New Roman" w:hint="default"/>
          <w:spacing w:val="-7"/>
        </w:rPr>
        <w:t>31</w:t>
      </w:r>
      <w:r>
        <w:rPr>
          <w:spacing w:val="-7"/>
        </w:rPr>
        <w:t>日总股本为基数，每</w:t>
      </w:r>
      <w:r>
        <w:rPr>
          <w:rFonts w:ascii="Times New Roman" w:hAnsi="Times New Roman" w:cs="Times New Roman" w:eastAsia="Times New Roman" w:hint="default"/>
          <w:spacing w:val="-7"/>
        </w:rPr>
        <w:t>10</w:t>
      </w:r>
      <w:r>
        <w:rPr>
          <w:spacing w:val="-7"/>
        </w:rPr>
        <w:t>股派发现金股利</w:t>
      </w:r>
      <w:r>
        <w:rPr>
          <w:rFonts w:ascii="Times New Roman" w:hAnsi="Times New Roman" w:cs="Times New Roman" w:eastAsia="Times New Roman" w:hint="default"/>
          <w:spacing w:val="-7"/>
        </w:rPr>
        <w:t>5</w:t>
      </w:r>
      <w:r>
        <w:rPr>
          <w:spacing w:val="-7"/>
        </w:rPr>
        <w:t>元（含税），</w:t>
      </w:r>
      <w:r>
        <w:rPr>
          <w:spacing w:val="-77"/>
        </w:rPr>
        <w:t> </w:t>
      </w:r>
      <w:r>
        <w:rPr>
          <w:spacing w:val="-77"/>
        </w:rPr>
      </w:r>
      <w:r>
        <w:rPr>
          <w:spacing w:val="-1"/>
        </w:rPr>
        <w:t>共计派送现金</w:t>
      </w:r>
      <w:r>
        <w:rPr>
          <w:rFonts w:ascii="Times New Roman" w:hAnsi="Times New Roman" w:cs="Times New Roman" w:eastAsia="Times New Roman" w:hint="default"/>
          <w:spacing w:val="-1"/>
        </w:rPr>
        <w:t>30,520,018.50</w:t>
      </w:r>
      <w:r>
        <w:rPr>
          <w:spacing w:val="-1"/>
        </w:rPr>
        <w:t>元；并以资本公积向全体股东每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8</w:t>
      </w:r>
      <w:r>
        <w:rPr>
          <w:spacing w:val="-1"/>
        </w:rPr>
        <w:t>股，共计转增</w:t>
      </w:r>
      <w:r>
        <w:rPr>
          <w:rFonts w:ascii="Times New Roman" w:hAnsi="Times New Roman" w:cs="Times New Roman" w:eastAsia="Times New Roman" w:hint="default"/>
          <w:spacing w:val="-1"/>
        </w:rPr>
        <w:t>48,832,029</w:t>
      </w:r>
      <w:r>
        <w:rPr>
          <w:spacing w:val="-1"/>
        </w:rPr>
        <w:t>股，转增后公司注册资本变更</w:t>
      </w:r>
      <w:r>
        <w:rPr>
          <w:spacing w:val="-75"/>
        </w:rPr>
        <w:t> </w:t>
      </w:r>
      <w:r>
        <w:rPr>
          <w:spacing w:val="-75"/>
        </w:rPr>
      </w:r>
      <w:r>
        <w:rPr/>
        <w:t>为</w:t>
      </w:r>
      <w:r>
        <w:rPr>
          <w:rFonts w:ascii="Times New Roman" w:hAnsi="Times New Roman" w:cs="Times New Roman" w:eastAsia="Times New Roman" w:hint="default"/>
        </w:rPr>
        <w:t>10,987.2066</w:t>
      </w:r>
      <w:r>
        <w:rPr/>
        <w:t>万元，上述变更业经大信会计师事务有限公司出具大信验资</w:t>
      </w:r>
      <w:r>
        <w:rPr>
          <w:rFonts w:ascii="Times New Roman" w:hAnsi="Times New Roman" w:cs="Times New Roman" w:eastAsia="Times New Roman" w:hint="default"/>
        </w:rPr>
        <w:t>[2010]</w:t>
      </w:r>
      <w:r>
        <w:rPr/>
        <w:t>第</w:t>
      </w:r>
      <w:r>
        <w:rPr>
          <w:rFonts w:ascii="Times New Roman" w:hAnsi="Times New Roman" w:cs="Times New Roman" w:eastAsia="Times New Roman" w:hint="default"/>
        </w:rPr>
        <w:t>1-0030</w:t>
      </w:r>
      <w:r>
        <w:rPr/>
        <w:t>号验资报告予以验证。</w:t>
      </w:r>
    </w:p>
    <w:p>
      <w:pPr>
        <w:spacing w:line="240" w:lineRule="auto" w:before="7"/>
        <w:rPr>
          <w:rFonts w:ascii="宋体" w:hAnsi="宋体" w:cs="宋体" w:eastAsia="宋体" w:hint="default"/>
          <w:sz w:val="17"/>
          <w:szCs w:val="17"/>
        </w:rPr>
      </w:pPr>
    </w:p>
    <w:p>
      <w:pPr>
        <w:pStyle w:val="BodyText"/>
        <w:spacing w:line="300" w:lineRule="auto"/>
        <w:ind w:right="1128"/>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月，根据</w:t>
      </w:r>
      <w:r>
        <w:rPr>
          <w:rFonts w:ascii="Times New Roman" w:hAnsi="Times New Roman" w:cs="Times New Roman" w:eastAsia="Times New Roman" w:hint="default"/>
        </w:rPr>
        <w:t>2011</w:t>
      </w:r>
      <w:r>
        <w:rPr/>
        <w:t>年度股东大会通过的有关决议，公司以</w:t>
      </w:r>
      <w:r>
        <w:rPr>
          <w:rFonts w:ascii="Times New Roman" w:hAnsi="Times New Roman" w:cs="Times New Roman" w:eastAsia="Times New Roman" w:hint="default"/>
        </w:rPr>
        <w:t>2011</w:t>
      </w:r>
      <w:r>
        <w:rPr/>
        <w:t>年末总股本</w:t>
      </w:r>
      <w:r>
        <w:rPr>
          <w:rFonts w:ascii="Times New Roman" w:hAnsi="Times New Roman" w:cs="Times New Roman" w:eastAsia="Times New Roman" w:hint="default"/>
        </w:rPr>
        <w:t>109,872,066</w:t>
      </w:r>
      <w:r>
        <w:rPr/>
        <w:t>股为基数，每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2</w:t>
      </w:r>
      <w:r>
        <w:rPr>
          <w:rFonts w:ascii="Times New Roman" w:hAnsi="Times New Roman" w:cs="Times New Roman" w:eastAsia="Times New Roman" w:hint="default"/>
          <w:spacing w:val="36"/>
        </w:rPr>
        <w:t> </w:t>
      </w:r>
      <w:r>
        <w:rPr>
          <w:spacing w:val="-3"/>
        </w:rPr>
        <w:t>元</w:t>
      </w:r>
      <w:r>
        <w:rPr>
          <w:rFonts w:ascii="Times New Roman" w:hAnsi="Times New Roman" w:cs="Times New Roman" w:eastAsia="Times New Roman" w:hint="default"/>
          <w:spacing w:val="-3"/>
        </w:rPr>
        <w:t>(</w:t>
      </w:r>
      <w:r>
        <w:rPr>
          <w:spacing w:val="-3"/>
        </w:rPr>
        <w:t>含税</w:t>
      </w:r>
      <w:r>
        <w:rPr>
          <w:rFonts w:ascii="Times New Roman" w:hAnsi="Times New Roman" w:cs="Times New Roman" w:eastAsia="Times New Roman" w:hint="default"/>
          <w:spacing w:val="-3"/>
        </w:rPr>
        <w:t>)</w:t>
      </w:r>
      <w:r>
        <w:rPr>
          <w:spacing w:val="-3"/>
        </w:rPr>
        <w:t>，共计派发现金股利</w:t>
      </w:r>
      <w:r>
        <w:rPr>
          <w:rFonts w:ascii="Times New Roman" w:hAnsi="Times New Roman" w:cs="Times New Roman" w:eastAsia="Times New Roman" w:hint="default"/>
          <w:spacing w:val="-3"/>
        </w:rPr>
        <w:t>21,974,413.20</w:t>
      </w:r>
      <w:r>
        <w:rPr>
          <w:spacing w:val="-3"/>
        </w:rPr>
        <w:t>元；并以资本公积向全体股东每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6</w:t>
      </w:r>
      <w:r>
        <w:rPr>
          <w:spacing w:val="-3"/>
        </w:rPr>
        <w:t>股，共计转增</w:t>
      </w:r>
      <w:r>
        <w:rPr>
          <w:rFonts w:ascii="Times New Roman" w:hAnsi="Times New Roman" w:cs="Times New Roman" w:eastAsia="Times New Roman" w:hint="default"/>
          <w:spacing w:val="-3"/>
        </w:rPr>
        <w:t>65,923,239</w:t>
      </w:r>
      <w:r>
        <w:rPr>
          <w:spacing w:val="-3"/>
        </w:rPr>
        <w:t>股，经转增后，</w:t>
      </w:r>
      <w:r>
        <w:rPr>
          <w:spacing w:val="-49"/>
        </w:rPr>
        <w:t> </w:t>
      </w:r>
      <w:r>
        <w:rPr>
          <w:spacing w:val="-49"/>
        </w:rPr>
      </w:r>
      <w:r>
        <w:rPr>
          <w:spacing w:val="4"/>
        </w:rPr>
        <w:t>公司的注册资本由原来的</w:t>
      </w:r>
      <w:r>
        <w:rPr>
          <w:rFonts w:ascii="Times New Roman" w:hAnsi="Times New Roman" w:cs="Times New Roman" w:eastAsia="Times New Roman" w:hint="default"/>
          <w:spacing w:val="4"/>
        </w:rPr>
        <w:t>10,987.2066</w:t>
      </w:r>
      <w:r>
        <w:rPr>
          <w:spacing w:val="4"/>
        </w:rPr>
        <w:t>万元变更为</w:t>
      </w:r>
      <w:r>
        <w:rPr>
          <w:rFonts w:ascii="Times New Roman" w:hAnsi="Times New Roman" w:cs="Times New Roman" w:eastAsia="Times New Roman" w:hint="default"/>
          <w:spacing w:val="4"/>
        </w:rPr>
        <w:t>17,579.5305</w:t>
      </w:r>
      <w:r>
        <w:rPr>
          <w:spacing w:val="4"/>
        </w:rPr>
        <w:t>万元，上述变更业经大信会计师事务有限公司出具大信验字</w:t>
      </w:r>
      <w:r>
        <w:rPr/>
        <w:t> </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1-0056</w:t>
      </w:r>
      <w:r>
        <w:rPr/>
        <w:t>号验资报告予以验证。</w:t>
      </w:r>
    </w:p>
    <w:p>
      <w:pPr>
        <w:spacing w:line="240" w:lineRule="auto" w:before="7"/>
        <w:rPr>
          <w:rFonts w:ascii="宋体" w:hAnsi="宋体" w:cs="宋体" w:eastAsia="宋体" w:hint="default"/>
          <w:sz w:val="17"/>
          <w:szCs w:val="17"/>
        </w:rPr>
      </w:pPr>
    </w:p>
    <w:p>
      <w:pPr>
        <w:pStyle w:val="BodyText"/>
        <w:spacing w:line="300" w:lineRule="auto"/>
        <w:ind w:right="113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月，根据</w:t>
      </w:r>
      <w:r>
        <w:rPr>
          <w:rFonts w:ascii="Times New Roman" w:hAnsi="Times New Roman" w:cs="Times New Roman" w:eastAsia="Times New Roman" w:hint="default"/>
        </w:rPr>
        <w:t>2014</w:t>
      </w:r>
      <w:r>
        <w:rPr/>
        <w:t>年度第二次临时股东大会有关决议、中国证券监督管理委员会证监许可〔</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1400</w:t>
      </w:r>
      <w:r>
        <w:rPr/>
        <w:t>号《关于核准北 </w:t>
      </w:r>
      <w:r>
        <w:rPr>
          <w:spacing w:val="-3"/>
        </w:rPr>
        <w:t>京久其软件股份有限公司向王新等发行股份购买资产并募集配套资金的批复》核准，公司增加注册资本人民币</w:t>
      </w:r>
      <w:r>
        <w:rPr>
          <w:rFonts w:ascii="Times New Roman" w:hAnsi="Times New Roman" w:cs="Times New Roman" w:eastAsia="Times New Roman" w:hint="default"/>
          <w:spacing w:val="-3"/>
        </w:rPr>
        <w:t>22,403,432</w:t>
      </w:r>
      <w:r>
        <w:rPr>
          <w:spacing w:val="-3"/>
        </w:rPr>
        <w:t>元，</w:t>
      </w:r>
      <w:r>
        <w:rPr>
          <w:spacing w:val="-87"/>
        </w:rPr>
        <w:t> </w:t>
      </w:r>
      <w:r>
        <w:rPr>
          <w:spacing w:val="-1"/>
        </w:rPr>
        <w:t>变更后注册资本为人民币</w:t>
      </w:r>
      <w:r>
        <w:rPr>
          <w:rFonts w:ascii="Times New Roman" w:hAnsi="Times New Roman" w:cs="Times New Roman" w:eastAsia="Times New Roman" w:hint="default"/>
          <w:spacing w:val="-1"/>
        </w:rPr>
        <w:t>198,198,737</w:t>
      </w:r>
      <w:r>
        <w:rPr>
          <w:spacing w:val="-1"/>
        </w:rPr>
        <w:t>元。上述变更业经立信会计师事务所（特殊普通合伙）出具信会师报字</w:t>
      </w:r>
      <w:r>
        <w:rPr>
          <w:rFonts w:ascii="Times New Roman" w:hAnsi="Times New Roman" w:cs="Times New Roman" w:eastAsia="Times New Roman" w:hint="default"/>
          <w:spacing w:val="-1"/>
        </w:rPr>
        <w:t>[2015]</w:t>
      </w:r>
      <w:r>
        <w:rPr>
          <w:spacing w:val="-1"/>
        </w:rPr>
        <w:t>第</w:t>
      </w:r>
      <w:r>
        <w:rPr>
          <w:rFonts w:ascii="Times New Roman" w:hAnsi="Times New Roman" w:cs="Times New Roman" w:eastAsia="Times New Roman" w:hint="default"/>
          <w:spacing w:val="-1"/>
        </w:rPr>
        <w:t>710009</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t>号验资报告予以验证。</w:t>
      </w:r>
    </w:p>
    <w:p>
      <w:pPr>
        <w:spacing w:line="240" w:lineRule="auto" w:before="12"/>
        <w:rPr>
          <w:rFonts w:ascii="宋体" w:hAnsi="宋体" w:cs="宋体" w:eastAsia="宋体" w:hint="default"/>
          <w:sz w:val="18"/>
          <w:szCs w:val="18"/>
        </w:rPr>
      </w:pPr>
    </w:p>
    <w:p>
      <w:pPr>
        <w:pStyle w:val="BodyText"/>
        <w:spacing w:line="300" w:lineRule="auto"/>
        <w:ind w:right="1129"/>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月，经</w:t>
      </w:r>
      <w:r>
        <w:rPr>
          <w:rFonts w:ascii="Times New Roman" w:hAnsi="Times New Roman" w:cs="Times New Roman" w:eastAsia="Times New Roman" w:hint="default"/>
        </w:rPr>
        <w:t>2014</w:t>
      </w:r>
      <w:r>
        <w:rPr/>
        <w:t>年度股东大会决议通过《关于定向回购王新、李勇</w:t>
      </w:r>
      <w:r>
        <w:rPr>
          <w:rFonts w:ascii="Times New Roman" w:hAnsi="Times New Roman" w:cs="Times New Roman" w:eastAsia="Times New Roman" w:hint="default"/>
        </w:rPr>
        <w:t>2014</w:t>
      </w:r>
      <w:r>
        <w:rPr/>
        <w:t>年度应补偿股份的议案》，公司于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9</w:t>
      </w:r>
      <w:r>
        <w:rPr/>
        <w:t>日 </w:t>
      </w:r>
      <w:r>
        <w:rPr>
          <w:spacing w:val="-2"/>
        </w:rPr>
        <w:t>完成了对业绩补偿股份的定向回购和注销事宜，致使公司总股本减至</w:t>
      </w:r>
      <w:r>
        <w:rPr>
          <w:rFonts w:ascii="Times New Roman" w:hAnsi="Times New Roman" w:cs="Times New Roman" w:eastAsia="Times New Roman" w:hint="default"/>
          <w:spacing w:val="-2"/>
        </w:rPr>
        <w:t>197,810,840</w:t>
      </w:r>
      <w:r>
        <w:rPr>
          <w:spacing w:val="-2"/>
        </w:rPr>
        <w:t>股。上述变更业经立信会计师事务所（特殊</w:t>
      </w:r>
      <w:r>
        <w:rPr>
          <w:spacing w:val="-54"/>
        </w:rPr>
        <w:t> </w:t>
      </w:r>
      <w:r>
        <w:rPr>
          <w:spacing w:val="-54"/>
        </w:rPr>
      </w:r>
      <w:r>
        <w:rPr/>
        <w:t>普通合伙）出具信会师报字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711263</w:t>
      </w:r>
      <w:r>
        <w:rPr/>
        <w:t>号验资报告予以验证。</w:t>
      </w:r>
    </w:p>
    <w:p>
      <w:pPr>
        <w:spacing w:after="0" w:line="300" w:lineRule="auto"/>
        <w:jc w:val="both"/>
        <w:sectPr>
          <w:headerReference w:type="default" r:id="rId30"/>
          <w:footerReference w:type="default" r:id="rId31"/>
          <w:pgSz w:w="11910" w:h="16840"/>
          <w:pgMar w:header="877" w:footer="980" w:top="1100" w:bottom="1160" w:left="980" w:right="0"/>
          <w:pgNumType w:start="113"/>
        </w:sectPr>
      </w:pPr>
    </w:p>
    <w:p>
      <w:pPr>
        <w:spacing w:line="240" w:lineRule="auto" w:before="11"/>
        <w:rPr>
          <w:rFonts w:ascii="宋体" w:hAnsi="宋体" w:cs="宋体" w:eastAsia="宋体" w:hint="default"/>
          <w:sz w:val="21"/>
          <w:szCs w:val="21"/>
        </w:rPr>
      </w:pPr>
    </w:p>
    <w:p>
      <w:pPr>
        <w:pStyle w:val="BodyText"/>
        <w:spacing w:line="300" w:lineRule="auto" w:before="44"/>
        <w:ind w:right="1128"/>
        <w:jc w:val="both"/>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月，根据</w:t>
      </w:r>
      <w:r>
        <w:rPr>
          <w:rFonts w:ascii="Times New Roman" w:hAnsi="Times New Roman" w:cs="Times New Roman" w:eastAsia="Times New Roman" w:hint="default"/>
          <w:spacing w:val="-1"/>
        </w:rPr>
        <w:t>2015</w:t>
      </w:r>
      <w:r>
        <w:rPr>
          <w:spacing w:val="-1"/>
        </w:rPr>
        <w:t>年第二次临时股东大会有关决议、中国证监会证监许可</w:t>
      </w:r>
      <w:r>
        <w:rPr>
          <w:rFonts w:ascii="Times New Roman" w:hAnsi="Times New Roman" w:cs="Times New Roman" w:eastAsia="Times New Roman" w:hint="default"/>
          <w:spacing w:val="-1"/>
        </w:rPr>
        <w:t>[2015]2490</w:t>
      </w:r>
      <w:r>
        <w:rPr>
          <w:spacing w:val="-1"/>
        </w:rPr>
        <w:t>号《关于核准北京久其软件股份有</w:t>
      </w:r>
      <w:r>
        <w:rPr>
          <w:spacing w:val="-61"/>
        </w:rPr>
        <w:t> </w:t>
      </w:r>
      <w:r>
        <w:rPr>
          <w:spacing w:val="-61"/>
        </w:rPr>
      </w:r>
      <w:r>
        <w:rPr/>
        <w:t>限公司向栗军等发行股份购买资产并募集配套资金的批复》核准，公司增加注册资本人民币</w:t>
      </w:r>
      <w:r>
        <w:rPr>
          <w:rFonts w:ascii="Times New Roman" w:hAnsi="Times New Roman" w:cs="Times New Roman" w:eastAsia="Times New Roman" w:hint="default"/>
        </w:rPr>
        <w:t>18,785,940</w:t>
      </w:r>
      <w:r>
        <w:rPr/>
        <w:t>元，变更后的注册资</w:t>
      </w:r>
      <w:r>
        <w:rPr>
          <w:spacing w:val="-85"/>
        </w:rPr>
        <w:t> </w:t>
      </w:r>
      <w:r>
        <w:rPr>
          <w:spacing w:val="-85"/>
        </w:rPr>
      </w:r>
      <w:r>
        <w:rPr>
          <w:spacing w:val="-1"/>
        </w:rPr>
        <w:t>本为人民币</w:t>
      </w:r>
      <w:r>
        <w:rPr>
          <w:rFonts w:ascii="Times New Roman" w:hAnsi="Times New Roman" w:cs="Times New Roman" w:eastAsia="Times New Roman" w:hint="default"/>
          <w:spacing w:val="-1"/>
        </w:rPr>
        <w:t>216,596,780</w:t>
      </w:r>
      <w:r>
        <w:rPr>
          <w:spacing w:val="-1"/>
        </w:rPr>
        <w:t>元。上述变更业经立信会计师事务所（特殊普通合伙）出具信会师报字</w:t>
      </w:r>
      <w:r>
        <w:rPr>
          <w:rFonts w:ascii="Times New Roman" w:hAnsi="Times New Roman" w:cs="Times New Roman" w:eastAsia="Times New Roman" w:hint="default"/>
          <w:spacing w:val="-1"/>
        </w:rPr>
        <w:t>[2015]</w:t>
      </w:r>
      <w:r>
        <w:rPr>
          <w:spacing w:val="-1"/>
        </w:rPr>
        <w:t>第</w:t>
      </w:r>
      <w:r>
        <w:rPr>
          <w:rFonts w:ascii="Times New Roman" w:hAnsi="Times New Roman" w:cs="Times New Roman" w:eastAsia="Times New Roman" w:hint="default"/>
          <w:spacing w:val="-1"/>
        </w:rPr>
        <w:t>711575</w:t>
      </w:r>
      <w:r>
        <w:rPr>
          <w:spacing w:val="-1"/>
        </w:rPr>
        <w:t>号验资报告予</w:t>
      </w:r>
      <w:r>
        <w:rPr>
          <w:spacing w:val="-57"/>
        </w:rPr>
        <w:t> </w:t>
      </w:r>
      <w:r>
        <w:rPr>
          <w:spacing w:val="-57"/>
        </w:rPr>
      </w:r>
      <w:r>
        <w:rPr/>
        <w:t>以验证。</w:t>
      </w:r>
    </w:p>
    <w:p>
      <w:pPr>
        <w:spacing w:line="240" w:lineRule="auto" w:before="12"/>
        <w:rPr>
          <w:rFonts w:ascii="宋体" w:hAnsi="宋体" w:cs="宋体" w:eastAsia="宋体" w:hint="default"/>
          <w:sz w:val="18"/>
          <w:szCs w:val="18"/>
        </w:rPr>
      </w:pPr>
    </w:p>
    <w:p>
      <w:pPr>
        <w:pStyle w:val="BodyText"/>
        <w:spacing w:line="300" w:lineRule="auto"/>
        <w:ind w:right="1128"/>
        <w:jc w:val="both"/>
      </w:pPr>
      <w:r>
        <w:rPr>
          <w:rFonts w:ascii="Times New Roman" w:hAnsi="Times New Roman" w:cs="Times New Roman" w:eastAsia="Times New Roman" w:hint="default"/>
          <w:spacing w:val="-7"/>
        </w:rPr>
        <w:t>2016</w:t>
      </w:r>
      <w:r>
        <w:rPr>
          <w:spacing w:val="-7"/>
        </w:rPr>
        <w:t>年</w:t>
      </w:r>
      <w:r>
        <w:rPr>
          <w:rFonts w:ascii="Times New Roman" w:hAnsi="Times New Roman" w:cs="Times New Roman" w:eastAsia="Times New Roman" w:hint="default"/>
          <w:spacing w:val="-7"/>
        </w:rPr>
        <w:t>5</w:t>
      </w:r>
      <w:r>
        <w:rPr>
          <w:spacing w:val="-7"/>
        </w:rPr>
        <w:t>月，根据</w:t>
      </w:r>
      <w:r>
        <w:rPr>
          <w:rFonts w:ascii="Times New Roman" w:hAnsi="Times New Roman" w:cs="Times New Roman" w:eastAsia="Times New Roman" w:hint="default"/>
          <w:spacing w:val="-7"/>
        </w:rPr>
        <w:t>2015</w:t>
      </w:r>
      <w:r>
        <w:rPr>
          <w:spacing w:val="-7"/>
        </w:rPr>
        <w:t>年度股东大会通过的有关决议，公司以</w:t>
      </w:r>
      <w:r>
        <w:rPr>
          <w:rFonts w:ascii="Times New Roman" w:hAnsi="Times New Roman" w:cs="Times New Roman" w:eastAsia="Times New Roman" w:hint="default"/>
          <w:spacing w:val="-7"/>
        </w:rPr>
        <w:t>2015</w:t>
      </w:r>
      <w:r>
        <w:rPr>
          <w:spacing w:val="-7"/>
        </w:rPr>
        <w:t>年</w:t>
      </w:r>
      <w:r>
        <w:rPr>
          <w:rFonts w:ascii="Times New Roman" w:hAnsi="Times New Roman" w:cs="Times New Roman" w:eastAsia="Times New Roman" w:hint="default"/>
          <w:spacing w:val="-7"/>
        </w:rPr>
        <w:t>12</w:t>
      </w:r>
      <w:r>
        <w:rPr>
          <w:spacing w:val="-7"/>
        </w:rPr>
        <w:t>月</w:t>
      </w:r>
      <w:r>
        <w:rPr>
          <w:rFonts w:ascii="Times New Roman" w:hAnsi="Times New Roman" w:cs="Times New Roman" w:eastAsia="Times New Roman" w:hint="default"/>
          <w:spacing w:val="-7"/>
        </w:rPr>
        <w:t>31</w:t>
      </w:r>
      <w:r>
        <w:rPr>
          <w:spacing w:val="-7"/>
        </w:rPr>
        <w:t>日总股本为基数，每</w:t>
      </w:r>
      <w:r>
        <w:rPr>
          <w:rFonts w:ascii="Times New Roman" w:hAnsi="Times New Roman" w:cs="Times New Roman" w:eastAsia="Times New Roman" w:hint="default"/>
          <w:spacing w:val="-7"/>
        </w:rPr>
        <w:t>10</w:t>
      </w:r>
      <w:r>
        <w:rPr>
          <w:spacing w:val="-7"/>
        </w:rPr>
        <w:t>股派发现金股利</w:t>
      </w:r>
      <w:r>
        <w:rPr>
          <w:rFonts w:ascii="Times New Roman" w:hAnsi="Times New Roman" w:cs="Times New Roman" w:eastAsia="Times New Roman" w:hint="default"/>
          <w:spacing w:val="-7"/>
        </w:rPr>
        <w:t>1</w:t>
      </w:r>
      <w:r>
        <w:rPr>
          <w:spacing w:val="-7"/>
        </w:rPr>
        <w:t>元（含税），</w:t>
      </w:r>
      <w:r>
        <w:rPr>
          <w:spacing w:val="-77"/>
        </w:rPr>
        <w:t> </w:t>
      </w:r>
      <w:r>
        <w:rPr>
          <w:spacing w:val="-77"/>
        </w:rPr>
      </w:r>
      <w:r>
        <w:rPr/>
        <w:t>共计派送现金</w:t>
      </w:r>
      <w:r>
        <w:rPr>
          <w:rFonts w:ascii="Times New Roman" w:hAnsi="Times New Roman" w:cs="Times New Roman" w:eastAsia="Times New Roman" w:hint="default"/>
        </w:rPr>
        <w:t>21,659,678.00</w:t>
      </w:r>
      <w:r>
        <w:rPr/>
        <w:t>元；并以资本公积向全体股东每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15</w:t>
      </w:r>
      <w:r>
        <w:rPr/>
        <w:t>股，转增后公司注册资本变更为</w:t>
      </w:r>
      <w:r>
        <w:rPr>
          <w:rFonts w:ascii="Times New Roman" w:hAnsi="Times New Roman" w:cs="Times New Roman" w:eastAsia="Times New Roman" w:hint="default"/>
        </w:rPr>
        <w:t>541,491,950.00</w:t>
      </w:r>
      <w:r>
        <w:rPr/>
        <w:t>元。</w:t>
      </w:r>
    </w:p>
    <w:p>
      <w:pPr>
        <w:spacing w:line="240" w:lineRule="auto" w:before="7"/>
        <w:rPr>
          <w:rFonts w:ascii="宋体" w:hAnsi="宋体" w:cs="宋体" w:eastAsia="宋体" w:hint="default"/>
          <w:sz w:val="17"/>
          <w:szCs w:val="17"/>
        </w:rPr>
      </w:pPr>
    </w:p>
    <w:p>
      <w:pPr>
        <w:pStyle w:val="BodyText"/>
        <w:spacing w:line="300" w:lineRule="auto"/>
        <w:ind w:right="1131"/>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月，根据</w:t>
      </w:r>
      <w:r>
        <w:rPr>
          <w:rFonts w:ascii="Times New Roman" w:hAnsi="Times New Roman" w:cs="Times New Roman" w:eastAsia="Times New Roman" w:hint="default"/>
        </w:rPr>
        <w:t>2016</w:t>
      </w:r>
      <w:r>
        <w:rPr/>
        <w:t>年度股东大会决议通过的《关于定向回购王新、李勇</w:t>
      </w:r>
      <w:r>
        <w:rPr>
          <w:rFonts w:ascii="Times New Roman" w:hAnsi="Times New Roman" w:cs="Times New Roman" w:eastAsia="Times New Roman" w:hint="default"/>
        </w:rPr>
        <w:t>2016</w:t>
      </w:r>
      <w:r>
        <w:rPr/>
        <w:t>年度应补偿股份暨关联交易的议案》，公司 </w:t>
      </w:r>
      <w:r>
        <w:rPr>
          <w:spacing w:val="-2"/>
        </w:rPr>
        <w:t>以</w:t>
      </w:r>
      <w:r>
        <w:rPr>
          <w:rFonts w:ascii="Times New Roman" w:hAnsi="Times New Roman" w:cs="Times New Roman" w:eastAsia="Times New Roman" w:hint="default"/>
          <w:spacing w:val="-2"/>
        </w:rPr>
        <w:t>1</w:t>
      </w:r>
      <w:r>
        <w:rPr>
          <w:spacing w:val="-2"/>
        </w:rPr>
        <w:t>元总价回购股东王新</w:t>
      </w:r>
      <w:r>
        <w:rPr>
          <w:rFonts w:ascii="Times New Roman" w:hAnsi="Times New Roman" w:cs="Times New Roman" w:eastAsia="Times New Roman" w:hint="default"/>
          <w:spacing w:val="-2"/>
        </w:rPr>
        <w:t>125,125</w:t>
      </w:r>
      <w:r>
        <w:rPr>
          <w:spacing w:val="-2"/>
        </w:rPr>
        <w:t>股，股东李勇</w:t>
      </w:r>
      <w:r>
        <w:rPr>
          <w:rFonts w:ascii="Times New Roman" w:hAnsi="Times New Roman" w:cs="Times New Roman" w:eastAsia="Times New Roman" w:hint="default"/>
          <w:spacing w:val="-2"/>
        </w:rPr>
        <w:t>94,393</w:t>
      </w:r>
      <w:r>
        <w:rPr>
          <w:spacing w:val="-2"/>
        </w:rPr>
        <w:t>股并予以注销，本次回购的股份已于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27</w:t>
      </w:r>
      <w:r>
        <w:rPr>
          <w:spacing w:val="-2"/>
        </w:rPr>
        <w:t>日在中国证券登记结算</w:t>
      </w:r>
      <w:r>
        <w:rPr>
          <w:spacing w:val="-53"/>
        </w:rPr>
        <w:t> </w:t>
      </w:r>
      <w:r>
        <w:rPr>
          <w:spacing w:val="-53"/>
        </w:rPr>
      </w:r>
      <w:r>
        <w:rPr/>
        <w:t>有限责任公司深圳分公司完成注销手续，回购后公司注册资本变更为</w:t>
      </w:r>
      <w:r>
        <w:rPr>
          <w:rFonts w:ascii="Times New Roman" w:hAnsi="Times New Roman" w:cs="Times New Roman" w:eastAsia="Times New Roman" w:hint="default"/>
        </w:rPr>
        <w:t>541,272,432.00</w:t>
      </w:r>
      <w:r>
        <w:rPr/>
        <w:t>元。</w:t>
      </w:r>
    </w:p>
    <w:p>
      <w:pPr>
        <w:spacing w:line="240" w:lineRule="auto" w:before="7"/>
        <w:rPr>
          <w:rFonts w:ascii="宋体" w:hAnsi="宋体" w:cs="宋体" w:eastAsia="宋体" w:hint="default"/>
          <w:sz w:val="17"/>
          <w:szCs w:val="17"/>
        </w:rPr>
      </w:pPr>
    </w:p>
    <w:p>
      <w:pPr>
        <w:pStyle w:val="BodyText"/>
        <w:spacing w:line="300" w:lineRule="auto"/>
        <w:ind w:right="1131"/>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月，根据</w:t>
      </w:r>
      <w:r>
        <w:rPr>
          <w:rFonts w:ascii="Times New Roman" w:hAnsi="Times New Roman" w:cs="Times New Roman" w:eastAsia="Times New Roman" w:hint="default"/>
          <w:spacing w:val="-1"/>
        </w:rPr>
        <w:t>2016</w:t>
      </w:r>
      <w:r>
        <w:rPr>
          <w:spacing w:val="-1"/>
        </w:rPr>
        <w:t>年度股东大会通过的有关决议，公司以</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10</w:t>
      </w:r>
      <w:r>
        <w:rPr>
          <w:spacing w:val="-1"/>
        </w:rPr>
        <w:t>日总股本为基数，每</w:t>
      </w:r>
      <w:r>
        <w:rPr>
          <w:rFonts w:ascii="Times New Roman" w:hAnsi="Times New Roman" w:cs="Times New Roman" w:eastAsia="Times New Roman" w:hint="default"/>
          <w:spacing w:val="-1"/>
        </w:rPr>
        <w:t>10</w:t>
      </w:r>
      <w:r>
        <w:rPr>
          <w:spacing w:val="-1"/>
        </w:rPr>
        <w:t>股派发现金股利</w:t>
      </w:r>
      <w:r>
        <w:rPr>
          <w:rFonts w:ascii="Times New Roman" w:hAnsi="Times New Roman" w:cs="Times New Roman" w:eastAsia="Times New Roman" w:hint="default"/>
          <w:spacing w:val="-1"/>
        </w:rPr>
        <w:t>0.30</w:t>
      </w:r>
      <w:r>
        <w:rPr>
          <w:spacing w:val="-1"/>
        </w:rPr>
        <w:t>元（含</w:t>
      </w:r>
      <w:r>
        <w:rPr>
          <w:spacing w:val="-73"/>
        </w:rPr>
        <w:t> </w:t>
      </w:r>
      <w:r>
        <w:rPr>
          <w:spacing w:val="-73"/>
        </w:rPr>
      </w:r>
      <w:r>
        <w:rPr/>
        <w:t>税），共计派送现金</w:t>
      </w:r>
      <w:r>
        <w:rPr>
          <w:rFonts w:ascii="Times New Roman" w:hAnsi="Times New Roman" w:cs="Times New Roman" w:eastAsia="Times New Roman" w:hint="default"/>
        </w:rPr>
        <w:t>16,238,172.96</w:t>
      </w:r>
      <w:r>
        <w:rPr/>
        <w:t>元；并以资本公积向全体股东每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股，转增后公司注册资本变更为</w:t>
      </w:r>
      <w:r>
        <w:rPr>
          <w:rFonts w:ascii="Times New Roman" w:hAnsi="Times New Roman" w:cs="Times New Roman" w:eastAsia="Times New Roman" w:hint="default"/>
        </w:rPr>
        <w:t>703,654,161.00 </w:t>
      </w:r>
      <w:r>
        <w:rPr/>
        <w:t>元。</w:t>
      </w:r>
    </w:p>
    <w:p>
      <w:pPr>
        <w:spacing w:line="240" w:lineRule="auto" w:before="12"/>
        <w:rPr>
          <w:rFonts w:ascii="宋体" w:hAnsi="宋体" w:cs="宋体" w:eastAsia="宋体" w:hint="default"/>
          <w:sz w:val="18"/>
          <w:szCs w:val="18"/>
        </w:rPr>
      </w:pPr>
    </w:p>
    <w:p>
      <w:pPr>
        <w:pStyle w:val="BodyText"/>
        <w:spacing w:line="300" w:lineRule="auto"/>
        <w:ind w:right="1126"/>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月，公司召开的第六届董事会第十四次会议审议通过了《关于向公司</w:t>
      </w:r>
      <w:r>
        <w:rPr>
          <w:rFonts w:ascii="Times New Roman" w:hAnsi="Times New Roman" w:cs="Times New Roman" w:eastAsia="Times New Roman" w:hint="default"/>
        </w:rPr>
        <w:t>2017</w:t>
      </w:r>
      <w:r>
        <w:rPr/>
        <w:t>年度限制性股票激励计划激励对象首次授</w:t>
      </w:r>
      <w:r>
        <w:rPr>
          <w:spacing w:val="-85"/>
        </w:rPr>
        <w:t> </w:t>
      </w:r>
      <w:r>
        <w:rPr>
          <w:spacing w:val="-85"/>
        </w:rPr>
      </w:r>
      <w:r>
        <w:rPr>
          <w:spacing w:val="-3"/>
        </w:rPr>
        <w:t>予限制性股票的议案》，授予日为</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11</w:t>
      </w:r>
      <w:r>
        <w:rPr>
          <w:spacing w:val="-3"/>
        </w:rPr>
        <w:t>日，授予</w:t>
      </w:r>
      <w:r>
        <w:rPr>
          <w:rFonts w:ascii="Times New Roman" w:hAnsi="Times New Roman" w:cs="Times New Roman" w:eastAsia="Times New Roman" w:hint="default"/>
          <w:spacing w:val="-3"/>
        </w:rPr>
        <w:t>347</w:t>
      </w:r>
      <w:r>
        <w:rPr>
          <w:spacing w:val="-3"/>
        </w:rPr>
        <w:t>名激励对象</w:t>
      </w:r>
      <w:r>
        <w:rPr>
          <w:rFonts w:ascii="Times New Roman" w:hAnsi="Times New Roman" w:cs="Times New Roman" w:eastAsia="Times New Roman" w:hint="default"/>
          <w:spacing w:val="-3"/>
        </w:rPr>
        <w:t>720</w:t>
      </w:r>
      <w:r>
        <w:rPr>
          <w:spacing w:val="-3"/>
        </w:rPr>
        <w:t>万股限制性股票，在资金缴纳、股份登记过程中，</w:t>
      </w:r>
      <w:r>
        <w:rPr>
          <w:spacing w:val="-86"/>
        </w:rPr>
        <w:t> </w:t>
      </w:r>
      <w:r>
        <w:rPr>
          <w:spacing w:val="-86"/>
        </w:rPr>
      </w:r>
      <w:r>
        <w:rPr/>
        <w:t>有</w:t>
      </w:r>
      <w:r>
        <w:rPr>
          <w:rFonts w:ascii="Times New Roman" w:hAnsi="Times New Roman" w:cs="Times New Roman" w:eastAsia="Times New Roman" w:hint="default"/>
        </w:rPr>
        <w:t>21</w:t>
      </w:r>
      <w:r>
        <w:rPr/>
        <w:t>名激励对象因个人原因放弃认购，因此，公司激励计划实际授予</w:t>
      </w:r>
      <w:r>
        <w:rPr>
          <w:rFonts w:ascii="Times New Roman" w:hAnsi="Times New Roman" w:cs="Times New Roman" w:eastAsia="Times New Roman" w:hint="default"/>
        </w:rPr>
        <w:t>326</w:t>
      </w:r>
      <w:r>
        <w:rPr/>
        <w:t>名激励对象共计</w:t>
      </w:r>
      <w:r>
        <w:rPr>
          <w:rFonts w:ascii="Times New Roman" w:hAnsi="Times New Roman" w:cs="Times New Roman" w:eastAsia="Times New Roman" w:hint="default"/>
        </w:rPr>
        <w:t>707.08</w:t>
      </w:r>
      <w:r>
        <w:rPr/>
        <w:t>万股限制性股票，本次激励</w:t>
      </w:r>
      <w:r>
        <w:rPr>
          <w:spacing w:val="-39"/>
        </w:rPr>
        <w:t> </w:t>
      </w:r>
      <w:r>
        <w:rPr>
          <w:spacing w:val="-39"/>
        </w:rPr>
      </w:r>
      <w:r>
        <w:rPr/>
        <w:t>计划授予完成后，公司增加注册资本人民币</w:t>
      </w:r>
      <w:r>
        <w:rPr>
          <w:rFonts w:ascii="Times New Roman" w:hAnsi="Times New Roman" w:cs="Times New Roman" w:eastAsia="Times New Roman" w:hint="default"/>
        </w:rPr>
        <w:t>7,070,800.00</w:t>
      </w:r>
      <w:r>
        <w:rPr/>
        <w:t>元，变更后的注册资本为人民币</w:t>
      </w:r>
      <w:r>
        <w:rPr>
          <w:rFonts w:ascii="Times New Roman" w:hAnsi="Times New Roman" w:cs="Times New Roman" w:eastAsia="Times New Roman" w:hint="default"/>
        </w:rPr>
        <w:t>710,724,961.00</w:t>
      </w:r>
      <w:r>
        <w:rPr/>
        <w:t>元。上述变更经立信 会计师事务所（特殊普通合伙）出具信会师报字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ZG12200</w:t>
      </w:r>
      <w:r>
        <w:rPr/>
        <w:t>号验资报告予以验证。</w:t>
      </w:r>
    </w:p>
    <w:p>
      <w:pPr>
        <w:spacing w:line="240" w:lineRule="auto" w:before="7"/>
        <w:rPr>
          <w:rFonts w:ascii="宋体" w:hAnsi="宋体" w:cs="宋体" w:eastAsia="宋体" w:hint="default"/>
          <w:sz w:val="17"/>
          <w:szCs w:val="17"/>
        </w:rPr>
      </w:pPr>
    </w:p>
    <w:p>
      <w:pPr>
        <w:pStyle w:val="BodyText"/>
        <w:spacing w:line="240" w:lineRule="auto"/>
        <w:ind w:right="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月，久其转债因转股减少</w:t>
      </w:r>
      <w:r>
        <w:rPr>
          <w:rFonts w:ascii="Times New Roman" w:hAnsi="Times New Roman" w:cs="Times New Roman" w:eastAsia="Times New Roman" w:hint="default"/>
        </w:rPr>
        <w:t>31,700</w:t>
      </w:r>
      <w:r>
        <w:rPr/>
        <w:t>元（</w:t>
      </w:r>
      <w:r>
        <w:rPr>
          <w:rFonts w:ascii="Times New Roman" w:hAnsi="Times New Roman" w:cs="Times New Roman" w:eastAsia="Times New Roman" w:hint="default"/>
        </w:rPr>
        <w:t>317</w:t>
      </w:r>
      <w:r>
        <w:rPr/>
        <w:t>张），转股数量为</w:t>
      </w:r>
      <w:r>
        <w:rPr>
          <w:rFonts w:ascii="Times New Roman" w:hAnsi="Times New Roman" w:cs="Times New Roman" w:eastAsia="Times New Roman" w:hint="default"/>
        </w:rPr>
        <w:t>2,456</w:t>
      </w:r>
      <w:r>
        <w:rPr/>
        <w:t>股，可转债公司债券转股后，公司注册资本变更为</w:t>
      </w:r>
    </w:p>
    <w:p>
      <w:pPr>
        <w:pStyle w:val="BodyText"/>
        <w:spacing w:line="240" w:lineRule="auto" w:before="63"/>
        <w:ind w:right="0"/>
        <w:jc w:val="both"/>
      </w:pPr>
      <w:r>
        <w:rPr>
          <w:rFonts w:ascii="Times New Roman" w:hAnsi="Times New Roman" w:cs="Times New Roman" w:eastAsia="Times New Roman" w:hint="default"/>
        </w:rPr>
        <w:t>710,727,417.00</w:t>
      </w:r>
      <w:r>
        <w:rPr/>
        <w:t>元。</w:t>
      </w:r>
    </w:p>
    <w:p>
      <w:pPr>
        <w:spacing w:line="240" w:lineRule="auto" w:before="4"/>
        <w:rPr>
          <w:rFonts w:ascii="宋体" w:hAnsi="宋体" w:cs="宋体" w:eastAsia="宋体" w:hint="default"/>
          <w:sz w:val="21"/>
          <w:szCs w:val="21"/>
        </w:rPr>
      </w:pPr>
    </w:p>
    <w:p>
      <w:pPr>
        <w:pStyle w:val="BodyText"/>
        <w:spacing w:line="240" w:lineRule="auto"/>
        <w:ind w:right="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4</w:t>
      </w:r>
      <w:r>
        <w:rPr/>
        <w:t>月，可转债转股后，久其转债因转股减少</w:t>
      </w:r>
      <w:r>
        <w:rPr>
          <w:rFonts w:ascii="Times New Roman" w:hAnsi="Times New Roman" w:cs="Times New Roman" w:eastAsia="Times New Roman" w:hint="default"/>
        </w:rPr>
        <w:t>101,100</w:t>
      </w:r>
      <w:r>
        <w:rPr/>
        <w:t>元（</w:t>
      </w:r>
      <w:r>
        <w:rPr>
          <w:rFonts w:ascii="Times New Roman" w:hAnsi="Times New Roman" w:cs="Times New Roman" w:eastAsia="Times New Roman" w:hint="default"/>
        </w:rPr>
        <w:t>1,011</w:t>
      </w:r>
      <w:r>
        <w:rPr/>
        <w:t>张），转股数量为</w:t>
      </w:r>
      <w:r>
        <w:rPr>
          <w:rFonts w:ascii="Times New Roman" w:hAnsi="Times New Roman" w:cs="Times New Roman" w:eastAsia="Times New Roman" w:hint="default"/>
        </w:rPr>
        <w:t>7,834</w:t>
      </w:r>
      <w:r>
        <w:rPr/>
        <w:t>股。公司实收资本变更为</w:t>
      </w:r>
    </w:p>
    <w:p>
      <w:pPr>
        <w:pStyle w:val="BodyText"/>
        <w:spacing w:line="240" w:lineRule="auto" w:before="63"/>
        <w:ind w:right="0"/>
        <w:jc w:val="both"/>
      </w:pPr>
      <w:r>
        <w:rPr>
          <w:rFonts w:ascii="Times New Roman" w:hAnsi="Times New Roman" w:cs="Times New Roman" w:eastAsia="Times New Roman" w:hint="default"/>
        </w:rPr>
        <w:t>710,735,251</w:t>
      </w:r>
      <w:r>
        <w:rPr/>
        <w:t>元。</w:t>
      </w:r>
    </w:p>
    <w:p>
      <w:pPr>
        <w:spacing w:line="240" w:lineRule="auto" w:before="4"/>
        <w:rPr>
          <w:rFonts w:ascii="宋体" w:hAnsi="宋体" w:cs="宋体" w:eastAsia="宋体" w:hint="default"/>
          <w:sz w:val="21"/>
          <w:szCs w:val="21"/>
        </w:rPr>
      </w:pPr>
    </w:p>
    <w:p>
      <w:pPr>
        <w:pStyle w:val="BodyText"/>
        <w:spacing w:line="300" w:lineRule="auto"/>
        <w:ind w:right="1049"/>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月，根据</w:t>
      </w:r>
      <w:r>
        <w:rPr>
          <w:rFonts w:ascii="Times New Roman" w:hAnsi="Times New Roman" w:cs="Times New Roman" w:eastAsia="Times New Roman" w:hint="default"/>
        </w:rPr>
        <w:t>2017</w:t>
      </w:r>
      <w:r>
        <w:rPr/>
        <w:t>年度股东大会决议通过的《关于定向回购王新、李勇</w:t>
      </w:r>
      <w:r>
        <w:rPr>
          <w:rFonts w:ascii="Times New Roman" w:hAnsi="Times New Roman" w:cs="Times New Roman" w:eastAsia="Times New Roman" w:hint="default"/>
        </w:rPr>
        <w:t>2017</w:t>
      </w:r>
      <w:r>
        <w:rPr/>
        <w:t>年度应补偿股份暨关联交易的议案》及《关 </w:t>
      </w:r>
      <w:r>
        <w:rPr>
          <w:spacing w:val="-3"/>
        </w:rPr>
        <w:t>于回购注销部分激励对象已获授但尚未解锁的限制性股票的议案》，公司以</w:t>
      </w:r>
      <w:r>
        <w:rPr>
          <w:rFonts w:ascii="Times New Roman" w:hAnsi="Times New Roman" w:cs="Times New Roman" w:eastAsia="Times New Roman" w:hint="default"/>
          <w:spacing w:val="-3"/>
        </w:rPr>
        <w:t>1</w:t>
      </w:r>
      <w:r>
        <w:rPr>
          <w:spacing w:val="-3"/>
        </w:rPr>
        <w:t>元总价回购股东王新</w:t>
      </w:r>
      <w:r>
        <w:rPr>
          <w:rFonts w:ascii="Times New Roman" w:hAnsi="Times New Roman" w:cs="Times New Roman" w:eastAsia="Times New Roman" w:hint="default"/>
          <w:spacing w:val="-3"/>
        </w:rPr>
        <w:t>104,124</w:t>
      </w:r>
      <w:r>
        <w:rPr>
          <w:spacing w:val="-3"/>
        </w:rPr>
        <w:t>股及股东李勇</w:t>
      </w:r>
      <w:r>
        <w:rPr>
          <w:rFonts w:ascii="Times New Roman" w:hAnsi="Times New Roman" w:cs="Times New Roman" w:eastAsia="Times New Roman" w:hint="default"/>
          <w:spacing w:val="-3"/>
        </w:rPr>
        <w:t>78,549</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t>股并予以注销，本次回购注销股份小计</w:t>
      </w:r>
      <w:r>
        <w:rPr>
          <w:rFonts w:ascii="Times New Roman" w:hAnsi="Times New Roman" w:cs="Times New Roman" w:eastAsia="Times New Roman" w:hint="default"/>
        </w:rPr>
        <w:t>182,673</w:t>
      </w:r>
      <w:r>
        <w:rPr/>
        <w:t>股；公司对</w:t>
      </w:r>
      <w:r>
        <w:rPr>
          <w:rFonts w:ascii="Times New Roman" w:hAnsi="Times New Roman" w:cs="Times New Roman" w:eastAsia="Times New Roman" w:hint="default"/>
        </w:rPr>
        <w:t>10</w:t>
      </w:r>
      <w:r>
        <w:rPr/>
        <w:t>名已离职或未达到个人绩效考核标准的激励对象持有的</w:t>
      </w:r>
      <w:r>
        <w:rPr>
          <w:rFonts w:ascii="Times New Roman" w:hAnsi="Times New Roman" w:cs="Times New Roman" w:eastAsia="Times New Roman" w:hint="default"/>
        </w:rPr>
        <w:t>116,000</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38"/>
        </w:rPr>
      </w:r>
      <w:r>
        <w:rPr/>
        <w:t>股限制性股票予以回购注销，本次回购的股份已于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日在中国证券登记结算有限责任公司深圳分公司完成注销手</w:t>
      </w:r>
      <w:r>
        <w:rPr>
          <w:spacing w:val="-84"/>
        </w:rPr>
        <w:t> </w:t>
      </w:r>
      <w:r>
        <w:rPr>
          <w:spacing w:val="-84"/>
        </w:rPr>
      </w:r>
      <w:r>
        <w:rPr/>
        <w:t>续，注销回购股权后，公司注册资本变更为</w:t>
      </w:r>
      <w:r>
        <w:rPr>
          <w:rFonts w:ascii="Times New Roman" w:hAnsi="Times New Roman" w:cs="Times New Roman" w:eastAsia="Times New Roman" w:hint="default"/>
        </w:rPr>
        <w:t>710,436,578.00</w:t>
      </w:r>
      <w:r>
        <w:rPr/>
        <w:t>元。公司已于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日完成注册资本的工商变更登记手续。</w:t>
      </w:r>
    </w:p>
    <w:p>
      <w:pPr>
        <w:spacing w:line="240" w:lineRule="auto" w:before="7"/>
        <w:rPr>
          <w:rFonts w:ascii="宋体" w:hAnsi="宋体" w:cs="宋体" w:eastAsia="宋体" w:hint="default"/>
          <w:sz w:val="17"/>
          <w:szCs w:val="17"/>
        </w:rPr>
      </w:pPr>
    </w:p>
    <w:p>
      <w:pPr>
        <w:pStyle w:val="BodyText"/>
        <w:spacing w:line="300" w:lineRule="auto"/>
        <w:ind w:right="1131"/>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月，公司第六届董事会第二十八次（临时）会议和第六届监事会第十六次（临时）会议分别审议通过了《关于向公</w:t>
      </w:r>
      <w:r>
        <w:rPr>
          <w:spacing w:val="-85"/>
        </w:rPr>
        <w:t> </w:t>
      </w:r>
      <w:r>
        <w:rPr>
          <w:spacing w:val="-85"/>
        </w:rPr>
      </w:r>
      <w:r>
        <w:rPr>
          <w:spacing w:val="-2"/>
        </w:rPr>
        <w:t>司</w:t>
      </w:r>
      <w:r>
        <w:rPr>
          <w:rFonts w:ascii="Times New Roman" w:hAnsi="Times New Roman" w:cs="Times New Roman" w:eastAsia="Times New Roman" w:hint="default"/>
          <w:spacing w:val="-2"/>
        </w:rPr>
        <w:t>2017</w:t>
      </w:r>
      <w:r>
        <w:rPr>
          <w:spacing w:val="-2"/>
        </w:rPr>
        <w:t>年度限制性股票激励计划激励对象授予预留限制性股票的议案》，授予日为</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6</w:t>
      </w:r>
      <w:r>
        <w:rPr>
          <w:spacing w:val="-2"/>
        </w:rPr>
        <w:t>日，授予</w:t>
      </w:r>
      <w:r>
        <w:rPr>
          <w:rFonts w:ascii="Times New Roman" w:hAnsi="Times New Roman" w:cs="Times New Roman" w:eastAsia="Times New Roman" w:hint="default"/>
          <w:spacing w:val="-2"/>
        </w:rPr>
        <w:t>41</w:t>
      </w:r>
      <w:r>
        <w:rPr>
          <w:spacing w:val="-2"/>
        </w:rPr>
        <w:t>名激励对象</w:t>
      </w:r>
      <w:r>
        <w:rPr>
          <w:rFonts w:ascii="Times New Roman" w:hAnsi="Times New Roman" w:cs="Times New Roman" w:eastAsia="Times New Roman" w:hint="default"/>
          <w:spacing w:val="-2"/>
        </w:rPr>
        <w:t>80</w:t>
      </w:r>
      <w:r>
        <w:rPr>
          <w:spacing w:val="-2"/>
        </w:rPr>
        <w:t>万股</w:t>
      </w:r>
      <w:r>
        <w:rPr>
          <w:spacing w:val="-62"/>
        </w:rPr>
        <w:t> </w:t>
      </w:r>
      <w:r>
        <w:rPr/>
        <w:t>限制性股票，在预留限制性股票授予过程中，</w:t>
      </w:r>
      <w:r>
        <w:rPr>
          <w:rFonts w:ascii="Times New Roman" w:hAnsi="Times New Roman" w:cs="Times New Roman" w:eastAsia="Times New Roman" w:hint="default"/>
        </w:rPr>
        <w:t>3</w:t>
      </w:r>
      <w:r>
        <w:rPr/>
        <w:t>名激励对象由于个人原因自愿放弃认购。因此，公司激励计划实际授予</w:t>
      </w:r>
      <w:r>
        <w:rPr>
          <w:rFonts w:ascii="Times New Roman" w:hAnsi="Times New Roman" w:cs="Times New Roman" w:eastAsia="Times New Roman" w:hint="default"/>
        </w:rPr>
        <w:t>38</w:t>
      </w:r>
      <w:r>
        <w:rPr/>
        <w:t>名</w:t>
      </w:r>
      <w:r>
        <w:rPr>
          <w:spacing w:val="-82"/>
        </w:rPr>
        <w:t> </w:t>
      </w:r>
      <w:r>
        <w:rPr/>
        <w:t>激励对象共计</w:t>
      </w:r>
      <w:r>
        <w:rPr>
          <w:rFonts w:ascii="Times New Roman" w:hAnsi="Times New Roman" w:cs="Times New Roman" w:eastAsia="Times New Roman" w:hint="default"/>
        </w:rPr>
        <w:t>79</w:t>
      </w:r>
      <w:r>
        <w:rPr/>
        <w:t>万股限制性股票，本次激励计划授予完成后，公司增加注册资本人民币</w:t>
      </w:r>
      <w:r>
        <w:rPr>
          <w:rFonts w:ascii="Times New Roman" w:hAnsi="Times New Roman" w:cs="Times New Roman" w:eastAsia="Times New Roman" w:hint="default"/>
        </w:rPr>
        <w:t>790,000.00</w:t>
      </w:r>
      <w:r>
        <w:rPr/>
        <w:t>元，变更后的注册资本为</w:t>
      </w:r>
      <w:r>
        <w:rPr>
          <w:spacing w:val="-85"/>
        </w:rPr>
        <w:t> </w:t>
      </w:r>
      <w:r>
        <w:rPr/>
        <w:t>人民币</w:t>
      </w:r>
      <w:r>
        <w:rPr>
          <w:rFonts w:ascii="Times New Roman" w:hAnsi="Times New Roman" w:cs="Times New Roman" w:eastAsia="Times New Roman" w:hint="default"/>
        </w:rPr>
        <w:t>711,226,578.00</w:t>
      </w:r>
      <w:r>
        <w:rPr/>
        <w:t>元。公司已于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日完成注册资本的工商变更登记手续。</w:t>
      </w:r>
    </w:p>
    <w:p>
      <w:pPr>
        <w:spacing w:line="240" w:lineRule="auto" w:before="7"/>
        <w:rPr>
          <w:rFonts w:ascii="宋体" w:hAnsi="宋体" w:cs="宋体" w:eastAsia="宋体" w:hint="default"/>
          <w:sz w:val="17"/>
          <w:szCs w:val="17"/>
        </w:rPr>
      </w:pPr>
    </w:p>
    <w:p>
      <w:pPr>
        <w:pStyle w:val="BodyText"/>
        <w:spacing w:line="300" w:lineRule="auto"/>
        <w:ind w:right="1132"/>
        <w:jc w:val="both"/>
      </w:pPr>
      <w:r>
        <w:rPr>
          <w:rFonts w:ascii="Times New Roman" w:hAnsi="Times New Roman" w:cs="Times New Roman" w:eastAsia="Times New Roman" w:hint="default"/>
          <w:spacing w:val="-5"/>
        </w:rPr>
        <w:t>2019</w:t>
      </w:r>
      <w:r>
        <w:rPr>
          <w:spacing w:val="-5"/>
        </w:rPr>
        <w:t>年度，可转债转股后，久其转债因转股减少</w:t>
      </w:r>
      <w:r>
        <w:rPr>
          <w:rFonts w:ascii="Times New Roman" w:hAnsi="Times New Roman" w:cs="Times New Roman" w:eastAsia="Times New Roman" w:hint="default"/>
          <w:spacing w:val="-5"/>
        </w:rPr>
        <w:t>279,500</w:t>
      </w:r>
      <w:r>
        <w:rPr>
          <w:spacing w:val="-5"/>
        </w:rPr>
        <w:t>元（</w:t>
      </w:r>
      <w:r>
        <w:rPr>
          <w:rFonts w:ascii="Times New Roman" w:hAnsi="Times New Roman" w:cs="Times New Roman" w:eastAsia="Times New Roman" w:hint="default"/>
          <w:spacing w:val="-5"/>
        </w:rPr>
        <w:t>2,795</w:t>
      </w:r>
      <w:r>
        <w:rPr>
          <w:spacing w:val="-5"/>
        </w:rPr>
        <w:t>张），转股数量为</w:t>
      </w:r>
      <w:r>
        <w:rPr>
          <w:rFonts w:ascii="Times New Roman" w:hAnsi="Times New Roman" w:cs="Times New Roman" w:eastAsia="Times New Roman" w:hint="default"/>
          <w:spacing w:val="-5"/>
        </w:rPr>
        <w:t>27,164</w:t>
      </w:r>
      <w:r>
        <w:rPr>
          <w:spacing w:val="-5"/>
        </w:rPr>
        <w:t>股，公司实收资本变更为</w:t>
      </w:r>
      <w:r>
        <w:rPr>
          <w:rFonts w:ascii="Times New Roman" w:hAnsi="Times New Roman" w:cs="Times New Roman" w:eastAsia="Times New Roman" w:hint="default"/>
          <w:spacing w:val="-5"/>
        </w:rPr>
        <w:t>711,253,742</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t>元。公司已于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日完成截至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月末因转股而增加的注册资本工商变更登记手续，变更后的注册资本为人民 币</w:t>
      </w:r>
      <w:r>
        <w:rPr>
          <w:rFonts w:ascii="Times New Roman" w:hAnsi="Times New Roman" w:cs="Times New Roman" w:eastAsia="Times New Roman" w:hint="default"/>
        </w:rPr>
        <w:t>711,253,110.00</w:t>
      </w:r>
      <w:r>
        <w:rPr/>
        <w:t>元；</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月因转股增加的实收资本</w:t>
      </w:r>
      <w:r>
        <w:rPr>
          <w:rFonts w:ascii="Times New Roman" w:hAnsi="Times New Roman" w:cs="Times New Roman" w:eastAsia="Times New Roman" w:hint="default"/>
        </w:rPr>
        <w:t>632.00</w:t>
      </w:r>
      <w:r>
        <w:rPr/>
        <w:t>元尚未办理工商变更登记手续。</w:t>
      </w:r>
    </w:p>
    <w:p>
      <w:pPr>
        <w:spacing w:line="240" w:lineRule="auto" w:before="7"/>
        <w:rPr>
          <w:rFonts w:ascii="宋体" w:hAnsi="宋体" w:cs="宋体" w:eastAsia="宋体" w:hint="default"/>
          <w:sz w:val="17"/>
          <w:szCs w:val="17"/>
        </w:rPr>
      </w:pPr>
    </w:p>
    <w:p>
      <w:pPr>
        <w:pStyle w:val="BodyText"/>
        <w:spacing w:line="240" w:lineRule="auto"/>
        <w:ind w:right="0"/>
        <w:jc w:val="both"/>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日，本公司的股本结构如下：</w:t>
      </w:r>
    </w:p>
    <w:p>
      <w:pPr>
        <w:spacing w:after="0" w:line="240" w:lineRule="auto"/>
        <w:jc w:val="both"/>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5161"/>
        <w:gridCol w:w="2249"/>
        <w:gridCol w:w="2249"/>
      </w:tblGrid>
      <w:tr>
        <w:trPr>
          <w:trHeight w:val="326" w:hRule="exact"/>
        </w:trPr>
        <w:tc>
          <w:tcPr>
            <w:tcW w:w="51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2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578" w:right="0"/>
              <w:jc w:val="left"/>
              <w:rPr>
                <w:rFonts w:ascii="宋体" w:hAnsi="宋体" w:cs="宋体" w:eastAsia="宋体" w:hint="default"/>
                <w:sz w:val="18"/>
                <w:szCs w:val="18"/>
              </w:rPr>
            </w:pPr>
            <w:r>
              <w:rPr>
                <w:rFonts w:ascii="宋体" w:hAnsi="宋体" w:cs="宋体" w:eastAsia="宋体" w:hint="default"/>
                <w:sz w:val="18"/>
                <w:szCs w:val="18"/>
              </w:rPr>
              <w:t>持股数（股）</w:t>
            </w:r>
          </w:p>
        </w:tc>
        <w:tc>
          <w:tcPr>
            <w:tcW w:w="22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504"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8" w:hRule="exact"/>
        </w:trPr>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left"/>
              <w:rPr>
                <w:rFonts w:ascii="宋体" w:hAnsi="宋体" w:cs="宋体" w:eastAsia="宋体" w:hint="default"/>
                <w:sz w:val="18"/>
                <w:szCs w:val="18"/>
              </w:rPr>
            </w:pPr>
            <w:r>
              <w:rPr>
                <w:rFonts w:ascii="宋体" w:hAnsi="宋体" w:cs="宋体" w:eastAsia="宋体" w:hint="default"/>
                <w:sz w:val="18"/>
                <w:szCs w:val="18"/>
              </w:rPr>
              <w:t>北京久其科技投资有限公司</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right"/>
              <w:rPr>
                <w:rFonts w:ascii="Times New Roman" w:hAnsi="Times New Roman" w:cs="Times New Roman" w:eastAsia="Times New Roman" w:hint="default"/>
                <w:sz w:val="18"/>
                <w:szCs w:val="18"/>
              </w:rPr>
            </w:pPr>
            <w:r>
              <w:rPr>
                <w:rFonts w:ascii="Times New Roman"/>
                <w:spacing w:val="-1"/>
                <w:sz w:val="18"/>
              </w:rPr>
              <w:t>100,198,487</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right"/>
              <w:rPr>
                <w:rFonts w:ascii="Times New Roman" w:hAnsi="Times New Roman" w:cs="Times New Roman" w:eastAsia="Times New Roman" w:hint="default"/>
                <w:sz w:val="18"/>
                <w:szCs w:val="18"/>
              </w:rPr>
            </w:pPr>
            <w:r>
              <w:rPr>
                <w:rFonts w:ascii="Times New Roman"/>
                <w:sz w:val="18"/>
              </w:rPr>
              <w:t>14.09</w:t>
            </w:r>
          </w:p>
        </w:tc>
      </w:tr>
      <w:tr>
        <w:trPr>
          <w:trHeight w:val="341" w:hRule="exact"/>
        </w:trPr>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78,265,507</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11.00</w:t>
            </w:r>
          </w:p>
        </w:tc>
      </w:tr>
      <w:tr>
        <w:trPr>
          <w:trHeight w:val="343" w:hRule="exact"/>
        </w:trPr>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董泰湘</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59,065,102</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8.30</w:t>
            </w:r>
          </w:p>
        </w:tc>
      </w:tr>
      <w:tr>
        <w:trPr>
          <w:trHeight w:val="341" w:hRule="exact"/>
        </w:trPr>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海通证券资管－工商银行－海通投融宝</w:t>
            </w:r>
            <w:r>
              <w:rPr>
                <w:rFonts w:ascii="Times New Roman" w:hAnsi="Times New Roman" w:cs="Times New Roman" w:eastAsia="Times New Roman" w:hint="default"/>
                <w:sz w:val="18"/>
                <w:szCs w:val="18"/>
              </w:rPr>
              <w:t>1</w:t>
            </w:r>
            <w:r>
              <w:rPr>
                <w:rFonts w:ascii="宋体" w:hAnsi="宋体" w:cs="宋体" w:eastAsia="宋体" w:hint="default"/>
                <w:sz w:val="18"/>
                <w:szCs w:val="18"/>
              </w:rPr>
              <w:t>号集合资产管理计划</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28,482,443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4.00</w:t>
            </w:r>
          </w:p>
        </w:tc>
      </w:tr>
      <w:tr>
        <w:trPr>
          <w:trHeight w:val="343" w:hRule="exact"/>
        </w:trPr>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欧阳曜</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17,783,301</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2.50</w:t>
            </w:r>
          </w:p>
        </w:tc>
      </w:tr>
      <w:tr>
        <w:trPr>
          <w:trHeight w:val="341" w:hRule="exact"/>
        </w:trPr>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王新</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12,283,727</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1.73</w:t>
            </w:r>
          </w:p>
        </w:tc>
      </w:tr>
      <w:tr>
        <w:trPr>
          <w:trHeight w:val="343" w:hRule="exact"/>
        </w:trPr>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栗军</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11,248,047</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1.58</w:t>
            </w:r>
          </w:p>
        </w:tc>
      </w:tr>
      <w:tr>
        <w:trPr>
          <w:trHeight w:val="341" w:hRule="exact"/>
        </w:trPr>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李勇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7,462,006</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1.05</w:t>
            </w:r>
          </w:p>
        </w:tc>
      </w:tr>
      <w:tr>
        <w:trPr>
          <w:trHeight w:val="343" w:hRule="exact"/>
        </w:trPr>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熊科</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5,489,310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0.77</w:t>
            </w:r>
          </w:p>
        </w:tc>
      </w:tr>
      <w:tr>
        <w:trPr>
          <w:trHeight w:val="347" w:hRule="exact"/>
        </w:trPr>
        <w:tc>
          <w:tcPr>
            <w:tcW w:w="5161" w:type="dxa"/>
            <w:tcBorders>
              <w:top w:val="single" w:sz="4" w:space="0" w:color="000000"/>
              <w:left w:val="single" w:sz="4" w:space="0" w:color="000000"/>
              <w:bottom w:val="single" w:sz="4" w:space="0" w:color="D9D9D9"/>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其他社会公众股</w:t>
            </w:r>
          </w:p>
        </w:tc>
        <w:tc>
          <w:tcPr>
            <w:tcW w:w="2249" w:type="dxa"/>
            <w:tcBorders>
              <w:top w:val="single" w:sz="4" w:space="0" w:color="000000"/>
              <w:left w:val="single" w:sz="4" w:space="0" w:color="000000"/>
              <w:bottom w:val="single" w:sz="4" w:space="0" w:color="D9D9D9"/>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390,975,812</w:t>
            </w:r>
          </w:p>
        </w:tc>
        <w:tc>
          <w:tcPr>
            <w:tcW w:w="2249" w:type="dxa"/>
            <w:tcBorders>
              <w:top w:val="single" w:sz="4" w:space="0" w:color="000000"/>
              <w:left w:val="single" w:sz="4" w:space="0" w:color="000000"/>
              <w:bottom w:val="single" w:sz="4" w:space="0" w:color="D9D9D9"/>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54.98</w:t>
            </w:r>
          </w:p>
        </w:tc>
      </w:tr>
      <w:tr>
        <w:trPr>
          <w:trHeight w:val="338" w:hRule="exact"/>
        </w:trPr>
        <w:tc>
          <w:tcPr>
            <w:tcW w:w="51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711,253,742</w:t>
            </w:r>
          </w:p>
        </w:tc>
        <w:tc>
          <w:tcPr>
            <w:tcW w:w="22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1"/>
        <w:rPr>
          <w:rFonts w:ascii="宋体" w:hAnsi="宋体" w:cs="宋体" w:eastAsia="宋体" w:hint="default"/>
          <w:sz w:val="21"/>
          <w:szCs w:val="21"/>
        </w:rPr>
      </w:pPr>
    </w:p>
    <w:p>
      <w:pPr>
        <w:pStyle w:val="BodyText"/>
        <w:spacing w:line="300" w:lineRule="auto" w:before="44"/>
        <w:ind w:right="6884"/>
        <w:jc w:val="left"/>
      </w:pPr>
      <w:r>
        <w:rPr/>
        <w:t>公司统一社会信用代码：</w:t>
      </w:r>
      <w:r>
        <w:rPr>
          <w:rFonts w:ascii="Times New Roman" w:hAnsi="Times New Roman" w:cs="Times New Roman" w:eastAsia="Times New Roman" w:hint="default"/>
        </w:rPr>
        <w:t>911100007177242684 </w:t>
      </w:r>
      <w:r>
        <w:rPr/>
        <w:t>公司注册地址：北京市海淀区文慧园甲</w:t>
      </w:r>
      <w:r>
        <w:rPr>
          <w:rFonts w:ascii="Times New Roman" w:hAnsi="Times New Roman" w:cs="Times New Roman" w:eastAsia="Times New Roman" w:hint="default"/>
        </w:rPr>
        <w:t>12</w:t>
      </w:r>
      <w:r>
        <w:rPr/>
        <w:t>号楼</w:t>
      </w:r>
      <w:r>
        <w:rPr>
          <w:rFonts w:ascii="Times New Roman" w:hAnsi="Times New Roman" w:cs="Times New Roman" w:eastAsia="Times New Roman" w:hint="default"/>
        </w:rPr>
        <w:t>1</w:t>
      </w:r>
      <w:r>
        <w:rPr/>
        <w:t>层</w:t>
      </w:r>
      <w:r>
        <w:rPr>
          <w:spacing w:val="-86"/>
        </w:rPr>
        <w:t> </w:t>
      </w:r>
      <w:r>
        <w:rPr/>
        <w:t>公司注册资本：</w:t>
      </w:r>
      <w:r>
        <w:rPr>
          <w:rFonts w:ascii="Times New Roman" w:hAnsi="Times New Roman" w:cs="Times New Roman" w:eastAsia="Times New Roman" w:hint="default"/>
        </w:rPr>
        <w:t>711,253,110.00</w:t>
      </w:r>
      <w:r>
        <w:rPr/>
        <w:t>元 公司法定代表人：赵福君</w:t>
      </w:r>
    </w:p>
    <w:p>
      <w:pPr>
        <w:pStyle w:val="BodyText"/>
        <w:spacing w:line="316" w:lineRule="auto" w:before="31"/>
        <w:ind w:right="1042"/>
        <w:jc w:val="both"/>
      </w:pPr>
      <w:r>
        <w:rPr>
          <w:spacing w:val="-5"/>
        </w:rPr>
        <w:t>公司经营范围：电子计算机软件、硬件及外部设备的技术开发、技术咨询、技术转让、技术服务、技术培训；经济贸易咨询、</w:t>
      </w:r>
      <w:r>
        <w:rPr>
          <w:spacing w:val="-84"/>
        </w:rPr>
        <w:t> </w:t>
      </w:r>
      <w:r>
        <w:rPr>
          <w:spacing w:val="-84"/>
        </w:rPr>
      </w:r>
      <w:r>
        <w:rPr>
          <w:spacing w:val="-2"/>
        </w:rPr>
        <w:t>企业管理咨询；计算机系统服务；销售（含网上销售）电子计算机软硬件及外部设备、打印纸及计算机耗材；计算机及外部</w:t>
      </w:r>
      <w:r>
        <w:rPr>
          <w:spacing w:val="-70"/>
        </w:rPr>
        <w:t> </w:t>
      </w:r>
      <w:r>
        <w:rPr>
          <w:spacing w:val="-70"/>
        </w:rPr>
      </w:r>
      <w:r>
        <w:rPr/>
        <w:t>设备租赁；技术进出口、货物进出口、代理进出口；互联网信息服务业务；第一类增值电信业务中的因特网数据中心业务。</w:t>
      </w:r>
    </w:p>
    <w:p>
      <w:pPr>
        <w:pStyle w:val="BodyText"/>
        <w:spacing w:line="307" w:lineRule="auto" w:before="19"/>
        <w:ind w:right="1124"/>
        <w:jc w:val="left"/>
      </w:pPr>
      <w:r>
        <w:rPr>
          <w:spacing w:val="-2"/>
        </w:rPr>
        <w:t>（企业依法自主选择经营项目，开展经营活动；第一类增值电信业务中的因特网数据中心业务以及依法须经批准的项目，经</w:t>
      </w:r>
      <w:r>
        <w:rPr>
          <w:spacing w:val="-66"/>
        </w:rPr>
        <w:t> </w:t>
      </w:r>
      <w:r>
        <w:rPr>
          <w:spacing w:val="-66"/>
        </w:rPr>
      </w:r>
      <w:r>
        <w:rPr/>
        <w:t>相关部门批准后依批准的内容开展经营活动；不得从事本市产业政策禁止和限制类项目的经营活动。）</w:t>
      </w:r>
      <w:r>
        <w:rPr/>
        <w:t> 本公司的母公司为北京久其科技投资有限公司（以下简称</w:t>
      </w:r>
      <w:r>
        <w:rPr>
          <w:rFonts w:ascii="Times New Roman" w:hAnsi="Times New Roman" w:cs="Times New Roman" w:eastAsia="Times New Roman" w:hint="default"/>
        </w:rPr>
        <w:t>“</w:t>
      </w:r>
      <w:r>
        <w:rPr/>
        <w:t>久其科技</w:t>
      </w:r>
      <w:r>
        <w:rPr>
          <w:rFonts w:ascii="Times New Roman" w:hAnsi="Times New Roman" w:cs="Times New Roman" w:eastAsia="Times New Roman" w:hint="default"/>
        </w:rPr>
        <w:t>”</w:t>
      </w:r>
      <w:r>
        <w:rPr/>
        <w:t>），最终控制方为董泰湘、赵福君。 </w:t>
      </w:r>
      <w:r>
        <w:rPr>
          <w:spacing w:val="-2"/>
        </w:rPr>
        <w:t>本公司及其子公司（以下简称</w:t>
      </w:r>
      <w:r>
        <w:rPr>
          <w:rFonts w:ascii="Times New Roman" w:hAnsi="Times New Roman" w:cs="Times New Roman" w:eastAsia="Times New Roman" w:hint="default"/>
          <w:spacing w:val="-2"/>
        </w:rPr>
        <w:t>“</w:t>
      </w:r>
      <w:r>
        <w:rPr>
          <w:spacing w:val="-2"/>
        </w:rPr>
        <w:t>本集团</w:t>
      </w:r>
      <w:r>
        <w:rPr>
          <w:rFonts w:ascii="Times New Roman" w:hAnsi="Times New Roman" w:cs="Times New Roman" w:eastAsia="Times New Roman" w:hint="default"/>
          <w:spacing w:val="-2"/>
        </w:rPr>
        <w:t>”</w:t>
      </w:r>
      <w:r>
        <w:rPr>
          <w:spacing w:val="-2"/>
        </w:rPr>
        <w:t>）隶属于软件和信息技术服务业，主要从事电子政务、集团管控数字传播领域的研发</w:t>
      </w:r>
      <w:r>
        <w:rPr>
          <w:spacing w:val="-42"/>
        </w:rPr>
        <w:t> </w:t>
      </w:r>
      <w:r>
        <w:rPr>
          <w:spacing w:val="-42"/>
        </w:rPr>
      </w:r>
      <w:r>
        <w:rPr/>
        <w:t>和管理咨询服务，利用大数据技术和资源为客户创造价值。 本财务报表及财务报表附注业经本公司第七届董事会第七次会议于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日批准。 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日，本公司合并范围内的二级子公司共</w:t>
      </w:r>
      <w:r>
        <w:rPr>
          <w:rFonts w:ascii="Times New Roman" w:hAnsi="Times New Roman" w:cs="Times New Roman" w:eastAsia="Times New Roman" w:hint="default"/>
        </w:rPr>
        <w:t>20</w:t>
      </w:r>
      <w:r>
        <w:rPr/>
        <w:t>家，较上年度减少</w:t>
      </w:r>
      <w:r>
        <w:rPr>
          <w:rFonts w:ascii="Times New Roman" w:hAnsi="Times New Roman" w:cs="Times New Roman" w:eastAsia="Times New Roman" w:hint="default"/>
        </w:rPr>
        <w:t>1</w:t>
      </w:r>
      <w:r>
        <w:rPr/>
        <w:t>家；本年度合并财务报表范围及其变化情况</w:t>
      </w:r>
      <w:r>
        <w:rPr>
          <w:spacing w:val="-87"/>
        </w:rPr>
        <w:t> </w:t>
      </w:r>
      <w:r>
        <w:rPr>
          <w:spacing w:val="-87"/>
        </w:rPr>
      </w:r>
      <w:r>
        <w:rPr/>
        <w:t>详见本节“八、合并范围的变更”和“九、在其他主体中的权益”。</w:t>
      </w:r>
    </w:p>
    <w:p>
      <w:pPr>
        <w:spacing w:line="240" w:lineRule="auto" w:before="5"/>
        <w:rPr>
          <w:rFonts w:ascii="宋体" w:hAnsi="宋体" w:cs="宋体" w:eastAsia="宋体" w:hint="default"/>
          <w:sz w:val="21"/>
          <w:szCs w:val="21"/>
        </w:rPr>
      </w:pPr>
    </w:p>
    <w:p>
      <w:pPr>
        <w:pStyle w:val="Heading2"/>
        <w:spacing w:line="240" w:lineRule="auto"/>
        <w:ind w:right="1115"/>
        <w:jc w:val="left"/>
        <w:rPr>
          <w:b w:val="0"/>
          <w:bCs w:val="0"/>
        </w:rPr>
      </w:pPr>
      <w:bookmarkStart w:name="四、财务报表的编制基础" w:id="174"/>
      <w:bookmarkEnd w:id="174"/>
      <w:r>
        <w:rPr>
          <w:b w:val="0"/>
          <w:bCs w:val="0"/>
        </w:rPr>
      </w: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5"/>
        <w:jc w:val="left"/>
        <w:rPr>
          <w:b w:val="0"/>
          <w:bCs w:val="0"/>
        </w:rPr>
      </w:pPr>
      <w:bookmarkStart w:name="1、编制基础" w:id="175"/>
      <w:bookmarkEnd w:id="175"/>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131"/>
        <w:jc w:val="both"/>
      </w:pPr>
      <w:r>
        <w:rPr>
          <w:spacing w:val="-2"/>
        </w:rPr>
        <w:t>本财务报表按照财政部颁布的企业会计准则及其应用指南、解释及其他有关规定（统称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）编制。此外，本集</w:t>
      </w:r>
      <w:r>
        <w:rPr>
          <w:spacing w:val="-46"/>
        </w:rPr>
        <w:t> </w:t>
      </w:r>
      <w:r>
        <w:rPr>
          <w:spacing w:val="-46"/>
        </w:rPr>
      </w:r>
      <w:r>
        <w:rPr>
          <w:spacing w:val="-2"/>
        </w:rPr>
        <w:t>团还按照中国证监会《公开发行证券的公司信息披露编报规则第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财务报告的一般规定》（</w:t>
      </w:r>
      <w:r>
        <w:rPr>
          <w:rFonts w:ascii="Times New Roman" w:hAnsi="Times New Roman" w:cs="Times New Roman" w:eastAsia="Times New Roman" w:hint="default"/>
          <w:spacing w:val="-2"/>
        </w:rPr>
        <w:t>2014</w:t>
      </w:r>
      <w:r>
        <w:rPr>
          <w:spacing w:val="-2"/>
        </w:rPr>
        <w:t>年修订）披露有关财务</w:t>
      </w:r>
      <w:r>
        <w:rPr>
          <w:spacing w:val="-62"/>
        </w:rPr>
        <w:t> </w:t>
      </w:r>
      <w:r>
        <w:rPr>
          <w:spacing w:val="-62"/>
        </w:rPr>
      </w:r>
      <w:r>
        <w:rPr/>
        <w:t>信息。</w:t>
      </w:r>
    </w:p>
    <w:p>
      <w:pPr>
        <w:spacing w:line="240" w:lineRule="auto" w:before="10"/>
        <w:rPr>
          <w:rFonts w:ascii="宋体" w:hAnsi="宋体" w:cs="宋体" w:eastAsia="宋体" w:hint="default"/>
          <w:sz w:val="23"/>
          <w:szCs w:val="23"/>
        </w:rPr>
      </w:pPr>
    </w:p>
    <w:p>
      <w:pPr>
        <w:pStyle w:val="Heading3"/>
        <w:spacing w:line="240" w:lineRule="auto"/>
        <w:ind w:right="1115"/>
        <w:jc w:val="left"/>
        <w:rPr>
          <w:b w:val="0"/>
          <w:bCs w:val="0"/>
        </w:rPr>
      </w:pPr>
      <w:bookmarkStart w:name="2、持续经营" w:id="176"/>
      <w:bookmarkEnd w:id="176"/>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15"/>
        <w:jc w:val="left"/>
      </w:pPr>
      <w:r>
        <w:rPr/>
        <w:t>本财务报表以持续经营为基础列报。 </w:t>
      </w:r>
      <w:r>
        <w:rPr>
          <w:spacing w:val="-2"/>
        </w:rPr>
        <w:t>本集团会计核算以权责发生制为基础。除某些金融工具外，本财务报表均以历史成本为计量基础。资产如果发生减值，则按</w:t>
      </w:r>
      <w:r>
        <w:rPr>
          <w:spacing w:val="-66"/>
        </w:rPr>
        <w:t> </w:t>
      </w:r>
      <w:r>
        <w:rPr>
          <w:spacing w:val="-66"/>
        </w:rPr>
      </w:r>
      <w:r>
        <w:rPr/>
        <w:t>照相关规定计提相应的减值准备。</w:t>
      </w:r>
    </w:p>
    <w:p>
      <w:pPr>
        <w:spacing w:after="0" w:line="316" w:lineRule="auto"/>
        <w:jc w:val="left"/>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1115"/>
        <w:jc w:val="left"/>
        <w:rPr>
          <w:b w:val="0"/>
          <w:bCs w:val="0"/>
        </w:rPr>
      </w:pPr>
      <w:bookmarkStart w:name="五、重要会计政策及会计估计" w:id="177"/>
      <w:bookmarkEnd w:id="177"/>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1129"/>
        <w:jc w:val="left"/>
      </w:pPr>
      <w:r>
        <w:rPr/>
        <w:t>具体会计政策和会计估计提示： </w:t>
      </w:r>
      <w:r>
        <w:rPr>
          <w:spacing w:val="-5"/>
        </w:rPr>
        <w:t>本集团根据自身生产经营特点，确定金融资产减值、固定资产折旧、无形资产摊销、研发费用资本化条件以及收入确认政策，</w:t>
      </w:r>
      <w:r>
        <w:rPr>
          <w:spacing w:val="-78"/>
        </w:rPr>
        <w:t> </w:t>
      </w:r>
      <w:r>
        <w:rPr>
          <w:spacing w:val="-78"/>
        </w:rPr>
      </w:r>
      <w:r>
        <w:rPr/>
        <w:t>具体会计政策见</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r>
        <w:rPr>
          <w:rFonts w:ascii="Times New Roman" w:hAnsi="Times New Roman" w:cs="Times New Roman" w:eastAsia="Times New Roman" w:hint="default"/>
        </w:rPr>
        <w:t>"17</w:t>
      </w:r>
      <w:r>
        <w:rPr/>
        <w:t>、固定资产</w:t>
      </w:r>
      <w:r>
        <w:rPr>
          <w:rFonts w:ascii="Times New Roman" w:hAnsi="Times New Roman" w:cs="Times New Roman" w:eastAsia="Times New Roman" w:hint="default"/>
        </w:rPr>
        <w:t>"</w:t>
      </w:r>
      <w:r>
        <w:rPr/>
        <w:t>、</w:t>
      </w:r>
      <w:r>
        <w:rPr>
          <w:rFonts w:ascii="Times New Roman" w:hAnsi="Times New Roman" w:cs="Times New Roman" w:eastAsia="Times New Roman" w:hint="default"/>
        </w:rPr>
        <w:t>"20</w:t>
      </w:r>
      <w:r>
        <w:rPr/>
        <w:t>、无形资产</w:t>
      </w:r>
      <w:r>
        <w:rPr>
          <w:rFonts w:ascii="Times New Roman" w:hAnsi="Times New Roman" w:cs="Times New Roman" w:eastAsia="Times New Roman" w:hint="default"/>
        </w:rPr>
        <w:t>"</w:t>
      </w:r>
      <w:r>
        <w:rPr/>
        <w:t>、</w:t>
      </w:r>
      <w:r>
        <w:rPr>
          <w:rFonts w:ascii="Times New Roman" w:hAnsi="Times New Roman" w:cs="Times New Roman" w:eastAsia="Times New Roman" w:hint="default"/>
        </w:rPr>
        <w:t>"21</w:t>
      </w:r>
      <w:r>
        <w:rPr/>
        <w:t>、长期资产减值</w:t>
      </w:r>
      <w:r>
        <w:rPr>
          <w:rFonts w:ascii="Times New Roman" w:hAnsi="Times New Roman" w:cs="Times New Roman" w:eastAsia="Times New Roman" w:hint="default"/>
        </w:rPr>
        <w:t>"</w:t>
      </w:r>
      <w:r>
        <w:rPr/>
        <w:t>、</w:t>
      </w:r>
      <w:r>
        <w:rPr>
          <w:rFonts w:ascii="Times New Roman" w:hAnsi="Times New Roman" w:cs="Times New Roman" w:eastAsia="Times New Roman" w:hint="default"/>
        </w:rPr>
        <w:t>"26</w:t>
      </w:r>
      <w:r>
        <w:rPr/>
        <w:t>、收入</w:t>
      </w:r>
      <w:r>
        <w:rPr>
          <w:rFonts w:ascii="Times New Roman" w:hAnsi="Times New Roman" w:cs="Times New Roman" w:eastAsia="Times New Roman" w:hint="default"/>
        </w:rPr>
        <w:t>"</w:t>
      </w:r>
      <w:r>
        <w:rPr/>
        <w:t>。</w:t>
      </w:r>
    </w:p>
    <w:p>
      <w:pPr>
        <w:spacing w:line="240" w:lineRule="auto" w:before="12"/>
        <w:rPr>
          <w:rFonts w:ascii="宋体" w:hAnsi="宋体" w:cs="宋体" w:eastAsia="宋体" w:hint="default"/>
          <w:sz w:val="19"/>
          <w:szCs w:val="19"/>
        </w:rPr>
      </w:pPr>
    </w:p>
    <w:p>
      <w:pPr>
        <w:pStyle w:val="Heading3"/>
        <w:spacing w:line="240" w:lineRule="auto"/>
        <w:ind w:right="1115"/>
        <w:jc w:val="left"/>
        <w:rPr>
          <w:b w:val="0"/>
          <w:bCs w:val="0"/>
        </w:rPr>
      </w:pPr>
      <w:bookmarkStart w:name="1、遵循企业会计准则的声明" w:id="178"/>
      <w:bookmarkEnd w:id="178"/>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15"/>
        <w:jc w:val="left"/>
      </w:pPr>
      <w:r>
        <w:rPr>
          <w:spacing w:val="-2"/>
        </w:rPr>
        <w:t>本财务报表符合企业会计准则的要求，真实、完整地反映了本公司</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日的合并及公司财务状况以及</w:t>
      </w:r>
      <w:r>
        <w:rPr>
          <w:rFonts w:ascii="Times New Roman" w:hAnsi="Times New Roman" w:cs="Times New Roman" w:eastAsia="Times New Roman" w:hint="default"/>
          <w:spacing w:val="-2"/>
        </w:rPr>
        <w:t>2019</w:t>
      </w:r>
      <w:r>
        <w:rPr>
          <w:spacing w:val="-2"/>
        </w:rPr>
        <w:t>年的合并</w:t>
      </w:r>
      <w:r>
        <w:rPr>
          <w:spacing w:val="-57"/>
        </w:rPr>
        <w:t> </w:t>
      </w:r>
      <w:r>
        <w:rPr>
          <w:spacing w:val="-57"/>
        </w:rPr>
      </w:r>
      <w:r>
        <w:rPr/>
        <w:t>及公司经营成果和合并及公司现金流量等有关信息。</w:t>
      </w:r>
    </w:p>
    <w:p>
      <w:pPr>
        <w:spacing w:line="240" w:lineRule="auto" w:before="10"/>
        <w:rPr>
          <w:rFonts w:ascii="宋体" w:hAnsi="宋体" w:cs="宋体" w:eastAsia="宋体" w:hint="default"/>
          <w:sz w:val="23"/>
          <w:szCs w:val="23"/>
        </w:rPr>
      </w:pPr>
    </w:p>
    <w:p>
      <w:pPr>
        <w:spacing w:line="547" w:lineRule="auto" w:before="0"/>
        <w:ind w:left="152" w:right="5534" w:firstLine="0"/>
        <w:jc w:val="left"/>
        <w:rPr>
          <w:rFonts w:ascii="宋体" w:hAnsi="宋体" w:cs="宋体" w:eastAsia="宋体" w:hint="default"/>
          <w:sz w:val="21"/>
          <w:szCs w:val="21"/>
        </w:rPr>
      </w:pPr>
      <w:bookmarkStart w:name="2、会计期间" w:id="179"/>
      <w:bookmarkEnd w:id="17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z w:val="18"/>
          <w:szCs w:val="18"/>
        </w:rPr>
        <w:t>本集团会计期间采用公历年度，即每年自</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日起至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 </w:t>
      </w:r>
      <w:bookmarkStart w:name="3、营业周期" w:id="180"/>
      <w:bookmarkEnd w:id="180"/>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240" w:lineRule="auto" w:before="46"/>
        <w:ind w:right="1115"/>
        <w:jc w:val="left"/>
      </w:pPr>
      <w:r>
        <w:rPr/>
        <w:t>本集团的营业周期为</w:t>
      </w:r>
      <w:r>
        <w:rPr>
          <w:rFonts w:ascii="Times New Roman" w:hAnsi="Times New Roman" w:cs="Times New Roman" w:eastAsia="Times New Roman" w:hint="default"/>
        </w:rPr>
        <w:t>12</w:t>
      </w:r>
      <w:r>
        <w:rPr/>
        <w:t>个月。</w:t>
      </w:r>
    </w:p>
    <w:p>
      <w:pPr>
        <w:spacing w:line="240" w:lineRule="auto" w:before="2"/>
        <w:rPr>
          <w:rFonts w:ascii="宋体" w:hAnsi="宋体" w:cs="宋体" w:eastAsia="宋体" w:hint="default"/>
          <w:sz w:val="26"/>
          <w:szCs w:val="26"/>
        </w:rPr>
      </w:pPr>
    </w:p>
    <w:p>
      <w:pPr>
        <w:pStyle w:val="Heading3"/>
        <w:spacing w:line="240" w:lineRule="auto"/>
        <w:ind w:right="1115"/>
        <w:jc w:val="left"/>
        <w:rPr>
          <w:b w:val="0"/>
          <w:bCs w:val="0"/>
        </w:rPr>
      </w:pPr>
      <w:bookmarkStart w:name="4、记账本位币" w:id="181"/>
      <w:bookmarkEnd w:id="181"/>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15"/>
        <w:jc w:val="left"/>
      </w:pPr>
      <w:r>
        <w:rPr>
          <w:spacing w:val="-2"/>
        </w:rPr>
        <w:t>本集团及境内子公司以人民币为记账本位币。本集团之香港子公司根据其经营所处的主要经济环境中的货币确定港币为其记</w:t>
      </w:r>
      <w:r>
        <w:rPr>
          <w:spacing w:val="-64"/>
        </w:rPr>
        <w:t> </w:t>
      </w:r>
      <w:r>
        <w:rPr>
          <w:spacing w:val="-64"/>
        </w:rPr>
      </w:r>
      <w:r>
        <w:rPr/>
        <w:t>账本位币。本集团编制本财务报表时所采用的货币为人民币。</w:t>
      </w:r>
    </w:p>
    <w:p>
      <w:pPr>
        <w:spacing w:line="240" w:lineRule="auto" w:before="11"/>
        <w:rPr>
          <w:rFonts w:ascii="宋体" w:hAnsi="宋体" w:cs="宋体" w:eastAsia="宋体" w:hint="default"/>
          <w:sz w:val="22"/>
          <w:szCs w:val="22"/>
        </w:rPr>
      </w:pPr>
    </w:p>
    <w:p>
      <w:pPr>
        <w:pStyle w:val="Heading3"/>
        <w:spacing w:line="240" w:lineRule="auto"/>
        <w:ind w:right="1115"/>
        <w:jc w:val="left"/>
        <w:rPr>
          <w:b w:val="0"/>
          <w:bCs w:val="0"/>
        </w:rPr>
      </w:pPr>
      <w:bookmarkStart w:name="5、同一控制下和非同一控制下企业合并的会计处理方法" w:id="182"/>
      <w:bookmarkEnd w:id="182"/>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34"/>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）同一控制下的企业合并</w:t>
      </w:r>
      <w:r>
        <w:rPr>
          <w:rFonts w:ascii="宋体" w:hAnsi="宋体" w:cs="宋体" w:eastAsia="宋体" w:hint="default"/>
          <w:b/>
          <w:bCs/>
          <w:w w:val="99"/>
        </w:rPr>
        <w:t> </w:t>
      </w:r>
      <w:r>
        <w:rPr>
          <w:spacing w:val="-2"/>
        </w:rPr>
        <w:t>对于同一控制下的企业合并，合并方在合并中取得的被合并方的资产、负债，除因会计政策不同而进行的调整以外，按合并</w:t>
      </w:r>
      <w:r>
        <w:rPr>
          <w:spacing w:val="-64"/>
        </w:rPr>
        <w:t> </w:t>
      </w:r>
      <w:r>
        <w:rPr>
          <w:spacing w:val="-64"/>
        </w:rPr>
      </w:r>
      <w:r>
        <w:rPr>
          <w:spacing w:val="-2"/>
        </w:rPr>
        <w:t>日被合并方在最终控制方合并财务报表中的账面价值计量。合并对价的账面价值或发行股份面值总额与合并中取得的净资产</w:t>
      </w:r>
      <w:r>
        <w:rPr>
          <w:spacing w:val="-63"/>
        </w:rPr>
        <w:t> </w:t>
      </w:r>
      <w:r>
        <w:rPr>
          <w:spacing w:val="-63"/>
        </w:rPr>
      </w:r>
      <w:r>
        <w:rPr/>
        <w:t>账面价值的差额调整资本公积（股本溢价），资本公积（股本溢价）不足冲减的，调整留存收益。 通过多次交易分步实现同一控制下的企业合并 </w:t>
      </w:r>
      <w:r>
        <w:rPr>
          <w:spacing w:val="-2"/>
        </w:rPr>
        <w:t>在个别财务报表中，以合并日持股比例计算的合并日应享有被合并方净资产在最终控制方合并财务报表中的账面价值的份额</w:t>
      </w:r>
      <w:r>
        <w:rPr>
          <w:spacing w:val="-64"/>
        </w:rPr>
        <w:t> </w:t>
      </w:r>
      <w:r>
        <w:rPr>
          <w:spacing w:val="-64"/>
        </w:rPr>
      </w:r>
      <w:r>
        <w:rPr/>
        <w:t>作为该项投资的初始投资成本；初始投资成本与合并前持有投资的账面价值加上合并日新支付对价的账面价值之和的差额，</w:t>
      </w:r>
      <w:r>
        <w:rPr>
          <w:spacing w:val="-83"/>
        </w:rPr>
        <w:t> </w:t>
      </w:r>
      <w:r>
        <w:rPr>
          <w:spacing w:val="-83"/>
        </w:rPr>
      </w:r>
      <w:r>
        <w:rPr/>
        <w:t>调整资本公积（股本溢价），资本公积不足冲减的，调整留存收益。 </w:t>
      </w:r>
      <w:r>
        <w:rPr>
          <w:spacing w:val="-2"/>
        </w:rPr>
        <w:t>在合并财务报表中，合并方在合并中取得的被合并方的资产、负债，除因会计政策不同而进行的调整以外，按合并日在最终</w:t>
      </w:r>
      <w:r>
        <w:rPr>
          <w:spacing w:val="-63"/>
        </w:rPr>
        <w:t> </w:t>
      </w:r>
      <w:r>
        <w:rPr>
          <w:spacing w:val="-63"/>
        </w:rPr>
      </w:r>
      <w:r>
        <w:rPr>
          <w:spacing w:val="-2"/>
        </w:rPr>
        <w:t>控制方合并财务报表中的账面价值计量；合并前持有投资的账面价值加上合并日新支付对价的账面价值之和，与合并中取得</w:t>
      </w:r>
      <w:r>
        <w:rPr>
          <w:spacing w:val="-64"/>
        </w:rPr>
        <w:t> </w:t>
      </w:r>
      <w:r>
        <w:rPr>
          <w:spacing w:val="-64"/>
        </w:rPr>
      </w:r>
      <w:r>
        <w:rPr>
          <w:spacing w:val="-2"/>
        </w:rPr>
        <w:t>的净资产账面价值的差额，调整资本公积（股本溢价），资本公积不足冲减的，调整留存收益。合并方在取得被合并方控制</w:t>
      </w:r>
      <w:r>
        <w:rPr>
          <w:spacing w:val="-70"/>
        </w:rPr>
        <w:t> </w:t>
      </w:r>
      <w:r>
        <w:rPr>
          <w:spacing w:val="-70"/>
        </w:rPr>
      </w:r>
      <w:r>
        <w:rPr>
          <w:spacing w:val="-2"/>
        </w:rPr>
        <w:t>权之前持有的长期股权投资，在取得原股权之日与合并方与被合并方同处于同一方最终控制之日孰晚日起至合并日之间已确</w:t>
      </w:r>
      <w:r>
        <w:rPr>
          <w:spacing w:val="-64"/>
        </w:rPr>
        <w:t> </w:t>
      </w:r>
      <w:r>
        <w:rPr>
          <w:spacing w:val="-64"/>
        </w:rPr>
      </w:r>
      <w:r>
        <w:rPr/>
        <w:t>认有关损益、其他综合收益和其他所有者权益变动，应分别冲减比较报表期间的期初留存收益或当期损益。</w:t>
      </w:r>
    </w:p>
    <w:p>
      <w:pPr>
        <w:pStyle w:val="BodyText"/>
        <w:spacing w:line="314" w:lineRule="auto" w:before="19"/>
        <w:ind w:right="1115"/>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）非同一控制下的企业合并</w:t>
      </w:r>
      <w:r>
        <w:rPr>
          <w:rFonts w:ascii="宋体" w:hAnsi="宋体" w:cs="宋体" w:eastAsia="宋体" w:hint="default"/>
          <w:b/>
          <w:bCs/>
          <w:w w:val="99"/>
        </w:rPr>
        <w:t> </w:t>
      </w:r>
      <w:r>
        <w:rPr>
          <w:spacing w:val="-2"/>
        </w:rPr>
        <w:t>对于非同一控制下的企业合并，合并成本为购买日为取得对被购买方的控制权而付出的资产、发生或承担的负债以及发行的</w:t>
      </w:r>
      <w:r>
        <w:rPr>
          <w:spacing w:val="-64"/>
        </w:rPr>
        <w:t> </w:t>
      </w:r>
      <w:r>
        <w:rPr>
          <w:spacing w:val="-64"/>
        </w:rPr>
      </w:r>
      <w:r>
        <w:rPr/>
        <w:t>权益性证券的公允价值。在购买日，取得的被购买方的资产、负债及或有负债按公允价值确认。 </w:t>
      </w:r>
      <w:r>
        <w:rPr>
          <w:spacing w:val="-2"/>
        </w:rPr>
        <w:t>对合并成本大于合并中取得的被购买方可辨认净资产公允价值份额的差额，确认为商誉，按成本扣除累计减值准备进行后续</w:t>
      </w:r>
      <w:r>
        <w:rPr>
          <w:spacing w:val="-64"/>
        </w:rPr>
        <w:t> </w:t>
      </w:r>
      <w:r>
        <w:rPr>
          <w:spacing w:val="-64"/>
        </w:rPr>
      </w:r>
      <w:r>
        <w:rPr/>
        <w:t>计量；对合并成本小于合并中取得的被购买方可辨认净资产公允价值份额的差额，经复核后计入当期损益。 通过多次交易分步实现非同一控制下的企业合并</w:t>
      </w:r>
    </w:p>
    <w:p>
      <w:pPr>
        <w:spacing w:after="0" w:line="314"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4"/>
        <w:ind w:right="1115"/>
        <w:jc w:val="left"/>
      </w:pPr>
      <w:r>
        <w:rPr>
          <w:spacing w:val="-2"/>
        </w:rPr>
        <w:t>在个别财务报表中，以购买日之前所持被购买方的股权投资的账面价值与购买日新增投资成本之和，作为该项投资的初始投</w:t>
      </w:r>
      <w:r>
        <w:rPr>
          <w:spacing w:val="-64"/>
        </w:rPr>
        <w:t> </w:t>
      </w:r>
      <w:r>
        <w:rPr>
          <w:spacing w:val="-64"/>
        </w:rPr>
      </w:r>
      <w:r>
        <w:rPr>
          <w:spacing w:val="-2"/>
        </w:rPr>
        <w:t>资成本。购买日之前持有的股权投资因采用权益法核算而确认的其他综合收益，购买日对这部分其他综合收益不作处理，在</w:t>
      </w:r>
      <w:r>
        <w:rPr>
          <w:spacing w:val="-63"/>
        </w:rPr>
        <w:t> </w:t>
      </w:r>
      <w:r>
        <w:rPr>
          <w:spacing w:val="-63"/>
        </w:rPr>
      </w:r>
      <w:r>
        <w:rPr>
          <w:spacing w:val="-2"/>
        </w:rPr>
        <w:t>处置该项投资时采用与被投资单位直接处置相关资产或负债相同的基础进行会计处理；因被投资方除净损益、其他综合收益</w:t>
      </w:r>
      <w:r>
        <w:rPr>
          <w:spacing w:val="-64"/>
        </w:rPr>
        <w:t> </w:t>
      </w:r>
      <w:r>
        <w:rPr>
          <w:spacing w:val="-64"/>
        </w:rPr>
      </w:r>
      <w:r>
        <w:rPr>
          <w:spacing w:val="-2"/>
        </w:rPr>
        <w:t>和利润分配以外的其他所有者权益变动而确认的所有者权益，在处置该项投资时转入处置期间的当期损益。购买日之前持有</w:t>
      </w:r>
      <w:r>
        <w:rPr>
          <w:spacing w:val="-64"/>
        </w:rPr>
        <w:t> </w:t>
      </w:r>
      <w:r>
        <w:rPr>
          <w:spacing w:val="-64"/>
        </w:rPr>
      </w:r>
      <w:r>
        <w:rPr/>
        <w:t>的股权投资采用公允价值计量的，原计入其他综合收益的累计公允价值变动在改按成本法核算时转入当期损益。</w:t>
      </w:r>
      <w:r>
        <w:rPr/>
        <w:t> </w:t>
      </w:r>
      <w:r>
        <w:rPr>
          <w:spacing w:val="-2"/>
        </w:rPr>
        <w:t>在合并财务报表中，合并成本为购买日支付的对价与购买日之前已经持有的被购买方的股权在购买日的公允价值之和。对于</w:t>
      </w:r>
      <w:r>
        <w:rPr>
          <w:spacing w:val="-64"/>
        </w:rPr>
        <w:t> </w:t>
      </w:r>
      <w:r>
        <w:rPr>
          <w:spacing w:val="-64"/>
        </w:rPr>
      </w:r>
      <w:r>
        <w:rPr>
          <w:spacing w:val="-2"/>
        </w:rPr>
        <w:t>购买日之前已经持有的被购买方的股权，按照该股权在购买日的公允价值进行重新计量，公允价值与其账面价值之间的差额</w:t>
      </w:r>
      <w:r>
        <w:rPr>
          <w:spacing w:val="-64"/>
        </w:rPr>
        <w:t> </w:t>
      </w:r>
      <w:r>
        <w:rPr>
          <w:spacing w:val="-64"/>
        </w:rPr>
      </w:r>
      <w:r>
        <w:rPr>
          <w:spacing w:val="-2"/>
        </w:rPr>
        <w:t>计入当期收益；购买日之前已经持有的被购买方的股权涉及其他综合收益、其他所有者权益变动转为购买日当期收益，由于</w:t>
      </w:r>
      <w:r>
        <w:rPr>
          <w:spacing w:val="-63"/>
        </w:rPr>
        <w:t> </w:t>
      </w:r>
      <w:r>
        <w:rPr>
          <w:spacing w:val="-63"/>
        </w:rPr>
      </w:r>
      <w:r>
        <w:rPr/>
        <w:t>被投资方重新计量设定收益计划净负债或净资产变动而产生的其他综合收益除外。</w:t>
      </w:r>
    </w:p>
    <w:p>
      <w:pPr>
        <w:pStyle w:val="BodyText"/>
        <w:spacing w:line="309" w:lineRule="auto" w:before="19"/>
        <w:ind w:right="1115"/>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）企业合并中有关交易费用的处理</w:t>
      </w:r>
      <w:r>
        <w:rPr>
          <w:rFonts w:ascii="宋体" w:hAnsi="宋体" w:cs="宋体" w:eastAsia="宋体" w:hint="default"/>
          <w:b/>
          <w:bCs/>
          <w:w w:val="99"/>
        </w:rPr>
        <w:t> </w:t>
      </w:r>
      <w:r>
        <w:rPr>
          <w:spacing w:val="-2"/>
        </w:rPr>
        <w:t>为进行企业合并发生的审计、法律服务、评估咨询等中介费用以及其他相关管理费用，于发生时计入当期损益。作为合并对</w:t>
      </w:r>
      <w:r>
        <w:rPr>
          <w:spacing w:val="-64"/>
        </w:rPr>
        <w:t> </w:t>
      </w:r>
      <w:r>
        <w:rPr>
          <w:spacing w:val="-64"/>
        </w:rPr>
      </w:r>
      <w:r>
        <w:rPr/>
        <w:t>价发行的权益性证券或债务性证券的交易费用，计入权益性证券或债务性证券的初始确认金额。</w:t>
      </w:r>
    </w:p>
    <w:p>
      <w:pPr>
        <w:spacing w:line="240" w:lineRule="auto" w:before="3"/>
        <w:rPr>
          <w:rFonts w:ascii="宋体" w:hAnsi="宋体" w:cs="宋体" w:eastAsia="宋体" w:hint="default"/>
          <w:sz w:val="23"/>
          <w:szCs w:val="23"/>
        </w:rPr>
      </w:pPr>
    </w:p>
    <w:p>
      <w:pPr>
        <w:pStyle w:val="Heading3"/>
        <w:spacing w:line="240" w:lineRule="auto"/>
        <w:ind w:right="1115"/>
        <w:jc w:val="left"/>
        <w:rPr>
          <w:b w:val="0"/>
          <w:bCs w:val="0"/>
        </w:rPr>
      </w:pPr>
      <w:bookmarkStart w:name="6、合并财务报表的编制方法" w:id="183"/>
      <w:bookmarkEnd w:id="183"/>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312" w:lineRule="auto"/>
        <w:ind w:right="1034"/>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）合并范围</w:t>
      </w:r>
      <w:r>
        <w:rPr>
          <w:rFonts w:ascii="宋体" w:hAnsi="宋体" w:cs="宋体" w:eastAsia="宋体" w:hint="default"/>
          <w:b/>
          <w:bCs/>
          <w:w w:val="99"/>
        </w:rPr>
        <w:t> </w:t>
      </w:r>
      <w:r>
        <w:rPr>
          <w:spacing w:val="-2"/>
        </w:rPr>
        <w:t>合并财务报表的合并范围以控制为基础予以确定。控制，是指本集团拥有对被投资单位的权力，通过参与被投资单位的相关</w:t>
      </w:r>
      <w:r>
        <w:rPr>
          <w:spacing w:val="-66"/>
        </w:rPr>
        <w:t> </w:t>
      </w:r>
      <w:r>
        <w:rPr>
          <w:spacing w:val="-66"/>
        </w:rPr>
      </w:r>
      <w:r>
        <w:rPr/>
        <w:t>活动而享有可变回报，并且有能力运用对被投资单位的权力影响其回报金额。子公司，是指被本集团控制的主体（含企业、</w:t>
      </w:r>
      <w:r>
        <w:rPr>
          <w:spacing w:val="-83"/>
        </w:rPr>
        <w:t> </w:t>
      </w:r>
      <w:r>
        <w:rPr>
          <w:spacing w:val="-83"/>
        </w:rPr>
      </w:r>
      <w:r>
        <w:rPr/>
        <w:t>被投资单位中可分割的部分、结构化主体等）。</w:t>
      </w:r>
    </w:p>
    <w:p>
      <w:pPr>
        <w:pStyle w:val="BodyText"/>
        <w:spacing w:line="314" w:lineRule="auto" w:before="22"/>
        <w:ind w:right="1115"/>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）合并财务报表的编制方法</w:t>
      </w:r>
      <w:r>
        <w:rPr>
          <w:rFonts w:ascii="宋体" w:hAnsi="宋体" w:cs="宋体" w:eastAsia="宋体" w:hint="default"/>
          <w:b/>
          <w:bCs/>
          <w:w w:val="99"/>
        </w:rPr>
        <w:t> </w:t>
      </w:r>
      <w:r>
        <w:rPr>
          <w:spacing w:val="-2"/>
        </w:rPr>
        <w:t>合并财务报表以本集团和子公司的财务报表为基础，根据其他有关资料，由本集团编制。在编制合并财务报表时，本集团和</w:t>
      </w:r>
      <w:r>
        <w:rPr>
          <w:spacing w:val="-64"/>
        </w:rPr>
        <w:t> </w:t>
      </w:r>
      <w:r>
        <w:rPr>
          <w:spacing w:val="-64"/>
        </w:rPr>
      </w:r>
      <w:r>
        <w:rPr/>
        <w:t>子公司的会计政策和会计期间要求保持一致，公司间的重大交易和往来余额予以抵销。 </w:t>
      </w:r>
      <w:r>
        <w:rPr>
          <w:spacing w:val="-2"/>
        </w:rPr>
        <w:t>在报告期内因同一控制下企业合并增加的子公司以及业务，视同该子公司以及业务自同受最终控制方控制之日起纳入本集团</w:t>
      </w:r>
      <w:r>
        <w:rPr>
          <w:spacing w:val="-64"/>
        </w:rPr>
        <w:t> </w:t>
      </w:r>
      <w:r>
        <w:rPr>
          <w:spacing w:val="-64"/>
        </w:rPr>
      </w:r>
      <w:r>
        <w:rPr/>
        <w:t>的合并范围，将其自同受最终控制方控制之日起的经营成果、现金流量分别纳入合并利润表、合并现金流量表中。 </w:t>
      </w:r>
      <w:r>
        <w:rPr>
          <w:spacing w:val="-2"/>
        </w:rPr>
        <w:t>在报告期内因非同一控制下企业合并增加的子公司以及业务，将该子公司以及业务自购买日至报告期末的收入、费用、利润</w:t>
      </w:r>
      <w:r>
        <w:rPr>
          <w:spacing w:val="-65"/>
        </w:rPr>
        <w:t> </w:t>
      </w:r>
      <w:r>
        <w:rPr>
          <w:spacing w:val="-65"/>
        </w:rPr>
      </w:r>
      <w:r>
        <w:rPr/>
        <w:t>纳入合并利润表，将其现金流量纳入合并现金流量表。 </w:t>
      </w:r>
      <w:r>
        <w:rPr>
          <w:spacing w:val="-2"/>
        </w:rPr>
        <w:t>子公司的股东权益中不属于本集团所拥有的部分，作为少数股东权益在合并资产负债表中股东权益项下单独列示；子公司当</w:t>
      </w:r>
      <w:r>
        <w:rPr>
          <w:spacing w:val="-64"/>
        </w:rPr>
        <w:t> </w:t>
      </w:r>
      <w:r>
        <w:rPr>
          <w:spacing w:val="-64"/>
        </w:rPr>
      </w:r>
      <w:r>
        <w:rPr>
          <w:spacing w:val="-2"/>
        </w:rPr>
        <w:t>期净损益中属于少数股东权益的份额，在合并利润表中净利润项目下以</w:t>
      </w:r>
      <w:r>
        <w:rPr>
          <w:rFonts w:ascii="Times New Roman" w:hAnsi="Times New Roman" w:cs="Times New Roman" w:eastAsia="Times New Roman" w:hint="default"/>
          <w:spacing w:val="-2"/>
        </w:rPr>
        <w:t>“</w:t>
      </w:r>
      <w:r>
        <w:rPr>
          <w:spacing w:val="-2"/>
        </w:rPr>
        <w:t>少数股东损益</w:t>
      </w:r>
      <w:r>
        <w:rPr>
          <w:rFonts w:ascii="Times New Roman" w:hAnsi="Times New Roman" w:cs="Times New Roman" w:eastAsia="Times New Roman" w:hint="default"/>
          <w:spacing w:val="-2"/>
        </w:rPr>
        <w:t>”</w:t>
      </w:r>
      <w:r>
        <w:rPr>
          <w:spacing w:val="-2"/>
        </w:rPr>
        <w:t>项目列示。少数股东分担的子公司的</w:t>
      </w:r>
      <w:r>
        <w:rPr>
          <w:spacing w:val="-43"/>
        </w:rPr>
        <w:t> </w:t>
      </w:r>
      <w:r>
        <w:rPr>
          <w:spacing w:val="-43"/>
        </w:rPr>
      </w:r>
      <w:r>
        <w:rPr/>
        <w:t>亏损超过了少数股东在该子公司期初所有者权益中所享有的份额，其余额仍冲减少数股东权益。</w:t>
      </w:r>
    </w:p>
    <w:p>
      <w:pPr>
        <w:pStyle w:val="BodyText"/>
        <w:spacing w:line="314" w:lineRule="auto" w:before="20"/>
        <w:ind w:right="0"/>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）购买子公司少数股东股权</w:t>
      </w:r>
      <w:r>
        <w:rPr>
          <w:rFonts w:ascii="宋体" w:hAnsi="宋体" w:cs="宋体" w:eastAsia="宋体" w:hint="default"/>
          <w:b/>
          <w:bCs/>
          <w:w w:val="99"/>
        </w:rPr>
        <w:t> </w:t>
      </w:r>
      <w:r>
        <w:rPr/>
        <w:t>因购买少数股权新取得的长期股权投资成本与按照新增持股比例计算应享有子公司自购买日或合并日开始持续计算的净资</w:t>
      </w:r>
      <w:r>
        <w:rPr>
          <w:spacing w:val="-11"/>
        </w:rPr>
        <w:t> </w:t>
      </w:r>
      <w:r>
        <w:rPr>
          <w:spacing w:val="-11"/>
        </w:rPr>
      </w:r>
      <w:r>
        <w:rPr>
          <w:spacing w:val="-2"/>
        </w:rPr>
        <w:t>产份额之间的差额，以及在不丧失控制权的情况下因部分处置对子公司的股权投资而取得的处置价款与处置长期股权投资相</w:t>
      </w:r>
      <w:r>
        <w:rPr>
          <w:spacing w:val="-64"/>
        </w:rPr>
        <w:t> </w:t>
      </w:r>
      <w:r>
        <w:rPr>
          <w:spacing w:val="-64"/>
        </w:rPr>
      </w:r>
      <w:r>
        <w:rPr>
          <w:spacing w:val="-5"/>
        </w:rPr>
        <w:t>对应享有子公司自购买日或合并日开始持续计算的净资产份额之间的差额，均调整合并资产负债表中的资本公积（股本溢价），</w:t>
      </w:r>
      <w:r>
        <w:rPr>
          <w:spacing w:val="-71"/>
        </w:rPr>
        <w:t> </w:t>
      </w:r>
      <w:r>
        <w:rPr>
          <w:spacing w:val="-71"/>
        </w:rPr>
      </w:r>
      <w:r>
        <w:rPr/>
        <w:t>资本公积不足冲减的，调整留存收益。</w:t>
      </w:r>
    </w:p>
    <w:p>
      <w:pPr>
        <w:pStyle w:val="BodyText"/>
        <w:spacing w:line="314" w:lineRule="auto" w:before="20"/>
        <w:ind w:right="1034"/>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）丧失子公司控制权的处理</w:t>
      </w:r>
      <w:r>
        <w:rPr>
          <w:rFonts w:ascii="宋体" w:hAnsi="宋体" w:cs="宋体" w:eastAsia="宋体" w:hint="default"/>
          <w:b/>
          <w:bCs/>
          <w:w w:val="99"/>
        </w:rPr>
        <w:t> </w:t>
      </w:r>
      <w:r>
        <w:rPr/>
        <w:t>因处置部分股权投资或其他原因丧失了对原有子公司控制权的，剩余股权按照其在丧失控制权日的公允价值进行重新计量；</w:t>
      </w:r>
      <w:r>
        <w:rPr>
          <w:spacing w:val="-83"/>
        </w:rPr>
        <w:t> </w:t>
      </w:r>
      <w:r>
        <w:rPr>
          <w:spacing w:val="-83"/>
        </w:rPr>
      </w:r>
      <w:r>
        <w:rPr>
          <w:spacing w:val="-2"/>
        </w:rPr>
        <w:t>处置股权取得的对价与剩余股权公允价值之和，减去按原持股比例计算应享有原有子公司自购买日开始持续计算的净资产账</w:t>
      </w:r>
      <w:r>
        <w:rPr>
          <w:spacing w:val="-64"/>
        </w:rPr>
        <w:t> </w:t>
      </w:r>
      <w:r>
        <w:rPr>
          <w:spacing w:val="-64"/>
        </w:rPr>
      </w:r>
      <w:r>
        <w:rPr/>
        <w:t>面价值的份额与商誉之和，形成的差额计入丧失控制权当期的投资收益。</w:t>
      </w:r>
      <w:r>
        <w:rPr/>
        <w:t> </w:t>
      </w:r>
      <w:r>
        <w:rPr>
          <w:spacing w:val="-2"/>
        </w:rPr>
        <w:t>与原有子公司的股权投资相关的其他综合收益等，在丧失控制权时转入当期损益，由于被投资方重新计量设定收益计划净负</w:t>
      </w:r>
      <w:r>
        <w:rPr>
          <w:spacing w:val="-64"/>
        </w:rPr>
        <w:t> </w:t>
      </w:r>
      <w:r>
        <w:rPr>
          <w:spacing w:val="-64"/>
        </w:rPr>
      </w:r>
      <w:r>
        <w:rPr/>
        <w:t>债或净资产变动而产生的其他综合收益除外。</w:t>
      </w:r>
    </w:p>
    <w:p>
      <w:pPr>
        <w:spacing w:line="240" w:lineRule="auto" w:before="12"/>
        <w:rPr>
          <w:rFonts w:ascii="宋体" w:hAnsi="宋体" w:cs="宋体" w:eastAsia="宋体" w:hint="default"/>
          <w:sz w:val="22"/>
          <w:szCs w:val="22"/>
        </w:rPr>
      </w:pPr>
    </w:p>
    <w:p>
      <w:pPr>
        <w:pStyle w:val="Heading3"/>
        <w:spacing w:line="240" w:lineRule="auto"/>
        <w:ind w:right="1115"/>
        <w:jc w:val="left"/>
        <w:rPr>
          <w:b w:val="0"/>
          <w:bCs w:val="0"/>
        </w:rPr>
      </w:pPr>
      <w:bookmarkStart w:name="7、现金及现金等价物的确定标准" w:id="184"/>
      <w:bookmarkEnd w:id="184"/>
      <w:r>
        <w:rPr>
          <w:b w:val="0"/>
          <w:bCs w:val="0"/>
        </w:rPr>
      </w:r>
      <w:r>
        <w:rPr>
          <w:rFonts w:ascii="Times New Roman" w:hAnsi="Times New Roman" w:cs="Times New Roman" w:eastAsia="Times New Roman" w:hint="default"/>
        </w:rPr>
        <w:t>7</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15"/>
        <w:jc w:val="left"/>
      </w:pPr>
      <w:r>
        <w:rPr>
          <w:spacing w:val="-2"/>
        </w:rPr>
        <w:t>现金是指库存现金以及可以随时用于支付的存款。现金等价物，是指本集团持有的期限短、流动性强、易于转换为已知金额</w:t>
      </w:r>
      <w:r>
        <w:rPr>
          <w:spacing w:val="-64"/>
        </w:rPr>
        <w:t> </w:t>
      </w:r>
      <w:r>
        <w:rPr>
          <w:spacing w:val="-64"/>
        </w:rPr>
      </w:r>
      <w:r>
        <w:rPr/>
        <w:t>现金、价值变动风险很小的投资</w:t>
      </w:r>
    </w:p>
    <w:p>
      <w:pPr>
        <w:spacing w:after="0" w:line="316"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15"/>
        <w:jc w:val="left"/>
        <w:rPr>
          <w:b w:val="0"/>
          <w:bCs w:val="0"/>
        </w:rPr>
      </w:pPr>
      <w:bookmarkStart w:name="8、外币业务和外币报表折算" w:id="185"/>
      <w:bookmarkEnd w:id="185"/>
      <w:r>
        <w:rPr>
          <w:b w:val="0"/>
          <w:bCs w:val="0"/>
        </w:rPr>
      </w:r>
      <w:r>
        <w:rPr>
          <w:rFonts w:ascii="Times New Roman" w:hAnsi="Times New Roman" w:cs="Times New Roman" w:eastAsia="Times New Roman" w:hint="default"/>
        </w:rPr>
        <w:t>8</w:t>
      </w:r>
      <w:r>
        <w:rPr/>
        <w:t>、外币业务和外币报表折算</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4994"/>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）外币业务</w:t>
      </w:r>
      <w:r>
        <w:rPr>
          <w:rFonts w:ascii="宋体" w:hAnsi="宋体" w:cs="宋体" w:eastAsia="宋体" w:hint="default"/>
          <w:b/>
          <w:bCs/>
          <w:w w:val="99"/>
        </w:rPr>
        <w:t> </w:t>
      </w:r>
      <w:r>
        <w:rPr/>
        <w:t>本集团发生外币业务，按交易发生日的即期汇率折算为记账本位币金额。</w:t>
      </w:r>
    </w:p>
    <w:p>
      <w:pPr>
        <w:pStyle w:val="BodyText"/>
        <w:spacing w:line="316" w:lineRule="auto" w:before="31"/>
        <w:ind w:right="1129"/>
        <w:jc w:val="both"/>
      </w:pPr>
      <w:r>
        <w:rPr>
          <w:spacing w:val="-2"/>
        </w:rPr>
        <w:t>资产负债表日，对外币货币性项目，采用资产负债表日即期汇率折算。因资产负债表日即期汇率与初始确认时或者前一资产</w:t>
      </w:r>
      <w:r>
        <w:rPr>
          <w:spacing w:val="-62"/>
        </w:rPr>
        <w:t> </w:t>
      </w:r>
      <w:r>
        <w:rPr>
          <w:spacing w:val="-62"/>
        </w:rPr>
      </w:r>
      <w:r>
        <w:rPr>
          <w:spacing w:val="-2"/>
        </w:rPr>
        <w:t>负债表日即期汇率不同而产生的汇兑差额，计入当期损益；对以历史成本计量的外币非货币性项目，仍采用交易发生日的即</w:t>
      </w:r>
      <w:r>
        <w:rPr>
          <w:spacing w:val="-65"/>
        </w:rPr>
        <w:t> </w:t>
      </w:r>
      <w:r>
        <w:rPr>
          <w:spacing w:val="-65"/>
        </w:rPr>
      </w:r>
      <w:r>
        <w:rPr>
          <w:spacing w:val="-2"/>
        </w:rPr>
        <w:t>期汇率折算；对以公允价值计量的外币非货币性项目，采用公允价值确定日的即期汇率折算，折算后的记账本位币金额与原</w:t>
      </w:r>
      <w:r>
        <w:rPr>
          <w:spacing w:val="-63"/>
        </w:rPr>
        <w:t> </w:t>
      </w:r>
      <w:r>
        <w:rPr>
          <w:spacing w:val="-63"/>
        </w:rPr>
      </w:r>
      <w:r>
        <w:rPr/>
        <w:t>记账本位币金额的差额，计入当期损益。</w:t>
      </w:r>
    </w:p>
    <w:p>
      <w:pPr>
        <w:pStyle w:val="BodyText"/>
        <w:spacing w:line="309" w:lineRule="auto" w:before="19"/>
        <w:ind w:right="1115"/>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）外币财务报表的折算</w:t>
      </w:r>
      <w:r>
        <w:rPr>
          <w:rFonts w:ascii="宋体" w:hAnsi="宋体" w:cs="宋体" w:eastAsia="宋体" w:hint="default"/>
          <w:b/>
          <w:bCs/>
          <w:w w:val="99"/>
        </w:rPr>
        <w:t> </w:t>
      </w:r>
      <w:r>
        <w:rPr>
          <w:spacing w:val="-2"/>
        </w:rPr>
        <w:t>资产负债表日，对境外子公司外币财务报表进行折算时，资产负债表中的资产和负债项目，采用资产负债表日的即期汇率折</w:t>
      </w:r>
      <w:r>
        <w:rPr>
          <w:spacing w:val="-63"/>
        </w:rPr>
        <w:t> </w:t>
      </w:r>
      <w:r>
        <w:rPr>
          <w:spacing w:val="-63"/>
        </w:rPr>
      </w:r>
      <w:r>
        <w:rPr/>
        <w:t>算，股东权益项目除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外，其他项目采用发生日的即期汇率折算。 利润表中的收入和费用项目，采用交易发生日的即期汇率折算。 </w:t>
      </w:r>
      <w:r>
        <w:rPr>
          <w:spacing w:val="-2"/>
        </w:rPr>
        <w:t>现金流量表所有项目均按照现金流量发生日的即期汇率折算。汇率变动对现金的影响额作为调节项目，在现金流量表中单独</w:t>
      </w:r>
      <w:r>
        <w:rPr>
          <w:spacing w:val="-64"/>
        </w:rPr>
        <w:t> </w:t>
      </w:r>
      <w:r>
        <w:rPr>
          <w:spacing w:val="-64"/>
        </w:rPr>
      </w:r>
      <w:r>
        <w:rPr/>
        <w:t>列示</w:t>
      </w:r>
      <w:r>
        <w:rPr>
          <w:rFonts w:ascii="Times New Roman" w:hAnsi="Times New Roman" w:cs="Times New Roman" w:eastAsia="Times New Roman" w:hint="default"/>
        </w:rPr>
        <w:t>“</w:t>
      </w:r>
      <w:r>
        <w:rPr/>
        <w:t>汇率变动对现金及现金等价物的影响</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项目反映。 由于财务报表折算而产生的差额，在资产负债表股东权益项目下的</w:t>
      </w:r>
      <w:r>
        <w:rPr>
          <w:rFonts w:ascii="Times New Roman" w:hAnsi="Times New Roman" w:cs="Times New Roman" w:eastAsia="Times New Roman" w:hint="default"/>
        </w:rPr>
        <w:t>“</w:t>
      </w:r>
      <w:r>
        <w:rPr/>
        <w:t>其他综合收益</w:t>
      </w:r>
      <w:r>
        <w:rPr>
          <w:rFonts w:ascii="Times New Roman" w:hAnsi="Times New Roman" w:cs="Times New Roman" w:eastAsia="Times New Roman" w:hint="default"/>
        </w:rPr>
        <w:t>”</w:t>
      </w:r>
      <w:r>
        <w:rPr/>
        <w:t>项目反映。 </w:t>
      </w:r>
      <w:r>
        <w:rPr>
          <w:spacing w:val="-2"/>
        </w:rPr>
        <w:t>处置境外经营并丧失控制权时，将资产负债表中股东权益项目下列示的、与该境外经营相关的外币报表折算差额，全部或按</w:t>
      </w:r>
      <w:r>
        <w:rPr>
          <w:spacing w:val="-63"/>
        </w:rPr>
        <w:t> </w:t>
      </w:r>
      <w:r>
        <w:rPr>
          <w:spacing w:val="-63"/>
        </w:rPr>
      </w:r>
      <w:r>
        <w:rPr/>
        <w:t>处置该境外经营的比例转入处置当期损益。</w:t>
      </w:r>
    </w:p>
    <w:p>
      <w:pPr>
        <w:spacing w:line="240" w:lineRule="auto" w:before="3"/>
        <w:rPr>
          <w:rFonts w:ascii="宋体" w:hAnsi="宋体" w:cs="宋体" w:eastAsia="宋体" w:hint="default"/>
          <w:sz w:val="23"/>
          <w:szCs w:val="23"/>
        </w:rPr>
      </w:pPr>
    </w:p>
    <w:p>
      <w:pPr>
        <w:pStyle w:val="Heading3"/>
        <w:spacing w:line="240" w:lineRule="auto"/>
        <w:ind w:right="1115"/>
        <w:jc w:val="left"/>
        <w:rPr>
          <w:b w:val="0"/>
          <w:bCs w:val="0"/>
        </w:rPr>
      </w:pPr>
      <w:bookmarkStart w:name="9、金融工具" w:id="186"/>
      <w:bookmarkEnd w:id="186"/>
      <w:r>
        <w:rPr>
          <w:b w:val="0"/>
          <w:bCs w:val="0"/>
        </w:rPr>
      </w:r>
      <w:r>
        <w:rPr>
          <w:rFonts w:ascii="Times New Roman" w:hAnsi="Times New Roman" w:cs="Times New Roman" w:eastAsia="Times New Roman" w:hint="default"/>
        </w:rPr>
        <w:t>9</w:t>
      </w:r>
      <w:r>
        <w:rPr/>
        <w:t>、金融工具</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5"/>
        <w:jc w:val="left"/>
      </w:pPr>
      <w:r>
        <w:rPr/>
        <w:t>金融工具是指形成一方的金融资产，并形成其他方的金融负债或权益工具的合同。</w:t>
      </w:r>
    </w:p>
    <w:p>
      <w:pPr>
        <w:spacing w:line="309" w:lineRule="auto" w:before="76"/>
        <w:ind w:left="152" w:right="535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）金融工具的确认和终止确认</w:t>
      </w:r>
      <w:r>
        <w:rPr>
          <w:rFonts w:ascii="宋体" w:hAnsi="宋体" w:cs="宋体" w:eastAsia="宋体" w:hint="default"/>
          <w:b/>
          <w:bCs/>
          <w:w w:val="99"/>
          <w:sz w:val="18"/>
          <w:szCs w:val="18"/>
        </w:rPr>
        <w:t> </w:t>
      </w:r>
      <w:r>
        <w:rPr>
          <w:rFonts w:ascii="宋体" w:hAnsi="宋体" w:cs="宋体" w:eastAsia="宋体" w:hint="default"/>
          <w:sz w:val="18"/>
          <w:szCs w:val="18"/>
        </w:rPr>
        <w:t>本集团于成为金融工具合同的一方时确认一项金融资产或金融负债。 金融资产满足下列条件之一的，终止确认：</w:t>
      </w:r>
    </w:p>
    <w:p>
      <w:pPr>
        <w:pStyle w:val="BodyText"/>
        <w:spacing w:line="240" w:lineRule="auto" w:before="24"/>
        <w:ind w:right="1115"/>
        <w:jc w:val="left"/>
      </w:pPr>
      <w:r>
        <w:rPr/>
        <w:t>①</w:t>
      </w:r>
      <w:r>
        <w:rPr>
          <w:spacing w:val="-18"/>
        </w:rPr>
        <w:t> </w:t>
      </w:r>
      <w:r>
        <w:rPr/>
        <w:t>收取该金融资产现金流量的合同权利终止；</w:t>
      </w:r>
    </w:p>
    <w:p>
      <w:pPr>
        <w:pStyle w:val="BodyText"/>
        <w:spacing w:line="316" w:lineRule="auto" w:before="76"/>
        <w:ind w:right="1034"/>
        <w:jc w:val="left"/>
      </w:pPr>
      <w:r>
        <w:rPr/>
        <w:t>②</w:t>
      </w:r>
      <w:r>
        <w:rPr>
          <w:spacing w:val="-18"/>
        </w:rPr>
        <w:t> </w:t>
      </w:r>
      <w:r>
        <w:rPr/>
        <w:t>该金融资产已转移，且符合下述金融资产转移的终止确认条件。</w:t>
      </w:r>
      <w:r>
        <w:rPr/>
        <w:t> 金融负债的现时义务全部或部分已经解除的，终止确认该金融负债或其一部分。本集团（债务人）与债权人之间签订协议，</w:t>
      </w:r>
      <w:r>
        <w:rPr>
          <w:spacing w:val="-83"/>
        </w:rPr>
        <w:t> </w:t>
      </w:r>
      <w:r>
        <w:rPr>
          <w:spacing w:val="-83"/>
        </w:rPr>
      </w:r>
      <w:r>
        <w:rPr>
          <w:spacing w:val="-4"/>
        </w:rPr>
        <w:t>以承担新金融负债方式替换现存金融负债，且新金融负债与现存金融负债的合同条款实质上不同的，终止确认现存金融负债，</w:t>
      </w:r>
      <w:r>
        <w:rPr>
          <w:spacing w:val="-42"/>
        </w:rPr>
        <w:t> </w:t>
      </w:r>
      <w:r>
        <w:rPr>
          <w:spacing w:val="-42"/>
        </w:rPr>
      </w:r>
      <w:r>
        <w:rPr/>
        <w:t>并同时确认新金融负债。</w:t>
      </w:r>
    </w:p>
    <w:p>
      <w:pPr>
        <w:pStyle w:val="BodyText"/>
        <w:spacing w:line="240" w:lineRule="auto" w:before="19"/>
        <w:ind w:right="1115"/>
        <w:jc w:val="left"/>
      </w:pPr>
      <w:r>
        <w:rPr/>
        <w:t>以常规方式买卖金融资产，按交易日进行会计确认和终止确认。</w:t>
      </w:r>
    </w:p>
    <w:p>
      <w:pPr>
        <w:pStyle w:val="BodyText"/>
        <w:spacing w:line="312" w:lineRule="auto" w:before="76"/>
        <w:ind w:right="1115"/>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）金融资产分类和计量</w:t>
      </w:r>
      <w:r>
        <w:rPr>
          <w:rFonts w:ascii="宋体" w:hAnsi="宋体" w:cs="宋体" w:eastAsia="宋体" w:hint="default"/>
          <w:b/>
          <w:bCs/>
          <w:w w:val="99"/>
        </w:rPr>
        <w:t> </w:t>
      </w:r>
      <w:r>
        <w:rPr>
          <w:spacing w:val="-2"/>
        </w:rPr>
        <w:t>本集团在初始确认时根据管理金融资产的业务模式和金融资产的合同现金流量特征，将金融资产分为以下三类：以摊余成本</w:t>
      </w:r>
      <w:r>
        <w:rPr>
          <w:spacing w:val="-64"/>
        </w:rPr>
        <w:t> </w:t>
      </w:r>
      <w:r>
        <w:rPr>
          <w:spacing w:val="-64"/>
        </w:rPr>
      </w:r>
      <w:r>
        <w:rPr>
          <w:spacing w:val="-2"/>
        </w:rPr>
        <w:t>计量的金融资产、以公允价值计量且其变动计入其他综合收益的金融资产、以公允价值计量且其变动计入当期损益的金融资</w:t>
      </w:r>
      <w:r>
        <w:rPr>
          <w:spacing w:val="-64"/>
        </w:rPr>
        <w:t> </w:t>
      </w:r>
      <w:r>
        <w:rPr>
          <w:spacing w:val="-64"/>
        </w:rPr>
      </w:r>
      <w:r>
        <w:rPr/>
        <w:t>产。</w:t>
      </w:r>
    </w:p>
    <w:p>
      <w:pPr>
        <w:pStyle w:val="BodyText"/>
        <w:spacing w:line="319" w:lineRule="auto" w:before="22"/>
        <w:ind w:right="1115"/>
        <w:jc w:val="left"/>
      </w:pPr>
      <w:r>
        <w:rPr/>
        <w:t>以摊余成本计量的金融资产 </w:t>
      </w:r>
      <w:r>
        <w:rPr>
          <w:spacing w:val="-2"/>
        </w:rPr>
        <w:t>本集团将同时符合下列条件且未被指定为以公允价值计量且其变动计入当期损益的金融资产，分类为以摊余成本计量的金融</w:t>
      </w:r>
      <w:r>
        <w:rPr>
          <w:spacing w:val="-64"/>
        </w:rPr>
        <w:t> </w:t>
      </w:r>
      <w:r>
        <w:rPr>
          <w:spacing w:val="-64"/>
        </w:rPr>
      </w:r>
      <w:r>
        <w:rPr/>
        <w:t>资产：</w:t>
      </w:r>
    </w:p>
    <w:p>
      <w:pPr>
        <w:pStyle w:val="BodyText"/>
        <w:spacing w:line="316" w:lineRule="auto" w:before="17"/>
        <w:ind w:right="1115"/>
        <w:jc w:val="left"/>
      </w:pPr>
      <w:r>
        <w:rPr/>
        <w:t>本集团管理该金融资产的业务模式是以收取合同现金流量为目标； 该金融资产的合同条款规定，在特定日期产生的现金流量，仅为对本金和以未偿付本金金额为基础的利息的支付。 </w:t>
      </w:r>
      <w:r>
        <w:rPr>
          <w:spacing w:val="-2"/>
        </w:rPr>
        <w:t>初始确认后，对于该类金融资产采用实际利率法以摊余成本计量。以摊余成本计量且不属于任何套期关系的一部分的金融资</w:t>
      </w:r>
      <w:r>
        <w:rPr>
          <w:spacing w:val="-64"/>
        </w:rPr>
        <w:t> </w:t>
      </w:r>
      <w:r>
        <w:rPr>
          <w:spacing w:val="-64"/>
        </w:rPr>
      </w:r>
      <w:r>
        <w:rPr/>
        <w:t>产所产生的利得或损失，在终止确认、按照实际利率法摊销或确认减值时，计入当期损益。 以公允价值计量且其变动计入其他综合收益的金融资产 </w:t>
      </w:r>
      <w:r>
        <w:rPr>
          <w:spacing w:val="-2"/>
        </w:rPr>
        <w:t>本集团将同时符合下列条件且未被指定为以公允价值计量且其变动计入当期损益的金融资产，分类为以公允价值计量且其变</w:t>
      </w:r>
      <w:r>
        <w:rPr>
          <w:spacing w:val="-63"/>
        </w:rPr>
        <w:t> </w:t>
      </w:r>
      <w:r>
        <w:rPr>
          <w:spacing w:val="-63"/>
        </w:rPr>
      </w:r>
      <w:r>
        <w:rPr/>
        <w:t>动计入其他综合收益的金融资产：</w:t>
      </w:r>
    </w:p>
    <w:p>
      <w:pPr>
        <w:spacing w:after="0" w:line="316"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4"/>
        <w:ind w:right="1115"/>
        <w:jc w:val="left"/>
      </w:pPr>
      <w:r>
        <w:rPr/>
        <w:t>本集团管理该金融资产的业务模式既以收取合同现金流量为目标又以出售该金融资产为目标； 该金融资产的合同条款规定，在特定日期产生的现金流量，仅为对本金和以未偿付本金金额为基础的利息的支付。 </w:t>
      </w:r>
      <w:r>
        <w:rPr>
          <w:spacing w:val="-2"/>
        </w:rPr>
        <w:t>初始确认后，对于该类金融资产以公允价值进行后续计量。采用实际利率法计算的利息、减值损失或利得及汇兑损益计入当</w:t>
      </w:r>
      <w:r>
        <w:rPr>
          <w:spacing w:val="-63"/>
        </w:rPr>
        <w:t> </w:t>
      </w:r>
      <w:r>
        <w:rPr>
          <w:spacing w:val="-63"/>
        </w:rPr>
      </w:r>
      <w:r>
        <w:rPr>
          <w:spacing w:val="-2"/>
        </w:rPr>
        <w:t>期损益，其他利得或损失计入其他综合收益。终止确认时，将之前计入其他综合收益的累计利得或损失从其他综合收益中转</w:t>
      </w:r>
      <w:r>
        <w:rPr>
          <w:spacing w:val="-65"/>
        </w:rPr>
        <w:t> </w:t>
      </w:r>
      <w:r>
        <w:rPr>
          <w:spacing w:val="-65"/>
        </w:rPr>
      </w:r>
      <w:r>
        <w:rPr/>
        <w:t>出，计入当期损益。</w:t>
      </w:r>
    </w:p>
    <w:p>
      <w:pPr>
        <w:pStyle w:val="BodyText"/>
        <w:spacing w:line="316" w:lineRule="auto" w:before="17"/>
        <w:ind w:right="1115"/>
        <w:jc w:val="left"/>
      </w:pPr>
      <w:r>
        <w:rPr/>
        <w:t>以公允价值计量且其变动计入当期损益的金融资产 </w:t>
      </w:r>
      <w:r>
        <w:rPr>
          <w:spacing w:val="-2"/>
        </w:rPr>
        <w:t>除上述以摊余成本计量和以公允价值计量且其变动计入其他综合收益的金融资产外，本集团将其余所有的金融资产分类为以</w:t>
      </w:r>
      <w:r>
        <w:rPr>
          <w:spacing w:val="-64"/>
        </w:rPr>
        <w:t> </w:t>
      </w:r>
      <w:r>
        <w:rPr>
          <w:spacing w:val="-64"/>
        </w:rPr>
      </w:r>
      <w:r>
        <w:rPr>
          <w:spacing w:val="-2"/>
        </w:rPr>
        <w:t>公允价值计量且其变动计入当期损益的金融资产。在初始确认时，为消除或显著减少会计错配，本集团将部分本应以摊余成</w:t>
      </w:r>
      <w:r>
        <w:rPr>
          <w:spacing w:val="-63"/>
        </w:rPr>
        <w:t> </w:t>
      </w:r>
      <w:r>
        <w:rPr>
          <w:spacing w:val="-63"/>
        </w:rPr>
      </w:r>
      <w:r>
        <w:rPr/>
        <w:t>本计量或以公允价值计量且其变动计入其他综合收益的金融资产不可撤销地指定为以公允价值计量且其变动计入当期损益</w:t>
      </w:r>
      <w:r>
        <w:rPr>
          <w:spacing w:val="-11"/>
        </w:rPr>
        <w:t> </w:t>
      </w:r>
      <w:r>
        <w:rPr>
          <w:spacing w:val="-11"/>
        </w:rPr>
      </w:r>
      <w:r>
        <w:rPr/>
        <w:t>的金融资产。 </w:t>
      </w:r>
      <w:r>
        <w:rPr>
          <w:spacing w:val="-2"/>
        </w:rPr>
        <w:t>初始确认后，对于该类金融资产以公允价值进行后续计量，产生的利得或损失（包括利息和股利收入）计入当期损益，除非</w:t>
      </w:r>
      <w:r>
        <w:rPr>
          <w:spacing w:val="-67"/>
        </w:rPr>
        <w:t> </w:t>
      </w:r>
      <w:r>
        <w:rPr>
          <w:spacing w:val="-67"/>
        </w:rPr>
      </w:r>
      <w:r>
        <w:rPr/>
        <w:t>该金融资产属于套期关系的一部分。 </w:t>
      </w:r>
      <w:r>
        <w:rPr>
          <w:spacing w:val="-2"/>
        </w:rPr>
        <w:t>但是，对于非交易性权益工具投资，本集团在初始确认时将其不可撤销地指定为以公允价值计量且其变动计入其他综合收益</w:t>
      </w:r>
      <w:r>
        <w:rPr>
          <w:spacing w:val="-63"/>
        </w:rPr>
        <w:t> </w:t>
      </w:r>
      <w:r>
        <w:rPr>
          <w:spacing w:val="-63"/>
        </w:rPr>
      </w:r>
      <w:r>
        <w:rPr/>
        <w:t>的金融资产。该指定在单项投资的基础上作出，且相关投资从发行方的角度符合权益工具的定义。 </w:t>
      </w:r>
      <w:r>
        <w:rPr>
          <w:spacing w:val="-2"/>
        </w:rPr>
        <w:t>初始确认后，对于该类金融资产以公允价值进行后续计量。满足条件的股利收入计入损益，其他利得或损失及公允价值变动</w:t>
      </w:r>
      <w:r>
        <w:rPr>
          <w:spacing w:val="-63"/>
        </w:rPr>
        <w:t> </w:t>
      </w:r>
      <w:r>
        <w:rPr>
          <w:spacing w:val="-63"/>
        </w:rPr>
      </w:r>
      <w:r>
        <w:rPr/>
        <w:t>计入其他综合收益。终止确认时，将之前计入其他综合收益的累计利得或损失从其他综合收益中转出，计入留存收益。 </w:t>
      </w:r>
      <w:r>
        <w:rPr>
          <w:spacing w:val="-2"/>
        </w:rPr>
        <w:t>管理金融资产的业务模式，是指本集团如何管理金融资产以产生现金流量。业务模式决定本集团所管理金融资产现金流量的</w:t>
      </w:r>
      <w:r>
        <w:rPr>
          <w:spacing w:val="-64"/>
        </w:rPr>
        <w:t> </w:t>
      </w:r>
      <w:r>
        <w:rPr>
          <w:spacing w:val="-64"/>
        </w:rPr>
      </w:r>
      <w:r>
        <w:rPr>
          <w:spacing w:val="-2"/>
        </w:rPr>
        <w:t>来源是收取合同现金流量、出售金融资产还是两者兼有。本集团以客观事实为依据、以关键管理人员决定的对金融资产进行</w:t>
      </w:r>
      <w:r>
        <w:rPr>
          <w:spacing w:val="-63"/>
        </w:rPr>
        <w:t> </w:t>
      </w:r>
      <w:r>
        <w:rPr>
          <w:spacing w:val="-63"/>
        </w:rPr>
      </w:r>
      <w:r>
        <w:rPr/>
        <w:t>管理的特定业务目标为基础，确定管理金融资产的业务模式。 </w:t>
      </w:r>
      <w:r>
        <w:rPr>
          <w:spacing w:val="-2"/>
        </w:rPr>
        <w:t>本集团对金融资产的合同现金流量特征进行评估，以确定相关金融资产在特定日期产生的合同现金流量是否仅为对本金和以</w:t>
      </w:r>
      <w:r>
        <w:rPr>
          <w:spacing w:val="-64"/>
        </w:rPr>
        <w:t> </w:t>
      </w:r>
      <w:r>
        <w:rPr>
          <w:spacing w:val="-64"/>
        </w:rPr>
      </w:r>
      <w:r>
        <w:rPr>
          <w:spacing w:val="-2"/>
        </w:rPr>
        <w:t>未偿付本金金额为基础的利息的支付。其中，本金是指金融资产在初始确认时的公允价值；利息包括对货币时间价值、与特</w:t>
      </w:r>
      <w:r>
        <w:rPr>
          <w:spacing w:val="-66"/>
        </w:rPr>
        <w:t> </w:t>
      </w:r>
      <w:r>
        <w:rPr>
          <w:spacing w:val="-66"/>
        </w:rPr>
      </w:r>
      <w:r>
        <w:rPr>
          <w:spacing w:val="-2"/>
        </w:rPr>
        <w:t>定时期未偿付本金金额相关的信用风险、以及其他基本借贷风险、成本和利润的对价。此外，本集团对可能导致金融资产合</w:t>
      </w:r>
      <w:r>
        <w:rPr>
          <w:spacing w:val="-64"/>
        </w:rPr>
        <w:t> </w:t>
      </w:r>
      <w:r>
        <w:rPr>
          <w:spacing w:val="-64"/>
        </w:rPr>
      </w:r>
      <w:r>
        <w:rPr/>
        <w:t>同现金流量的时间分布或金额发生变更的合同条款进行评估，以确定其是否满足上述合同现金流量特征的要求。 </w:t>
      </w:r>
      <w:r>
        <w:rPr>
          <w:spacing w:val="-2"/>
        </w:rPr>
        <w:t>仅在本集团改变管理金融资产的业务模式时，所有受影响的相关金融资产在业务模式发生变更后的首个报告期间的第一天进</w:t>
      </w:r>
      <w:r>
        <w:rPr>
          <w:spacing w:val="-64"/>
        </w:rPr>
        <w:t> </w:t>
      </w:r>
      <w:r>
        <w:rPr>
          <w:spacing w:val="-64"/>
        </w:rPr>
      </w:r>
      <w:r>
        <w:rPr/>
        <w:t>行重分类，否则金融资产在初始确认后不得进行重分类。 </w:t>
      </w:r>
      <w:r>
        <w:rPr>
          <w:spacing w:val="-2"/>
        </w:rPr>
        <w:t>金融资产在初始确认时以公允价值计量。对于以公允价值计量且其变动计入当期损益的金融资产，相关交易费用直接计入当</w:t>
      </w:r>
      <w:r>
        <w:rPr>
          <w:spacing w:val="-64"/>
        </w:rPr>
        <w:t> </w:t>
      </w:r>
      <w:r>
        <w:rPr>
          <w:spacing w:val="-64"/>
        </w:rPr>
      </w:r>
      <w:r>
        <w:rPr>
          <w:spacing w:val="-2"/>
        </w:rPr>
        <w:t>期损益；对于其他类别的金融资产，相关交易费用计入初始确认金额。因销售产品或提供劳务而产生的、未包含或不考虑重</w:t>
      </w:r>
      <w:r>
        <w:rPr>
          <w:spacing w:val="-64"/>
        </w:rPr>
        <w:t> </w:t>
      </w:r>
      <w:r>
        <w:rPr>
          <w:spacing w:val="-64"/>
        </w:rPr>
      </w:r>
      <w:r>
        <w:rPr/>
        <w:t>大融资成分的应收账款，本集团按照预期有权收取的对价金额作为初始确认金额。</w:t>
      </w:r>
    </w:p>
    <w:p>
      <w:pPr>
        <w:pStyle w:val="BodyText"/>
        <w:spacing w:line="314" w:lineRule="auto" w:before="19"/>
        <w:ind w:right="1034"/>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）金融负债分类和计量</w:t>
      </w:r>
      <w:r>
        <w:rPr>
          <w:rFonts w:ascii="宋体" w:hAnsi="宋体" w:cs="宋体" w:eastAsia="宋体" w:hint="default"/>
          <w:b/>
          <w:bCs/>
          <w:w w:val="99"/>
        </w:rPr>
        <w:t> </w:t>
      </w:r>
      <w:r>
        <w:rPr/>
        <w:t>本集团的金融负债于初始确认时分类为：以公允价值计量且其变动计入当期损益的金融负债、以摊余成本计量的金融负债。</w:t>
      </w:r>
      <w:r>
        <w:rPr>
          <w:spacing w:val="-83"/>
        </w:rPr>
        <w:t> </w:t>
      </w:r>
      <w:r>
        <w:rPr>
          <w:spacing w:val="-83"/>
        </w:rPr>
      </w:r>
      <w:r>
        <w:rPr/>
        <w:t>对于未划分为以公允价值计量且其变动计入当期损益的金融负债的，相关交易费用计入其初始确认金额。 以公允价值计量且其变动计入当期损益的金融负债 </w:t>
      </w:r>
      <w:r>
        <w:rPr>
          <w:spacing w:val="-2"/>
        </w:rPr>
        <w:t>以公允价值计量且其变动计入当期损益的金融负债，包括交易性金融负债和初始确认时指定为以公允价值计量且其变动计入</w:t>
      </w:r>
      <w:r>
        <w:rPr>
          <w:spacing w:val="-64"/>
        </w:rPr>
        <w:t> </w:t>
      </w:r>
      <w:r>
        <w:rPr>
          <w:spacing w:val="-64"/>
        </w:rPr>
      </w:r>
      <w:r>
        <w:rPr>
          <w:spacing w:val="-2"/>
        </w:rPr>
        <w:t>当期损益的金融负债。对于此类金融负债，按照公允价值进行后续计量，公允价值变动形成的利得或损失以及与该等金融负</w:t>
      </w:r>
      <w:r>
        <w:rPr>
          <w:spacing w:val="-63"/>
        </w:rPr>
        <w:t> </w:t>
      </w:r>
      <w:r>
        <w:rPr>
          <w:spacing w:val="-63"/>
        </w:rPr>
      </w:r>
      <w:r>
        <w:rPr/>
        <w:t>债相关的股利和利息支出计入当期损益。</w:t>
      </w:r>
    </w:p>
    <w:p>
      <w:pPr>
        <w:pStyle w:val="BodyText"/>
        <w:spacing w:line="316" w:lineRule="auto" w:before="21"/>
        <w:ind w:right="2114"/>
        <w:jc w:val="left"/>
      </w:pPr>
      <w:r>
        <w:rPr/>
        <w:t>以摊余成本计量的金融负债 其他金融负债采用实际利率法，按摊余成本进行后续计量，终止确认或摊销产生的利得或损失计入当期损益。 金融负债与权益工具的区分</w:t>
      </w:r>
    </w:p>
    <w:p>
      <w:pPr>
        <w:pStyle w:val="BodyText"/>
        <w:spacing w:line="240" w:lineRule="auto" w:before="19"/>
        <w:ind w:right="1115"/>
        <w:jc w:val="left"/>
      </w:pPr>
      <w:r>
        <w:rPr/>
        <w:t>金融负债，是指符合下列条件之一的负债：</w:t>
      </w:r>
    </w:p>
    <w:p>
      <w:pPr>
        <w:pStyle w:val="BodyText"/>
        <w:spacing w:line="240" w:lineRule="auto" w:before="76"/>
        <w:ind w:right="1115"/>
        <w:jc w:val="left"/>
      </w:pPr>
      <w:r>
        <w:rPr/>
        <w:t>①向其他方交付现金或其他金融资产的合同义务。</w:t>
      </w:r>
    </w:p>
    <w:p>
      <w:pPr>
        <w:pStyle w:val="BodyText"/>
        <w:spacing w:line="240" w:lineRule="auto" w:before="76"/>
        <w:ind w:right="1115"/>
        <w:jc w:val="left"/>
      </w:pPr>
      <w:r>
        <w:rPr/>
        <w:t>②在潜在不利条件下，与其他方交换金融资产或金融负债的合同义务。</w:t>
      </w:r>
    </w:p>
    <w:p>
      <w:pPr>
        <w:pStyle w:val="BodyText"/>
        <w:spacing w:line="240" w:lineRule="auto" w:before="76"/>
        <w:ind w:right="1115"/>
        <w:jc w:val="left"/>
      </w:pPr>
      <w:r>
        <w:rPr/>
        <w:t>③将来须用或可用企业自身权益工具进行结算的非衍生工具合同，且企业根据该合同将交付可变数量的自身权益工具。</w:t>
      </w:r>
    </w:p>
    <w:p>
      <w:pPr>
        <w:pStyle w:val="BodyText"/>
        <w:spacing w:line="316" w:lineRule="auto" w:before="76"/>
        <w:ind w:right="1115"/>
        <w:jc w:val="left"/>
      </w:pPr>
      <w:r>
        <w:rPr>
          <w:spacing w:val="-2"/>
        </w:rPr>
        <w:t>④将来须用或可用企业自身权益工具进行结算的衍生工具合同，但以固定数量的自身权益工具交换固定金额的现金或其他金</w:t>
      </w:r>
      <w:r>
        <w:rPr>
          <w:spacing w:val="-64"/>
        </w:rPr>
        <w:t> </w:t>
      </w:r>
      <w:r>
        <w:rPr>
          <w:spacing w:val="-64"/>
        </w:rPr>
      </w:r>
      <w:r>
        <w:rPr/>
        <w:t>融资产的衍生工具合同除外。</w:t>
      </w:r>
    </w:p>
    <w:p>
      <w:pPr>
        <w:spacing w:after="0" w:line="316"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4"/>
        <w:ind w:right="1115"/>
        <w:jc w:val="left"/>
      </w:pPr>
      <w:r>
        <w:rPr/>
        <w:t>权益工具，是指能证明拥有某个企业在扣除所有负债后的资产中剩余权益的合同。 如果本集团不能无条件地避免以交付现金或其他金融资产来履行一项合同义务，则该合同义务符合金融负债的定义。 </w:t>
      </w:r>
      <w:r>
        <w:rPr>
          <w:spacing w:val="-2"/>
        </w:rPr>
        <w:t>如果一项金融工具须用或可用本集团自身权益工具进行结算，需要考虑用于结算该工具的本集团自身权益工具，是作为现金</w:t>
      </w:r>
      <w:r>
        <w:rPr>
          <w:spacing w:val="-63"/>
        </w:rPr>
        <w:t> </w:t>
      </w:r>
      <w:r>
        <w:rPr>
          <w:spacing w:val="-63"/>
        </w:rPr>
      </w:r>
      <w:r>
        <w:rPr>
          <w:spacing w:val="-2"/>
        </w:rPr>
        <w:t>或其他金融资产的替代品，还是为了使该工具持有方享有在发行方扣除所有负债后的资产中的剩余权益。如果是前者，该工</w:t>
      </w:r>
      <w:r>
        <w:rPr>
          <w:spacing w:val="-65"/>
        </w:rPr>
        <w:t> </w:t>
      </w:r>
      <w:r>
        <w:rPr>
          <w:spacing w:val="-65"/>
        </w:rPr>
      </w:r>
      <w:r>
        <w:rPr/>
        <w:t>具是本集团的金融负债；如果是后者，该工具是本集团的权益工具。</w:t>
      </w:r>
    </w:p>
    <w:p>
      <w:pPr>
        <w:pStyle w:val="BodyText"/>
        <w:spacing w:line="316" w:lineRule="auto" w:before="17"/>
        <w:ind w:right="1115"/>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）衍生金融工具及嵌入衍生工具</w:t>
      </w:r>
      <w:r>
        <w:rPr>
          <w:rFonts w:ascii="宋体" w:hAnsi="宋体" w:cs="宋体" w:eastAsia="宋体" w:hint="default"/>
          <w:b/>
          <w:bCs/>
          <w:w w:val="99"/>
        </w:rPr>
        <w:t> </w:t>
      </w:r>
      <w:r>
        <w:rPr>
          <w:spacing w:val="-2"/>
        </w:rPr>
        <w:t>初始以衍生交易合同签订当日的公允价值进行计量，并以其公允价值进行后续计量。公允价值为正数的衍生金融工具确认为</w:t>
      </w:r>
      <w:r>
        <w:rPr>
          <w:spacing w:val="-64"/>
        </w:rPr>
        <w:t> </w:t>
      </w:r>
      <w:r>
        <w:rPr>
          <w:spacing w:val="-64"/>
        </w:rPr>
      </w:r>
      <w:r>
        <w:rPr>
          <w:spacing w:val="-2"/>
        </w:rPr>
        <w:t>一项资产，公允价值为负数的确认为一项负债。因公允价值变动而产生的任何不符合套期会计规定的利得或损失，直接计入</w:t>
      </w:r>
      <w:r>
        <w:rPr>
          <w:spacing w:val="-63"/>
        </w:rPr>
        <w:t> </w:t>
      </w:r>
      <w:r>
        <w:rPr>
          <w:spacing w:val="-63"/>
        </w:rPr>
      </w:r>
      <w:r>
        <w:rPr/>
        <w:t>当期损益。 </w:t>
      </w:r>
      <w:r>
        <w:rPr>
          <w:spacing w:val="-2"/>
        </w:rPr>
        <w:t>对包含嵌入衍生工具的混合工具，如主合同为金融资产的，混合工具作为一个整体适用金融资产分类的相关规定。如主合同</w:t>
      </w:r>
      <w:r>
        <w:rPr>
          <w:spacing w:val="-65"/>
        </w:rPr>
        <w:t> </w:t>
      </w:r>
      <w:r>
        <w:rPr>
          <w:spacing w:val="-65"/>
        </w:rPr>
      </w:r>
      <w:r>
        <w:rPr>
          <w:spacing w:val="-2"/>
        </w:rPr>
        <w:t>并非金融资产，且该混合工具不是以公允价值计量且其变动计入当期损益进行会计处理，嵌入衍生工具与该主合同在经济特</w:t>
      </w:r>
      <w:r>
        <w:rPr>
          <w:spacing w:val="-64"/>
        </w:rPr>
        <w:t> </w:t>
      </w:r>
      <w:r>
        <w:rPr>
          <w:spacing w:val="-64"/>
        </w:rPr>
      </w:r>
      <w:r>
        <w:rPr>
          <w:spacing w:val="-2"/>
        </w:rPr>
        <w:t>征及风险方面不存在紧密关系，且与嵌入衍生工具条件相同，单独存在的工具符合衍生工具定义的，嵌入衍生工具从混合工</w:t>
      </w:r>
      <w:r>
        <w:rPr>
          <w:spacing w:val="-63"/>
        </w:rPr>
        <w:t> </w:t>
      </w:r>
      <w:r>
        <w:rPr>
          <w:spacing w:val="-63"/>
        </w:rPr>
      </w:r>
      <w:r>
        <w:rPr>
          <w:spacing w:val="-2"/>
        </w:rPr>
        <w:t>具中分拆，作为单独的衍生金融工具处理。如果无法在取得时或后续的资产负债表日对嵌入衍生工具进行单独计量，则将混</w:t>
      </w:r>
      <w:r>
        <w:rPr>
          <w:spacing w:val="-63"/>
        </w:rPr>
        <w:t> </w:t>
      </w:r>
      <w:r>
        <w:rPr>
          <w:spacing w:val="-63"/>
        </w:rPr>
      </w:r>
      <w:r>
        <w:rPr/>
        <w:t>合工具整体指定为以公允价值计量且其变动计入当期损益的金融资产或金融负债。</w:t>
      </w:r>
    </w:p>
    <w:p>
      <w:pPr>
        <w:spacing w:line="300" w:lineRule="auto" w:before="19"/>
        <w:ind w:left="152" w:right="625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）金融工具的公允价值</w:t>
      </w:r>
      <w:r>
        <w:rPr>
          <w:rFonts w:ascii="宋体" w:hAnsi="宋体" w:cs="宋体" w:eastAsia="宋体" w:hint="default"/>
          <w:b/>
          <w:bCs/>
          <w:w w:val="99"/>
          <w:sz w:val="18"/>
          <w:szCs w:val="18"/>
        </w:rPr>
        <w:t> </w:t>
      </w:r>
      <w:r>
        <w:rPr>
          <w:rFonts w:ascii="宋体" w:hAnsi="宋体" w:cs="宋体" w:eastAsia="宋体" w:hint="default"/>
          <w:sz w:val="18"/>
          <w:szCs w:val="18"/>
        </w:rPr>
        <w:t>金融资产和金融负债的公允价值确定方法见附注三、</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p>
      <w:pPr>
        <w:pStyle w:val="BodyText"/>
        <w:spacing w:line="314" w:lineRule="auto" w:before="13"/>
        <w:ind w:right="4454"/>
        <w:jc w:val="left"/>
      </w:pPr>
      <w:r>
        <w:rPr>
          <w:rFonts w:ascii="宋体" w:hAnsi="宋体" w:cs="宋体" w:eastAsia="宋体" w:hint="default"/>
          <w:b/>
          <w:bCs/>
        </w:rPr>
        <w:t>（</w:t>
      </w:r>
      <w:r>
        <w:rPr>
          <w:rFonts w:ascii="Times New Roman" w:hAnsi="Times New Roman" w:cs="Times New Roman" w:eastAsia="Times New Roman" w:hint="default"/>
          <w:b/>
          <w:bCs/>
        </w:rPr>
        <w:t>6</w:t>
      </w:r>
      <w:r>
        <w:rPr>
          <w:rFonts w:ascii="宋体" w:hAnsi="宋体" w:cs="宋体" w:eastAsia="宋体" w:hint="default"/>
          <w:b/>
          <w:bCs/>
        </w:rPr>
        <w:t>）金融资产减值</w:t>
      </w:r>
      <w:r>
        <w:rPr>
          <w:rFonts w:ascii="宋体" w:hAnsi="宋体" w:cs="宋体" w:eastAsia="宋体" w:hint="default"/>
          <w:b/>
          <w:bCs/>
          <w:w w:val="99"/>
        </w:rPr>
        <w:t> </w:t>
      </w:r>
      <w:r>
        <w:rPr/>
        <w:t>本集团以预期信用损失为基础，对下列项目进行减值会计处理并确认损失准备： 以摊余成本计量的金融资产； 以公允价值计量且其变动计入其他综合收益的应收款项和债权投资； 租赁应收款；</w:t>
      </w:r>
    </w:p>
    <w:p>
      <w:pPr>
        <w:pStyle w:val="BodyText"/>
        <w:spacing w:line="316" w:lineRule="auto" w:before="20"/>
        <w:ind w:right="1115"/>
        <w:jc w:val="left"/>
      </w:pPr>
      <w:r>
        <w:rPr>
          <w:spacing w:val="-2"/>
        </w:rPr>
        <w:t>财务担保合同（以公允价值计量且其变动计入当期损益、金融资产转移不符合终止确认条件或继续涉入被转移金融资产所形</w:t>
      </w:r>
      <w:r>
        <w:rPr>
          <w:spacing w:val="-64"/>
        </w:rPr>
        <w:t> </w:t>
      </w:r>
      <w:r>
        <w:rPr>
          <w:spacing w:val="-64"/>
        </w:rPr>
      </w:r>
      <w:r>
        <w:rPr/>
        <w:t>成的除外）。</w:t>
      </w:r>
    </w:p>
    <w:p>
      <w:pPr>
        <w:pStyle w:val="BodyText"/>
        <w:spacing w:line="314" w:lineRule="auto" w:before="19"/>
        <w:ind w:right="1115"/>
        <w:jc w:val="left"/>
      </w:pPr>
      <w:r>
        <w:rPr/>
        <w:t>预期信用损失的计量 </w:t>
      </w:r>
      <w:r>
        <w:rPr>
          <w:spacing w:val="-2"/>
        </w:rPr>
        <w:t>预期信用损失，是指以发生违约的风险为权重的金融工具信用损失的加权平均值。信用损失，是指本集团按照原实际利率折</w:t>
      </w:r>
      <w:r>
        <w:rPr>
          <w:spacing w:val="-61"/>
        </w:rPr>
        <w:t> </w:t>
      </w:r>
      <w:r>
        <w:rPr>
          <w:spacing w:val="-61"/>
        </w:rPr>
      </w:r>
      <w:r>
        <w:rPr/>
        <w:t>现的、根据合同应收的所有合同现金流量与预期收取的所有现金流量之间的差额，即全部现金短缺的现值。 </w:t>
      </w:r>
      <w:r>
        <w:rPr>
          <w:spacing w:val="-2"/>
        </w:rPr>
        <w:t>本集团考虑有关过去事项、当前状况以及对未来经济状况的预测等合理且有依据的信息，以发生违约的风险为权重，计算合</w:t>
      </w:r>
      <w:r>
        <w:rPr>
          <w:spacing w:val="-63"/>
        </w:rPr>
        <w:t> </w:t>
      </w:r>
      <w:r>
        <w:rPr>
          <w:spacing w:val="-63"/>
        </w:rPr>
      </w:r>
      <w:r>
        <w:rPr/>
        <w:t>同应收的现金流量与预期能收到的现金流量之间差额的现值的概率加权金额，确认预期信用损失。 </w:t>
      </w:r>
      <w:r>
        <w:rPr>
          <w:spacing w:val="-2"/>
        </w:rPr>
        <w:t>本集团对于处于不同阶段的金融工具的预期信用损失分别进行计量。金融工具自初始确认后信用风险未显著增加的，处于第</w:t>
      </w:r>
      <w:r>
        <w:rPr>
          <w:spacing w:val="-64"/>
        </w:rPr>
        <w:t> </w:t>
      </w:r>
      <w:r>
        <w:rPr>
          <w:spacing w:val="-64"/>
        </w:rPr>
      </w:r>
      <w:r>
        <w:rPr>
          <w:spacing w:val="-2"/>
        </w:rPr>
        <w:t>一阶段，本集团按照未来</w:t>
      </w:r>
      <w:r>
        <w:rPr>
          <w:rFonts w:ascii="Times New Roman" w:hAnsi="Times New Roman" w:cs="Times New Roman" w:eastAsia="Times New Roman" w:hint="default"/>
          <w:spacing w:val="-2"/>
        </w:rPr>
        <w:t>12</w:t>
      </w:r>
      <w:r>
        <w:rPr>
          <w:spacing w:val="-2"/>
        </w:rPr>
        <w:t>个月内的预期信用损失计量损失准备；金融工具自初始确认后信用风险已显著增加但尚未发生信</w:t>
      </w:r>
      <w:r>
        <w:rPr>
          <w:spacing w:val="-62"/>
        </w:rPr>
        <w:t> </w:t>
      </w:r>
      <w:r>
        <w:rPr>
          <w:spacing w:val="-62"/>
        </w:rPr>
      </w:r>
      <w:r>
        <w:rPr>
          <w:spacing w:val="-2"/>
        </w:rPr>
        <w:t>用减值的，处于第二阶段，本集团按照该工具整个存续期的预期信用损失计量损失准备；金融工具自初始确认后已经发生信</w:t>
      </w:r>
      <w:r>
        <w:rPr>
          <w:spacing w:val="-66"/>
        </w:rPr>
        <w:t> </w:t>
      </w:r>
      <w:r>
        <w:rPr>
          <w:spacing w:val="-66"/>
        </w:rPr>
      </w:r>
      <w:r>
        <w:rPr/>
        <w:t>用减值的，处于第三阶段，本集团按照该工具整个存续期的预期信用损失计量损失准备。 </w:t>
      </w:r>
      <w:r>
        <w:rPr>
          <w:spacing w:val="-2"/>
        </w:rPr>
        <w:t>对于在资产负债表日具有较低信用风险的金融工具，本集团假设其信用风险自初始确认后并未显著增加，按照未来</w:t>
      </w:r>
      <w:r>
        <w:rPr>
          <w:rFonts w:ascii="Times New Roman" w:hAnsi="Times New Roman" w:cs="Times New Roman" w:eastAsia="Times New Roman" w:hint="default"/>
          <w:spacing w:val="-2"/>
        </w:rPr>
        <w:t>12</w:t>
      </w:r>
      <w:r>
        <w:rPr>
          <w:spacing w:val="-2"/>
        </w:rPr>
        <w:t>个月内</w:t>
      </w:r>
      <w:r>
        <w:rPr>
          <w:spacing w:val="-61"/>
        </w:rPr>
        <w:t> </w:t>
      </w:r>
      <w:r>
        <w:rPr>
          <w:spacing w:val="-61"/>
        </w:rPr>
      </w:r>
      <w:r>
        <w:rPr/>
        <w:t>的预期信用损失计量损失准备。 </w:t>
      </w:r>
      <w:r>
        <w:rPr>
          <w:spacing w:val="-2"/>
        </w:rPr>
        <w:t>整个存续期预期信用损失，是指因金融工具整个预计存续期内所有可能发生的违约事件而导致的预期信用损失。未来</w:t>
      </w:r>
      <w:r>
        <w:rPr>
          <w:rFonts w:ascii="Times New Roman" w:hAnsi="Times New Roman" w:cs="Times New Roman" w:eastAsia="Times New Roman" w:hint="default"/>
          <w:spacing w:val="-2"/>
        </w:rPr>
        <w:t>12</w:t>
      </w:r>
      <w:r>
        <w:rPr>
          <w:spacing w:val="-2"/>
        </w:rPr>
        <w:t>个月</w:t>
      </w:r>
      <w:r>
        <w:rPr>
          <w:spacing w:val="-61"/>
        </w:rPr>
        <w:t> </w:t>
      </w:r>
      <w:r>
        <w:rPr>
          <w:spacing w:val="-2"/>
        </w:rPr>
        <w:t>内预期信用损失，是指因资产负债表日后</w:t>
      </w:r>
      <w:r>
        <w:rPr>
          <w:rFonts w:ascii="Times New Roman" w:hAnsi="Times New Roman" w:cs="Times New Roman" w:eastAsia="Times New Roman" w:hint="default"/>
          <w:spacing w:val="-2"/>
        </w:rPr>
        <w:t>12</w:t>
      </w:r>
      <w:r>
        <w:rPr>
          <w:spacing w:val="-2"/>
        </w:rPr>
        <w:t>个月内（若金融工具的预计存续期少于</w:t>
      </w:r>
      <w:r>
        <w:rPr>
          <w:rFonts w:ascii="Times New Roman" w:hAnsi="Times New Roman" w:cs="Times New Roman" w:eastAsia="Times New Roman" w:hint="default"/>
          <w:spacing w:val="-2"/>
        </w:rPr>
        <w:t>12</w:t>
      </w:r>
      <w:r>
        <w:rPr>
          <w:spacing w:val="-2"/>
        </w:rPr>
        <w:t>个月，则为预计存续期）可能发生的金</w:t>
      </w:r>
      <w:r>
        <w:rPr>
          <w:spacing w:val="-60"/>
        </w:rPr>
        <w:t> </w:t>
      </w:r>
      <w:r>
        <w:rPr>
          <w:spacing w:val="-60"/>
        </w:rPr>
      </w:r>
      <w:r>
        <w:rPr/>
        <w:t>融工具违约事件而导致的预期信用损失，是整个存续期预期信用损失的一部分。 在计量预期信用损失时，本集团需考虑的最长期限为企业面临信用风险的最长合同期限（包括考虑续约选择权）。 </w:t>
      </w:r>
      <w:r>
        <w:rPr>
          <w:spacing w:val="-2"/>
        </w:rPr>
        <w:t>本集团对于处于第一阶段和第二阶段、以及较低信用风险的金融工具，按照其未扣除减值准备的账面余额和实际利率计算利</w:t>
      </w:r>
      <w:r>
        <w:rPr>
          <w:spacing w:val="-64"/>
        </w:rPr>
        <w:t> </w:t>
      </w:r>
      <w:r>
        <w:rPr>
          <w:spacing w:val="-64"/>
        </w:rPr>
      </w:r>
      <w:r>
        <w:rPr/>
        <w:t>息收入。对于处于第三阶段的金融工具，按照其账面余额减已计提减值准备后的摊余成本和实际利率计算利息收入。 </w:t>
      </w:r>
      <w:r>
        <w:rPr>
          <w:spacing w:val="-2"/>
        </w:rPr>
        <w:t>对于应收票据、应收账款，无论是否存在重大融资成分，本集团始终按照相当于整个存续期内预期信用损失的金额计量其损</w:t>
      </w:r>
      <w:r>
        <w:rPr>
          <w:spacing w:val="-65"/>
        </w:rPr>
        <w:t> </w:t>
      </w:r>
      <w:r>
        <w:rPr>
          <w:spacing w:val="-65"/>
        </w:rPr>
      </w:r>
      <w:r>
        <w:rPr/>
        <w:t>失准备。 </w:t>
      </w:r>
      <w:r>
        <w:rPr>
          <w:spacing w:val="-2"/>
        </w:rPr>
        <w:t>当单项金融资产无法以合理成本评估预期信用损失的信息时，本集团依据信用风险特征对应收票据和应收账款划分组合，在</w:t>
      </w:r>
      <w:r>
        <w:rPr>
          <w:spacing w:val="-64"/>
        </w:rPr>
        <w:t> </w:t>
      </w:r>
      <w:r>
        <w:rPr>
          <w:spacing w:val="-64"/>
        </w:rPr>
      </w:r>
      <w:r>
        <w:rPr/>
        <w:t>组合基础上计算预期信用损失，确定组合的依据如下：</w:t>
      </w:r>
    </w:p>
    <w:p>
      <w:pPr>
        <w:spacing w:after="0" w:line="314" w:lineRule="auto"/>
        <w:jc w:val="left"/>
        <w:sectPr>
          <w:footerReference w:type="default" r:id="rId32"/>
          <w:pgSz w:w="11910" w:h="16840"/>
          <w:pgMar w:footer="980" w:header="877" w:top="1100" w:bottom="1160" w:left="980" w:right="0"/>
          <w:pgNumType w:start="120"/>
        </w:sectPr>
      </w:pPr>
    </w:p>
    <w:p>
      <w:pPr>
        <w:spacing w:line="240" w:lineRule="auto" w:before="11"/>
        <w:rPr>
          <w:rFonts w:ascii="宋体" w:hAnsi="宋体" w:cs="宋体" w:eastAsia="宋体" w:hint="default"/>
          <w:sz w:val="21"/>
          <w:szCs w:val="21"/>
        </w:rPr>
      </w:pPr>
    </w:p>
    <w:p>
      <w:pPr>
        <w:pStyle w:val="BodyText"/>
        <w:spacing w:line="300" w:lineRule="auto" w:before="44"/>
        <w:ind w:right="7424"/>
        <w:jc w:val="left"/>
      </w:pPr>
      <w:r>
        <w:rPr>
          <w:rFonts w:ascii="Times New Roman" w:hAnsi="Times New Roman" w:cs="Times New Roman" w:eastAsia="Times New Roman" w:hint="default"/>
        </w:rPr>
        <w:t>A</w:t>
      </w:r>
      <w:r>
        <w:rPr/>
        <w:t>、应收票据 应收票据组合</w:t>
      </w:r>
      <w:r>
        <w:rPr>
          <w:rFonts w:ascii="Times New Roman" w:hAnsi="Times New Roman" w:cs="Times New Roman" w:eastAsia="Times New Roman" w:hint="default"/>
        </w:rPr>
        <w:t>1</w:t>
      </w:r>
      <w:r>
        <w:rPr/>
        <w:t>：银行承兑汇票 应收票据组合</w:t>
      </w:r>
      <w:r>
        <w:rPr>
          <w:rFonts w:ascii="Times New Roman" w:hAnsi="Times New Roman" w:cs="Times New Roman" w:eastAsia="Times New Roman" w:hint="default"/>
        </w:rPr>
        <w:t>2</w:t>
      </w:r>
      <w:r>
        <w:rPr/>
        <w:t>：商业承兑汇票 </w:t>
      </w:r>
      <w:r>
        <w:rPr>
          <w:rFonts w:ascii="Times New Roman" w:hAnsi="Times New Roman" w:cs="Times New Roman" w:eastAsia="Times New Roman" w:hint="default"/>
        </w:rPr>
        <w:t>B</w:t>
      </w:r>
      <w:r>
        <w:rPr/>
        <w:t>、应收账款 应收账款组合</w:t>
      </w:r>
      <w:r>
        <w:rPr>
          <w:rFonts w:ascii="Times New Roman" w:hAnsi="Times New Roman" w:cs="Times New Roman" w:eastAsia="Times New Roman" w:hint="default"/>
        </w:rPr>
        <w:t>1</w:t>
      </w:r>
      <w:r>
        <w:rPr/>
        <w:t>：软件及服务相关业务客户 应收账款组合</w:t>
      </w:r>
      <w:r>
        <w:rPr>
          <w:rFonts w:ascii="Times New Roman" w:hAnsi="Times New Roman" w:cs="Times New Roman" w:eastAsia="Times New Roman" w:hint="default"/>
        </w:rPr>
        <w:t>2</w:t>
      </w:r>
      <w:r>
        <w:rPr/>
        <w:t>：数字传播业务客户 应收账款组合</w:t>
      </w:r>
      <w:r>
        <w:rPr>
          <w:rFonts w:ascii="Times New Roman" w:hAnsi="Times New Roman" w:cs="Times New Roman" w:eastAsia="Times New Roman" w:hint="default"/>
        </w:rPr>
        <w:t>3</w:t>
      </w:r>
      <w:r>
        <w:rPr/>
        <w:t>：移动信息业务客户 应收账款组合</w:t>
      </w:r>
      <w:r>
        <w:rPr>
          <w:rFonts w:ascii="Times New Roman" w:hAnsi="Times New Roman" w:cs="Times New Roman" w:eastAsia="Times New Roman" w:hint="default"/>
        </w:rPr>
        <w:t>4</w:t>
      </w:r>
      <w:r>
        <w:rPr/>
        <w:t>：合并范围内的关联方客户</w:t>
      </w:r>
    </w:p>
    <w:p>
      <w:pPr>
        <w:pStyle w:val="BodyText"/>
        <w:spacing w:line="316" w:lineRule="auto" w:before="13"/>
        <w:ind w:right="1115"/>
        <w:jc w:val="left"/>
      </w:pPr>
      <w:r>
        <w:rPr>
          <w:spacing w:val="-2"/>
        </w:rPr>
        <w:t>对于划分为组合的应收票据及应收账款，本集团参考历史信用损失经验，结合当前状况以及对未来经济状况的预测，编制应</w:t>
      </w:r>
      <w:r>
        <w:rPr>
          <w:spacing w:val="-62"/>
        </w:rPr>
        <w:t> </w:t>
      </w:r>
      <w:r>
        <w:rPr>
          <w:spacing w:val="-62"/>
        </w:rPr>
      </w:r>
      <w:r>
        <w:rPr/>
        <w:t>收账款账龄与整个存续期预期信用损失率对照表，计算预期信用损失。</w:t>
      </w:r>
    </w:p>
    <w:p>
      <w:pPr>
        <w:pStyle w:val="BodyText"/>
        <w:spacing w:line="319" w:lineRule="auto" w:before="19"/>
        <w:ind w:right="1754"/>
        <w:jc w:val="left"/>
      </w:pPr>
      <w:r>
        <w:rPr/>
        <w:t>其他应收款 本集团依据信用风险特征将其他应收款划分为若干组合，在组合基础上计算预期信用损失，确定组合的依据如下： 其他应收款组合</w:t>
      </w:r>
      <w:r>
        <w:rPr>
          <w:rFonts w:ascii="Times New Roman" w:hAnsi="Times New Roman" w:cs="Times New Roman" w:eastAsia="Times New Roman" w:hint="default"/>
        </w:rPr>
        <w:t>1</w:t>
      </w:r>
      <w:r>
        <w:rPr/>
        <w:t>：应收合并范围内的关联方款项</w:t>
      </w:r>
    </w:p>
    <w:p>
      <w:pPr>
        <w:pStyle w:val="BodyText"/>
        <w:spacing w:line="309" w:lineRule="auto"/>
        <w:ind w:right="1034"/>
        <w:jc w:val="left"/>
      </w:pPr>
      <w:r>
        <w:rPr/>
        <w:t>其他应收款组合</w:t>
      </w:r>
      <w:r>
        <w:rPr>
          <w:rFonts w:ascii="Times New Roman" w:hAnsi="Times New Roman" w:cs="Times New Roman" w:eastAsia="Times New Roman" w:hint="default"/>
        </w:rPr>
        <w:t>2</w:t>
      </w:r>
      <w:r>
        <w:rPr/>
        <w:t>：应收其他款项 对划分为组合的其他应收款，本集团通过违约风险敞口和未来</w:t>
      </w:r>
      <w:r>
        <w:rPr>
          <w:rFonts w:ascii="Times New Roman" w:hAnsi="Times New Roman" w:cs="Times New Roman" w:eastAsia="Times New Roman" w:hint="default"/>
        </w:rPr>
        <w:t>12</w:t>
      </w:r>
      <w:r>
        <w:rPr/>
        <w:t>个月内或整个存续期预期信用损失率，计算预期信用损失。</w:t>
      </w:r>
      <w:r>
        <w:rPr>
          <w:spacing w:val="-86"/>
        </w:rPr>
        <w:t> </w:t>
      </w:r>
      <w:r>
        <w:rPr>
          <w:spacing w:val="-86"/>
        </w:rPr>
      </w:r>
      <w:r>
        <w:rPr>
          <w:spacing w:val="-2"/>
        </w:rPr>
        <w:t>对本集团合并范围内的关联方应收款项，由于关联方违约风险较低，在短期内履行其支付合同现金流量义务的能力较强，因</w:t>
      </w:r>
      <w:r>
        <w:rPr>
          <w:spacing w:val="-63"/>
        </w:rPr>
        <w:t> </w:t>
      </w:r>
      <w:r>
        <w:rPr>
          <w:spacing w:val="-63"/>
        </w:rPr>
      </w:r>
      <w:r>
        <w:rPr>
          <w:spacing w:val="-2"/>
        </w:rPr>
        <w:t>此本集团将对合并范围内的关联方应收款项视为具有较低的信用风险的金融工具，直接做出信用风险自初始确认后未显著增</w:t>
      </w:r>
      <w:r>
        <w:rPr>
          <w:spacing w:val="-64"/>
        </w:rPr>
        <w:t> </w:t>
      </w:r>
      <w:r>
        <w:rPr>
          <w:spacing w:val="-64"/>
        </w:rPr>
      </w:r>
      <w:r>
        <w:rPr/>
        <w:t>加的假定，考虑历史违约率为零的情况下，本集团对合并范围内的关联方应收款项的固定预期信用损失率为</w:t>
      </w:r>
      <w:r>
        <w:rPr>
          <w:rFonts w:ascii="Times New Roman" w:hAnsi="Times New Roman" w:cs="Times New Roman" w:eastAsia="Times New Roman" w:hint="default"/>
        </w:rPr>
        <w:t>0</w:t>
      </w:r>
      <w:r>
        <w:rPr/>
        <w:t>。</w:t>
      </w:r>
    </w:p>
    <w:p>
      <w:pPr>
        <w:pStyle w:val="BodyText"/>
        <w:spacing w:line="309" w:lineRule="auto" w:before="5"/>
        <w:ind w:right="1115"/>
        <w:jc w:val="left"/>
      </w:pPr>
      <w:r>
        <w:rPr/>
        <w:t>应收保理款 </w:t>
      </w:r>
      <w:r>
        <w:rPr>
          <w:spacing w:val="-2"/>
        </w:rPr>
        <w:t>对于本集团从事保理业务形成的应收保理款，本集团根据交易对手和风险敞口的各种类型，通过违约风险敞口和未来</w:t>
      </w:r>
      <w:r>
        <w:rPr>
          <w:rFonts w:ascii="Times New Roman" w:hAnsi="Times New Roman" w:cs="Times New Roman" w:eastAsia="Times New Roman" w:hint="default"/>
          <w:spacing w:val="-2"/>
        </w:rPr>
        <w:t>12</w:t>
      </w:r>
      <w:r>
        <w:rPr>
          <w:spacing w:val="-2"/>
        </w:rPr>
        <w:t>个月</w:t>
      </w:r>
      <w:r>
        <w:rPr>
          <w:spacing w:val="-61"/>
        </w:rPr>
        <w:t> </w:t>
      </w:r>
      <w:r>
        <w:rPr/>
        <w:t>内或整个存续期预期信用损失率，计算预期信用损失。</w:t>
      </w:r>
    </w:p>
    <w:p>
      <w:pPr>
        <w:pStyle w:val="BodyText"/>
        <w:spacing w:line="309" w:lineRule="auto" w:before="24"/>
        <w:ind w:right="1115"/>
        <w:jc w:val="left"/>
      </w:pPr>
      <w:r>
        <w:rPr/>
        <w:t>债权投资、其他债权投资 </w:t>
      </w:r>
      <w:r>
        <w:rPr>
          <w:spacing w:val="-2"/>
        </w:rPr>
        <w:t>对于债权投资和其他债权投资，本集团按照投资的性质，根据交易对手和风险敞口的各种类型，通过违约风险敞口和未来</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15"/>
        </w:rPr>
        <w:t> </w:t>
      </w:r>
      <w:r>
        <w:rPr/>
        <w:t>个月内或整个存续期预期信用损失率，计算预期信用损失。</w:t>
      </w:r>
    </w:p>
    <w:p>
      <w:pPr>
        <w:pStyle w:val="BodyText"/>
        <w:spacing w:line="316" w:lineRule="auto" w:before="24"/>
        <w:ind w:right="1115"/>
        <w:jc w:val="left"/>
      </w:pPr>
      <w:r>
        <w:rPr/>
        <w:t>信用风险显著增加的评估 </w:t>
      </w:r>
      <w:r>
        <w:rPr>
          <w:spacing w:val="-2"/>
        </w:rPr>
        <w:t>本集团通过比较金融工具在资产负债表日发生违约的风险与在初始确认日发生违约的风险，以确定金融工具预计存续期内发</w:t>
      </w:r>
      <w:r>
        <w:rPr>
          <w:spacing w:val="-64"/>
        </w:rPr>
        <w:t> </w:t>
      </w:r>
      <w:r>
        <w:rPr>
          <w:spacing w:val="-64"/>
        </w:rPr>
      </w:r>
      <w:r>
        <w:rPr/>
        <w:t>生违约风险的相对变化，以评估金融工具的信用风险自初始确认后是否已显著增加。 </w:t>
      </w:r>
      <w:r>
        <w:rPr>
          <w:spacing w:val="-2"/>
        </w:rPr>
        <w:t>在确定信用风险自初始确认后是否显著增加时，本集团考虑无须付出不必要的额外成本或努力即可获得的合理且有依据的信</w:t>
      </w:r>
      <w:r>
        <w:rPr>
          <w:spacing w:val="-64"/>
        </w:rPr>
        <w:t> </w:t>
      </w:r>
      <w:r>
        <w:rPr>
          <w:spacing w:val="-64"/>
        </w:rPr>
      </w:r>
      <w:r>
        <w:rPr/>
        <w:t>息，包括前瞻性信息。本集团考虑的信息包括：</w:t>
      </w:r>
    </w:p>
    <w:p>
      <w:pPr>
        <w:pStyle w:val="BodyText"/>
        <w:spacing w:line="316" w:lineRule="auto" w:before="19"/>
        <w:ind w:right="2294"/>
        <w:jc w:val="left"/>
      </w:pPr>
      <w:r>
        <w:rPr/>
        <w:t>债务人未能按合同到期日支付本金和利息的情况； 已发生的或预期的金融工具的外部或内部信用评级（如有）的严重恶化； 已发生的或预期的债务人经营成果的严重恶化； 现存的或预期的技术、市场、经济或法律环境变化，并将对债务人对本集团的还款能力产生重大不利影响。</w:t>
      </w:r>
    </w:p>
    <w:p>
      <w:pPr>
        <w:pStyle w:val="BodyText"/>
        <w:spacing w:line="319" w:lineRule="auto" w:before="19"/>
        <w:ind w:right="1115"/>
        <w:jc w:val="left"/>
      </w:pPr>
      <w:r>
        <w:rPr>
          <w:spacing w:val="-2"/>
        </w:rPr>
        <w:t>根据金融工具的性质，本集团以单项金融工具或金融工具组合为基础评估信用风险是否显著增加。以金融工具组合为基础进</w:t>
      </w:r>
      <w:r>
        <w:rPr>
          <w:spacing w:val="-64"/>
        </w:rPr>
        <w:t> </w:t>
      </w:r>
      <w:r>
        <w:rPr>
          <w:spacing w:val="-64"/>
        </w:rPr>
      </w:r>
      <w:r>
        <w:rPr/>
        <w:t>行评估时，本集团可基于共同信用风险特征对金融工具进行分类，例如逾期信息和信用风险评级。 如果逾期超过</w:t>
      </w:r>
      <w:r>
        <w:rPr>
          <w:rFonts w:ascii="Times New Roman" w:hAnsi="Times New Roman" w:cs="Times New Roman" w:eastAsia="Times New Roman" w:hint="default"/>
        </w:rPr>
        <w:t>30</w:t>
      </w:r>
      <w:r>
        <w:rPr/>
        <w:t>日，本集团确定金融工具的信用风险已经显著增加。</w:t>
      </w:r>
    </w:p>
    <w:p>
      <w:pPr>
        <w:pStyle w:val="BodyText"/>
        <w:spacing w:line="316" w:lineRule="auto"/>
        <w:ind w:right="1574"/>
        <w:jc w:val="left"/>
      </w:pPr>
      <w:r>
        <w:rPr/>
        <w:t>本集团认为金融资产在下列情况发生违约： 借款人不大可能全额支付其对本集团的欠款，该评估不考虑本集团采取例如变现抵押品（如果持有）等追索行动；或 金融资产逾期超过</w:t>
      </w:r>
      <w:r>
        <w:rPr>
          <w:rFonts w:ascii="Times New Roman" w:hAnsi="Times New Roman" w:cs="Times New Roman" w:eastAsia="Times New Roman" w:hint="default"/>
        </w:rPr>
        <w:t>90</w:t>
      </w:r>
      <w:r>
        <w:rPr/>
        <w:t>天。</w:t>
      </w:r>
    </w:p>
    <w:p>
      <w:pPr>
        <w:pStyle w:val="BodyText"/>
        <w:spacing w:line="316" w:lineRule="auto"/>
        <w:ind w:right="1115"/>
        <w:jc w:val="left"/>
      </w:pPr>
      <w:r>
        <w:rPr/>
        <w:t>已发生信用减值的金融资产 本集团在资产负债表日评估以摊余成本计量的金融资产和以公允价值计量且其变动计入其他综合收益的债权投资是否已发</w:t>
      </w:r>
      <w:r>
        <w:rPr>
          <w:spacing w:val="-11"/>
        </w:rPr>
        <w:t> </w:t>
      </w:r>
      <w:r>
        <w:rPr>
          <w:spacing w:val="-11"/>
        </w:rPr>
      </w:r>
      <w:r>
        <w:rPr>
          <w:spacing w:val="-2"/>
        </w:rPr>
        <w:t>生信用减值。当对金融资产预期未来现金流量具有不利影响的一项或多项事件发生时，该金融资产成为已发生信用减值的金</w:t>
      </w:r>
      <w:r>
        <w:rPr>
          <w:spacing w:val="-64"/>
        </w:rPr>
        <w:t> </w:t>
      </w:r>
      <w:r>
        <w:rPr>
          <w:spacing w:val="-64"/>
        </w:rPr>
      </w:r>
      <w:r>
        <w:rPr/>
        <w:t>融资产。金融资产已发生信用减值的证据包括下列可观察信息：</w:t>
      </w:r>
    </w:p>
    <w:p>
      <w:pPr>
        <w:pStyle w:val="BodyText"/>
        <w:spacing w:line="240" w:lineRule="auto" w:before="18"/>
        <w:ind w:right="1115"/>
        <w:jc w:val="left"/>
      </w:pPr>
      <w:r>
        <w:rPr/>
        <w:t>发行方或债务人发生重大财务困难；</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4"/>
        <w:ind w:right="2474"/>
        <w:jc w:val="left"/>
      </w:pPr>
      <w:r>
        <w:rPr/>
        <w:t>债务人违反合同，如偿付利息或本金违约或逾期等； 本集团出于与债务人财务困难有关的经济或合同考虑，给予债务人在任何其他情况下都不会做出的让步； 债务人很可能破产或进行其他财务重组；</w:t>
      </w:r>
    </w:p>
    <w:p>
      <w:pPr>
        <w:pStyle w:val="BodyText"/>
        <w:spacing w:line="316" w:lineRule="auto" w:before="17"/>
        <w:ind w:right="6074"/>
        <w:jc w:val="left"/>
      </w:pPr>
      <w:r>
        <w:rPr/>
        <w:t>发行方或债务人财务困难导致该金融资产的活跃市场消失。 预期信用损失准备的列报</w:t>
      </w:r>
    </w:p>
    <w:p>
      <w:pPr>
        <w:pStyle w:val="BodyText"/>
        <w:spacing w:line="316" w:lineRule="auto" w:before="19"/>
        <w:ind w:right="1129"/>
        <w:jc w:val="both"/>
      </w:pPr>
      <w:r>
        <w:rPr>
          <w:spacing w:val="-2"/>
        </w:rPr>
        <w:t>为反映金融工具的信用风险自初始确认后的变化，本集团在每个资产负债表日重新计量预期信用损失，由此形成的损失准备</w:t>
      </w:r>
      <w:r>
        <w:rPr>
          <w:spacing w:val="-64"/>
        </w:rPr>
        <w:t> </w:t>
      </w:r>
      <w:r>
        <w:rPr>
          <w:spacing w:val="-64"/>
        </w:rPr>
      </w:r>
      <w:r>
        <w:rPr>
          <w:spacing w:val="-2"/>
        </w:rPr>
        <w:t>的增加或转回金额，应当作为减值损失或利得计入当期损益。对于以摊余成本计量的金融资产，损失准备抵减该金融资产在</w:t>
      </w:r>
      <w:r>
        <w:rPr>
          <w:spacing w:val="-62"/>
        </w:rPr>
        <w:t> </w:t>
      </w:r>
      <w:r>
        <w:rPr>
          <w:spacing w:val="-62"/>
        </w:rPr>
      </w:r>
      <w:r>
        <w:rPr>
          <w:spacing w:val="-2"/>
        </w:rPr>
        <w:t>资产负债表中列示的账面价值；对于以公允价值计量且其变动计入其他综合收益的债权投资，本集团在其他综合收益中确认</w:t>
      </w:r>
      <w:r>
        <w:rPr>
          <w:spacing w:val="-64"/>
        </w:rPr>
        <w:t> </w:t>
      </w:r>
      <w:r>
        <w:rPr>
          <w:spacing w:val="-64"/>
        </w:rPr>
      </w:r>
      <w:r>
        <w:rPr/>
        <w:t>其损失准备，不抵减该金融资产的账面价值。</w:t>
      </w:r>
    </w:p>
    <w:p>
      <w:pPr>
        <w:pStyle w:val="BodyText"/>
        <w:spacing w:line="319" w:lineRule="auto" w:before="19"/>
        <w:ind w:right="1115"/>
        <w:jc w:val="left"/>
      </w:pPr>
      <w:r>
        <w:rPr/>
        <w:t>核销 </w:t>
      </w:r>
      <w:r>
        <w:rPr>
          <w:spacing w:val="-2"/>
        </w:rPr>
        <w:t>如果本集团不再合理预期金融资产合同现金流量能够全部或部分收回，则直接减记该金融资产的账面余额。这种减记构成相</w:t>
      </w:r>
      <w:r>
        <w:rPr>
          <w:spacing w:val="-64"/>
        </w:rPr>
        <w:t> </w:t>
      </w:r>
      <w:r>
        <w:rPr>
          <w:spacing w:val="-64"/>
        </w:rPr>
      </w:r>
      <w:r>
        <w:rPr>
          <w:spacing w:val="-2"/>
        </w:rPr>
        <w:t>关金融资产的终止确认。这种情况通常发生在本集团确定债务人没有资产或收入来源可产生足够的现金流量以偿还将被减记</w:t>
      </w:r>
      <w:r>
        <w:rPr>
          <w:spacing w:val="-64"/>
        </w:rPr>
        <w:t> </w:t>
      </w:r>
      <w:r>
        <w:rPr>
          <w:spacing w:val="-64"/>
        </w:rPr>
      </w:r>
      <w:r>
        <w:rPr/>
        <w:t>的金额。但是，按照本集团收回到期款项的程序，被减记的金融资产仍可能受到执行活动的影响。 已减记的金融资产以后又收回的，作为减值损失的转回计入收回当期的损益。</w:t>
      </w:r>
    </w:p>
    <w:p>
      <w:pPr>
        <w:pStyle w:val="BodyText"/>
        <w:spacing w:line="300" w:lineRule="auto" w:before="17"/>
        <w:ind w:right="3554"/>
        <w:jc w:val="left"/>
      </w:pPr>
      <w:r>
        <w:rPr>
          <w:rFonts w:ascii="宋体" w:hAnsi="宋体" w:cs="宋体" w:eastAsia="宋体" w:hint="default"/>
          <w:b/>
          <w:bCs/>
        </w:rPr>
        <w:t>（</w:t>
      </w:r>
      <w:r>
        <w:rPr>
          <w:rFonts w:ascii="Times New Roman" w:hAnsi="Times New Roman" w:cs="Times New Roman" w:eastAsia="Times New Roman" w:hint="default"/>
          <w:b/>
          <w:bCs/>
        </w:rPr>
        <w:t>7</w:t>
      </w:r>
      <w:r>
        <w:rPr>
          <w:rFonts w:ascii="宋体" w:hAnsi="宋体" w:cs="宋体" w:eastAsia="宋体" w:hint="default"/>
          <w:b/>
          <w:bCs/>
        </w:rPr>
        <w:t>）金融资产转移</w:t>
      </w:r>
      <w:r>
        <w:rPr>
          <w:rFonts w:ascii="宋体" w:hAnsi="宋体" w:cs="宋体" w:eastAsia="宋体" w:hint="default"/>
          <w:b/>
          <w:bCs/>
          <w:w w:val="99"/>
        </w:rPr>
        <w:t> </w:t>
      </w:r>
      <w:r>
        <w:rPr/>
        <w:t>金融资产转移，是指将金融资产让与或交付给该金融资产发行方以外的另一方（转入方）。</w:t>
      </w:r>
    </w:p>
    <w:p>
      <w:pPr>
        <w:pStyle w:val="BodyText"/>
        <w:spacing w:line="316" w:lineRule="auto" w:before="31"/>
        <w:ind w:right="0"/>
        <w:jc w:val="left"/>
      </w:pPr>
      <w:r>
        <w:rPr>
          <w:spacing w:val="-2"/>
        </w:rPr>
        <w:t>本集团已将金融资产所有权上几乎所有的风险和报酬转移给转入方的，终止确认该金融资产；保留了金融资产所有权上几乎</w:t>
      </w:r>
      <w:r>
        <w:rPr>
          <w:spacing w:val="-64"/>
        </w:rPr>
        <w:t> </w:t>
      </w:r>
      <w:r>
        <w:rPr>
          <w:spacing w:val="-64"/>
        </w:rPr>
      </w:r>
      <w:r>
        <w:rPr/>
        <w:t>所有的风险和报酬的，不终止确认该金融资产。 </w:t>
      </w:r>
      <w:r>
        <w:rPr>
          <w:spacing w:val="-4"/>
        </w:rPr>
        <w:t>本集团既没有转移也没有保留金融资产所有权上几乎所有的风险和报酬的，分别下列情况处理：放弃了对该金融资产控制的，</w:t>
      </w:r>
      <w:r>
        <w:rPr>
          <w:spacing w:val="-44"/>
        </w:rPr>
        <w:t> </w:t>
      </w:r>
      <w:r>
        <w:rPr>
          <w:spacing w:val="-44"/>
        </w:rPr>
      </w:r>
      <w:r>
        <w:rPr>
          <w:spacing w:val="-2"/>
        </w:rPr>
        <w:t>终止确认该金融资产并确认产生的资产和负债；未放弃对该金融资产控制的，按照其继续涉入所转移金融资产的程度确认有</w:t>
      </w:r>
      <w:r>
        <w:rPr>
          <w:spacing w:val="-64"/>
        </w:rPr>
        <w:t> </w:t>
      </w:r>
      <w:r>
        <w:rPr>
          <w:spacing w:val="-64"/>
        </w:rPr>
      </w:r>
      <w:r>
        <w:rPr/>
        <w:t>关金融资产，并相应确认有关负债。</w:t>
      </w:r>
    </w:p>
    <w:p>
      <w:pPr>
        <w:pStyle w:val="BodyText"/>
        <w:spacing w:line="312" w:lineRule="auto" w:before="19"/>
        <w:ind w:right="1115"/>
        <w:jc w:val="left"/>
      </w:pPr>
      <w:r>
        <w:rPr>
          <w:rFonts w:ascii="宋体" w:hAnsi="宋体" w:cs="宋体" w:eastAsia="宋体" w:hint="default"/>
          <w:b/>
          <w:bCs/>
        </w:rPr>
        <w:t>（</w:t>
      </w:r>
      <w:r>
        <w:rPr>
          <w:rFonts w:ascii="Times New Roman" w:hAnsi="Times New Roman" w:cs="Times New Roman" w:eastAsia="Times New Roman" w:hint="default"/>
          <w:b/>
          <w:bCs/>
        </w:rPr>
        <w:t>8</w:t>
      </w:r>
      <w:r>
        <w:rPr>
          <w:rFonts w:ascii="宋体" w:hAnsi="宋体" w:cs="宋体" w:eastAsia="宋体" w:hint="default"/>
          <w:b/>
          <w:bCs/>
        </w:rPr>
        <w:t>）金融资产和金融负债的抵销</w:t>
      </w:r>
      <w:r>
        <w:rPr>
          <w:rFonts w:ascii="宋体" w:hAnsi="宋体" w:cs="宋体" w:eastAsia="宋体" w:hint="default"/>
          <w:b/>
          <w:bCs/>
          <w:w w:val="99"/>
        </w:rPr>
        <w:t> </w:t>
      </w:r>
      <w:r>
        <w:rPr>
          <w:spacing w:val="-2"/>
        </w:rPr>
        <w:t>当本集团具有抵销已确认金融资产和金融负债的法定权利，且目前可执行该种法定权利，同时本集团计划以净额结算或同时</w:t>
      </w:r>
      <w:r>
        <w:rPr>
          <w:spacing w:val="-64"/>
        </w:rPr>
        <w:t> </w:t>
      </w:r>
      <w:r>
        <w:rPr>
          <w:spacing w:val="-64"/>
        </w:rPr>
      </w:r>
      <w:r>
        <w:rPr>
          <w:spacing w:val="-2"/>
        </w:rPr>
        <w:t>变现该金融资产和清偿该金融负债时，金融资产和金融负债以相互抵销后的金额在资产负债表内列示。除此以外，金融资产</w:t>
      </w:r>
      <w:r>
        <w:rPr>
          <w:spacing w:val="-66"/>
        </w:rPr>
        <w:t> </w:t>
      </w:r>
      <w:r>
        <w:rPr>
          <w:spacing w:val="-66"/>
        </w:rPr>
      </w:r>
      <w:r>
        <w:rPr/>
        <w:t>和金融负债在资产负债表内分别列示，不予相互抵销。</w:t>
      </w:r>
    </w:p>
    <w:p>
      <w:pPr>
        <w:spacing w:line="240" w:lineRule="auto" w:before="1"/>
        <w:rPr>
          <w:rFonts w:ascii="宋体" w:hAnsi="宋体" w:cs="宋体" w:eastAsia="宋体" w:hint="default"/>
          <w:sz w:val="23"/>
          <w:szCs w:val="23"/>
        </w:rPr>
      </w:pPr>
    </w:p>
    <w:p>
      <w:pPr>
        <w:spacing w:line="547" w:lineRule="auto" w:before="0"/>
        <w:ind w:left="152" w:right="9244" w:firstLine="0"/>
        <w:jc w:val="left"/>
        <w:rPr>
          <w:rFonts w:ascii="宋体" w:hAnsi="宋体" w:cs="宋体" w:eastAsia="宋体" w:hint="default"/>
          <w:sz w:val="21"/>
          <w:szCs w:val="21"/>
        </w:rPr>
      </w:pPr>
      <w:bookmarkStart w:name="10、应收票据" w:id="187"/>
      <w:bookmarkEnd w:id="187"/>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、应收票据</w:t>
      </w:r>
      <w:r>
        <w:rPr>
          <w:rFonts w:ascii="宋体" w:hAnsi="宋体" w:cs="宋体" w:eastAsia="宋体" w:hint="default"/>
          <w:b/>
          <w:bCs/>
          <w:w w:val="100"/>
          <w:sz w:val="21"/>
          <w:szCs w:val="21"/>
        </w:rPr>
        <w:t> </w:t>
      </w:r>
      <w:r>
        <w:rPr>
          <w:rFonts w:ascii="宋体" w:hAnsi="宋体" w:cs="宋体" w:eastAsia="宋体" w:hint="default"/>
          <w:sz w:val="18"/>
          <w:szCs w:val="18"/>
        </w:rPr>
        <w:t>详见</w:t>
      </w:r>
      <w:r>
        <w:rPr>
          <w:rFonts w:ascii="Times New Roman" w:hAnsi="Times New Roman" w:cs="Times New Roman" w:eastAsia="Times New Roman" w:hint="default"/>
          <w:sz w:val="18"/>
          <w:szCs w:val="18"/>
        </w:rPr>
        <w:t>“9</w:t>
      </w:r>
      <w:r>
        <w:rPr>
          <w:rFonts w:ascii="宋体" w:hAnsi="宋体" w:cs="宋体" w:eastAsia="宋体" w:hint="default"/>
          <w:sz w:val="18"/>
          <w:szCs w:val="18"/>
        </w:rPr>
        <w:t>、金融工具</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bookmarkStart w:name="11、应收账款" w:id="188"/>
      <w:bookmarkEnd w:id="188"/>
      <w:r>
        <w:rPr>
          <w:rFonts w:ascii="Times New Roman" w:hAnsi="Times New Roman" w:cs="Times New Roman" w:eastAsia="Times New Roman" w:hint="default"/>
          <w:w w:val="100"/>
          <w:sz w:val="18"/>
          <w:szCs w:val="18"/>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547" w:lineRule="auto" w:before="44"/>
        <w:ind w:left="152" w:right="9068"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w:t>
      </w:r>
      <w:r>
        <w:rPr>
          <w:rFonts w:ascii="Times New Roman" w:hAnsi="Times New Roman" w:cs="Times New Roman" w:eastAsia="Times New Roman" w:hint="default"/>
          <w:sz w:val="18"/>
          <w:szCs w:val="18"/>
        </w:rPr>
        <w:t>“9</w:t>
      </w:r>
      <w:r>
        <w:rPr>
          <w:rFonts w:ascii="宋体" w:hAnsi="宋体" w:cs="宋体" w:eastAsia="宋体" w:hint="default"/>
          <w:sz w:val="18"/>
          <w:szCs w:val="18"/>
        </w:rPr>
        <w:t>、金融工具</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bookmarkStart w:name="12、应收款项融资" w:id="189"/>
      <w:bookmarkEnd w:id="189"/>
      <w:r>
        <w:rPr>
          <w:rFonts w:ascii="Times New Roman" w:hAnsi="Times New Roman" w:cs="Times New Roman" w:eastAsia="Times New Roman" w:hint="default"/>
          <w:w w:val="100"/>
          <w:sz w:val="18"/>
          <w:szCs w:val="18"/>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、应收款项融资</w:t>
      </w:r>
      <w:r>
        <w:rPr>
          <w:rFonts w:ascii="宋体" w:hAnsi="宋体" w:cs="宋体" w:eastAsia="宋体" w:hint="default"/>
          <w:b/>
          <w:bCs/>
          <w:w w:val="100"/>
          <w:sz w:val="21"/>
          <w:szCs w:val="21"/>
        </w:rPr>
        <w:t> </w:t>
      </w:r>
      <w:r>
        <w:rPr>
          <w:rFonts w:ascii="宋体" w:hAnsi="宋体" w:cs="宋体" w:eastAsia="宋体" w:hint="default"/>
          <w:sz w:val="18"/>
          <w:szCs w:val="18"/>
        </w:rPr>
        <w:t>详见</w:t>
      </w:r>
      <w:r>
        <w:rPr>
          <w:rFonts w:ascii="Times New Roman" w:hAnsi="Times New Roman" w:cs="Times New Roman" w:eastAsia="Times New Roman" w:hint="default"/>
          <w:sz w:val="18"/>
          <w:szCs w:val="18"/>
        </w:rPr>
        <w:t>“9</w:t>
      </w:r>
      <w:r>
        <w:rPr>
          <w:rFonts w:ascii="宋体" w:hAnsi="宋体" w:cs="宋体" w:eastAsia="宋体" w:hint="default"/>
          <w:sz w:val="18"/>
          <w:szCs w:val="18"/>
        </w:rPr>
        <w:t>、金融工具</w:t>
      </w:r>
      <w:r>
        <w:rPr>
          <w:rFonts w:ascii="Times New Roman" w:hAnsi="Times New Roman" w:cs="Times New Roman" w:eastAsia="Times New Roman" w:hint="default"/>
          <w:sz w:val="18"/>
          <w:szCs w:val="18"/>
        </w:rPr>
        <w:t>”</w:t>
      </w:r>
    </w:p>
    <w:p>
      <w:pPr>
        <w:pStyle w:val="Heading3"/>
        <w:spacing w:line="240" w:lineRule="auto" w:before="87"/>
        <w:ind w:right="1115"/>
        <w:jc w:val="left"/>
        <w:rPr>
          <w:b w:val="0"/>
          <w:bCs w:val="0"/>
        </w:rPr>
      </w:pPr>
      <w:bookmarkStart w:name="13、其他应收款" w:id="190"/>
      <w:bookmarkEnd w:id="190"/>
      <w:r>
        <w:rPr>
          <w:b w:val="0"/>
          <w:bCs w:val="0"/>
        </w:rPr>
      </w:r>
      <w:r>
        <w:rPr>
          <w:rFonts w:ascii="Times New Roman" w:hAnsi="Times New Roman" w:cs="Times New Roman" w:eastAsia="Times New Roman" w:hint="default"/>
        </w:rPr>
        <w:t>13</w:t>
      </w:r>
      <w:r>
        <w:rPr/>
        <w:t>、其他应收款</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6434"/>
        <w:jc w:val="left"/>
        <w:rPr>
          <w:rFonts w:ascii="Times New Roman" w:hAnsi="Times New Roman" w:cs="Times New Roman" w:eastAsia="Times New Roman" w:hint="default"/>
        </w:rPr>
      </w:pPr>
      <w:r>
        <w:rPr/>
        <w:t>其他应收款的预期信用损失的确定方法及会计处理方法 详见</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p>
    <w:p>
      <w:pPr>
        <w:spacing w:after="0" w:line="360" w:lineRule="auto"/>
        <w:jc w:val="left"/>
        <w:rPr>
          <w:rFonts w:ascii="Times New Roman" w:hAnsi="Times New Roman" w:cs="Times New Roman" w:eastAsia="Times New Roman" w:hint="default"/>
        </w:rPr>
        <w:sectPr>
          <w:pgSz w:w="11910" w:h="16840"/>
          <w:pgMar w:header="877" w:footer="980" w:top="1100" w:bottom="1160" w:left="980" w:right="0"/>
        </w:sectPr>
      </w:pPr>
    </w:p>
    <w:p>
      <w:pPr>
        <w:spacing w:line="240" w:lineRule="auto" w:before="8"/>
        <w:rPr>
          <w:rFonts w:ascii="Times New Roman" w:hAnsi="Times New Roman" w:cs="Times New Roman" w:eastAsia="Times New Roman" w:hint="default"/>
          <w:sz w:val="23"/>
          <w:szCs w:val="23"/>
        </w:rPr>
      </w:pPr>
    </w:p>
    <w:p>
      <w:pPr>
        <w:pStyle w:val="Heading3"/>
        <w:spacing w:line="240" w:lineRule="auto" w:before="36"/>
        <w:ind w:right="1115"/>
        <w:jc w:val="left"/>
        <w:rPr>
          <w:b w:val="0"/>
          <w:bCs w:val="0"/>
        </w:rPr>
      </w:pPr>
      <w:bookmarkStart w:name="14、存货" w:id="191"/>
      <w:bookmarkEnd w:id="191"/>
      <w:r>
        <w:rPr>
          <w:b w:val="0"/>
          <w:bCs w:val="0"/>
        </w:rPr>
      </w:r>
      <w:r>
        <w:rPr>
          <w:rFonts w:ascii="Times New Roman" w:hAnsi="Times New Roman" w:cs="Times New Roman" w:eastAsia="Times New Roman" w:hint="default"/>
        </w:rPr>
        <w:t>14</w:t>
      </w:r>
      <w:r>
        <w:rPr/>
        <w:t>、存货</w:t>
      </w:r>
      <w:r>
        <w:rPr>
          <w:b w:val="0"/>
          <w:bCs w:val="0"/>
        </w:rPr>
      </w:r>
    </w:p>
    <w:p>
      <w:pPr>
        <w:spacing w:line="240" w:lineRule="auto" w:before="5"/>
        <w:rPr>
          <w:rFonts w:ascii="宋体" w:hAnsi="宋体" w:cs="宋体" w:eastAsia="宋体" w:hint="default"/>
          <w:b/>
          <w:bCs/>
          <w:sz w:val="26"/>
          <w:szCs w:val="26"/>
        </w:rPr>
      </w:pPr>
    </w:p>
    <w:p>
      <w:pPr>
        <w:spacing w:line="300" w:lineRule="auto" w:before="0"/>
        <w:ind w:left="152" w:right="499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）存货的分类</w:t>
      </w:r>
      <w:r>
        <w:rPr>
          <w:rFonts w:ascii="宋体" w:hAnsi="宋体" w:cs="宋体" w:eastAsia="宋体" w:hint="default"/>
          <w:b/>
          <w:bCs/>
          <w:w w:val="99"/>
          <w:sz w:val="18"/>
          <w:szCs w:val="18"/>
        </w:rPr>
        <w:t> </w:t>
      </w:r>
      <w:r>
        <w:rPr>
          <w:rFonts w:ascii="宋体" w:hAnsi="宋体" w:cs="宋体" w:eastAsia="宋体" w:hint="default"/>
          <w:sz w:val="18"/>
          <w:szCs w:val="18"/>
        </w:rPr>
        <w:t>本集团存货分为原材料、在产品、库存商品、发出商品、低值易耗品等。</w:t>
      </w:r>
    </w:p>
    <w:p>
      <w:pPr>
        <w:spacing w:line="300" w:lineRule="auto" w:before="31"/>
        <w:ind w:left="152" w:right="391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）发出存货的计价方法</w:t>
      </w:r>
      <w:r>
        <w:rPr>
          <w:rFonts w:ascii="宋体" w:hAnsi="宋体" w:cs="宋体" w:eastAsia="宋体" w:hint="default"/>
          <w:b/>
          <w:bCs/>
          <w:w w:val="99"/>
          <w:sz w:val="18"/>
          <w:szCs w:val="18"/>
        </w:rPr>
        <w:t> </w:t>
      </w:r>
      <w:r>
        <w:rPr>
          <w:rFonts w:ascii="宋体" w:hAnsi="宋体" w:cs="宋体" w:eastAsia="宋体" w:hint="default"/>
          <w:sz w:val="18"/>
          <w:szCs w:val="18"/>
        </w:rPr>
        <w:t>本集团存货取得时按实际成本计价。原材料、库存商品等发出时采用加权平均法计价。</w:t>
      </w:r>
    </w:p>
    <w:p>
      <w:pPr>
        <w:pStyle w:val="BodyText"/>
        <w:spacing w:line="314" w:lineRule="auto" w:before="31"/>
        <w:ind w:right="1115"/>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）存货可变现净值的确定依据及存货跌价准备的计提方法</w:t>
      </w:r>
      <w:r>
        <w:rPr>
          <w:rFonts w:ascii="宋体" w:hAnsi="宋体" w:cs="宋体" w:eastAsia="宋体" w:hint="default"/>
          <w:b/>
          <w:bCs/>
          <w:w w:val="99"/>
        </w:rPr>
        <w:t> </w:t>
      </w:r>
      <w:r>
        <w:rPr>
          <w:spacing w:val="-2"/>
        </w:rPr>
        <w:t>存货可变现净值是按存货的估计售价减去至完工时估计将要发生的成本、估计的销售费用以及相关税费后的金额。在确定存</w:t>
      </w:r>
      <w:r>
        <w:rPr>
          <w:spacing w:val="-64"/>
        </w:rPr>
        <w:t> </w:t>
      </w:r>
      <w:r>
        <w:rPr>
          <w:spacing w:val="-64"/>
        </w:rPr>
      </w:r>
      <w:r>
        <w:rPr/>
        <w:t>货的可变现净值时，以取得的确凿证据为基础，同时考虑持有存货的目的以及资产负债表日后事项的影响。 </w:t>
      </w:r>
      <w:r>
        <w:rPr>
          <w:spacing w:val="-2"/>
        </w:rPr>
        <w:t>资产负债表日，存货成本高于其可变现净值的，计提存货跌价准备。本集团通常按照单个存货项目计提存货跌价准备，资产</w:t>
      </w:r>
      <w:r>
        <w:rPr>
          <w:spacing w:val="-65"/>
        </w:rPr>
        <w:t> </w:t>
      </w:r>
      <w:r>
        <w:rPr>
          <w:spacing w:val="-65"/>
        </w:rPr>
      </w:r>
      <w:r>
        <w:rPr/>
        <w:t>负债表日，以前减记存货价值的影响因素已经消失的，存货跌价准备在原已计提的金额内转回。</w:t>
      </w:r>
    </w:p>
    <w:p>
      <w:pPr>
        <w:spacing w:line="300" w:lineRule="auto" w:before="20"/>
        <w:ind w:left="152" w:right="769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）存货的盘存制度</w:t>
      </w:r>
      <w:r>
        <w:rPr>
          <w:rFonts w:ascii="宋体" w:hAnsi="宋体" w:cs="宋体" w:eastAsia="宋体" w:hint="default"/>
          <w:b/>
          <w:bCs/>
          <w:w w:val="99"/>
          <w:sz w:val="18"/>
          <w:szCs w:val="18"/>
        </w:rPr>
        <w:t> </w:t>
      </w:r>
      <w:r>
        <w:rPr>
          <w:rFonts w:ascii="宋体" w:hAnsi="宋体" w:cs="宋体" w:eastAsia="宋体" w:hint="default"/>
          <w:sz w:val="18"/>
          <w:szCs w:val="18"/>
        </w:rPr>
        <w:t>本集团存货盘存制度采用永续盘存制。</w:t>
      </w:r>
    </w:p>
    <w:p>
      <w:pPr>
        <w:spacing w:line="300" w:lineRule="auto" w:before="31"/>
        <w:ind w:left="152" w:right="697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）低值易耗品的摊销方法</w:t>
      </w:r>
      <w:r>
        <w:rPr>
          <w:rFonts w:ascii="宋体" w:hAnsi="宋体" w:cs="宋体" w:eastAsia="宋体" w:hint="default"/>
          <w:b/>
          <w:bCs/>
          <w:w w:val="99"/>
          <w:sz w:val="18"/>
          <w:szCs w:val="18"/>
        </w:rPr>
        <w:t> </w:t>
      </w:r>
      <w:r>
        <w:rPr>
          <w:rFonts w:ascii="宋体" w:hAnsi="宋体" w:cs="宋体" w:eastAsia="宋体" w:hint="default"/>
          <w:sz w:val="18"/>
          <w:szCs w:val="18"/>
        </w:rPr>
        <w:t>本集团低值易耗品领用时采用一次转销法摊销。</w:t>
      </w:r>
    </w:p>
    <w:p>
      <w:pPr>
        <w:spacing w:line="240" w:lineRule="auto" w:before="10"/>
        <w:rPr>
          <w:rFonts w:ascii="宋体" w:hAnsi="宋体" w:cs="宋体" w:eastAsia="宋体" w:hint="default"/>
          <w:sz w:val="23"/>
          <w:szCs w:val="23"/>
        </w:rPr>
      </w:pPr>
    </w:p>
    <w:p>
      <w:pPr>
        <w:pStyle w:val="Heading3"/>
        <w:spacing w:line="240" w:lineRule="auto"/>
        <w:ind w:right="1115"/>
        <w:jc w:val="left"/>
        <w:rPr>
          <w:b w:val="0"/>
          <w:bCs w:val="0"/>
        </w:rPr>
      </w:pPr>
      <w:bookmarkStart w:name="15、长期股权投资" w:id="192"/>
      <w:bookmarkEnd w:id="192"/>
      <w:r>
        <w:rPr>
          <w:b w:val="0"/>
          <w:bCs w:val="0"/>
        </w:rPr>
      </w:r>
      <w:r>
        <w:rPr>
          <w:rFonts w:ascii="Times New Roman" w:hAnsi="Times New Roman" w:cs="Times New Roman" w:eastAsia="Times New Roman" w:hint="default"/>
        </w:rPr>
        <w:t>15</w:t>
      </w:r>
      <w:r>
        <w:rPr/>
        <w:t>、长期股权投资</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15"/>
        <w:jc w:val="left"/>
      </w:pPr>
      <w:r>
        <w:rPr>
          <w:spacing w:val="-2"/>
        </w:rPr>
        <w:t>长期股权投资包括对子公司、合营企业和联营企业的权益性投资。本集团能够对被投资单位施加重大影响的，为本集团的联</w:t>
      </w:r>
      <w:r>
        <w:rPr>
          <w:spacing w:val="-63"/>
        </w:rPr>
        <w:t> </w:t>
      </w:r>
      <w:r>
        <w:rPr>
          <w:spacing w:val="-63"/>
        </w:rPr>
      </w:r>
      <w:r>
        <w:rPr/>
        <w:t>营企业。</w:t>
      </w:r>
    </w:p>
    <w:p>
      <w:pPr>
        <w:pStyle w:val="BodyText"/>
        <w:spacing w:line="314" w:lineRule="auto" w:before="19"/>
        <w:ind w:right="1115"/>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）初始投资成本确定</w:t>
      </w:r>
      <w:r>
        <w:rPr>
          <w:rFonts w:ascii="宋体" w:hAnsi="宋体" w:cs="宋体" w:eastAsia="宋体" w:hint="default"/>
          <w:b/>
          <w:bCs/>
          <w:w w:val="99"/>
        </w:rPr>
        <w:t> </w:t>
      </w:r>
      <w:r>
        <w:rPr>
          <w:spacing w:val="-2"/>
        </w:rPr>
        <w:t>形成企业合并的长期股权投资：同一控制下企业合并取得的长期股权投资，在合并日按照取得被合并方所有者权益在最终控</w:t>
      </w:r>
      <w:r>
        <w:rPr>
          <w:spacing w:val="-64"/>
        </w:rPr>
        <w:t> </w:t>
      </w:r>
      <w:r>
        <w:rPr>
          <w:spacing w:val="-64"/>
        </w:rPr>
      </w:r>
      <w:r>
        <w:rPr>
          <w:spacing w:val="-2"/>
        </w:rPr>
        <w:t>制方合并财务报表中的账面价值份额作为投资成本；非同一控制下企业合并取得的长期股权投资，按照合并成本作为长期股</w:t>
      </w:r>
      <w:r>
        <w:rPr>
          <w:spacing w:val="-64"/>
        </w:rPr>
        <w:t> </w:t>
      </w:r>
      <w:r>
        <w:rPr>
          <w:spacing w:val="-64"/>
        </w:rPr>
      </w:r>
      <w:r>
        <w:rPr/>
        <w:t>权投资的投资成本。 </w:t>
      </w:r>
      <w:r>
        <w:rPr>
          <w:spacing w:val="-2"/>
        </w:rPr>
        <w:t>对于其他方式取得的长期股权投资：支付现金取得的长期股权投资，按照实际支付的购买价款作为初始投资成本；发行权益</w:t>
      </w:r>
      <w:r>
        <w:rPr>
          <w:spacing w:val="-62"/>
        </w:rPr>
        <w:t> </w:t>
      </w:r>
      <w:r>
        <w:rPr>
          <w:spacing w:val="-62"/>
        </w:rPr>
      </w:r>
      <w:r>
        <w:rPr/>
        <w:t>性证券取得的长期股权投资，以发行权益性证券的公允价值作为初始投资成本。</w:t>
      </w:r>
    </w:p>
    <w:p>
      <w:pPr>
        <w:pStyle w:val="BodyText"/>
        <w:spacing w:line="316" w:lineRule="auto" w:before="20"/>
        <w:ind w:right="1115"/>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）后续计量及损益确认方法</w:t>
      </w:r>
      <w:r>
        <w:rPr>
          <w:rFonts w:ascii="宋体" w:hAnsi="宋体" w:cs="宋体" w:eastAsia="宋体" w:hint="default"/>
          <w:b/>
          <w:bCs/>
          <w:w w:val="99"/>
        </w:rPr>
        <w:t> </w:t>
      </w:r>
      <w:r>
        <w:rPr/>
        <w:t>对子公司的投资，采用成本法核算，除非投资符合持有待售的条件；对联营企业和合营企业的投资，采用权益法核算。 </w:t>
      </w:r>
      <w:r>
        <w:rPr>
          <w:spacing w:val="-2"/>
        </w:rPr>
        <w:t>采用成本法核算的长期股权投资，除取得投资时实际支付的价款或对价中包含的已宣告但尚未发放的现金股利或利润外，被</w:t>
      </w:r>
      <w:r>
        <w:rPr>
          <w:spacing w:val="-64"/>
        </w:rPr>
        <w:t> </w:t>
      </w:r>
      <w:r>
        <w:rPr>
          <w:spacing w:val="-64"/>
        </w:rPr>
      </w:r>
      <w:r>
        <w:rPr/>
        <w:t>投资单位宣告分派的现金股利或利润，确认为投资收益计入当期损益。 </w:t>
      </w:r>
      <w:r>
        <w:rPr>
          <w:spacing w:val="-2"/>
        </w:rPr>
        <w:t>采用权益法核算的长期股权投资，初始投资成本大于投资时应享有被投资单位可辨认净资产公允价值份额的，不调整长期股</w:t>
      </w:r>
      <w:r>
        <w:rPr>
          <w:spacing w:val="-62"/>
        </w:rPr>
        <w:t> </w:t>
      </w:r>
      <w:r>
        <w:rPr>
          <w:spacing w:val="-62"/>
        </w:rPr>
      </w:r>
      <w:r>
        <w:rPr>
          <w:spacing w:val="-2"/>
        </w:rPr>
        <w:t>权投资的投资成本；初始投资成本小于投资时应享有被投资单位可辨认净资产公允价值份额的，对长期股权投资的账面价值</w:t>
      </w:r>
      <w:r>
        <w:rPr>
          <w:spacing w:val="-64"/>
        </w:rPr>
        <w:t> </w:t>
      </w:r>
      <w:r>
        <w:rPr>
          <w:spacing w:val="-64"/>
        </w:rPr>
      </w:r>
      <w:r>
        <w:rPr/>
        <w:t>进行调整，差额计入投资当期的损益。 </w:t>
      </w:r>
      <w:r>
        <w:rPr>
          <w:spacing w:val="-2"/>
        </w:rPr>
        <w:t>采用权益法核算时，按照应享有或应分担的被投资单位实现的净损益和其他综合收益的份额，分别确认投资收益和其他综合</w:t>
      </w:r>
      <w:r>
        <w:rPr>
          <w:spacing w:val="-64"/>
        </w:rPr>
        <w:t> </w:t>
      </w:r>
      <w:r>
        <w:rPr>
          <w:spacing w:val="-64"/>
        </w:rPr>
      </w:r>
      <w:r>
        <w:rPr>
          <w:spacing w:val="-2"/>
        </w:rPr>
        <w:t>收益，同时调整长期股权投资的账面价值；按照被投资单位宣告分派的利润或现金股利计算应享有的部分，相应减少长期股</w:t>
      </w:r>
      <w:r>
        <w:rPr>
          <w:spacing w:val="-63"/>
        </w:rPr>
        <w:t> </w:t>
      </w:r>
      <w:r>
        <w:rPr>
          <w:spacing w:val="-63"/>
        </w:rPr>
      </w:r>
      <w:r>
        <w:rPr>
          <w:spacing w:val="-2"/>
        </w:rPr>
        <w:t>权投资的账面价值；被投资单位除净损益、其他综合收益和利润分配以外所有者权益的其他变动，调整长期股权投资的账面</w:t>
      </w:r>
      <w:r>
        <w:rPr>
          <w:spacing w:val="-63"/>
        </w:rPr>
        <w:t> </w:t>
      </w:r>
      <w:r>
        <w:rPr>
          <w:spacing w:val="-63"/>
        </w:rPr>
      </w:r>
      <w:r>
        <w:rPr>
          <w:spacing w:val="-2"/>
        </w:rPr>
        <w:t>价值并计入资本公积（其他资本公积）。在确认应享有被投资单位净损益的份额时，以取得投资时被投资单位各项可辨认资</w:t>
      </w:r>
      <w:r>
        <w:rPr>
          <w:spacing w:val="-63"/>
        </w:rPr>
        <w:t> </w:t>
      </w:r>
      <w:r>
        <w:rPr>
          <w:spacing w:val="-63"/>
        </w:rPr>
      </w:r>
      <w:r>
        <w:rPr/>
        <w:t>产等的公允价值为基础，并按照本集团的会计政策及会计期间，对被投资单位的净利润进行调整后确认。 </w:t>
      </w:r>
      <w:r>
        <w:rPr>
          <w:spacing w:val="-2"/>
        </w:rPr>
        <w:t>因追加投资等原因能够对被投资单位施加重大影响或实施共同控制但不构成控制的，在转换日，按照原股权的公允价值加上</w:t>
      </w:r>
      <w:r>
        <w:rPr>
          <w:spacing w:val="-64"/>
        </w:rPr>
        <w:t> </w:t>
      </w:r>
      <w:r>
        <w:rPr>
          <w:spacing w:val="-64"/>
        </w:rPr>
      </w:r>
      <w:r>
        <w:rPr>
          <w:spacing w:val="-2"/>
        </w:rPr>
        <w:t>新增投资成本之和，作为改按权益法核算的初始投资成本。原股权于转换日的公允价值与账面价值之间的差额，以及原计入</w:t>
      </w:r>
      <w:r>
        <w:rPr>
          <w:spacing w:val="-63"/>
        </w:rPr>
        <w:t> </w:t>
      </w:r>
      <w:r>
        <w:rPr>
          <w:spacing w:val="-63"/>
        </w:rPr>
      </w:r>
      <w:r>
        <w:rPr/>
        <w:t>其他综合收益的累计公允价值变动转入改按权益法核算的当期损益。 </w:t>
      </w:r>
      <w:r>
        <w:rPr>
          <w:spacing w:val="-2"/>
        </w:rPr>
        <w:t>因处置部分股权投资等原因丧失了对被投资单位的共同控制或重大影响的，处置后的剩余股权在丧失共同控制或重大影响之</w:t>
      </w:r>
      <w:r>
        <w:rPr>
          <w:spacing w:val="-63"/>
        </w:rPr>
        <w:t> </w:t>
      </w:r>
      <w:r>
        <w:rPr>
          <w:spacing w:val="-63"/>
        </w:rPr>
      </w:r>
      <w:r>
        <w:rPr>
          <w:spacing w:val="-2"/>
        </w:rPr>
        <w:t>日改按《企业会计准则第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金融工具确认和计量》进行会计处理，公允价值与账面价值之间的差额计入当期损益。原股</w:t>
      </w:r>
      <w:r>
        <w:rPr>
          <w:spacing w:val="-63"/>
        </w:rPr>
        <w:t> </w:t>
      </w:r>
      <w:r>
        <w:rPr>
          <w:spacing w:val="-63"/>
        </w:rPr>
      </w:r>
      <w:r>
        <w:rPr>
          <w:spacing w:val="-2"/>
        </w:rPr>
        <w:t>权投资因采用权益法核算而确认的其他综合收益，在终止采用权益法核算时采用与被投资单位直接处置相关资产或负债相同</w:t>
      </w:r>
    </w:p>
    <w:p>
      <w:pPr>
        <w:spacing w:after="0" w:line="316"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4"/>
        <w:ind w:right="1115"/>
        <w:jc w:val="left"/>
      </w:pPr>
      <w:r>
        <w:rPr/>
        <w:t>的基础进行会计处理；原股权投资相关的其他所有者权益变动转入当期损益。 </w:t>
      </w:r>
      <w:r>
        <w:rPr>
          <w:spacing w:val="-2"/>
        </w:rPr>
        <w:t>因处置部分股权投资等原因丧失了对被投资单位的控制的，处置后的剩余股权能够对被投资单位实施共同控制或施加重大影</w:t>
      </w:r>
      <w:r>
        <w:rPr>
          <w:spacing w:val="-64"/>
        </w:rPr>
        <w:t> </w:t>
      </w:r>
      <w:r>
        <w:rPr>
          <w:spacing w:val="-64"/>
        </w:rPr>
      </w:r>
      <w:r>
        <w:rPr>
          <w:spacing w:val="-2"/>
        </w:rPr>
        <w:t>响的，改按权益法核算，并对该剩余股权视同自取得时即采用权益法核算进行调整；处置后的剩余股权不能对被投资单位实</w:t>
      </w:r>
      <w:r>
        <w:rPr>
          <w:spacing w:val="-65"/>
        </w:rPr>
        <w:t> </w:t>
      </w:r>
      <w:r>
        <w:rPr>
          <w:spacing w:val="-65"/>
        </w:rPr>
      </w:r>
      <w:r>
        <w:rPr>
          <w:spacing w:val="-2"/>
        </w:rPr>
        <w:t>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金融工具确认和计量》的有关规定进行会计处理，其在丧失控</w:t>
      </w:r>
      <w:r>
        <w:rPr>
          <w:spacing w:val="-61"/>
        </w:rPr>
        <w:t> </w:t>
      </w:r>
      <w:r>
        <w:rPr>
          <w:spacing w:val="-61"/>
        </w:rPr>
      </w:r>
      <w:r>
        <w:rPr/>
        <w:t>制之日的公允价值与账面价值之间的差额计入当期损益。 </w:t>
      </w:r>
      <w:r>
        <w:rPr>
          <w:spacing w:val="-2"/>
        </w:rPr>
        <w:t>因其他投资方增资而导致本集团持股比例下降、从而丧失控制权但能对被投资单位实施共同控制或施加重大影响的，按照新</w:t>
      </w:r>
      <w:r>
        <w:rPr>
          <w:spacing w:val="-64"/>
        </w:rPr>
        <w:t> </w:t>
      </w:r>
      <w:r>
        <w:rPr>
          <w:spacing w:val="-64"/>
        </w:rPr>
      </w:r>
      <w:r>
        <w:rPr>
          <w:spacing w:val="-2"/>
        </w:rPr>
        <w:t>的持股比例确认本集团应享有的被投资单位因增资扩股而增加净资产的份额，与应结转持股比例下降部分所对应的长期股权</w:t>
      </w:r>
      <w:r>
        <w:rPr>
          <w:spacing w:val="-64"/>
        </w:rPr>
        <w:t> </w:t>
      </w:r>
      <w:r>
        <w:rPr>
          <w:spacing w:val="-64"/>
        </w:rPr>
      </w:r>
      <w:r>
        <w:rPr/>
        <w:t>投资原账面价值之间的差额计入当期损益；然后，按照新的持股比例视同自取得投资时即采用权益法核算进行调整。</w:t>
      </w:r>
      <w:r>
        <w:rPr/>
        <w:t> </w:t>
      </w:r>
      <w:r>
        <w:rPr>
          <w:spacing w:val="-2"/>
        </w:rPr>
        <w:t>本集团与联营企业及合营企业之间发生的未实现内部交易损益按照持股比例计算归属于本集团的部分，在抵销基础上确认投</w:t>
      </w:r>
      <w:r>
        <w:rPr>
          <w:spacing w:val="-64"/>
        </w:rPr>
        <w:t> </w:t>
      </w:r>
      <w:r>
        <w:rPr>
          <w:spacing w:val="-64"/>
        </w:rPr>
      </w:r>
      <w:r>
        <w:rPr/>
        <w:t>资损益。但本集团与被投资单位发生的未实现内部交易损失，属于所转让资产减值损失的，不予以抵销。</w:t>
      </w:r>
    </w:p>
    <w:p>
      <w:pPr>
        <w:pStyle w:val="BodyText"/>
        <w:spacing w:line="314" w:lineRule="auto" w:before="19"/>
        <w:ind w:right="1119"/>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）确定对被投资单位具有共同控制、重大影响的依据</w:t>
      </w:r>
      <w:r>
        <w:rPr>
          <w:rFonts w:ascii="宋体" w:hAnsi="宋体" w:cs="宋体" w:eastAsia="宋体" w:hint="default"/>
          <w:b/>
          <w:bCs/>
          <w:w w:val="99"/>
        </w:rPr>
        <w:t> </w:t>
      </w:r>
      <w:r>
        <w:rPr>
          <w:spacing w:val="-2"/>
        </w:rPr>
        <w:t>共同控制，是指按照相关约定对某项安排所共有的控制，并且该安排的相关活动必须经过分享控制权的参与方一致同意后才</w:t>
      </w:r>
      <w:r>
        <w:rPr>
          <w:spacing w:val="-64"/>
        </w:rPr>
        <w:t> </w:t>
      </w:r>
      <w:r>
        <w:rPr>
          <w:spacing w:val="-64"/>
        </w:rPr>
      </w:r>
      <w:r>
        <w:rPr>
          <w:spacing w:val="-2"/>
        </w:rPr>
        <w:t>能决策。在判断是否存在共同控制时，首先判断是否由所有参与方或参与方组合集体控制该安排，其次再判断该安排相关活</w:t>
      </w:r>
      <w:r>
        <w:rPr>
          <w:spacing w:val="-63"/>
        </w:rPr>
        <w:t> </w:t>
      </w:r>
      <w:r>
        <w:rPr>
          <w:spacing w:val="-63"/>
        </w:rPr>
      </w:r>
      <w:r>
        <w:rPr>
          <w:spacing w:val="-2"/>
        </w:rPr>
        <w:t>动的决策是否必须经过这些集体控制该安排的参与方一致同意。如果所有参与方或一组参与方必须一致行动才能决定某项安</w:t>
      </w:r>
      <w:r>
        <w:rPr>
          <w:spacing w:val="-64"/>
        </w:rPr>
        <w:t> </w:t>
      </w:r>
      <w:r>
        <w:rPr>
          <w:spacing w:val="-64"/>
        </w:rPr>
      </w:r>
      <w:r>
        <w:rPr>
          <w:spacing w:val="-2"/>
        </w:rPr>
        <w:t>排的相关活动，则认为所有参与方或一组参与方集体控制该安排；如果存在两个或两个以上的参与方组合能够集体控制某项</w:t>
      </w:r>
      <w:r>
        <w:rPr>
          <w:spacing w:val="-64"/>
        </w:rPr>
        <w:t> </w:t>
      </w:r>
      <w:r>
        <w:rPr>
          <w:spacing w:val="-64"/>
        </w:rPr>
      </w:r>
      <w:r>
        <w:rPr/>
        <w:t>安排的，不构成共同控制。判断是否存在共同控制时，不考虑享有的保护性权利。 </w:t>
      </w:r>
      <w:r>
        <w:rPr>
          <w:spacing w:val="-2"/>
        </w:rPr>
        <w:t>重大影响，是指投资方对被投资单位的财务和经营政策有参与决策的权力，但并不能够控制或者与其他方一起共同控制这些</w:t>
      </w:r>
      <w:r>
        <w:rPr>
          <w:spacing w:val="-64"/>
        </w:rPr>
        <w:t> </w:t>
      </w:r>
      <w:r>
        <w:rPr>
          <w:spacing w:val="-64"/>
        </w:rPr>
      </w:r>
      <w:r>
        <w:rPr>
          <w:spacing w:val="-2"/>
        </w:rPr>
        <w:t>政策的制定。在确定能否对被投资单位施加重大影响时，考虑投资方直接或间接持有被投资单位的表决权股份以及投资方及</w:t>
      </w:r>
      <w:r>
        <w:rPr>
          <w:spacing w:val="-64"/>
        </w:rPr>
        <w:t> </w:t>
      </w:r>
      <w:r>
        <w:rPr>
          <w:spacing w:val="-64"/>
        </w:rPr>
      </w:r>
      <w:r>
        <w:rPr>
          <w:spacing w:val="-2"/>
        </w:rPr>
        <w:t>其他方持有的当期可执行潜在表决权在假定转换为对被投资方单位的股权后产生的影响，包括被投资单位发行的当期可转换</w:t>
      </w:r>
      <w:r>
        <w:rPr>
          <w:spacing w:val="-64"/>
        </w:rPr>
        <w:t> </w:t>
      </w:r>
      <w:r>
        <w:rPr>
          <w:spacing w:val="-64"/>
        </w:rPr>
      </w:r>
      <w:r>
        <w:rPr/>
        <w:t>的认股权证、股份期权及可转换公司债券等的影响。 当本集团直接或通过子公司间接拥有被投资单位</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）以上但低于</w:t>
      </w:r>
      <w:r>
        <w:rPr>
          <w:rFonts w:ascii="Times New Roman" w:hAnsi="Times New Roman" w:cs="Times New Roman" w:eastAsia="Times New Roman" w:hint="default"/>
        </w:rPr>
        <w:t>50%</w:t>
      </w:r>
      <w:r>
        <w:rPr/>
        <w:t>的表决权股份时，一般认为对被投资单位具</w:t>
      </w:r>
      <w:r>
        <w:rPr>
          <w:spacing w:val="-85"/>
        </w:rPr>
        <w:t> </w:t>
      </w:r>
      <w:r>
        <w:rPr>
          <w:spacing w:val="-85"/>
        </w:rPr>
      </w:r>
      <w:r>
        <w:rPr>
          <w:spacing w:val="-2"/>
        </w:rPr>
        <w:t>有重大影响，除非有明确证据表明该种情况下不能参与被投资单位的生产经营决策，不形成重大影响；本集团拥有被投资单</w:t>
      </w:r>
      <w:r>
        <w:rPr>
          <w:spacing w:val="-62"/>
        </w:rPr>
        <w:t> </w:t>
      </w:r>
      <w:r>
        <w:rPr>
          <w:spacing w:val="-62"/>
        </w:rPr>
      </w:r>
      <w:r>
        <w:rPr>
          <w:spacing w:val="-1"/>
        </w:rPr>
        <w:t>位</w:t>
      </w:r>
      <w:r>
        <w:rPr>
          <w:rFonts w:ascii="Times New Roman" w:hAnsi="Times New Roman" w:cs="Times New Roman" w:eastAsia="Times New Roman" w:hint="default"/>
          <w:spacing w:val="-1"/>
        </w:rPr>
        <w:t>20%</w:t>
      </w:r>
      <w:r>
        <w:rPr>
          <w:spacing w:val="-1"/>
        </w:rPr>
        <w:t>（不含）以下的表决权股份时，一般不认为对被投资单位具有重大影响，除非有明确证据表明该种情况下能够参与被</w:t>
      </w:r>
      <w:r>
        <w:rPr/>
        <w:t> 投资单位的生产经营决策，形成重大影响。</w:t>
      </w:r>
    </w:p>
    <w:p>
      <w:pPr>
        <w:spacing w:line="300" w:lineRule="auto" w:before="21"/>
        <w:ind w:left="152" w:right="4121"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）减值测试方法及减值准备计提方法</w:t>
      </w:r>
      <w:r>
        <w:rPr>
          <w:rFonts w:ascii="宋体" w:hAnsi="宋体" w:cs="宋体" w:eastAsia="宋体" w:hint="default"/>
          <w:b/>
          <w:bCs/>
          <w:w w:val="99"/>
          <w:sz w:val="18"/>
          <w:szCs w:val="18"/>
        </w:rPr>
        <w:t> </w:t>
      </w:r>
      <w:r>
        <w:rPr>
          <w:rFonts w:ascii="宋体" w:hAnsi="宋体" w:cs="宋体" w:eastAsia="宋体" w:hint="default"/>
          <w:sz w:val="18"/>
          <w:szCs w:val="18"/>
        </w:rPr>
        <w:t>对子公司、联营企业及合营企业的投资，计提资产减值的方法见</w:t>
      </w:r>
      <w:r>
        <w:rPr>
          <w:rFonts w:ascii="Times New Roman" w:hAnsi="Times New Roman" w:cs="Times New Roman" w:eastAsia="Times New Roman" w:hint="default"/>
          <w:sz w:val="18"/>
          <w:szCs w:val="18"/>
        </w:rPr>
        <w:t>"21</w:t>
      </w:r>
      <w:r>
        <w:rPr>
          <w:rFonts w:ascii="宋体" w:hAnsi="宋体" w:cs="宋体" w:eastAsia="宋体" w:hint="default"/>
          <w:sz w:val="18"/>
          <w:szCs w:val="18"/>
        </w:rPr>
        <w:t>长期资产减值</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0" w:lineRule="auto" w:before="4"/>
        <w:rPr>
          <w:rFonts w:ascii="宋体" w:hAnsi="宋体" w:cs="宋体" w:eastAsia="宋体" w:hint="default"/>
          <w:sz w:val="22"/>
          <w:szCs w:val="22"/>
        </w:rPr>
      </w:pPr>
    </w:p>
    <w:p>
      <w:pPr>
        <w:pStyle w:val="Heading3"/>
        <w:spacing w:line="240" w:lineRule="auto"/>
        <w:ind w:right="1115"/>
        <w:jc w:val="left"/>
        <w:rPr>
          <w:b w:val="0"/>
          <w:bCs w:val="0"/>
        </w:rPr>
      </w:pPr>
      <w:bookmarkStart w:name="16、投资性房地产" w:id="193"/>
      <w:bookmarkEnd w:id="193"/>
      <w:r>
        <w:rPr>
          <w:b w:val="0"/>
          <w:bCs w:val="0"/>
        </w:rPr>
      </w:r>
      <w:r>
        <w:rPr>
          <w:rFonts w:ascii="Times New Roman" w:hAnsi="Times New Roman" w:cs="Times New Roman" w:eastAsia="Times New Roman" w:hint="default"/>
        </w:rPr>
        <w:t>16</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954"/>
        <w:jc w:val="left"/>
      </w:pPr>
      <w:r>
        <w:rPr/>
        <w:t>投资性房地产计量模式 成本法计量 折旧或摊销方法</w:t>
      </w:r>
    </w:p>
    <w:p>
      <w:pPr>
        <w:pStyle w:val="BodyText"/>
        <w:spacing w:line="312" w:lineRule="auto" w:before="29"/>
        <w:ind w:right="1115"/>
        <w:jc w:val="left"/>
      </w:pPr>
      <w:r>
        <w:rPr>
          <w:spacing w:val="-2"/>
        </w:rPr>
        <w:t>投资性房地产是指为赚取租金或资本增值，或两者兼有而持有的房地产。本集团投资性房地产包括已出租的土地使用权、持</w:t>
      </w:r>
      <w:r>
        <w:rPr>
          <w:spacing w:val="-63"/>
        </w:rPr>
        <w:t> </w:t>
      </w:r>
      <w:r>
        <w:rPr>
          <w:spacing w:val="-63"/>
        </w:rPr>
      </w:r>
      <w:r>
        <w:rPr/>
        <w:t>有并准备增值后转让的土地使用权、已出租的建筑物。 本集团投资性房地产按照取得时的成本进行初始计量，并按照固定资产或无形资产的有关规定，按期计提折旧或摊销。 采用成本模式进行后续计量的投资性房地产，计提资产减值方法见</w:t>
      </w:r>
      <w:r>
        <w:rPr>
          <w:rFonts w:ascii="Times New Roman" w:hAnsi="Times New Roman" w:cs="Times New Roman" w:eastAsia="Times New Roman" w:hint="default"/>
        </w:rPr>
        <w:t>”21</w:t>
      </w:r>
      <w:r>
        <w:rPr/>
        <w:t>长期资产减值</w:t>
      </w:r>
      <w:r>
        <w:rPr>
          <w:rFonts w:ascii="Times New Roman" w:hAnsi="Times New Roman" w:cs="Times New Roman" w:eastAsia="Times New Roman" w:hint="default"/>
        </w:rPr>
        <w:t>“</w:t>
      </w:r>
      <w:r>
        <w:rPr/>
        <w:t>。 投资性房地产出售、转让、报废或毁损的处置收入扣除其账面价值和相关税费后的差额计入当期损益。</w:t>
      </w:r>
    </w:p>
    <w:p>
      <w:pPr>
        <w:spacing w:line="240" w:lineRule="auto" w:before="1"/>
        <w:rPr>
          <w:rFonts w:ascii="宋体" w:hAnsi="宋体" w:cs="宋体" w:eastAsia="宋体" w:hint="default"/>
          <w:sz w:val="23"/>
          <w:szCs w:val="23"/>
        </w:rPr>
      </w:pPr>
    </w:p>
    <w:p>
      <w:pPr>
        <w:pStyle w:val="Heading3"/>
        <w:spacing w:line="240" w:lineRule="auto"/>
        <w:ind w:right="1115"/>
        <w:jc w:val="left"/>
        <w:rPr>
          <w:b w:val="0"/>
          <w:bCs w:val="0"/>
        </w:rPr>
      </w:pPr>
      <w:bookmarkStart w:name="17、固定资产" w:id="194"/>
      <w:bookmarkEnd w:id="194"/>
      <w:r>
        <w:rPr>
          <w:b w:val="0"/>
          <w:bCs w:val="0"/>
        </w:rPr>
      </w:r>
      <w:r>
        <w:rPr>
          <w:rFonts w:ascii="Times New Roman" w:hAnsi="Times New Roman" w:cs="Times New Roman" w:eastAsia="Times New Roman" w:hint="default"/>
        </w:rPr>
        <w:t>17</w:t>
      </w:r>
      <w:r>
        <w:rPr/>
        <w:t>、固定资产</w:t>
      </w:r>
      <w:r>
        <w:rPr>
          <w:b w:val="0"/>
          <w:bCs w:val="0"/>
        </w:rPr>
      </w:r>
    </w:p>
    <w:p>
      <w:pPr>
        <w:spacing w:line="240" w:lineRule="auto" w:before="4"/>
        <w:rPr>
          <w:rFonts w:ascii="宋体" w:hAnsi="宋体" w:cs="宋体" w:eastAsia="宋体" w:hint="default"/>
          <w:b/>
          <w:bCs/>
          <w:sz w:val="26"/>
          <w:szCs w:val="26"/>
        </w:rPr>
      </w:pPr>
    </w:p>
    <w:p>
      <w:pPr>
        <w:pStyle w:val="BodyText"/>
        <w:spacing w:line="324" w:lineRule="auto"/>
        <w:ind w:right="1115"/>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）确认条件</w:t>
      </w:r>
      <w:r>
        <w:rPr>
          <w:rFonts w:ascii="宋体" w:hAnsi="宋体" w:cs="宋体" w:eastAsia="宋体" w:hint="default"/>
          <w:b/>
          <w:bCs/>
          <w:w w:val="99"/>
        </w:rPr>
        <w:t> </w:t>
      </w:r>
      <w:r>
        <w:rPr>
          <w:spacing w:val="-2"/>
        </w:rPr>
        <w:t>本集团固定资产是指为生产商品、提供劳务、出租或经营管理而持有的，使用寿命超过一个会计年度的有形资产。与该固定</w:t>
      </w:r>
      <w:r>
        <w:rPr>
          <w:spacing w:val="-64"/>
        </w:rPr>
        <w:t> </w:t>
      </w:r>
      <w:r>
        <w:rPr>
          <w:spacing w:val="-64"/>
        </w:rPr>
      </w:r>
      <w:r>
        <w:rPr>
          <w:spacing w:val="-2"/>
        </w:rPr>
        <w:t>资产有关的经济利益很可能流入企业，并且该固定资产的成本能够可靠地计量时，固定资产才能予以确认。本集团固定资产</w:t>
      </w:r>
      <w:r>
        <w:rPr>
          <w:spacing w:val="-63"/>
        </w:rPr>
        <w:t> </w:t>
      </w:r>
      <w:r>
        <w:rPr>
          <w:spacing w:val="-63"/>
        </w:rPr>
      </w:r>
      <w:r>
        <w:rPr/>
        <w:t>按照取得时的实际成本进行初始计量。</w:t>
      </w:r>
    </w:p>
    <w:p>
      <w:pPr>
        <w:spacing w:after="0" w:line="324"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Heading4"/>
        <w:spacing w:line="240" w:lineRule="auto" w:before="44"/>
        <w:ind w:left="152" w:right="1115"/>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2"/>
        <w:rPr>
          <w:rFonts w:ascii="宋体" w:hAnsi="宋体" w:cs="宋体" w:eastAsia="宋体" w:hint="default"/>
          <w:b/>
          <w:bCs/>
          <w:sz w:val="4"/>
          <w:szCs w:val="4"/>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4.75%-1.90%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8-12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11.88%-7.92%</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23.75%-11.88%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23.75%-11.88%</w:t>
            </w:r>
          </w:p>
        </w:tc>
      </w:tr>
    </w:tbl>
    <w:p>
      <w:pPr>
        <w:spacing w:line="300" w:lineRule="auto" w:before="8"/>
        <w:ind w:left="152" w:right="668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）固定资产的减值测试方法、减值准备计提方法</w:t>
      </w:r>
      <w:r>
        <w:rPr>
          <w:rFonts w:ascii="宋体" w:hAnsi="宋体" w:cs="宋体" w:eastAsia="宋体" w:hint="default"/>
          <w:b/>
          <w:bCs/>
          <w:w w:val="99"/>
          <w:sz w:val="18"/>
          <w:szCs w:val="18"/>
        </w:rPr>
        <w:t> </w:t>
      </w:r>
      <w:r>
        <w:rPr>
          <w:rFonts w:ascii="宋体" w:hAnsi="宋体" w:cs="宋体" w:eastAsia="宋体" w:hint="default"/>
          <w:sz w:val="18"/>
          <w:szCs w:val="18"/>
        </w:rPr>
        <w:t>见</w:t>
      </w:r>
      <w:r>
        <w:rPr>
          <w:rFonts w:ascii="Times New Roman" w:hAnsi="Times New Roman" w:cs="Times New Roman" w:eastAsia="Times New Roman" w:hint="default"/>
          <w:sz w:val="18"/>
          <w:szCs w:val="18"/>
        </w:rPr>
        <w:t>”</w:t>
      </w:r>
      <w:r>
        <w:rPr>
          <w:rFonts w:ascii="宋体" w:hAnsi="宋体" w:cs="宋体" w:eastAsia="宋体" w:hint="default"/>
          <w:sz w:val="18"/>
          <w:szCs w:val="18"/>
        </w:rPr>
        <w:t>长期资产减值</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309" w:lineRule="auto" w:before="13"/>
        <w:ind w:left="152" w:right="1115"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）每年年度终了，本集团对固定资产的使用寿命、预计净残值和折旧方法进行复核。</w:t>
      </w:r>
      <w:r>
        <w:rPr>
          <w:rFonts w:ascii="宋体" w:hAnsi="宋体" w:cs="宋体" w:eastAsia="宋体" w:hint="default"/>
          <w:b/>
          <w:bCs/>
          <w:w w:val="99"/>
          <w:sz w:val="18"/>
          <w:szCs w:val="18"/>
        </w:rPr>
        <w:t> </w:t>
      </w:r>
      <w:r>
        <w:rPr>
          <w:rFonts w:ascii="宋体" w:hAnsi="宋体" w:cs="宋体" w:eastAsia="宋体" w:hint="default"/>
          <w:spacing w:val="-2"/>
          <w:sz w:val="18"/>
          <w:szCs w:val="18"/>
        </w:rPr>
        <w:t>使用寿命预计数与原先估计数有差异的，调整固定资产使用寿命；预计净残值预计数与原先估计数有差异的，调整预计净残</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值。</w:t>
      </w:r>
    </w:p>
    <w:p>
      <w:pPr>
        <w:pStyle w:val="BodyText"/>
        <w:spacing w:line="309" w:lineRule="auto" w:before="25"/>
        <w:ind w:right="1115"/>
        <w:jc w:val="left"/>
      </w:pPr>
      <w:r>
        <w:rPr>
          <w:rFonts w:ascii="宋体" w:hAnsi="宋体" w:cs="宋体" w:eastAsia="宋体" w:hint="default"/>
          <w:b/>
          <w:bCs/>
        </w:rPr>
        <w:t>（</w:t>
      </w:r>
      <w:r>
        <w:rPr>
          <w:rFonts w:ascii="Times New Roman" w:hAnsi="Times New Roman" w:cs="Times New Roman" w:eastAsia="Times New Roman" w:hint="default"/>
          <w:b/>
          <w:bCs/>
        </w:rPr>
        <w:t>5</w:t>
      </w:r>
      <w:r>
        <w:rPr>
          <w:rFonts w:ascii="宋体" w:hAnsi="宋体" w:cs="宋体" w:eastAsia="宋体" w:hint="default"/>
          <w:b/>
          <w:bCs/>
        </w:rPr>
        <w:t>）大修理费用</w:t>
      </w:r>
      <w:r>
        <w:rPr>
          <w:rFonts w:ascii="宋体" w:hAnsi="宋体" w:cs="宋体" w:eastAsia="宋体" w:hint="default"/>
          <w:b/>
          <w:bCs/>
          <w:w w:val="99"/>
        </w:rPr>
        <w:t> </w:t>
      </w:r>
      <w:r>
        <w:rPr>
          <w:spacing w:val="-2"/>
        </w:rPr>
        <w:t>本集团对固定资产进行定期检查发生的大修理费用，有确凿证据表明符合固定资产确认条件的部分，计入固定资产成本，不</w:t>
      </w:r>
      <w:r>
        <w:rPr>
          <w:spacing w:val="-63"/>
        </w:rPr>
        <w:t> </w:t>
      </w:r>
      <w:r>
        <w:rPr>
          <w:spacing w:val="-63"/>
        </w:rPr>
      </w:r>
      <w:r>
        <w:rPr/>
        <w:t>符合固定资产确认条件的计入当期损益。固定资产在定期大修理间隔期间，照提折旧。</w:t>
      </w:r>
    </w:p>
    <w:p>
      <w:pPr>
        <w:spacing w:line="240" w:lineRule="auto" w:before="3"/>
        <w:rPr>
          <w:rFonts w:ascii="宋体" w:hAnsi="宋体" w:cs="宋体" w:eastAsia="宋体" w:hint="default"/>
          <w:sz w:val="23"/>
          <w:szCs w:val="23"/>
        </w:rPr>
      </w:pPr>
    </w:p>
    <w:p>
      <w:pPr>
        <w:pStyle w:val="Heading3"/>
        <w:spacing w:line="240" w:lineRule="auto"/>
        <w:ind w:right="1115"/>
        <w:jc w:val="left"/>
        <w:rPr>
          <w:b w:val="0"/>
          <w:bCs w:val="0"/>
        </w:rPr>
      </w:pPr>
      <w:bookmarkStart w:name="18、在建工程" w:id="195"/>
      <w:bookmarkEnd w:id="195"/>
      <w:r>
        <w:rPr>
          <w:b w:val="0"/>
          <w:bCs w:val="0"/>
        </w:rPr>
      </w:r>
      <w:r>
        <w:rPr>
          <w:rFonts w:ascii="Times New Roman" w:hAnsi="Times New Roman" w:cs="Times New Roman" w:eastAsia="Times New Roman" w:hint="default"/>
        </w:rPr>
        <w:t>18</w:t>
      </w:r>
      <w:r>
        <w:rPr/>
        <w:t>、在建工程</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15"/>
        <w:jc w:val="left"/>
      </w:pPr>
      <w:r>
        <w:rPr>
          <w:spacing w:val="-2"/>
        </w:rPr>
        <w:t>本集团在建工程成本按实际工程支出确定，包括在建期间发生的各项必要工程支出、工程达到预定可使用状态前的应予资本</w:t>
      </w:r>
      <w:r>
        <w:rPr>
          <w:spacing w:val="-64"/>
        </w:rPr>
        <w:t> </w:t>
      </w:r>
      <w:r>
        <w:rPr>
          <w:spacing w:val="-64"/>
        </w:rPr>
      </w:r>
      <w:r>
        <w:rPr/>
        <w:t>化的借款费用以及其他相关费用等。</w:t>
      </w:r>
    </w:p>
    <w:p>
      <w:pPr>
        <w:pStyle w:val="BodyText"/>
        <w:spacing w:line="316" w:lineRule="auto" w:before="19"/>
        <w:ind w:right="6254"/>
        <w:jc w:val="left"/>
      </w:pPr>
      <w:r>
        <w:rPr/>
        <w:t>在建工程在达到预定可使用状态时转入固定资产。 在建工程计提资产减值方法详见“</w:t>
      </w:r>
      <w:r>
        <w:rPr>
          <w:rFonts w:ascii="Times New Roman" w:hAnsi="Times New Roman" w:cs="Times New Roman" w:eastAsia="Times New Roman" w:hint="default"/>
        </w:rPr>
        <w:t>21</w:t>
      </w:r>
      <w:r>
        <w:rPr/>
        <w:t>、长期资产减值”。</w:t>
      </w:r>
    </w:p>
    <w:p>
      <w:pPr>
        <w:spacing w:line="240" w:lineRule="auto" w:before="4"/>
        <w:rPr>
          <w:rFonts w:ascii="宋体" w:hAnsi="宋体" w:cs="宋体" w:eastAsia="宋体" w:hint="default"/>
          <w:sz w:val="21"/>
          <w:szCs w:val="21"/>
        </w:rPr>
      </w:pPr>
    </w:p>
    <w:p>
      <w:pPr>
        <w:pStyle w:val="Heading3"/>
        <w:spacing w:line="240" w:lineRule="auto"/>
        <w:ind w:right="1115"/>
        <w:jc w:val="left"/>
        <w:rPr>
          <w:b w:val="0"/>
          <w:bCs w:val="0"/>
        </w:rPr>
      </w:pPr>
      <w:bookmarkStart w:name="19、借款费用" w:id="196"/>
      <w:bookmarkEnd w:id="196"/>
      <w:r>
        <w:rPr>
          <w:b w:val="0"/>
          <w:bCs w:val="0"/>
        </w:rPr>
      </w:r>
      <w:r>
        <w:rPr>
          <w:rFonts w:ascii="Times New Roman" w:hAnsi="Times New Roman" w:cs="Times New Roman" w:eastAsia="Times New Roman" w:hint="default"/>
        </w:rPr>
        <w:t>19</w:t>
      </w:r>
      <w:r>
        <w:rPr/>
        <w:t>、借款费用</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115"/>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）借款费用资本化的确认原则</w:t>
      </w:r>
      <w:r>
        <w:rPr>
          <w:rFonts w:ascii="宋体" w:hAnsi="宋体" w:cs="宋体" w:eastAsia="宋体" w:hint="default"/>
          <w:b/>
          <w:bCs/>
          <w:w w:val="99"/>
        </w:rPr>
        <w:t> </w:t>
      </w:r>
      <w:r>
        <w:rPr>
          <w:spacing w:val="-2"/>
        </w:rPr>
        <w:t>本集团发生的借款费用，可直接归属于符合资本化条件的资产的购建或者生产的，予以资本化，计入相关资产成本；其他借</w:t>
      </w:r>
      <w:r>
        <w:rPr>
          <w:spacing w:val="-64"/>
        </w:rPr>
        <w:t> </w:t>
      </w:r>
      <w:r>
        <w:rPr>
          <w:spacing w:val="-64"/>
        </w:rPr>
      </w:r>
      <w:r>
        <w:rPr/>
        <w:t>款费用，在发生时根据其发生额确认为费用，计入当期损益。借款费用同时满足下列条件的，开始资本化：</w:t>
      </w:r>
    </w:p>
    <w:p>
      <w:pPr>
        <w:pStyle w:val="BodyText"/>
        <w:spacing w:line="316" w:lineRule="auto" w:before="24"/>
        <w:ind w:right="1124"/>
        <w:jc w:val="left"/>
      </w:pPr>
      <w:r>
        <w:rPr/>
        <w:t>① 资产支出已经发生，资产支出包括为购建或者生产符合资本化条件的资产而以支付现金、转移非现金资产或者承担带息</w:t>
      </w:r>
      <w:r>
        <w:rPr>
          <w:spacing w:val="-85"/>
        </w:rPr>
        <w:t> </w:t>
      </w:r>
      <w:r>
        <w:rPr>
          <w:spacing w:val="-85"/>
        </w:rPr>
      </w:r>
      <w:r>
        <w:rPr/>
        <w:t>债务形式发生的支出；</w:t>
      </w:r>
    </w:p>
    <w:p>
      <w:pPr>
        <w:pStyle w:val="BodyText"/>
        <w:spacing w:line="240" w:lineRule="auto" w:before="19"/>
        <w:ind w:right="1115"/>
        <w:jc w:val="left"/>
      </w:pPr>
      <w:r>
        <w:rPr/>
        <w:t>②</w:t>
      </w:r>
      <w:r>
        <w:rPr>
          <w:spacing w:val="-18"/>
        </w:rPr>
        <w:t> </w:t>
      </w:r>
      <w:r>
        <w:rPr/>
        <w:t>借款费用已经发生；</w:t>
      </w:r>
    </w:p>
    <w:p>
      <w:pPr>
        <w:pStyle w:val="BodyText"/>
        <w:spacing w:line="240" w:lineRule="auto" w:before="76"/>
        <w:ind w:right="1115"/>
        <w:jc w:val="left"/>
      </w:pPr>
      <w:r>
        <w:rPr/>
        <w:t>③</w:t>
      </w:r>
      <w:r>
        <w:rPr>
          <w:spacing w:val="-18"/>
        </w:rPr>
        <w:t> </w:t>
      </w:r>
      <w:r>
        <w:rPr/>
        <w:t>为使资产达到预定可使用或者可销售状态所必要的购建或者生产活动已经开始。</w:t>
      </w:r>
    </w:p>
    <w:p>
      <w:pPr>
        <w:pStyle w:val="BodyText"/>
        <w:spacing w:line="309" w:lineRule="auto" w:before="76"/>
        <w:ind w:right="1124"/>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）借款费用资本化期间</w:t>
      </w:r>
      <w:r>
        <w:rPr>
          <w:rFonts w:ascii="宋体" w:hAnsi="宋体" w:cs="宋体" w:eastAsia="宋体" w:hint="default"/>
          <w:b/>
          <w:bCs/>
          <w:w w:val="99"/>
        </w:rPr>
        <w:t> </w:t>
      </w:r>
      <w:r>
        <w:rPr>
          <w:spacing w:val="-2"/>
        </w:rPr>
        <w:t>本集团购建或者生产符合资本化条件的资产达到预定可使用或者可销售状态时，借款费用停止资本化。在符合资本化条件的</w:t>
      </w:r>
      <w:r>
        <w:rPr>
          <w:spacing w:val="-63"/>
        </w:rPr>
        <w:t> </w:t>
      </w:r>
      <w:r>
        <w:rPr>
          <w:spacing w:val="-63"/>
        </w:rPr>
      </w:r>
      <w:r>
        <w:rPr/>
        <w:t>资产达到预定可使用或者可销售状态之后所发生的借款费用，在发生时根据其发生额确认为费用，计入当期损益。 符合资本化条件的资产在购建或者生产过程中发生非正常中断、且中断时间连续超过</w:t>
      </w:r>
      <w:r>
        <w:rPr>
          <w:rFonts w:ascii="Times New Roman" w:hAnsi="Times New Roman" w:cs="Times New Roman" w:eastAsia="Times New Roman" w:hint="default"/>
        </w:rPr>
        <w:t>3</w:t>
      </w:r>
      <w:r>
        <w:rPr/>
        <w:t>个月的，暂停借款费用的资本化；正</w:t>
      </w:r>
      <w:r>
        <w:rPr>
          <w:spacing w:val="-83"/>
        </w:rPr>
        <w:t> </w:t>
      </w:r>
      <w:r>
        <w:rPr>
          <w:spacing w:val="-83"/>
        </w:rPr>
      </w:r>
      <w:r>
        <w:rPr/>
        <w:t>常中断期间的借款费用继续资本化。</w:t>
      </w:r>
    </w:p>
    <w:p>
      <w:pPr>
        <w:pStyle w:val="BodyText"/>
        <w:spacing w:line="314" w:lineRule="auto" w:before="24"/>
        <w:ind w:right="1034"/>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）借款费用资本化率以及资本化金额的计算方法</w:t>
      </w:r>
      <w:r>
        <w:rPr>
          <w:rFonts w:ascii="宋体" w:hAnsi="宋体" w:cs="宋体" w:eastAsia="宋体" w:hint="default"/>
          <w:b/>
          <w:bCs/>
          <w:w w:val="99"/>
        </w:rPr>
        <w:t> </w:t>
      </w:r>
      <w:r>
        <w:rPr>
          <w:spacing w:val="-2"/>
        </w:rPr>
        <w:t>专门借款当期实际发生的利息费用，减去尚未动用的借款资金存入银行取得的利息收入或进行暂时性投资取得的投资收益后</w:t>
      </w:r>
      <w:r>
        <w:rPr>
          <w:spacing w:val="-64"/>
        </w:rPr>
        <w:t> </w:t>
      </w:r>
      <w:r>
        <w:rPr>
          <w:spacing w:val="-64"/>
        </w:rPr>
      </w:r>
      <w:r>
        <w:rPr/>
        <w:t>的金额予以资本化；一般借款根据累计资产支出超过专门借款部分的资产支出加权平均数乘以所占用一般借款的资本化率，</w:t>
      </w:r>
      <w:r>
        <w:rPr>
          <w:spacing w:val="-83"/>
        </w:rPr>
        <w:t> </w:t>
      </w:r>
      <w:r>
        <w:rPr>
          <w:spacing w:val="-83"/>
        </w:rPr>
      </w:r>
      <w:r>
        <w:rPr/>
        <w:t>确定资本化金额。资本化率根据一般借款的加权平均利率计算确定。 资本化期间内，外币专门借款的汇兑差额全部予以资本化；外币一般借款的汇兑差额计入当期损益。</w:t>
      </w:r>
    </w:p>
    <w:p>
      <w:pPr>
        <w:spacing w:after="0" w:line="314"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15"/>
        <w:jc w:val="left"/>
        <w:rPr>
          <w:b w:val="0"/>
          <w:bCs w:val="0"/>
        </w:rPr>
      </w:pPr>
      <w:bookmarkStart w:name="20、无形资产" w:id="197"/>
      <w:bookmarkEnd w:id="197"/>
      <w:r>
        <w:rPr>
          <w:b w:val="0"/>
          <w:bCs w:val="0"/>
        </w:rPr>
      </w:r>
      <w:r>
        <w:rPr>
          <w:rFonts w:ascii="Times New Roman" w:hAnsi="Times New Roman" w:cs="Times New Roman" w:eastAsia="Times New Roman" w:hint="default"/>
        </w:rPr>
        <w:t>20</w:t>
      </w:r>
      <w:r>
        <w:rPr/>
        <w:t>、无形资产</w:t>
      </w:r>
      <w:r>
        <w:rPr>
          <w:b w:val="0"/>
          <w:bCs w:val="0"/>
        </w:rPr>
      </w:r>
    </w:p>
    <w:p>
      <w:pPr>
        <w:spacing w:line="240" w:lineRule="auto" w:before="5"/>
        <w:rPr>
          <w:rFonts w:ascii="宋体" w:hAnsi="宋体" w:cs="宋体" w:eastAsia="宋体" w:hint="default"/>
          <w:b/>
          <w:bCs/>
          <w:sz w:val="26"/>
          <w:szCs w:val="26"/>
        </w:rPr>
      </w:pPr>
    </w:p>
    <w:p>
      <w:pPr>
        <w:spacing w:line="300" w:lineRule="auto" w:before="0"/>
        <w:ind w:left="152" w:right="481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）计价方法、使用寿命、减值测试</w:t>
      </w:r>
      <w:r>
        <w:rPr>
          <w:rFonts w:ascii="宋体" w:hAnsi="宋体" w:cs="宋体" w:eastAsia="宋体" w:hint="default"/>
          <w:b/>
          <w:bCs/>
          <w:w w:val="99"/>
          <w:sz w:val="18"/>
          <w:szCs w:val="18"/>
        </w:rPr>
        <w:t> </w:t>
      </w:r>
      <w:r>
        <w:rPr>
          <w:rFonts w:ascii="宋体" w:hAnsi="宋体" w:cs="宋体" w:eastAsia="宋体" w:hint="default"/>
          <w:sz w:val="18"/>
          <w:szCs w:val="18"/>
        </w:rPr>
        <w:t>本集团无形资产包括土地使用权、专利权、外购软件、自主研发及其他等。</w:t>
      </w:r>
    </w:p>
    <w:p>
      <w:pPr>
        <w:pStyle w:val="BodyText"/>
        <w:spacing w:line="316" w:lineRule="auto" w:before="31"/>
        <w:ind w:right="1034"/>
        <w:jc w:val="left"/>
      </w:pPr>
      <w:r>
        <w:rPr>
          <w:spacing w:val="-5"/>
        </w:rPr>
        <w:t>无形资产按照成本进行初始计量，并于取得无形资产时分析判断其使用寿命。使用寿命为有限的，自无形资产可供使用时起，</w:t>
      </w:r>
      <w:r>
        <w:rPr>
          <w:spacing w:val="-76"/>
        </w:rPr>
        <w:t> </w:t>
      </w:r>
      <w:r>
        <w:rPr>
          <w:spacing w:val="-76"/>
        </w:rPr>
      </w:r>
      <w:r>
        <w:rPr/>
        <w:t>采用能反映与该资产有关的经济利益的预期实现方式的摊销方法，在预计使用年限内摊销；无法可靠确定预期实现方式的，</w:t>
      </w:r>
      <w:r>
        <w:rPr>
          <w:spacing w:val="-83"/>
        </w:rPr>
        <w:t> </w:t>
      </w:r>
      <w:r>
        <w:rPr>
          <w:spacing w:val="-83"/>
        </w:rPr>
      </w:r>
      <w:r>
        <w:rPr/>
        <w:t>采用直线法摊销；使用寿命不确定的无形资产，不作摊销。</w:t>
      </w:r>
    </w:p>
    <w:p>
      <w:pPr>
        <w:pStyle w:val="BodyText"/>
        <w:spacing w:line="240" w:lineRule="auto" w:before="19"/>
        <w:ind w:right="1115"/>
        <w:jc w:val="left"/>
      </w:pPr>
      <w:r>
        <w:rPr/>
        <w:t>使用寿命有限的无形资产摊销方法如下：</w:t>
      </w:r>
    </w:p>
    <w:p>
      <w:pPr>
        <w:spacing w:line="240" w:lineRule="auto" w:before="4"/>
        <w:rPr>
          <w:rFonts w:ascii="宋体" w:hAnsi="宋体" w:cs="宋体" w:eastAsia="宋体" w:hint="default"/>
          <w:sz w:val="6"/>
          <w:szCs w:val="6"/>
        </w:rPr>
      </w:pPr>
    </w:p>
    <w:tbl>
      <w:tblPr>
        <w:tblW w:w="0" w:type="auto"/>
        <w:jc w:val="left"/>
        <w:tblInd w:w="138" w:type="dxa"/>
        <w:tblLayout w:type="fixed"/>
        <w:tblCellMar>
          <w:top w:w="0" w:type="dxa"/>
          <w:left w:w="0" w:type="dxa"/>
          <w:bottom w:w="0" w:type="dxa"/>
          <w:right w:w="0" w:type="dxa"/>
        </w:tblCellMar>
        <w:tblLook w:val="01E0"/>
      </w:tblPr>
      <w:tblGrid>
        <w:gridCol w:w="3164"/>
        <w:gridCol w:w="2100"/>
        <w:gridCol w:w="2461"/>
        <w:gridCol w:w="1934"/>
      </w:tblGrid>
      <w:tr>
        <w:trPr>
          <w:trHeight w:val="326" w:hRule="exact"/>
        </w:trPr>
        <w:tc>
          <w:tcPr>
            <w:tcW w:w="3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1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使用寿命（年）</w:t>
            </w:r>
          </w:p>
        </w:tc>
        <w:tc>
          <w:tcPr>
            <w:tcW w:w="24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2"/>
              <w:jc w:val="center"/>
              <w:rPr>
                <w:rFonts w:ascii="宋体" w:hAnsi="宋体" w:cs="宋体" w:eastAsia="宋体" w:hint="default"/>
                <w:sz w:val="18"/>
                <w:szCs w:val="18"/>
              </w:rPr>
            </w:pPr>
            <w:r>
              <w:rPr>
                <w:rFonts w:ascii="宋体" w:hAnsi="宋体" w:cs="宋体" w:eastAsia="宋体" w:hint="default"/>
                <w:sz w:val="18"/>
                <w:szCs w:val="18"/>
              </w:rPr>
              <w:t>摊销方法</w:t>
            </w:r>
          </w:p>
        </w:tc>
        <w:tc>
          <w:tcPr>
            <w:tcW w:w="19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4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直线法</w:t>
            </w:r>
          </w:p>
        </w:tc>
        <w:tc>
          <w:tcPr>
            <w:tcW w:w="193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专利权</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center"/>
              <w:rPr>
                <w:rFonts w:ascii="Times New Roman" w:hAnsi="Times New Roman" w:cs="Times New Roman" w:eastAsia="Times New Roman" w:hint="default"/>
                <w:sz w:val="18"/>
                <w:szCs w:val="18"/>
              </w:rPr>
            </w:pPr>
            <w:r>
              <w:rPr>
                <w:rFonts w:ascii="Times New Roman"/>
                <w:sz w:val="18"/>
              </w:rPr>
              <w:t>5</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直线法</w:t>
            </w:r>
          </w:p>
        </w:tc>
        <w:tc>
          <w:tcPr>
            <w:tcW w:w="193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外购软件</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直线法</w:t>
            </w:r>
          </w:p>
        </w:tc>
        <w:tc>
          <w:tcPr>
            <w:tcW w:w="193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自主研发</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直线法</w:t>
            </w:r>
          </w:p>
        </w:tc>
        <w:tc>
          <w:tcPr>
            <w:tcW w:w="193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5-10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直线法</w:t>
            </w:r>
          </w:p>
        </w:tc>
        <w:tc>
          <w:tcPr>
            <w:tcW w:w="193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6" w:lineRule="auto" w:before="8"/>
        <w:ind w:right="1129"/>
        <w:jc w:val="left"/>
      </w:pPr>
      <w:r>
        <w:rPr>
          <w:spacing w:val="-5"/>
        </w:rPr>
        <w:t>本集团于每年年度终了，对使用寿命有限的无形资产的使用寿命及摊销方法进行复核，与以前估计不同的，调整原先估计数，</w:t>
      </w:r>
      <w:r>
        <w:rPr>
          <w:spacing w:val="-76"/>
        </w:rPr>
        <w:t> </w:t>
      </w:r>
      <w:r>
        <w:rPr>
          <w:spacing w:val="-76"/>
        </w:rPr>
      </w:r>
      <w:r>
        <w:rPr/>
        <w:t>并按会计估计变更处理。 资产负债表日预计某项无形资产已经不能给企业带来未来经济利益的，将该项无形资产的账面价值全部转入当期损益。 无形资产计提资产减值方法见</w:t>
      </w:r>
      <w:r>
        <w:rPr>
          <w:rFonts w:ascii="Times New Roman" w:hAnsi="Times New Roman" w:cs="Times New Roman" w:eastAsia="Times New Roman" w:hint="default"/>
        </w:rPr>
        <w:t>”21</w:t>
      </w:r>
      <w:r>
        <w:rPr/>
        <w:t>、长期资产减值</w:t>
      </w:r>
      <w:r>
        <w:rPr>
          <w:rFonts w:ascii="Times New Roman" w:hAnsi="Times New Roman" w:cs="Times New Roman" w:eastAsia="Times New Roman" w:hint="default"/>
        </w:rPr>
        <w:t>“</w:t>
      </w:r>
      <w:r>
        <w:rPr/>
        <w:t>。</w:t>
      </w:r>
    </w:p>
    <w:p>
      <w:pPr>
        <w:spacing w:line="309" w:lineRule="auto" w:before="0"/>
        <w:ind w:left="152" w:right="481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）内部研究开发支出会计政策</w:t>
      </w:r>
      <w:r>
        <w:rPr>
          <w:rFonts w:ascii="宋体" w:hAnsi="宋体" w:cs="宋体" w:eastAsia="宋体" w:hint="default"/>
          <w:b/>
          <w:bCs/>
          <w:w w:val="99"/>
          <w:sz w:val="18"/>
          <w:szCs w:val="18"/>
        </w:rPr>
        <w:t> </w:t>
      </w:r>
      <w:r>
        <w:rPr>
          <w:rFonts w:ascii="宋体" w:hAnsi="宋体" w:cs="宋体" w:eastAsia="宋体" w:hint="default"/>
          <w:sz w:val="18"/>
          <w:szCs w:val="18"/>
        </w:rPr>
        <w:t>本集团将内部研究开发项目的支出，区分为研究阶段支出和开发阶段支出。 研究阶段的支出，于发生时计入当期损益。</w:t>
      </w:r>
    </w:p>
    <w:p>
      <w:pPr>
        <w:pStyle w:val="BodyText"/>
        <w:spacing w:line="316" w:lineRule="auto" w:before="24"/>
        <w:ind w:right="1129"/>
        <w:jc w:val="left"/>
      </w:pPr>
      <w:r>
        <w:rPr>
          <w:spacing w:val="-5"/>
        </w:rPr>
        <w:t>开发阶段的支出，同时满足下列条件的，才能予以资本化，即：完成该无形资产以使其能够使用或出售在技术上具有可行性；</w:t>
      </w:r>
      <w:r>
        <w:rPr>
          <w:spacing w:val="-78"/>
        </w:rPr>
        <w:t> </w:t>
      </w:r>
      <w:r>
        <w:rPr>
          <w:spacing w:val="-78"/>
        </w:rPr>
      </w:r>
      <w:r>
        <w:rPr>
          <w:spacing w:val="-2"/>
        </w:rPr>
        <w:t>具有完成该无形资产并使用或出售的意图；无形资产产生经济利益的方式，包括能够证明运用该无形资产生产的产品存在市</w:t>
      </w:r>
      <w:r>
        <w:rPr>
          <w:spacing w:val="-64"/>
        </w:rPr>
        <w:t> </w:t>
      </w:r>
      <w:r>
        <w:rPr>
          <w:spacing w:val="-64"/>
        </w:rPr>
      </w:r>
      <w:r>
        <w:rPr>
          <w:spacing w:val="-2"/>
        </w:rPr>
        <w:t>场或无形资产自身存在市场，无形资产将在内部使用的，能够证明其有用性；有足够的技术、财务资源和其他资源支持，以</w:t>
      </w:r>
      <w:r>
        <w:rPr>
          <w:spacing w:val="-67"/>
        </w:rPr>
        <w:t> </w:t>
      </w:r>
      <w:r>
        <w:rPr>
          <w:spacing w:val="-67"/>
        </w:rPr>
      </w:r>
      <w:r>
        <w:rPr>
          <w:spacing w:val="-2"/>
        </w:rPr>
        <w:t>完成该无形资产的开发，并有能力使用或出售该无形资产；归属于该无形资产开发阶段的支出能够可靠地计量。不满足上述</w:t>
      </w:r>
      <w:r>
        <w:rPr>
          <w:spacing w:val="-63"/>
        </w:rPr>
        <w:t> </w:t>
      </w:r>
      <w:r>
        <w:rPr>
          <w:spacing w:val="-63"/>
        </w:rPr>
      </w:r>
      <w:r>
        <w:rPr/>
        <w:t>条件的开发支出计入当期损益。 本集团研究开发项目在满足上述条件，通过技术可行性及经济可行性研究，形成项目立项后，进入开发阶段。</w:t>
      </w:r>
      <w:r>
        <w:rPr/>
        <w:t> 已资本化的开发阶段的支出在资产负债表上列示为开发支出，自该项目达到预定用途之日转为无形资产。</w:t>
      </w:r>
    </w:p>
    <w:p>
      <w:pPr>
        <w:spacing w:line="240" w:lineRule="auto" w:before="10"/>
        <w:rPr>
          <w:rFonts w:ascii="宋体" w:hAnsi="宋体" w:cs="宋体" w:eastAsia="宋体" w:hint="default"/>
          <w:sz w:val="22"/>
          <w:szCs w:val="22"/>
        </w:rPr>
      </w:pPr>
    </w:p>
    <w:p>
      <w:pPr>
        <w:pStyle w:val="Heading3"/>
        <w:spacing w:line="240" w:lineRule="auto"/>
        <w:ind w:right="1115"/>
        <w:jc w:val="left"/>
        <w:rPr>
          <w:b w:val="0"/>
          <w:bCs w:val="0"/>
        </w:rPr>
      </w:pPr>
      <w:bookmarkStart w:name="21、长期资产减值" w:id="198"/>
      <w:bookmarkEnd w:id="198"/>
      <w:r>
        <w:rPr>
          <w:b w:val="0"/>
          <w:bCs w:val="0"/>
        </w:rPr>
      </w:r>
      <w:r>
        <w:rPr>
          <w:rFonts w:ascii="Times New Roman" w:hAnsi="Times New Roman" w:cs="Times New Roman" w:eastAsia="Times New Roman" w:hint="default"/>
        </w:rPr>
        <w:t>21</w:t>
      </w:r>
      <w:r>
        <w:rPr/>
        <w:t>、长期资产减值</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15"/>
        <w:jc w:val="left"/>
      </w:pPr>
      <w:r>
        <w:rPr>
          <w:spacing w:val="-2"/>
        </w:rPr>
        <w:t>对子公司、联营企业的长期股权投资、采用成本模式进行后续计量的投资性房地产、固定资产、在建工程、无形资产、商誉</w:t>
      </w:r>
      <w:r>
        <w:rPr>
          <w:spacing w:val="-70"/>
        </w:rPr>
        <w:t> </w:t>
      </w:r>
      <w:r>
        <w:rPr>
          <w:spacing w:val="-70"/>
        </w:rPr>
      </w:r>
      <w:r>
        <w:rPr/>
        <w:t>等（存货、递延所得税资产、金融资产除外）的资产减值，按以下方法确定： </w:t>
      </w:r>
      <w:r>
        <w:rPr>
          <w:spacing w:val="-2"/>
        </w:rPr>
        <w:t>于资产负债表日判断资产是否存在可能发生减值的迹象，存在减值迹象的，本集团将估计其可收回金额，进行减值测试。对</w:t>
      </w:r>
      <w:r>
        <w:rPr>
          <w:spacing w:val="-62"/>
        </w:rPr>
        <w:t> </w:t>
      </w:r>
      <w:r>
        <w:rPr>
          <w:spacing w:val="-62"/>
        </w:rPr>
      </w:r>
      <w:r>
        <w:rPr>
          <w:spacing w:val="-2"/>
        </w:rPr>
        <w:t>因企业合并所形成的商誉、使用寿命不确定的无形资产和尚未达到可使用状态的无形资产无论是否存在减值迹象，每年都进</w:t>
      </w:r>
      <w:r>
        <w:rPr>
          <w:spacing w:val="-64"/>
        </w:rPr>
        <w:t> </w:t>
      </w:r>
      <w:r>
        <w:rPr>
          <w:spacing w:val="-64"/>
        </w:rPr>
      </w:r>
      <w:r>
        <w:rPr/>
        <w:t>行减值测试。 </w:t>
      </w:r>
      <w:r>
        <w:rPr>
          <w:spacing w:val="-2"/>
        </w:rPr>
        <w:t>可收回金额根据资产的公允价值减去处置费用后的净额与资产预计未来现金流量的现值两者之间较高者确定。本集团以单项</w:t>
      </w:r>
      <w:r>
        <w:rPr>
          <w:spacing w:val="-64"/>
        </w:rPr>
        <w:t> </w:t>
      </w:r>
      <w:r>
        <w:rPr>
          <w:spacing w:val="-64"/>
        </w:rPr>
      </w:r>
      <w:r>
        <w:rPr>
          <w:spacing w:val="-2"/>
        </w:rPr>
        <w:t>资产为基础估计其可收回金额；难以对单项资产的可收回金额进行估计的，以该资产所属的资产组为基础确定资产组的可收</w:t>
      </w:r>
      <w:r>
        <w:rPr>
          <w:spacing w:val="-64"/>
        </w:rPr>
        <w:t> </w:t>
      </w:r>
      <w:r>
        <w:rPr>
          <w:spacing w:val="-64"/>
        </w:rPr>
      </w:r>
      <w:r>
        <w:rPr/>
        <w:t>回金额。资产组的认定，以资产组产生的主要现金流入是否独立于其他资产或者资产组的现金流入为依据。 </w:t>
      </w:r>
      <w:r>
        <w:rPr>
          <w:spacing w:val="-2"/>
        </w:rPr>
        <w:t>当资产或资产组的可收回金额低于其账面价值时，本集团将其账面价值减记至可收回金额，减记的金额计入当期损益，同时</w:t>
      </w:r>
      <w:r>
        <w:rPr>
          <w:spacing w:val="-64"/>
        </w:rPr>
        <w:t> </w:t>
      </w:r>
      <w:r>
        <w:rPr>
          <w:spacing w:val="-64"/>
        </w:rPr>
      </w:r>
      <w:r>
        <w:rPr/>
        <w:t>计提相应的资产减值准备。 </w:t>
      </w:r>
      <w:r>
        <w:rPr>
          <w:spacing w:val="-2"/>
        </w:rPr>
        <w:t>就商誉的减值测试而言，对于因企业合并形成的商誉的账面价值，自购买日起按照合理的方法分摊至相关的资产组；难以分</w:t>
      </w:r>
      <w:r>
        <w:rPr>
          <w:spacing w:val="-63"/>
        </w:rPr>
        <w:t> </w:t>
      </w:r>
      <w:r>
        <w:rPr>
          <w:spacing w:val="-63"/>
        </w:rPr>
      </w:r>
      <w:r>
        <w:rPr>
          <w:spacing w:val="-2"/>
        </w:rPr>
        <w:t>摊至相关的资产组的，将其分摊至相关的资产组组合。相关的资产组或资产组组合，是能够从企业合并的协同效应中受益的</w:t>
      </w:r>
      <w:r>
        <w:rPr>
          <w:spacing w:val="-63"/>
        </w:rPr>
        <w:t> </w:t>
      </w:r>
      <w:r>
        <w:rPr>
          <w:spacing w:val="-63"/>
        </w:rPr>
      </w:r>
      <w:r>
        <w:rPr/>
        <w:t>资产组或者资产组组合，且不大于本集团确定的报告分部。</w:t>
      </w:r>
    </w:p>
    <w:p>
      <w:pPr>
        <w:spacing w:after="0" w:line="316"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4"/>
        <w:ind w:right="1130"/>
        <w:jc w:val="both"/>
      </w:pPr>
      <w:r>
        <w:rPr>
          <w:spacing w:val="-2"/>
        </w:rPr>
        <w:t>减值测试时，如与商誉相关的资产组或者资产组组合存在减值迹象的，首先对不包含商誉的资产组或者资产组组合进行减值</w:t>
      </w:r>
      <w:r>
        <w:rPr>
          <w:spacing w:val="-64"/>
        </w:rPr>
        <w:t> </w:t>
      </w:r>
      <w:r>
        <w:rPr>
          <w:spacing w:val="-64"/>
        </w:rPr>
      </w:r>
      <w:r>
        <w:rPr>
          <w:spacing w:val="-2"/>
        </w:rPr>
        <w:t>测试，计算可收回金额，确认相应的减值损失。然后对包含商誉的资产组或者资产组组合进行减值测试，比较其账面价值与</w:t>
      </w:r>
      <w:r>
        <w:rPr>
          <w:spacing w:val="-63"/>
        </w:rPr>
        <w:t> </w:t>
      </w:r>
      <w:r>
        <w:rPr>
          <w:spacing w:val="-63"/>
        </w:rPr>
      </w:r>
      <w:r>
        <w:rPr/>
        <w:t>可收回金额，如可收回金额低于账面价值的，确认商誉的减值损失。</w:t>
      </w:r>
    </w:p>
    <w:p>
      <w:pPr>
        <w:pStyle w:val="BodyText"/>
        <w:spacing w:line="240" w:lineRule="auto" w:before="17"/>
        <w:ind w:right="1115"/>
        <w:jc w:val="left"/>
      </w:pPr>
      <w:r>
        <w:rPr/>
        <w:t>资产减值损失一经确认，在以后会计期间不再转回。</w:t>
      </w:r>
    </w:p>
    <w:p>
      <w:pPr>
        <w:spacing w:line="240" w:lineRule="auto" w:before="0"/>
        <w:rPr>
          <w:rFonts w:ascii="宋体" w:hAnsi="宋体" w:cs="宋体" w:eastAsia="宋体" w:hint="default"/>
          <w:sz w:val="18"/>
          <w:szCs w:val="18"/>
        </w:rPr>
      </w:pPr>
    </w:p>
    <w:p>
      <w:pPr>
        <w:pStyle w:val="Heading3"/>
        <w:spacing w:line="240" w:lineRule="auto" w:before="120"/>
        <w:ind w:right="1115"/>
        <w:jc w:val="left"/>
        <w:rPr>
          <w:b w:val="0"/>
          <w:bCs w:val="0"/>
        </w:rPr>
      </w:pPr>
      <w:bookmarkStart w:name="22、长期待摊费用" w:id="199"/>
      <w:bookmarkEnd w:id="199"/>
      <w:r>
        <w:rPr>
          <w:b w:val="0"/>
          <w:bCs w:val="0"/>
        </w:rPr>
      </w:r>
      <w:r>
        <w:rPr>
          <w:rFonts w:ascii="Times New Roman" w:hAnsi="Times New Roman" w:cs="Times New Roman" w:eastAsia="Times New Roman" w:hint="default"/>
        </w:rPr>
        <w:t>22</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spacing w:val="-4"/>
        </w:rPr>
        <w:t>本集团发生的长期待摊费用按实际成本计价，并按预计受益期限平均摊销。对不能使以后会计期间受益的长期待摊费用项目，</w:t>
      </w:r>
      <w:r>
        <w:rPr>
          <w:spacing w:val="-44"/>
        </w:rPr>
        <w:t> </w:t>
      </w:r>
      <w:r>
        <w:rPr>
          <w:spacing w:val="-44"/>
        </w:rPr>
      </w:r>
      <w:r>
        <w:rPr/>
        <w:t>其摊余价值全部计入当期损益。</w:t>
      </w:r>
    </w:p>
    <w:p>
      <w:pPr>
        <w:spacing w:line="240" w:lineRule="auto" w:before="10"/>
        <w:rPr>
          <w:rFonts w:ascii="宋体" w:hAnsi="宋体" w:cs="宋体" w:eastAsia="宋体" w:hint="default"/>
          <w:sz w:val="22"/>
          <w:szCs w:val="22"/>
        </w:rPr>
      </w:pPr>
    </w:p>
    <w:p>
      <w:pPr>
        <w:pStyle w:val="Heading3"/>
        <w:spacing w:line="240" w:lineRule="auto"/>
        <w:ind w:right="1115"/>
        <w:jc w:val="left"/>
        <w:rPr>
          <w:b w:val="0"/>
          <w:bCs w:val="0"/>
        </w:rPr>
      </w:pPr>
      <w:bookmarkStart w:name="23、职工薪酬" w:id="200"/>
      <w:bookmarkEnd w:id="200"/>
      <w:r>
        <w:rPr>
          <w:b w:val="0"/>
          <w:bCs w:val="0"/>
        </w:rPr>
      </w:r>
      <w:r>
        <w:rPr>
          <w:rFonts w:ascii="Times New Roman" w:hAnsi="Times New Roman" w:cs="Times New Roman" w:eastAsia="Times New Roman" w:hint="default"/>
        </w:rPr>
        <w:t>23</w:t>
      </w:r>
      <w:r>
        <w:rPr/>
        <w:t>、职工薪酬</w:t>
      </w:r>
      <w:r>
        <w:rPr>
          <w:b w:val="0"/>
          <w:bCs w:val="0"/>
        </w:rPr>
      </w:r>
    </w:p>
    <w:p>
      <w:pPr>
        <w:spacing w:line="240" w:lineRule="auto" w:before="2"/>
        <w:rPr>
          <w:rFonts w:ascii="宋体" w:hAnsi="宋体" w:cs="宋体" w:eastAsia="宋体" w:hint="default"/>
          <w:b/>
          <w:bCs/>
          <w:sz w:val="26"/>
          <w:szCs w:val="26"/>
        </w:rPr>
      </w:pPr>
    </w:p>
    <w:p>
      <w:pPr>
        <w:pStyle w:val="BodyText"/>
        <w:spacing w:line="312" w:lineRule="auto"/>
        <w:ind w:right="1115"/>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）短期薪酬的会计处理方法</w:t>
      </w:r>
      <w:r>
        <w:rPr>
          <w:rFonts w:ascii="宋体" w:hAnsi="宋体" w:cs="宋体" w:eastAsia="宋体" w:hint="default"/>
          <w:b/>
          <w:bCs/>
          <w:w w:val="99"/>
        </w:rPr>
        <w:t> </w:t>
      </w:r>
      <w:r>
        <w:rPr>
          <w:spacing w:val="-2"/>
        </w:rPr>
        <w:t>职工薪酬，是指企业为获得职工提供的服务或解除劳动关系而给予的各种形式的报酬或补偿。职工薪酬包括短期薪酬、离职</w:t>
      </w:r>
      <w:r>
        <w:rPr>
          <w:spacing w:val="-65"/>
        </w:rPr>
        <w:t> </w:t>
      </w:r>
      <w:r>
        <w:rPr>
          <w:spacing w:val="-65"/>
        </w:rPr>
      </w:r>
      <w:r>
        <w:rPr>
          <w:spacing w:val="-2"/>
        </w:rPr>
        <w:t>后福利、辞退福利和其他长期职工福利。企业提供给职工配偶、子女、受赡养人、已故员工遗属及其他受益人等的福利，也</w:t>
      </w:r>
      <w:r>
        <w:rPr>
          <w:spacing w:val="-70"/>
        </w:rPr>
        <w:t> </w:t>
      </w:r>
      <w:r>
        <w:rPr>
          <w:spacing w:val="-70"/>
        </w:rPr>
      </w:r>
      <w:r>
        <w:rPr/>
        <w:t>属于职工薪酬。</w:t>
      </w:r>
    </w:p>
    <w:p>
      <w:pPr>
        <w:pStyle w:val="BodyText"/>
        <w:spacing w:line="312" w:lineRule="auto" w:before="22"/>
        <w:ind w:right="1115"/>
        <w:jc w:val="left"/>
      </w:pPr>
      <w:r>
        <w:rPr/>
        <w:t>根据流动性，职工薪酬分别列示于资产负债表的</w:t>
      </w:r>
      <w:r>
        <w:rPr>
          <w:rFonts w:ascii="Times New Roman" w:hAnsi="Times New Roman" w:cs="Times New Roman" w:eastAsia="Times New Roman" w:hint="default"/>
        </w:rPr>
        <w:t>“</w:t>
      </w:r>
      <w:r>
        <w:rPr/>
        <w:t>应付职工薪酬</w:t>
      </w:r>
      <w:r>
        <w:rPr>
          <w:rFonts w:ascii="Times New Roman" w:hAnsi="Times New Roman" w:cs="Times New Roman" w:eastAsia="Times New Roman" w:hint="default"/>
        </w:rPr>
        <w:t>”</w:t>
      </w:r>
      <w:r>
        <w:rPr/>
        <w:t>项目和</w:t>
      </w:r>
      <w:r>
        <w:rPr>
          <w:rFonts w:ascii="Times New Roman" w:hAnsi="Times New Roman" w:cs="Times New Roman" w:eastAsia="Times New Roman" w:hint="default"/>
        </w:rPr>
        <w:t>“</w:t>
      </w:r>
      <w:r>
        <w:rPr/>
        <w:t>长期应付职工薪酬</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项目 </w:t>
      </w:r>
      <w:r>
        <w:rPr>
          <w:spacing w:val="-2"/>
        </w:rPr>
        <w:t>本集团在职工提供服务的会计期间，将实际发生的职工工资、奖金、按规定的基准和比例为职工缴纳的医疗保险费、工伤保</w:t>
      </w:r>
      <w:r>
        <w:rPr>
          <w:spacing w:val="-64"/>
        </w:rPr>
        <w:t> </w:t>
      </w:r>
      <w:r>
        <w:rPr>
          <w:spacing w:val="-64"/>
        </w:rPr>
      </w:r>
      <w:r>
        <w:rPr>
          <w:spacing w:val="-2"/>
        </w:rPr>
        <w:t>险费和生育保险费等社会保险费和住房公积金，确认为负债，并计入当期损益或相关资产成本。如果该负债预期在职工提供</w:t>
      </w:r>
      <w:r>
        <w:rPr>
          <w:spacing w:val="-63"/>
        </w:rPr>
        <w:t> </w:t>
      </w:r>
      <w:r>
        <w:rPr>
          <w:spacing w:val="-63"/>
        </w:rPr>
      </w:r>
      <w:r>
        <w:rPr/>
        <w:t>相关服务的年度报告期结束后十二个月内不能完全支付，且财务影响重大的，则该负债将以折现后的金额计量。</w:t>
      </w:r>
    </w:p>
    <w:p>
      <w:pPr>
        <w:pStyle w:val="BodyText"/>
        <w:spacing w:line="309" w:lineRule="auto" w:before="22"/>
        <w:ind w:right="1115"/>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）离职后福利的会计处理方法</w:t>
      </w:r>
      <w:r>
        <w:rPr>
          <w:rFonts w:ascii="宋体" w:hAnsi="宋体" w:cs="宋体" w:eastAsia="宋体" w:hint="default"/>
          <w:b/>
          <w:bCs/>
          <w:w w:val="99"/>
        </w:rPr>
        <w:t> </w:t>
      </w:r>
      <w:r>
        <w:rPr>
          <w:spacing w:val="-2"/>
        </w:rPr>
        <w:t>离职后福利计划包括设定提存计划和设定受益计划。其中，设定提存计划，是指向独立的基金缴存固定费用后，企业不再承</w:t>
      </w:r>
      <w:r>
        <w:rPr>
          <w:spacing w:val="-64"/>
        </w:rPr>
        <w:t> </w:t>
      </w:r>
      <w:r>
        <w:rPr>
          <w:spacing w:val="-64"/>
        </w:rPr>
      </w:r>
      <w:r>
        <w:rPr/>
        <w:t>担进一步支付义务的离职后福利计划；设定受益计划，是指除设定提存计划以外的离职后福利计划。</w:t>
      </w:r>
    </w:p>
    <w:p>
      <w:pPr>
        <w:pStyle w:val="BodyText"/>
        <w:spacing w:line="319" w:lineRule="auto" w:before="24"/>
        <w:ind w:right="6974"/>
        <w:jc w:val="left"/>
      </w:pPr>
      <w:r>
        <w:rPr/>
        <w:t>设定提存计划 设定提存计划包括基本养老保险、失业保险等。</w:t>
      </w:r>
    </w:p>
    <w:p>
      <w:pPr>
        <w:pStyle w:val="BodyText"/>
        <w:spacing w:line="316" w:lineRule="auto" w:before="17"/>
        <w:ind w:right="1115"/>
        <w:jc w:val="left"/>
      </w:pPr>
      <w:r>
        <w:rPr/>
        <w:t>在职工提供服务的会计期间，根据设定提存计划计算的应缴存金额确认为负债，并计入当期损益或相关资产成本。 设定受益计划 </w:t>
      </w:r>
      <w:r>
        <w:rPr>
          <w:spacing w:val="-2"/>
        </w:rPr>
        <w:t>对于设定受益计划，在年度资产负债表日由独立精算师进行精算估值，以预期累积福利单位法确定提供福利的成本。本集团</w:t>
      </w:r>
      <w:r>
        <w:rPr>
          <w:spacing w:val="-63"/>
        </w:rPr>
        <w:t> </w:t>
      </w:r>
      <w:r>
        <w:rPr>
          <w:spacing w:val="-63"/>
        </w:rPr>
      </w:r>
      <w:r>
        <w:rPr/>
        <w:t>设定受益计划导致的职工薪酬成本包括下列组成部分：</w:t>
      </w:r>
    </w:p>
    <w:p>
      <w:pPr>
        <w:pStyle w:val="BodyText"/>
        <w:spacing w:line="316" w:lineRule="auto" w:before="19"/>
        <w:ind w:right="1133"/>
        <w:jc w:val="both"/>
      </w:pPr>
      <w:r>
        <w:rPr>
          <w:spacing w:val="-2"/>
        </w:rPr>
        <w:t>①服务成本，包括当期服务成本、过去服务成本和结算利得或损失。其中，当期服务成本，是指职工当期提供服务所导致的</w:t>
      </w:r>
      <w:r>
        <w:rPr>
          <w:spacing w:val="-67"/>
        </w:rPr>
        <w:t> </w:t>
      </w:r>
      <w:r>
        <w:rPr>
          <w:spacing w:val="-67"/>
        </w:rPr>
      </w:r>
      <w:r>
        <w:rPr>
          <w:spacing w:val="-2"/>
        </w:rPr>
        <w:t>设定受益计划义务现值的增加额；过去服务成本，是指设定受益计划修改所导致的与以前期间职工服务相关的设定受益计划</w:t>
      </w:r>
      <w:r>
        <w:rPr>
          <w:spacing w:val="-64"/>
        </w:rPr>
        <w:t> </w:t>
      </w:r>
      <w:r>
        <w:rPr>
          <w:spacing w:val="-64"/>
        </w:rPr>
      </w:r>
      <w:r>
        <w:rPr/>
        <w:t>义务现值的增加或减少。</w:t>
      </w:r>
    </w:p>
    <w:p>
      <w:pPr>
        <w:pStyle w:val="BodyText"/>
        <w:spacing w:line="316" w:lineRule="auto" w:before="19"/>
        <w:ind w:right="1115"/>
        <w:jc w:val="left"/>
      </w:pPr>
      <w:r>
        <w:rPr>
          <w:spacing w:val="-2"/>
        </w:rPr>
        <w:t>②设定受益计划净负债或净资产的利息净额，包括计划资产的利息收益、设定受益计划义务的利息费用以及资产上限影响的</w:t>
      </w:r>
      <w:r>
        <w:rPr>
          <w:spacing w:val="-64"/>
        </w:rPr>
        <w:t> </w:t>
      </w:r>
      <w:r>
        <w:rPr>
          <w:spacing w:val="-64"/>
        </w:rPr>
      </w:r>
      <w:r>
        <w:rPr/>
        <w:t>利息。</w:t>
      </w:r>
    </w:p>
    <w:p>
      <w:pPr>
        <w:pStyle w:val="BodyText"/>
        <w:spacing w:line="319" w:lineRule="auto" w:before="19"/>
        <w:ind w:right="1115"/>
        <w:jc w:val="left"/>
      </w:pPr>
      <w:r>
        <w:rPr/>
        <w:t>③重新计量设定受益计划净负债或净资产所产生的变动。 </w:t>
      </w:r>
      <w:r>
        <w:rPr>
          <w:spacing w:val="-2"/>
        </w:rPr>
        <w:t>除非其他会计准则要求或允许职工福利成本计入资产成本，本集团将上述第①和②项计入当期损益；第③项计入其他综合收</w:t>
      </w:r>
      <w:r>
        <w:rPr>
          <w:spacing w:val="-63"/>
        </w:rPr>
        <w:t> </w:t>
      </w:r>
      <w:r>
        <w:rPr>
          <w:spacing w:val="-63"/>
        </w:rPr>
      </w:r>
      <w:r>
        <w:rPr>
          <w:spacing w:val="-2"/>
        </w:rPr>
        <w:t>益且不会在后续会计期间转回至损益，在原设定受益计划终止时在权益范围内将原计入其他综合收益的部分全部结转至未分</w:t>
      </w:r>
      <w:r>
        <w:rPr>
          <w:spacing w:val="-64"/>
        </w:rPr>
        <w:t> </w:t>
      </w:r>
      <w:r>
        <w:rPr>
          <w:spacing w:val="-64"/>
        </w:rPr>
      </w:r>
      <w:r>
        <w:rPr/>
        <w:t>配利润。</w:t>
      </w:r>
    </w:p>
    <w:p>
      <w:pPr>
        <w:pStyle w:val="BodyText"/>
        <w:spacing w:line="314" w:lineRule="auto" w:before="17"/>
        <w:ind w:right="1115"/>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）辞退福利的会计处理方法</w:t>
      </w:r>
      <w:r>
        <w:rPr>
          <w:rFonts w:ascii="宋体" w:hAnsi="宋体" w:cs="宋体" w:eastAsia="宋体" w:hint="default"/>
          <w:b/>
          <w:bCs/>
          <w:w w:val="99"/>
        </w:rPr>
        <w:t> </w:t>
      </w:r>
      <w:r>
        <w:rPr>
          <w:spacing w:val="-2"/>
        </w:rPr>
        <w:t>本集团向职工提供辞退福利的，在下列两者孰早日确认辞退福利产生的职工薪酬负债，并计入当期损益：本集团不能单方面</w:t>
      </w:r>
      <w:r>
        <w:rPr>
          <w:spacing w:val="-63"/>
        </w:rPr>
        <w:t> </w:t>
      </w:r>
      <w:r>
        <w:rPr>
          <w:spacing w:val="-63"/>
        </w:rPr>
      </w:r>
      <w:r>
        <w:rPr/>
        <w:t>撤回因解除劳动关系计划或裁减建议所提供的辞退福利时；本集团确认与涉及支付辞退福利的重组相关的成本或费用时。</w:t>
      </w:r>
      <w:r>
        <w:rPr/>
        <w:t> </w:t>
      </w:r>
      <w:r>
        <w:rPr>
          <w:spacing w:val="-2"/>
        </w:rPr>
        <w:t>实行职工内部退休计划的，在正式退休日之前的经济补偿，属于辞退福利，自职工停止提供服务日至正常退休日期间，拟支</w:t>
      </w:r>
      <w:r>
        <w:rPr>
          <w:spacing w:val="-65"/>
        </w:rPr>
        <w:t> </w:t>
      </w:r>
      <w:r>
        <w:rPr>
          <w:spacing w:val="-65"/>
        </w:rPr>
      </w:r>
      <w:r>
        <w:rPr>
          <w:spacing w:val="-2"/>
        </w:rPr>
        <w:t>付的内退职工工资和缴纳的社会保险费等一次性计入当期损益。正式退休日期之后的经济补偿（如正常养老退休金），按照</w:t>
      </w:r>
      <w:r>
        <w:rPr>
          <w:spacing w:val="-66"/>
        </w:rPr>
        <w:t> </w:t>
      </w:r>
      <w:r>
        <w:rPr>
          <w:spacing w:val="-66"/>
        </w:rPr>
      </w:r>
      <w:r>
        <w:rPr/>
        <w:t>离职后福利处理。</w:t>
      </w:r>
    </w:p>
    <w:p>
      <w:pPr>
        <w:pStyle w:val="Heading4"/>
        <w:spacing w:line="240" w:lineRule="auto" w:before="20"/>
        <w:ind w:left="152" w:right="1115"/>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b/>
          <w:bCs/>
          <w:sz w:val="21"/>
          <w:szCs w:val="21"/>
        </w:rPr>
      </w:pPr>
    </w:p>
    <w:p>
      <w:pPr>
        <w:pStyle w:val="BodyText"/>
        <w:spacing w:line="309" w:lineRule="auto" w:before="44"/>
        <w:ind w:right="1130"/>
        <w:jc w:val="both"/>
      </w:pPr>
      <w:r>
        <w:rPr>
          <w:spacing w:val="-2"/>
        </w:rPr>
        <w:t>本集团向职工提供的其他长期职工福利，符合设定提存计划条件的，按照上述关于设定提存计划的有关规定进行处理。符合</w:t>
      </w:r>
      <w:r>
        <w:rPr>
          <w:spacing w:val="-63"/>
        </w:rPr>
        <w:t> </w:t>
      </w:r>
      <w:r>
        <w:rPr>
          <w:spacing w:val="-63"/>
        </w:rPr>
      </w:r>
      <w:r>
        <w:rPr/>
        <w:t>设定受益计划的，按照上述关于设定受益计划的有关规定进行处理，但相关职工薪酬成本中</w:t>
      </w:r>
      <w:r>
        <w:rPr>
          <w:rFonts w:ascii="Times New Roman" w:hAnsi="Times New Roman" w:cs="Times New Roman" w:eastAsia="Times New Roman" w:hint="default"/>
        </w:rPr>
        <w:t>“</w:t>
      </w:r>
      <w:r>
        <w:rPr/>
        <w:t>重新计量设定受益计划净负债</w:t>
      </w:r>
      <w:r>
        <w:rPr>
          <w:spacing w:val="-74"/>
        </w:rPr>
        <w:t> </w:t>
      </w:r>
      <w:r>
        <w:rPr>
          <w:spacing w:val="-74"/>
        </w:rPr>
      </w:r>
      <w:r>
        <w:rPr/>
        <w:t>或净资产所产生的变动</w:t>
      </w:r>
      <w:r>
        <w:rPr>
          <w:rFonts w:ascii="Times New Roman" w:hAnsi="Times New Roman" w:cs="Times New Roman" w:eastAsia="Times New Roman" w:hint="default"/>
        </w:rPr>
        <w:t>”</w:t>
      </w:r>
      <w:r>
        <w:rPr/>
        <w:t>部分计入当期损益或相关资产成本。</w:t>
      </w:r>
    </w:p>
    <w:p>
      <w:pPr>
        <w:spacing w:line="240" w:lineRule="auto" w:before="10"/>
        <w:rPr>
          <w:rFonts w:ascii="宋体" w:hAnsi="宋体" w:cs="宋体" w:eastAsia="宋体" w:hint="default"/>
          <w:sz w:val="21"/>
          <w:szCs w:val="21"/>
        </w:rPr>
      </w:pPr>
    </w:p>
    <w:p>
      <w:pPr>
        <w:pStyle w:val="Heading3"/>
        <w:spacing w:line="240" w:lineRule="auto"/>
        <w:ind w:right="1115"/>
        <w:jc w:val="left"/>
        <w:rPr>
          <w:b w:val="0"/>
          <w:bCs w:val="0"/>
        </w:rPr>
      </w:pPr>
      <w:bookmarkStart w:name="24、预计负债" w:id="201"/>
      <w:bookmarkEnd w:id="201"/>
      <w:r>
        <w:rPr>
          <w:b w:val="0"/>
          <w:bCs w:val="0"/>
        </w:rPr>
      </w:r>
      <w:r>
        <w:rPr>
          <w:rFonts w:ascii="Times New Roman" w:hAnsi="Times New Roman" w:cs="Times New Roman" w:eastAsia="Times New Roman" w:hint="default"/>
        </w:rPr>
        <w:t>24</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如果与或有事项相关的义务同时符合以下条件，本集团将其确认为预计负债：</w:t>
      </w:r>
    </w:p>
    <w:p>
      <w:pPr>
        <w:pStyle w:val="BodyText"/>
        <w:spacing w:line="240" w:lineRule="auto" w:before="76"/>
        <w:ind w:right="1115"/>
        <w:jc w:val="left"/>
      </w:pPr>
      <w:r>
        <w:rPr/>
        <w:t>（</w:t>
      </w:r>
      <w:r>
        <w:rPr>
          <w:rFonts w:ascii="Times New Roman" w:hAnsi="Times New Roman" w:cs="Times New Roman" w:eastAsia="Times New Roman" w:hint="default"/>
        </w:rPr>
        <w:t>1</w:t>
      </w:r>
      <w:r>
        <w:rPr/>
        <w:t>）该义务是本集团承担的现时义务；</w:t>
      </w:r>
    </w:p>
    <w:p>
      <w:pPr>
        <w:pStyle w:val="BodyText"/>
        <w:spacing w:line="240" w:lineRule="auto" w:before="63"/>
        <w:ind w:right="1115"/>
        <w:jc w:val="left"/>
      </w:pPr>
      <w:r>
        <w:rPr/>
        <w:t>（</w:t>
      </w:r>
      <w:r>
        <w:rPr>
          <w:rFonts w:ascii="Times New Roman" w:hAnsi="Times New Roman" w:cs="Times New Roman" w:eastAsia="Times New Roman" w:hint="default"/>
        </w:rPr>
        <w:t>2</w:t>
      </w:r>
      <w:r>
        <w:rPr/>
        <w:t>）该义务的履行很可能导致经济利益流出本集团；</w:t>
      </w:r>
    </w:p>
    <w:p>
      <w:pPr>
        <w:pStyle w:val="BodyText"/>
        <w:spacing w:line="314" w:lineRule="auto" w:before="63"/>
        <w:ind w:right="1115"/>
        <w:jc w:val="left"/>
      </w:pPr>
      <w:r>
        <w:rPr/>
        <w:t>（</w:t>
      </w:r>
      <w:r>
        <w:rPr>
          <w:rFonts w:ascii="Times New Roman" w:hAnsi="Times New Roman" w:cs="Times New Roman" w:eastAsia="Times New Roman" w:hint="default"/>
        </w:rPr>
        <w:t>3</w:t>
      </w:r>
      <w:r>
        <w:rPr/>
        <w:t>）该义务的金额能够可靠地计量。 </w:t>
      </w:r>
      <w:r>
        <w:rPr>
          <w:spacing w:val="-2"/>
        </w:rPr>
        <w:t>预计负债按照履行相关现时义务所需支出的最佳估计数进行初始计量，并综合考虑与或有事项有关的风险、不确定性和货币</w:t>
      </w:r>
      <w:r>
        <w:rPr>
          <w:spacing w:val="-64"/>
        </w:rPr>
        <w:t> </w:t>
      </w:r>
      <w:r>
        <w:rPr>
          <w:spacing w:val="-64"/>
        </w:rPr>
      </w:r>
      <w:r>
        <w:rPr>
          <w:spacing w:val="-2"/>
        </w:rPr>
        <w:t>时间价值等因素。货币时间价值影响重大的，通过对相关未来现金流出进行折现后确定最佳估计数。本集团于资产负债表日</w:t>
      </w:r>
      <w:r>
        <w:rPr>
          <w:spacing w:val="-63"/>
        </w:rPr>
        <w:t> </w:t>
      </w:r>
      <w:r>
        <w:rPr>
          <w:spacing w:val="-63"/>
        </w:rPr>
      </w:r>
      <w:r>
        <w:rPr/>
        <w:t>对预计负债的账面价值进行复核，并对账面价值进行调整以反映当前最佳估计数。</w:t>
      </w:r>
      <w:r>
        <w:rPr/>
        <w:t> </w:t>
      </w:r>
      <w:r>
        <w:rPr>
          <w:spacing w:val="-2"/>
        </w:rPr>
        <w:t>如果清偿已确认预计负债所需支出全部或部分预期由第三方或其他方补偿，则补偿金额只能在基本确定能收到时，作为资产</w:t>
      </w:r>
      <w:r>
        <w:rPr>
          <w:spacing w:val="-64"/>
        </w:rPr>
        <w:t> </w:t>
      </w:r>
      <w:r>
        <w:rPr>
          <w:spacing w:val="-64"/>
        </w:rPr>
      </w:r>
      <w:r>
        <w:rPr/>
        <w:t>单独确认。确认的补偿金额不超过所确认负债的账面价值。</w:t>
      </w:r>
    </w:p>
    <w:p>
      <w:pPr>
        <w:spacing w:line="240" w:lineRule="auto" w:before="12"/>
        <w:rPr>
          <w:rFonts w:ascii="宋体" w:hAnsi="宋体" w:cs="宋体" w:eastAsia="宋体" w:hint="default"/>
          <w:sz w:val="22"/>
          <w:szCs w:val="22"/>
        </w:rPr>
      </w:pPr>
    </w:p>
    <w:p>
      <w:pPr>
        <w:pStyle w:val="Heading3"/>
        <w:spacing w:line="240" w:lineRule="auto"/>
        <w:ind w:right="1115"/>
        <w:jc w:val="left"/>
        <w:rPr>
          <w:b w:val="0"/>
          <w:bCs w:val="0"/>
        </w:rPr>
      </w:pPr>
      <w:bookmarkStart w:name="25、股份支付" w:id="202"/>
      <w:bookmarkEnd w:id="202"/>
      <w:r>
        <w:rPr>
          <w:b w:val="0"/>
          <w:bCs w:val="0"/>
        </w:rPr>
      </w:r>
      <w:r>
        <w:rPr>
          <w:rFonts w:ascii="Times New Roman" w:hAnsi="Times New Roman" w:cs="Times New Roman" w:eastAsia="Times New Roman" w:hint="default"/>
        </w:rPr>
        <w:t>25</w:t>
      </w:r>
      <w:r>
        <w:rPr/>
        <w:t>、股份支付</w:t>
      </w:r>
      <w:r>
        <w:rPr>
          <w:b w:val="0"/>
          <w:bCs w:val="0"/>
        </w:rPr>
      </w:r>
    </w:p>
    <w:p>
      <w:pPr>
        <w:spacing w:line="240" w:lineRule="auto" w:before="2"/>
        <w:rPr>
          <w:rFonts w:ascii="宋体" w:hAnsi="宋体" w:cs="宋体" w:eastAsia="宋体" w:hint="default"/>
          <w:b/>
          <w:bCs/>
          <w:sz w:val="26"/>
          <w:szCs w:val="26"/>
        </w:rPr>
      </w:pPr>
    </w:p>
    <w:p>
      <w:pPr>
        <w:spacing w:line="300" w:lineRule="auto" w:before="0"/>
        <w:ind w:left="152" w:right="517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）股份支付的种类</w:t>
      </w:r>
      <w:r>
        <w:rPr>
          <w:rFonts w:ascii="宋体" w:hAnsi="宋体" w:cs="宋体" w:eastAsia="宋体" w:hint="default"/>
          <w:b/>
          <w:bCs/>
          <w:w w:val="99"/>
          <w:sz w:val="18"/>
          <w:szCs w:val="18"/>
        </w:rPr>
        <w:t> </w:t>
      </w:r>
      <w:r>
        <w:rPr>
          <w:rFonts w:ascii="宋体" w:hAnsi="宋体" w:cs="宋体" w:eastAsia="宋体" w:hint="default"/>
          <w:sz w:val="18"/>
          <w:szCs w:val="18"/>
        </w:rPr>
        <w:t>本集团股份支付分为以权益结算的股份支付和以现金结算的股份支付。</w:t>
      </w:r>
    </w:p>
    <w:p>
      <w:pPr>
        <w:pStyle w:val="BodyText"/>
        <w:spacing w:line="307" w:lineRule="auto" w:before="31"/>
        <w:ind w:right="1115"/>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）权益工具公允价值的确定方法</w:t>
      </w:r>
      <w:r>
        <w:rPr>
          <w:rFonts w:ascii="宋体" w:hAnsi="宋体" w:cs="宋体" w:eastAsia="宋体" w:hint="default"/>
          <w:b/>
          <w:bCs/>
          <w:w w:val="99"/>
        </w:rPr>
        <w:t> </w:t>
      </w:r>
      <w:r>
        <w:rPr>
          <w:spacing w:val="-2"/>
        </w:rPr>
        <w:t>本集团对于授予的存在活跃市场的期权等权益工具，按照活跃市场中的报价确定其公允价值。对于授予的不存在活跃市场的</w:t>
      </w:r>
      <w:r>
        <w:rPr>
          <w:spacing w:val="-64"/>
        </w:rPr>
        <w:t> </w:t>
      </w:r>
      <w:r>
        <w:rPr>
          <w:spacing w:val="-64"/>
        </w:rPr>
      </w:r>
      <w:r>
        <w:rPr/>
        <w:t>期权等权益工具，采用期权定价模型等确定其公允价值。选用的期权定价模型考虑以下因素：</w:t>
      </w:r>
      <w:r>
        <w:rPr>
          <w:rFonts w:ascii="Times New Roman" w:hAnsi="Times New Roman" w:cs="Times New Roman" w:eastAsia="Times New Roman" w:hint="default"/>
        </w:rPr>
        <w:t>A</w:t>
      </w:r>
      <w:r>
        <w:rPr/>
        <w:t>、期权的行权价格；</w:t>
      </w:r>
      <w:r>
        <w:rPr>
          <w:rFonts w:ascii="Times New Roman" w:hAnsi="Times New Roman" w:cs="Times New Roman" w:eastAsia="Times New Roman" w:hint="default"/>
        </w:rPr>
        <w:t>B</w:t>
      </w:r>
      <w:r>
        <w:rPr/>
        <w:t>、期</w:t>
      </w:r>
      <w:r>
        <w:rPr>
          <w:spacing w:val="-63"/>
        </w:rPr>
        <w:t> </w:t>
      </w:r>
      <w:r>
        <w:rPr/>
        <w:t>权的有效期；</w:t>
      </w:r>
      <w:r>
        <w:rPr>
          <w:rFonts w:ascii="Times New Roman" w:hAnsi="Times New Roman" w:cs="Times New Roman" w:eastAsia="Times New Roman" w:hint="default"/>
        </w:rPr>
        <w:t>C</w:t>
      </w:r>
      <w:r>
        <w:rPr/>
        <w:t>、标的股份的现行价格；</w:t>
      </w:r>
      <w:r>
        <w:rPr>
          <w:rFonts w:ascii="Times New Roman" w:hAnsi="Times New Roman" w:cs="Times New Roman" w:eastAsia="Times New Roman" w:hint="default"/>
        </w:rPr>
        <w:t>D</w:t>
      </w:r>
      <w:r>
        <w:rPr/>
        <w:t>、股价预计波动率；</w:t>
      </w:r>
      <w:r>
        <w:rPr>
          <w:rFonts w:ascii="Times New Roman" w:hAnsi="Times New Roman" w:cs="Times New Roman" w:eastAsia="Times New Roman" w:hint="default"/>
        </w:rPr>
        <w:t>E</w:t>
      </w:r>
      <w:r>
        <w:rPr/>
        <w:t>、股份的预计股利；</w:t>
      </w:r>
      <w:r>
        <w:rPr>
          <w:rFonts w:ascii="Times New Roman" w:hAnsi="Times New Roman" w:cs="Times New Roman" w:eastAsia="Times New Roman" w:hint="default"/>
        </w:rPr>
        <w:t>F</w:t>
      </w:r>
      <w:r>
        <w:rPr/>
        <w:t>、期权有效期内的无风险利率。</w:t>
      </w:r>
    </w:p>
    <w:p>
      <w:pPr>
        <w:pStyle w:val="BodyText"/>
        <w:spacing w:line="309" w:lineRule="auto" w:before="7"/>
        <w:ind w:right="1115"/>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）确认可行权权益工具最佳估计的依据</w:t>
      </w:r>
      <w:r>
        <w:rPr>
          <w:rFonts w:ascii="宋体" w:hAnsi="宋体" w:cs="宋体" w:eastAsia="宋体" w:hint="default"/>
          <w:b/>
          <w:bCs/>
          <w:w w:val="99"/>
        </w:rPr>
        <w:t> </w:t>
      </w:r>
      <w:r>
        <w:rPr>
          <w:spacing w:val="-2"/>
        </w:rPr>
        <w:t>等待期内每个资产负债表日，本集团根据最新取得的可行权职工人数变动等后续信息作出最佳估计，修正预计可行权的权益</w:t>
      </w:r>
      <w:r>
        <w:rPr>
          <w:spacing w:val="-64"/>
        </w:rPr>
        <w:t> </w:t>
      </w:r>
      <w:r>
        <w:rPr>
          <w:spacing w:val="-64"/>
        </w:rPr>
      </w:r>
      <w:r>
        <w:rPr/>
        <w:t>工具数量。在可行权日，最终预计可行权权益工具的数量应当与实际可行权数量一致。</w:t>
      </w:r>
    </w:p>
    <w:p>
      <w:pPr>
        <w:pStyle w:val="BodyText"/>
        <w:spacing w:line="316" w:lineRule="auto" w:before="24"/>
        <w:ind w:right="1115"/>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）实施、修改、终止股份支付计划的相关会计处理</w:t>
      </w:r>
      <w:r>
        <w:rPr>
          <w:rFonts w:ascii="宋体" w:hAnsi="宋体" w:cs="宋体" w:eastAsia="宋体" w:hint="default"/>
          <w:b/>
          <w:bCs/>
          <w:w w:val="99"/>
        </w:rPr>
        <w:t> </w:t>
      </w:r>
      <w:r>
        <w:rPr>
          <w:spacing w:val="-2"/>
        </w:rPr>
        <w:t>以权益结算的股份支付，按授予职工权益工具的公允价值计量。授予后立即可行权的，在授予日按照权益工具的公允价值计</w:t>
      </w:r>
      <w:r>
        <w:rPr>
          <w:spacing w:val="-66"/>
        </w:rPr>
        <w:t> </w:t>
      </w:r>
      <w:r>
        <w:rPr>
          <w:spacing w:val="-66"/>
        </w:rPr>
      </w:r>
      <w:r>
        <w:rPr>
          <w:spacing w:val="-2"/>
        </w:rPr>
        <w:t>入相关成本或费用，相应增加资本公积。在完成等待期内的服务或达到规定业绩条件才可行权的，在等待期内的每个资产负</w:t>
      </w:r>
      <w:r>
        <w:rPr>
          <w:spacing w:val="-63"/>
        </w:rPr>
        <w:t> </w:t>
      </w:r>
      <w:r>
        <w:rPr>
          <w:spacing w:val="-63"/>
        </w:rPr>
      </w:r>
      <w:r>
        <w:rPr>
          <w:spacing w:val="-2"/>
        </w:rPr>
        <w:t>债表日，以对可行权权益工具数量的最佳估计为基础，按照权益工具授予日的公允价值，将当期取得的服务计入相关成本或</w:t>
      </w:r>
      <w:r>
        <w:rPr>
          <w:spacing w:val="-63"/>
        </w:rPr>
        <w:t> </w:t>
      </w:r>
      <w:r>
        <w:rPr>
          <w:spacing w:val="-63"/>
        </w:rPr>
      </w:r>
      <w:r>
        <w:rPr/>
        <w:t>费用和资本公积。在可行权日之后不再对已确认的相关成本或费用和所有者权益总额进行调整。 </w:t>
      </w:r>
      <w:r>
        <w:rPr>
          <w:spacing w:val="-2"/>
        </w:rPr>
        <w:t>以现金结算的股份支付，按照本集团承担的以股份或其他权益工具为基础计算确定的负债的公允价值计量。授予后立即可行</w:t>
      </w:r>
      <w:r>
        <w:rPr>
          <w:spacing w:val="-64"/>
        </w:rPr>
        <w:t> </w:t>
      </w:r>
      <w:r>
        <w:rPr>
          <w:spacing w:val="-64"/>
        </w:rPr>
      </w:r>
      <w:r>
        <w:rPr>
          <w:spacing w:val="-2"/>
        </w:rPr>
        <w:t>权的，在授予日以本集团承担负债的公允价值计入相关成本或费用，相应增加负债。在完成等待期内的服务或达到规定业绩</w:t>
      </w:r>
      <w:r>
        <w:rPr>
          <w:spacing w:val="-66"/>
        </w:rPr>
        <w:t> </w:t>
      </w:r>
      <w:r>
        <w:rPr>
          <w:spacing w:val="-66"/>
        </w:rPr>
      </w:r>
      <w:r>
        <w:rPr>
          <w:spacing w:val="-2"/>
        </w:rPr>
        <w:t>条件以后才可行权的以现金结算的股份支付，在等待期内的每个资产负债表日，以对可行权情况的最佳估计为基础，按照本</w:t>
      </w:r>
      <w:r>
        <w:rPr>
          <w:spacing w:val="-63"/>
        </w:rPr>
        <w:t> </w:t>
      </w:r>
      <w:r>
        <w:rPr>
          <w:spacing w:val="-63"/>
        </w:rPr>
      </w:r>
      <w:r>
        <w:rPr>
          <w:spacing w:val="-2"/>
        </w:rPr>
        <w:t>集团承担负债的公允价值金额，将当期取得的服务计入成本或费用和相应的负债。在相关负债结算前的每个资产负债表日以</w:t>
      </w:r>
      <w:r>
        <w:rPr>
          <w:spacing w:val="-64"/>
        </w:rPr>
        <w:t> </w:t>
      </w:r>
      <w:r>
        <w:rPr>
          <w:spacing w:val="-64"/>
        </w:rPr>
      </w:r>
      <w:r>
        <w:rPr/>
        <w:t>及结算日，对负债的公允价值重新计量，其变动计入当期损益。 </w:t>
      </w:r>
      <w:r>
        <w:rPr>
          <w:spacing w:val="-2"/>
        </w:rPr>
        <w:t>本集团对股份支付计划进行修改时，若修改增加了所授予权益工具的公允价值，按照权益工具公允价值的增加相应地确认取</w:t>
      </w:r>
      <w:r>
        <w:rPr>
          <w:spacing w:val="-64"/>
        </w:rPr>
        <w:t> </w:t>
      </w:r>
      <w:r>
        <w:rPr>
          <w:spacing w:val="-64"/>
        </w:rPr>
      </w:r>
      <w:r>
        <w:rPr>
          <w:spacing w:val="-2"/>
        </w:rPr>
        <w:t>得服务的增加；若修改增加了所授予权益工具的数量，则将增加的权益工具的公允价值相应地确认为取得服务的增加。权益</w:t>
      </w:r>
      <w:r>
        <w:rPr>
          <w:spacing w:val="-63"/>
        </w:rPr>
        <w:t> </w:t>
      </w:r>
      <w:r>
        <w:rPr>
          <w:spacing w:val="-63"/>
        </w:rPr>
      </w:r>
      <w:r>
        <w:rPr>
          <w:spacing w:val="-2"/>
        </w:rPr>
        <w:t>工具公允价值的增加是指修改前后的权益工具在修改日的公允价值之间的差额。若修改减少了股份支付公允价值总额或采用</w:t>
      </w:r>
      <w:r>
        <w:rPr>
          <w:spacing w:val="-64"/>
        </w:rPr>
        <w:t> </w:t>
      </w:r>
      <w:r>
        <w:rPr>
          <w:spacing w:val="-64"/>
        </w:rPr>
      </w:r>
      <w:r>
        <w:rPr>
          <w:spacing w:val="-2"/>
        </w:rPr>
        <w:t>了其他不利于职工的方式修改股份支付计划的条款和条件，则仍继续对取得的服务进行会计处理，视同该变更从未发生，除</w:t>
      </w:r>
      <w:r>
        <w:rPr>
          <w:spacing w:val="-63"/>
        </w:rPr>
        <w:t> </w:t>
      </w:r>
      <w:r>
        <w:rPr>
          <w:spacing w:val="-63"/>
        </w:rPr>
      </w:r>
      <w:r>
        <w:rPr/>
        <w:t>非本集团取消了部分或全部已授予的权益工具。 </w:t>
      </w:r>
      <w:r>
        <w:rPr>
          <w:spacing w:val="-2"/>
        </w:rPr>
        <w:t>在等待期内，如果取消了授予的权益工具（因未满足可行权条件的非市场条件而被取消的除外），本集团对取消所授予的权</w:t>
      </w:r>
      <w:r>
        <w:rPr>
          <w:spacing w:val="-63"/>
        </w:rPr>
        <w:t> </w:t>
      </w:r>
      <w:r>
        <w:rPr>
          <w:spacing w:val="-63"/>
        </w:rPr>
      </w:r>
      <w:r>
        <w:rPr>
          <w:spacing w:val="-2"/>
        </w:rPr>
        <w:t>益性工具作为加速行权处理，将剩余等待期内应确认的金额立即计入当期损益，同时确认资本公积。职工或其他方能够选择</w:t>
      </w:r>
      <w:r>
        <w:rPr>
          <w:spacing w:val="-63"/>
        </w:rPr>
        <w:t> </w:t>
      </w:r>
      <w:r>
        <w:rPr>
          <w:spacing w:val="-63"/>
        </w:rPr>
      </w:r>
      <w:r>
        <w:rPr/>
        <w:t>满足非可行权条件但在等待期内未满足的，本集团将其作为授予权益工具的取消处理。</w:t>
      </w:r>
    </w:p>
    <w:p>
      <w:pPr>
        <w:spacing w:after="0" w:line="316"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15"/>
        <w:jc w:val="left"/>
        <w:rPr>
          <w:b w:val="0"/>
          <w:bCs w:val="0"/>
        </w:rPr>
      </w:pPr>
      <w:bookmarkStart w:name="26、收入" w:id="203"/>
      <w:bookmarkEnd w:id="203"/>
      <w:r>
        <w:rPr>
          <w:b w:val="0"/>
          <w:bCs w:val="0"/>
        </w:rPr>
      </w:r>
      <w:r>
        <w:rPr>
          <w:rFonts w:ascii="Times New Roman" w:hAnsi="Times New Roman" w:cs="Times New Roman" w:eastAsia="Times New Roman" w:hint="default"/>
        </w:rPr>
        <w:t>26</w:t>
      </w:r>
      <w:r>
        <w:rPr/>
        <w:t>、收入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15"/>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Heading4"/>
        <w:spacing w:line="240" w:lineRule="auto" w:before="101"/>
        <w:ind w:left="152" w:right="1115"/>
        <w:jc w:val="left"/>
        <w:rPr>
          <w:b w:val="0"/>
          <w:bCs w:val="0"/>
        </w:rPr>
      </w:pPr>
      <w:r>
        <w:rPr/>
        <w:t>（</w:t>
      </w:r>
      <w:r>
        <w:rPr>
          <w:rFonts w:ascii="Times New Roman" w:hAnsi="Times New Roman" w:cs="Times New Roman" w:eastAsia="Times New Roman" w:hint="default"/>
        </w:rPr>
        <w:t>1</w:t>
      </w:r>
      <w:r>
        <w:rPr/>
        <w:t>）一般原则</w:t>
      </w:r>
      <w:r>
        <w:rPr>
          <w:b w:val="0"/>
          <w:bCs w:val="0"/>
        </w:rPr>
      </w:r>
    </w:p>
    <w:p>
      <w:pPr>
        <w:pStyle w:val="BodyText"/>
        <w:spacing w:line="316" w:lineRule="auto" w:before="63"/>
        <w:ind w:right="1115"/>
        <w:jc w:val="left"/>
      </w:pPr>
      <w:r>
        <w:rPr/>
        <w:t>①销售商品 </w:t>
      </w:r>
      <w:r>
        <w:rPr>
          <w:spacing w:val="-2"/>
        </w:rPr>
        <w:t>在已将商品所有权上的主要风险和报酬转移给购货方，既没有保留通常与所有权相联系的继续管理权，也没有对已售商品实</w:t>
      </w:r>
      <w:r>
        <w:rPr>
          <w:spacing w:val="-64"/>
        </w:rPr>
        <w:t> </w:t>
      </w:r>
      <w:r>
        <w:rPr>
          <w:spacing w:val="-64"/>
        </w:rPr>
      </w:r>
      <w:r>
        <w:rPr>
          <w:spacing w:val="-2"/>
        </w:rPr>
        <w:t>施有效控制，收入的金额能够可靠地计量，相关的经济利益很可能流入企业，相关的已发生或将发生的成本能够可靠地计量</w:t>
      </w:r>
      <w:r>
        <w:rPr>
          <w:spacing w:val="-63"/>
        </w:rPr>
        <w:t> </w:t>
      </w:r>
      <w:r>
        <w:rPr>
          <w:spacing w:val="-63"/>
        </w:rPr>
      </w:r>
      <w:r>
        <w:rPr/>
        <w:t>时，确认商品销售收入的实现。</w:t>
      </w:r>
    </w:p>
    <w:p>
      <w:pPr>
        <w:pStyle w:val="BodyText"/>
        <w:spacing w:line="316" w:lineRule="auto" w:before="19"/>
        <w:ind w:right="3194"/>
        <w:jc w:val="left"/>
      </w:pPr>
      <w:r>
        <w:rPr/>
        <w:t>②提供劳务 对在提供劳务交易的结果能够可靠估计的情况下，本集团于资产负债表日按完工进度确认收入。 劳务交易的完工进度按已经发生的劳务成本占估计总成本的比例或里程碑节点确定。</w:t>
      </w:r>
    </w:p>
    <w:p>
      <w:pPr>
        <w:pStyle w:val="BodyText"/>
        <w:spacing w:line="307" w:lineRule="auto" w:before="19"/>
        <w:ind w:right="1115"/>
        <w:jc w:val="left"/>
      </w:pPr>
      <w:r>
        <w:rPr/>
        <w:t>提供劳务交易的结果能够可靠估计是指同时满足：</w:t>
      </w:r>
      <w:r>
        <w:rPr>
          <w:rFonts w:ascii="Times New Roman" w:hAnsi="Times New Roman" w:cs="Times New Roman" w:eastAsia="Times New Roman" w:hint="default"/>
        </w:rPr>
        <w:t>A</w:t>
      </w:r>
      <w:r>
        <w:rPr/>
        <w:t>、收入的金额能够可靠地计量；</w:t>
      </w:r>
      <w:r>
        <w:rPr>
          <w:rFonts w:ascii="Times New Roman" w:hAnsi="Times New Roman" w:cs="Times New Roman" w:eastAsia="Times New Roman" w:hint="default"/>
        </w:rPr>
        <w:t>B</w:t>
      </w:r>
      <w:r>
        <w:rPr/>
        <w:t>、相关的经济利益很可能流入企业；</w:t>
      </w:r>
      <w:r>
        <w:rPr>
          <w:spacing w:val="-65"/>
        </w:rPr>
        <w:t> </w:t>
      </w:r>
      <w:r>
        <w:rPr>
          <w:spacing w:val="-65"/>
        </w:rPr>
      </w:r>
      <w:r>
        <w:rPr>
          <w:rFonts w:ascii="Times New Roman" w:hAnsi="Times New Roman" w:cs="Times New Roman" w:eastAsia="Times New Roman" w:hint="default"/>
        </w:rPr>
        <w:t>C</w:t>
      </w:r>
      <w:r>
        <w:rPr/>
        <w:t>、交易的完工程度能够可靠地确定；</w:t>
      </w:r>
      <w:r>
        <w:rPr>
          <w:rFonts w:ascii="Times New Roman" w:hAnsi="Times New Roman" w:cs="Times New Roman" w:eastAsia="Times New Roman" w:hint="default"/>
        </w:rPr>
        <w:t>D</w:t>
      </w:r>
      <w:r>
        <w:rPr/>
        <w:t>、交易中已发生和将发生的成本能够可靠地计量。 </w:t>
      </w:r>
      <w:r>
        <w:rPr>
          <w:spacing w:val="-2"/>
        </w:rPr>
        <w:t>如果提供劳务交易的结果不能够可靠估计，则按已经发生并预计能够得到补偿的劳务成本金额确认提供的劳务收入，并将已</w:t>
      </w:r>
      <w:r>
        <w:rPr>
          <w:spacing w:val="-64"/>
        </w:rPr>
        <w:t> </w:t>
      </w:r>
      <w:r>
        <w:rPr>
          <w:spacing w:val="-64"/>
        </w:rPr>
      </w:r>
      <w:r>
        <w:rPr/>
        <w:t>发生的劳务成本作为当期费用。已经发生的劳务成本如预计不能得到补偿的，则不确认收入。</w:t>
      </w:r>
    </w:p>
    <w:p>
      <w:pPr>
        <w:pStyle w:val="BodyText"/>
        <w:spacing w:line="316" w:lineRule="auto" w:before="26"/>
        <w:ind w:right="3194"/>
        <w:jc w:val="left"/>
      </w:pPr>
      <w:r>
        <w:rPr/>
        <w:t>③让渡资产使用权 与资产使用权让渡相关的经济利益能够流入及收入的金额能够可靠地计量时，本集团确认收入。</w:t>
      </w:r>
    </w:p>
    <w:p>
      <w:pPr>
        <w:pStyle w:val="Heading4"/>
        <w:spacing w:line="240" w:lineRule="auto" w:before="19"/>
        <w:ind w:left="152" w:right="1115"/>
        <w:jc w:val="left"/>
        <w:rPr>
          <w:b w:val="0"/>
          <w:bCs w:val="0"/>
        </w:rPr>
      </w:pPr>
      <w:r>
        <w:rPr/>
        <w:t>（</w:t>
      </w:r>
      <w:r>
        <w:rPr>
          <w:rFonts w:ascii="Times New Roman" w:hAnsi="Times New Roman" w:cs="Times New Roman" w:eastAsia="Times New Roman" w:hint="default"/>
        </w:rPr>
        <w:t>2</w:t>
      </w:r>
      <w:r>
        <w:rPr/>
        <w:t>）具体方法</w:t>
      </w:r>
      <w:r>
        <w:rPr>
          <w:b w:val="0"/>
          <w:bCs w:val="0"/>
        </w:rPr>
      </w:r>
    </w:p>
    <w:p>
      <w:pPr>
        <w:pStyle w:val="BodyText"/>
        <w:spacing w:line="316" w:lineRule="auto" w:before="63"/>
        <w:ind w:right="1115"/>
        <w:jc w:val="left"/>
      </w:pPr>
      <w:r>
        <w:rPr/>
        <w:t>①自行开发研制的软件产品销售收入确认和计量方法 </w:t>
      </w:r>
      <w:r>
        <w:rPr>
          <w:spacing w:val="-2"/>
        </w:rPr>
        <w:t>自行开发研制的软件产品是指经过信息产业部认证并获得著作权，销售时不转让所有权的软件产品，由此开发出来的软件具</w:t>
      </w:r>
      <w:r>
        <w:rPr>
          <w:spacing w:val="-63"/>
        </w:rPr>
        <w:t> </w:t>
      </w:r>
      <w:r>
        <w:rPr>
          <w:spacing w:val="-63"/>
        </w:rPr>
      </w:r>
      <w:r>
        <w:rPr/>
        <w:t>有自主知识产权、无差异化、可批量复制的特性。 </w:t>
      </w:r>
      <w:r>
        <w:rPr>
          <w:spacing w:val="-2"/>
        </w:rPr>
        <w:t>不需要安装的以产品交付并经购货方验收后确认收入；需安装调试的按合同约定在项目实施完成并经对方验收合格后确认收</w:t>
      </w:r>
      <w:r>
        <w:rPr>
          <w:spacing w:val="-64"/>
        </w:rPr>
        <w:t> </w:t>
      </w:r>
      <w:r>
        <w:rPr>
          <w:spacing w:val="-64"/>
        </w:rPr>
      </w:r>
      <w:r>
        <w:rPr/>
        <w:t>入，对合同约定完工比例的，按合同约定的完工确认条件确认收入。</w:t>
      </w:r>
    </w:p>
    <w:p>
      <w:pPr>
        <w:pStyle w:val="BodyText"/>
        <w:spacing w:line="319" w:lineRule="auto" w:before="19"/>
        <w:ind w:right="1115"/>
        <w:jc w:val="left"/>
      </w:pPr>
      <w:r>
        <w:rPr/>
        <w:t>②定制软件产品销售收入确认和计量方法 </w:t>
      </w:r>
      <w:r>
        <w:rPr>
          <w:spacing w:val="-2"/>
        </w:rPr>
        <w:t>定制软件是指根据与客户签订的技术开发、技术转让合同，对用户的业务进行充分实地调查，并根据用户的实际需求进行专</w:t>
      </w:r>
      <w:r>
        <w:rPr>
          <w:spacing w:val="-65"/>
        </w:rPr>
        <w:t> </w:t>
      </w:r>
      <w:r>
        <w:rPr>
          <w:spacing w:val="-65"/>
        </w:rPr>
      </w:r>
      <w:r>
        <w:rPr/>
        <w:t>门的软件设计与开发，由此开发出来的软件不具有通用性。 </w:t>
      </w:r>
      <w:r>
        <w:rPr>
          <w:spacing w:val="-2"/>
        </w:rPr>
        <w:t>定制软件项目按合同约定在项目实施完成并经对方验收合格后确认收入，对合同约定完工比例的，按合同约定的完工确认条</w:t>
      </w:r>
      <w:r>
        <w:rPr>
          <w:spacing w:val="-63"/>
        </w:rPr>
        <w:t> </w:t>
      </w:r>
      <w:r>
        <w:rPr>
          <w:spacing w:val="-63"/>
        </w:rPr>
      </w:r>
      <w:r>
        <w:rPr/>
        <w:t>件确认收入。</w:t>
      </w:r>
    </w:p>
    <w:p>
      <w:pPr>
        <w:pStyle w:val="BodyText"/>
        <w:spacing w:line="316" w:lineRule="auto" w:before="17"/>
        <w:ind w:right="1115"/>
        <w:jc w:val="left"/>
      </w:pPr>
      <w:r>
        <w:rPr/>
        <w:t>③系统集成收入确认和计量方法 系统集成收入是指与客户订立软件产品销售的同时，为其提供软件嵌入所需的设备配件和安装服务。 </w:t>
      </w:r>
      <w:r>
        <w:rPr>
          <w:spacing w:val="-2"/>
        </w:rPr>
        <w:t>对于系统集成业务，如果软件收入与设备配件及安装服务收入能分开核算，则硬件收入按上述商品销售的原则进行确认，软</w:t>
      </w:r>
      <w:r>
        <w:rPr>
          <w:spacing w:val="-63"/>
        </w:rPr>
        <w:t> </w:t>
      </w:r>
      <w:r>
        <w:rPr>
          <w:spacing w:val="-63"/>
        </w:rPr>
      </w:r>
      <w:r>
        <w:rPr>
          <w:spacing w:val="-2"/>
        </w:rPr>
        <w:t>件收入按上述软件产品销售的原则进行确认。如果软件收入与设备配件及安装服务收入不能分开核算，则将其一并核算，待</w:t>
      </w:r>
      <w:r>
        <w:rPr>
          <w:spacing w:val="-63"/>
        </w:rPr>
        <w:t> </w:t>
      </w:r>
      <w:r>
        <w:rPr>
          <w:spacing w:val="-63"/>
        </w:rPr>
      </w:r>
      <w:r>
        <w:rPr/>
        <w:t>系统集成于安装完成后确认收入，或根据合同约定的完工确认条件确认收入。</w:t>
      </w:r>
    </w:p>
    <w:p>
      <w:pPr>
        <w:pStyle w:val="BodyText"/>
        <w:spacing w:line="319" w:lineRule="auto" w:before="19"/>
        <w:ind w:right="3734"/>
        <w:jc w:val="left"/>
      </w:pPr>
      <w:r>
        <w:rPr/>
        <w:t>④技术服务收入确认和计量方法 技术服务收入，主要是指按合同要求向客户提供技术咨询、实施和产品售后服务等业务。 技术服务收入在劳务已经提供，收到价款或取得收取款项的证据时，确认劳务收入。</w:t>
      </w:r>
    </w:p>
    <w:p>
      <w:pPr>
        <w:pStyle w:val="BodyText"/>
        <w:spacing w:line="316" w:lineRule="auto" w:before="17"/>
        <w:ind w:right="1115"/>
        <w:jc w:val="left"/>
      </w:pPr>
      <w:r>
        <w:rPr/>
        <w:t>⑤信息服务收入确认和计量方法 </w:t>
      </w:r>
      <w:r>
        <w:rPr>
          <w:spacing w:val="-2"/>
        </w:rPr>
        <w:t>信息服务收入是指利用数字营销平台、游戏发行和推广平台、互联网金融平台等信息技术，给客户提供信息或者利用信息传</w:t>
      </w:r>
      <w:r>
        <w:rPr>
          <w:spacing w:val="-63"/>
        </w:rPr>
        <w:t> </w:t>
      </w:r>
      <w:r>
        <w:rPr>
          <w:spacing w:val="-63"/>
        </w:rPr>
      </w:r>
      <w:r>
        <w:rPr>
          <w:spacing w:val="-2"/>
        </w:rPr>
        <w:t>播、交流等帮客户实现信息增值的服务收入；没有明确服务期限的，在信息服务已经提供，并获取客户确认的相关证据，确</w:t>
      </w:r>
      <w:r>
        <w:rPr>
          <w:spacing w:val="-67"/>
        </w:rPr>
        <w:t> </w:t>
      </w:r>
      <w:r>
        <w:rPr>
          <w:spacing w:val="-67"/>
        </w:rPr>
      </w:r>
      <w:r>
        <w:rPr/>
        <w:t>认收入；有明确服务期限的，根据信息服务的期限，分期确认信息服务收入。</w:t>
      </w:r>
    </w:p>
    <w:p>
      <w:pPr>
        <w:pStyle w:val="BodyText"/>
        <w:spacing w:line="316" w:lineRule="auto" w:before="19"/>
        <w:ind w:right="1115"/>
        <w:jc w:val="left"/>
      </w:pPr>
      <w:r>
        <w:rPr/>
        <w:t>⑥应收账款保理收入确认和计量方法 </w:t>
      </w:r>
      <w:r>
        <w:rPr>
          <w:spacing w:val="-2"/>
        </w:rPr>
        <w:t>应收账款保理利息收入根据权责发生制原则按实际利率法确认。实际利率法是一种计算某项金融资产或负债的摊余成本以及</w:t>
      </w:r>
      <w:r>
        <w:rPr>
          <w:spacing w:val="-64"/>
        </w:rPr>
        <w:t> </w:t>
      </w:r>
      <w:r>
        <w:rPr>
          <w:spacing w:val="-64"/>
        </w:rPr>
      </w:r>
      <w:r>
        <w:rPr>
          <w:spacing w:val="-2"/>
        </w:rPr>
        <w:t>在相关期间分摊利息收入的方法。实际利率是在金融工具预计到期日或某一恰当较短期限内，将其未来现金流量贴现为账面</w:t>
      </w:r>
      <w:r>
        <w:rPr>
          <w:spacing w:val="-64"/>
        </w:rPr>
        <w:t> </w:t>
      </w:r>
      <w:r>
        <w:rPr>
          <w:spacing w:val="-64"/>
        </w:rPr>
      </w:r>
      <w:r>
        <w:rPr>
          <w:spacing w:val="-2"/>
        </w:rPr>
        <w:t>净额所使用的利率。本集团在估计未来现金流量时考虑金融工具的所有合同条款，但不考虑未来的信用损失。计算实际利率</w:t>
      </w:r>
    </w:p>
    <w:p>
      <w:pPr>
        <w:spacing w:after="0" w:line="316"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4"/>
        <w:ind w:right="1115"/>
        <w:jc w:val="left"/>
      </w:pPr>
      <w:r>
        <w:rPr/>
        <w:t>时考虑交易成本、折溢价和合同各方之间收付的所有与实际利率相关的费用。 手续费及佣金收入在服务期间按权责发生制确认。 </w:t>
      </w:r>
      <w:r>
        <w:rPr>
          <w:spacing w:val="-2"/>
        </w:rPr>
        <w:t>本集团对外提供保理服务形成的应收债权保理款，向保理方应收的合同或协议价款作为初始确认金额。保理期间按约定利率</w:t>
      </w:r>
      <w:r>
        <w:rPr>
          <w:spacing w:val="-63"/>
        </w:rPr>
        <w:t> </w:t>
      </w:r>
      <w:r>
        <w:rPr>
          <w:spacing w:val="-63"/>
        </w:rPr>
      </w:r>
      <w:r>
        <w:rPr/>
        <w:t>分期计算融资利息，确认收入。</w:t>
      </w:r>
    </w:p>
    <w:p>
      <w:pPr>
        <w:spacing w:line="240" w:lineRule="auto" w:before="9"/>
        <w:rPr>
          <w:rFonts w:ascii="宋体" w:hAnsi="宋体" w:cs="宋体" w:eastAsia="宋体" w:hint="default"/>
          <w:sz w:val="22"/>
          <w:szCs w:val="22"/>
        </w:rPr>
      </w:pPr>
    </w:p>
    <w:p>
      <w:pPr>
        <w:pStyle w:val="Heading3"/>
        <w:spacing w:line="240" w:lineRule="auto"/>
        <w:ind w:right="1115"/>
        <w:jc w:val="left"/>
        <w:rPr>
          <w:b w:val="0"/>
          <w:bCs w:val="0"/>
        </w:rPr>
      </w:pPr>
      <w:bookmarkStart w:name="27、政府补助" w:id="204"/>
      <w:bookmarkEnd w:id="204"/>
      <w:r>
        <w:rPr>
          <w:b w:val="0"/>
          <w:bCs w:val="0"/>
        </w:rPr>
      </w:r>
      <w:r>
        <w:rPr>
          <w:rFonts w:ascii="Times New Roman" w:hAnsi="Times New Roman" w:cs="Times New Roman" w:eastAsia="Times New Roman" w:hint="default"/>
        </w:rPr>
        <w:t>27</w:t>
      </w:r>
      <w:r>
        <w:rPr/>
        <w:t>、政府补助</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42"/>
        <w:jc w:val="left"/>
      </w:pPr>
      <w:r>
        <w:rPr/>
        <w:t>政府补助在满足政府补助所附条件并能够收到时确认。 </w:t>
      </w:r>
      <w:r>
        <w:rPr>
          <w:spacing w:val="-2"/>
        </w:rPr>
        <w:t>对于货币性资产的政府补助，按照收到或应收的金额计量。对于非货币性资产的政府补助，按照公允价值计量；公允价值不</w:t>
      </w:r>
      <w:r>
        <w:rPr>
          <w:spacing w:val="-64"/>
        </w:rPr>
        <w:t> </w:t>
      </w:r>
      <w:r>
        <w:rPr>
          <w:spacing w:val="-64"/>
        </w:rPr>
      </w:r>
      <w:r>
        <w:rPr/>
        <w:t>能够可靠取得的，按照名义金额</w:t>
      </w:r>
      <w:r>
        <w:rPr>
          <w:rFonts w:ascii="Times New Roman" w:hAnsi="Times New Roman" w:cs="Times New Roman" w:eastAsia="Times New Roman" w:hint="default"/>
        </w:rPr>
        <w:t>1</w:t>
      </w:r>
      <w:r>
        <w:rPr/>
        <w:t>元计量。 </w:t>
      </w:r>
      <w:r>
        <w:rPr>
          <w:spacing w:val="-2"/>
        </w:rPr>
        <w:t>与资产相关的政府补助，是指本集团取得的、用于购建或以其他方式形成长期资产的政府补助；除此之外，作为与收益相关</w:t>
      </w:r>
      <w:r>
        <w:rPr>
          <w:spacing w:val="-64"/>
        </w:rPr>
        <w:t> </w:t>
      </w:r>
      <w:r>
        <w:rPr>
          <w:spacing w:val="-64"/>
        </w:rPr>
      </w:r>
      <w:r>
        <w:rPr/>
        <w:t>的政府补助。 </w:t>
      </w:r>
      <w:r>
        <w:rPr>
          <w:spacing w:val="-4"/>
        </w:rPr>
        <w:t>对于政府文件未明确规定补助对象的，能够形成长期资产的，与资产价值相对应的政府补助部分作为与资产相关的政府补助，</w:t>
      </w:r>
      <w:r>
        <w:rPr>
          <w:spacing w:val="-42"/>
        </w:rPr>
        <w:t> </w:t>
      </w:r>
      <w:r>
        <w:rPr>
          <w:spacing w:val="-42"/>
        </w:rPr>
      </w:r>
      <w:r>
        <w:rPr/>
        <w:t>其余部分作为与收益相关的政府补助；难以区分的，将政府补助整体作为与收益相关的政府补助。 </w:t>
      </w:r>
      <w:r>
        <w:rPr>
          <w:spacing w:val="-2"/>
        </w:rPr>
        <w:t>与资产相关的政府补助，确认为递延收益在相关资产使用期限内按照合理、系统的方法分期计入损益。与收益相关的政府补</w:t>
      </w:r>
      <w:r>
        <w:rPr>
          <w:spacing w:val="-63"/>
        </w:rPr>
        <w:t> </w:t>
      </w:r>
      <w:r>
        <w:rPr>
          <w:spacing w:val="-63"/>
        </w:rPr>
      </w:r>
      <w:r>
        <w:rPr>
          <w:spacing w:val="-5"/>
        </w:rPr>
        <w:t>助，用于补偿已发生的相关成本费用或损失的，计入当期损益或冲减相关成本；用于补偿以后期间的相关成本费用或损失的，</w:t>
      </w:r>
      <w:r>
        <w:rPr>
          <w:spacing w:val="-76"/>
        </w:rPr>
        <w:t> </w:t>
      </w:r>
      <w:r>
        <w:rPr>
          <w:spacing w:val="-76"/>
        </w:rPr>
      </w:r>
      <w:r>
        <w:rPr>
          <w:spacing w:val="-2"/>
        </w:rPr>
        <w:t>则计入递延收益，于相关成本费用或损失确认期间计入当期损益。按照名义金额计量的政府补助，直接计入当期损益。本集</w:t>
      </w:r>
      <w:r>
        <w:rPr>
          <w:spacing w:val="-64"/>
        </w:rPr>
        <w:t> </w:t>
      </w:r>
      <w:r>
        <w:rPr>
          <w:spacing w:val="-64"/>
        </w:rPr>
      </w:r>
      <w:r>
        <w:rPr/>
        <w:t>团对相同或类似的政府补助业务，采用一致的方法处理。 与日常活动相关的政府补助，按照经济业务实质，计入其他收益。与日常活动无关的政府补助，计入营业外收支。 </w:t>
      </w:r>
      <w:r>
        <w:rPr>
          <w:spacing w:val="-2"/>
        </w:rPr>
        <w:t>已确认的政府补助需要返还时，初始确认时冲减相关资产账面价值的，调整资产账面价值；存在相关递延收益余额的，冲减</w:t>
      </w:r>
      <w:r>
        <w:rPr>
          <w:spacing w:val="-64"/>
        </w:rPr>
        <w:t> </w:t>
      </w:r>
      <w:r>
        <w:rPr>
          <w:spacing w:val="-64"/>
        </w:rPr>
      </w:r>
      <w:r>
        <w:rPr/>
        <w:t>相关递延收益账面余额，超出部分计入当期损益；属于其他情况的，直接计入当期损益。</w:t>
      </w:r>
    </w:p>
    <w:p>
      <w:pPr>
        <w:spacing w:line="240" w:lineRule="auto" w:before="10"/>
        <w:rPr>
          <w:rFonts w:ascii="宋体" w:hAnsi="宋体" w:cs="宋体" w:eastAsia="宋体" w:hint="default"/>
          <w:sz w:val="22"/>
          <w:szCs w:val="22"/>
        </w:rPr>
      </w:pPr>
    </w:p>
    <w:p>
      <w:pPr>
        <w:pStyle w:val="Heading3"/>
        <w:spacing w:line="240" w:lineRule="auto"/>
        <w:ind w:right="1115"/>
        <w:jc w:val="left"/>
        <w:rPr>
          <w:b w:val="0"/>
          <w:bCs w:val="0"/>
        </w:rPr>
      </w:pPr>
      <w:bookmarkStart w:name="28、递延所得税资产/递延所得税负债" w:id="205"/>
      <w:bookmarkEnd w:id="205"/>
      <w:r>
        <w:rPr>
          <w:b w:val="0"/>
          <w:bCs w:val="0"/>
        </w:rPr>
      </w:r>
      <w:r>
        <w:rPr>
          <w:rFonts w:ascii="Times New Roman" w:hAnsi="Times New Roman" w:cs="Times New Roman" w:eastAsia="Times New Roman" w:hint="default"/>
        </w:rPr>
        <w:t>28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034"/>
        <w:jc w:val="left"/>
      </w:pPr>
      <w:r>
        <w:rPr>
          <w:spacing w:val="-2"/>
        </w:rPr>
        <w:t>所得税包括当期所得税和递延所得税。除由于企业合并产生的调整商誉，或与直接计入所有者权益的交易或者事项相关的递</w:t>
      </w:r>
      <w:r>
        <w:rPr>
          <w:spacing w:val="-64"/>
        </w:rPr>
        <w:t> </w:t>
      </w:r>
      <w:r>
        <w:rPr>
          <w:spacing w:val="-64"/>
        </w:rPr>
      </w:r>
      <w:r>
        <w:rPr/>
        <w:t>延所得税计入所有者权益外，均作为所得税费用计入当期损益。 本集团根据资产、负债于资产负债表日的账面价值与计税基础之间的暂时性差异，采用资产负债表债务法确认递延所得税。</w:t>
      </w:r>
      <w:r>
        <w:rPr>
          <w:spacing w:val="-85"/>
        </w:rPr>
        <w:t> </w:t>
      </w:r>
      <w:r>
        <w:rPr>
          <w:spacing w:val="-85"/>
        </w:rPr>
      </w:r>
      <w:r>
        <w:rPr/>
        <w:t>各项应纳税暂时性差异均确认相关的递延所得税负债，除非该应纳税暂时性差异是在以下交易中产生的：</w:t>
      </w:r>
    </w:p>
    <w:p>
      <w:pPr>
        <w:pStyle w:val="BodyText"/>
        <w:spacing w:line="300" w:lineRule="auto" w:before="19"/>
        <w:ind w:right="1124"/>
        <w:jc w:val="left"/>
      </w:pPr>
      <w:r>
        <w:rPr/>
        <w:t>（</w:t>
      </w:r>
      <w:r>
        <w:rPr>
          <w:rFonts w:ascii="Times New Roman" w:hAnsi="Times New Roman" w:cs="Times New Roman" w:eastAsia="Times New Roman" w:hint="default"/>
        </w:rPr>
        <w:t>1</w:t>
      </w:r>
      <w:r>
        <w:rPr/>
        <w:t>）商誉的初始确认，或者具有以下特征的交易中产生的资产或负债的初始确认：该交易不是企业合并，并且交易发生时</w:t>
      </w:r>
      <w:r>
        <w:rPr>
          <w:spacing w:val="-84"/>
        </w:rPr>
        <w:t> </w:t>
      </w:r>
      <w:r>
        <w:rPr>
          <w:spacing w:val="-84"/>
        </w:rPr>
      </w:r>
      <w:r>
        <w:rPr/>
        <w:t>既不影响会计利润也不影响应纳税所得额；</w:t>
      </w:r>
    </w:p>
    <w:p>
      <w:pPr>
        <w:pStyle w:val="BodyText"/>
        <w:spacing w:line="314" w:lineRule="auto" w:before="31"/>
        <w:ind w:right="1124"/>
        <w:jc w:val="left"/>
      </w:pPr>
      <w:r>
        <w:rPr/>
        <w:t>（</w:t>
      </w:r>
      <w:r>
        <w:rPr>
          <w:rFonts w:ascii="Times New Roman" w:hAnsi="Times New Roman" w:cs="Times New Roman" w:eastAsia="Times New Roman" w:hint="default"/>
        </w:rPr>
        <w:t>2</w:t>
      </w:r>
      <w:r>
        <w:rPr/>
        <w:t>）对于与子公司、合营企业及联营企业投资相关的应纳税暂时性差异，该暂时性差异转回的时间能够控制并且该暂时性</w:t>
      </w:r>
      <w:r>
        <w:rPr>
          <w:spacing w:val="-84"/>
        </w:rPr>
        <w:t> </w:t>
      </w:r>
      <w:r>
        <w:rPr>
          <w:spacing w:val="-84"/>
        </w:rPr>
      </w:r>
      <w:r>
        <w:rPr/>
        <w:t>差异在可预见的未来很可能不会转回。 </w:t>
      </w:r>
      <w:r>
        <w:rPr>
          <w:spacing w:val="-2"/>
        </w:rPr>
        <w:t>对于可抵扣暂时性差异、能够结转以后年度的可抵扣亏损和税款抵减，本集团以很可能取得用来抵扣可抵扣暂时性差异、可</w:t>
      </w:r>
      <w:r>
        <w:rPr>
          <w:spacing w:val="-62"/>
        </w:rPr>
        <w:t> </w:t>
      </w:r>
      <w:r>
        <w:rPr>
          <w:spacing w:val="-62"/>
        </w:rPr>
      </w:r>
      <w:r>
        <w:rPr>
          <w:spacing w:val="-2"/>
        </w:rPr>
        <w:t>抵扣亏损和税款抵减的未来应纳税所得额为限，确认由此产生的递延所得税资产，除非该可抵扣暂时性差异是在以下交易中</w:t>
      </w:r>
      <w:r>
        <w:rPr>
          <w:spacing w:val="-64"/>
        </w:rPr>
        <w:t> </w:t>
      </w:r>
      <w:r>
        <w:rPr>
          <w:spacing w:val="-64"/>
        </w:rPr>
      </w:r>
      <w:r>
        <w:rPr/>
        <w:t>产生的：</w:t>
      </w:r>
    </w:p>
    <w:p>
      <w:pPr>
        <w:pStyle w:val="BodyText"/>
        <w:spacing w:line="240" w:lineRule="auto" w:before="21"/>
        <w:ind w:right="1115"/>
        <w:jc w:val="left"/>
      </w:pPr>
      <w:r>
        <w:rPr/>
        <w:t>（</w:t>
      </w:r>
      <w:r>
        <w:rPr>
          <w:rFonts w:ascii="Times New Roman" w:hAnsi="Times New Roman" w:cs="Times New Roman" w:eastAsia="Times New Roman" w:hint="default"/>
        </w:rPr>
        <w:t>1</w:t>
      </w:r>
      <w:r>
        <w:rPr/>
        <w:t>）该交易不是企业合并，并且交易发生时既不影响会计利润也不影响应纳税所得额；</w:t>
      </w:r>
    </w:p>
    <w:p>
      <w:pPr>
        <w:pStyle w:val="BodyText"/>
        <w:spacing w:line="314" w:lineRule="auto" w:before="63"/>
        <w:ind w:right="1034"/>
        <w:jc w:val="left"/>
      </w:pPr>
      <w:r>
        <w:rPr/>
        <w:t>（</w:t>
      </w:r>
      <w:r>
        <w:rPr>
          <w:rFonts w:ascii="Times New Roman" w:hAnsi="Times New Roman" w:cs="Times New Roman" w:eastAsia="Times New Roman" w:hint="default"/>
        </w:rPr>
        <w:t>2</w:t>
      </w:r>
      <w:r>
        <w:rPr/>
        <w:t>）对于与子公司、合营企业及联营企业投资相关的可抵扣暂时性差异，同时满足下列条件的，确认相应的递延所得税资</w:t>
      </w:r>
      <w:r>
        <w:rPr>
          <w:spacing w:val="-84"/>
        </w:rPr>
        <w:t> </w:t>
      </w:r>
      <w:r>
        <w:rPr>
          <w:spacing w:val="-84"/>
        </w:rPr>
      </w:r>
      <w:r>
        <w:rPr/>
        <w:t>产：暂时性差异在可预见的未来很可能转回，且未来很可能获得用来抵扣可抵扣暂时性差异的应纳税所得额。 </w:t>
      </w:r>
      <w:r>
        <w:rPr>
          <w:spacing w:val="-2"/>
        </w:rPr>
        <w:t>于资产负债表日，本集团对递延所得税资产和递延所得税负债，按照预期收回该资产或清偿该负债期间的适用税率计量，并</w:t>
      </w:r>
      <w:r>
        <w:rPr>
          <w:spacing w:val="-62"/>
        </w:rPr>
        <w:t> </w:t>
      </w:r>
      <w:r>
        <w:rPr>
          <w:spacing w:val="-62"/>
        </w:rPr>
      </w:r>
      <w:r>
        <w:rPr/>
        <w:t>反映资产负债表日预期收回资产或清偿负债方式的所得税影响。 </w:t>
      </w:r>
      <w:r>
        <w:rPr>
          <w:spacing w:val="-2"/>
        </w:rPr>
        <w:t>于资产负债表日，本集团对递延所得税资产的账面价值进行复核。如果未来期间很可能无法获得足够的应纳税所得额用以抵</w:t>
      </w:r>
      <w:r>
        <w:rPr>
          <w:spacing w:val="-64"/>
        </w:rPr>
        <w:t> </w:t>
      </w:r>
      <w:r>
        <w:rPr>
          <w:spacing w:val="-64"/>
        </w:rPr>
      </w:r>
      <w:r>
        <w:rPr/>
        <w:t>扣递延所得税资产的利益，减记递延所得税资产的账面价值。在很可能获得足够的应纳税所得额时，减记的金额予以转回。</w:t>
      </w:r>
    </w:p>
    <w:p>
      <w:pPr>
        <w:spacing w:after="0" w:line="314"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15"/>
        <w:jc w:val="left"/>
        <w:rPr>
          <w:b w:val="0"/>
          <w:bCs w:val="0"/>
        </w:rPr>
      </w:pPr>
      <w:bookmarkStart w:name="29、租赁" w:id="206"/>
      <w:bookmarkEnd w:id="206"/>
      <w:r>
        <w:rPr>
          <w:b w:val="0"/>
          <w:bCs w:val="0"/>
        </w:rPr>
      </w:r>
      <w:r>
        <w:rPr>
          <w:rFonts w:ascii="Times New Roman" w:hAnsi="Times New Roman" w:cs="Times New Roman" w:eastAsia="Times New Roman" w:hint="default"/>
        </w:rPr>
        <w:t>29</w:t>
      </w:r>
      <w:r>
        <w:rPr/>
        <w:t>、租赁</w:t>
      </w:r>
      <w:r>
        <w:rPr>
          <w:b w:val="0"/>
          <w:bCs w:val="0"/>
        </w:rPr>
      </w:r>
    </w:p>
    <w:p>
      <w:pPr>
        <w:spacing w:line="240" w:lineRule="auto" w:before="5"/>
        <w:rPr>
          <w:rFonts w:ascii="宋体" w:hAnsi="宋体" w:cs="宋体" w:eastAsia="宋体" w:hint="default"/>
          <w:b/>
          <w:bCs/>
          <w:sz w:val="26"/>
          <w:szCs w:val="26"/>
        </w:rPr>
      </w:pPr>
    </w:p>
    <w:p>
      <w:pPr>
        <w:spacing w:line="309" w:lineRule="auto" w:before="0"/>
        <w:ind w:left="152" w:right="1115"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）经营租赁的会计处理方法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本集团将实质上转移了与资产所有权有关的全部风险和报酬的租赁确认为融资租赁，除融资租赁之外的其他租赁确认为经营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租赁。</w:t>
      </w:r>
    </w:p>
    <w:p>
      <w:pPr>
        <w:pStyle w:val="BodyText"/>
        <w:spacing w:line="316" w:lineRule="auto" w:before="24"/>
        <w:ind w:right="1754"/>
        <w:jc w:val="left"/>
      </w:pPr>
      <w:r>
        <w:rPr/>
        <w:t>① 本集团作为出租人 经营租赁中的租金，本集团在租赁期内各个期间按照直线法确认当期损益。发生的初始直接费用，计入当期损益。</w:t>
      </w:r>
    </w:p>
    <w:p>
      <w:pPr>
        <w:pStyle w:val="BodyText"/>
        <w:spacing w:line="316" w:lineRule="auto" w:before="19"/>
        <w:ind w:right="1115"/>
        <w:jc w:val="left"/>
      </w:pPr>
      <w:r>
        <w:rPr/>
        <w:t>② 本集团作为承租人 </w:t>
      </w:r>
      <w:r>
        <w:rPr>
          <w:spacing w:val="-2"/>
        </w:rPr>
        <w:t>经营租赁中的租金，本集团在租赁期内各个期间按照直线法计入相关资产成本或当期损益；发生的初始直接费用，计入当期</w:t>
      </w:r>
      <w:r>
        <w:rPr>
          <w:spacing w:val="-66"/>
        </w:rPr>
        <w:t> </w:t>
      </w:r>
      <w:r>
        <w:rPr>
          <w:spacing w:val="-66"/>
        </w:rPr>
      </w:r>
      <w:r>
        <w:rPr/>
        <w:t>损益。</w:t>
      </w:r>
    </w:p>
    <w:p>
      <w:pPr>
        <w:pStyle w:val="Heading4"/>
        <w:spacing w:line="240" w:lineRule="auto" w:before="19"/>
        <w:ind w:left="152" w:right="1115"/>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pStyle w:val="BodyText"/>
        <w:spacing w:line="319" w:lineRule="auto" w:before="63"/>
        <w:ind w:right="1115"/>
        <w:jc w:val="left"/>
      </w:pPr>
      <w:r>
        <w:rPr/>
        <w:t>③ 本集团作为出租人 </w:t>
      </w:r>
      <w:r>
        <w:rPr>
          <w:spacing w:val="-2"/>
        </w:rPr>
        <w:t>融资租赁中，在租赁期开始日本集团按最低租赁收款额与初始直接费用之和作为应收融资租赁款的入账价值，同时记录未担</w:t>
      </w:r>
      <w:r>
        <w:rPr>
          <w:spacing w:val="-64"/>
        </w:rPr>
        <w:t> </w:t>
      </w:r>
      <w:r>
        <w:rPr>
          <w:spacing w:val="-64"/>
        </w:rPr>
      </w:r>
      <w:r>
        <w:rPr>
          <w:spacing w:val="-2"/>
        </w:rPr>
        <w:t>保余值；将最低租赁收款额、初始直接费用及未担保余值之和与其现值之和的差额确认为未实现融资收益。未实现融资收益</w:t>
      </w:r>
      <w:r>
        <w:rPr>
          <w:spacing w:val="-65"/>
        </w:rPr>
        <w:t> </w:t>
      </w:r>
      <w:r>
        <w:rPr>
          <w:spacing w:val="-65"/>
        </w:rPr>
      </w:r>
      <w:r>
        <w:rPr/>
        <w:t>在租赁期内各个期间采用实际利率法计算确认当期的融资收入。</w:t>
      </w:r>
    </w:p>
    <w:p>
      <w:pPr>
        <w:pStyle w:val="BodyText"/>
        <w:spacing w:line="316" w:lineRule="auto" w:before="17"/>
        <w:ind w:right="1115"/>
        <w:jc w:val="left"/>
      </w:pPr>
      <w:r>
        <w:rPr/>
        <w:t>④ 本集团作为承租人 </w:t>
      </w:r>
      <w:r>
        <w:rPr>
          <w:spacing w:val="-2"/>
        </w:rPr>
        <w:t>融资租赁中，在租赁期开始日本集团将租赁资产公允价值与最低租赁付款额现值两者中较低者作为租入资产的入账价值，将</w:t>
      </w:r>
      <w:r>
        <w:rPr>
          <w:spacing w:val="-64"/>
        </w:rPr>
        <w:t> </w:t>
      </w:r>
      <w:r>
        <w:rPr>
          <w:spacing w:val="-64"/>
        </w:rPr>
      </w:r>
      <w:r>
        <w:rPr>
          <w:spacing w:val="-2"/>
        </w:rPr>
        <w:t>最低租赁付款额作为长期应付款的入账价值，其差额作为未确认融资费用。初始直接费用计入租入资产价值。未确认融资费</w:t>
      </w:r>
      <w:r>
        <w:rPr>
          <w:spacing w:val="-63"/>
        </w:rPr>
        <w:t> </w:t>
      </w:r>
      <w:r>
        <w:rPr>
          <w:spacing w:val="-63"/>
        </w:rPr>
      </w:r>
      <w:r>
        <w:rPr>
          <w:spacing w:val="-2"/>
        </w:rPr>
        <w:t>用在租赁期内各个期间采用实际利率法计算确认当期的融资费用。本集团采用与自有固定资产相一致的折旧政策计提租赁资</w:t>
      </w:r>
      <w:r>
        <w:rPr>
          <w:spacing w:val="-64"/>
        </w:rPr>
        <w:t> </w:t>
      </w:r>
      <w:r>
        <w:rPr>
          <w:spacing w:val="-64"/>
        </w:rPr>
      </w:r>
      <w:r>
        <w:rPr/>
        <w:t>产折旧。</w:t>
      </w:r>
    </w:p>
    <w:p>
      <w:pPr>
        <w:spacing w:line="240" w:lineRule="auto" w:before="10"/>
        <w:rPr>
          <w:rFonts w:ascii="宋体" w:hAnsi="宋体" w:cs="宋体" w:eastAsia="宋体" w:hint="default"/>
          <w:sz w:val="22"/>
          <w:szCs w:val="22"/>
        </w:rPr>
      </w:pPr>
    </w:p>
    <w:p>
      <w:pPr>
        <w:pStyle w:val="Heading3"/>
        <w:spacing w:line="240" w:lineRule="auto"/>
        <w:ind w:right="1115"/>
        <w:jc w:val="left"/>
        <w:rPr>
          <w:b w:val="0"/>
          <w:bCs w:val="0"/>
        </w:rPr>
      </w:pPr>
      <w:bookmarkStart w:name="30、 回购股份" w:id="207"/>
      <w:bookmarkEnd w:id="207"/>
      <w:r>
        <w:rPr>
          <w:b w:val="0"/>
          <w:bCs w:val="0"/>
        </w:rPr>
      </w:r>
      <w:r>
        <w:rPr>
          <w:rFonts w:ascii="Times New Roman" w:hAnsi="Times New Roman" w:cs="Times New Roman" w:eastAsia="Times New Roman" w:hint="default"/>
        </w:rPr>
        <w:t>30</w:t>
      </w:r>
      <w:r>
        <w:rPr/>
        <w:t>、 回购股份</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115"/>
        <w:jc w:val="left"/>
      </w:pPr>
      <w:r>
        <w:rPr>
          <w:spacing w:val="-2"/>
        </w:rPr>
        <w:t>本集团回购的股份在注销或者转让之前，作为库存股管理，回购股份的全部支出转作库存股成本。股份回购中支付的对价和</w:t>
      </w:r>
      <w:r>
        <w:rPr>
          <w:spacing w:val="-63"/>
        </w:rPr>
        <w:t> </w:t>
      </w:r>
      <w:r>
        <w:rPr>
          <w:spacing w:val="-63"/>
        </w:rPr>
      </w:r>
      <w:r>
        <w:rPr/>
        <w:t>交易费用减少所有者权益，回购、转让或注销本集团股份时，不确认利得或损失。 </w:t>
      </w:r>
      <w:r>
        <w:rPr>
          <w:spacing w:val="-2"/>
        </w:rPr>
        <w:t>转让库存股，按实际收到的金额与库存股账面金额的差额，计入资本公积，资本公积不足冲减的，冲减盈余公积和未分配利</w:t>
      </w:r>
      <w:r>
        <w:rPr>
          <w:spacing w:val="-65"/>
        </w:rPr>
        <w:t> </w:t>
      </w:r>
      <w:r>
        <w:rPr>
          <w:spacing w:val="-65"/>
        </w:rPr>
      </w:r>
      <w:r>
        <w:rPr>
          <w:spacing w:val="-2"/>
        </w:rPr>
        <w:t>润。注销库存股，按股票面值和注销股数减少股本，按注销库存股的账面余额与面值的差额，冲减资本公积，资本公积不足</w:t>
      </w:r>
      <w:r>
        <w:rPr>
          <w:spacing w:val="-67"/>
        </w:rPr>
        <w:t> </w:t>
      </w:r>
      <w:r>
        <w:rPr>
          <w:spacing w:val="-67"/>
        </w:rPr>
      </w:r>
      <w:r>
        <w:rPr/>
        <w:t>冲减的，冲减盈余公积和未分配利润。</w:t>
      </w:r>
    </w:p>
    <w:p>
      <w:pPr>
        <w:spacing w:line="240" w:lineRule="auto" w:before="9"/>
        <w:rPr>
          <w:rFonts w:ascii="宋体" w:hAnsi="宋体" w:cs="宋体" w:eastAsia="宋体" w:hint="default"/>
          <w:sz w:val="22"/>
          <w:szCs w:val="22"/>
        </w:rPr>
      </w:pPr>
    </w:p>
    <w:p>
      <w:pPr>
        <w:pStyle w:val="Heading3"/>
        <w:spacing w:line="240" w:lineRule="auto"/>
        <w:ind w:right="1115"/>
        <w:jc w:val="left"/>
        <w:rPr>
          <w:b w:val="0"/>
          <w:bCs w:val="0"/>
        </w:rPr>
      </w:pPr>
      <w:bookmarkStart w:name="31、其他重要的会计政策和会计估计" w:id="208"/>
      <w:bookmarkEnd w:id="208"/>
      <w:r>
        <w:rPr>
          <w:b w:val="0"/>
          <w:bCs w:val="0"/>
        </w:rPr>
      </w:r>
      <w:r>
        <w:rPr>
          <w:rFonts w:ascii="Times New Roman" w:hAnsi="Times New Roman" w:cs="Times New Roman" w:eastAsia="Times New Roman" w:hint="default"/>
        </w:rPr>
        <w:t>31</w:t>
      </w:r>
      <w:r>
        <w:rPr/>
        <w:t>、其他重要的会计政策和会计估计</w:t>
      </w:r>
      <w:r>
        <w:rPr>
          <w:b w:val="0"/>
          <w:bCs w:val="0"/>
        </w:rPr>
      </w:r>
    </w:p>
    <w:p>
      <w:pPr>
        <w:spacing w:line="240" w:lineRule="auto" w:before="4"/>
        <w:rPr>
          <w:rFonts w:ascii="宋体" w:hAnsi="宋体" w:cs="宋体" w:eastAsia="宋体" w:hint="default"/>
          <w:b/>
          <w:bCs/>
          <w:sz w:val="26"/>
          <w:szCs w:val="26"/>
        </w:rPr>
      </w:pPr>
    </w:p>
    <w:p>
      <w:pPr>
        <w:pStyle w:val="BodyText"/>
        <w:spacing w:line="312" w:lineRule="auto"/>
        <w:ind w:right="1129"/>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）限制性股票</w:t>
      </w:r>
      <w:r>
        <w:rPr>
          <w:rFonts w:ascii="宋体" w:hAnsi="宋体" w:cs="宋体" w:eastAsia="宋体" w:hint="default"/>
          <w:b/>
          <w:bCs/>
          <w:w w:val="99"/>
        </w:rPr>
        <w:t> </w:t>
      </w:r>
      <w:r>
        <w:rPr>
          <w:spacing w:val="-2"/>
        </w:rPr>
        <w:t>股权激励计划中，本集团授予被激励对象限制性股票，被激励对象先认购股票，如果后续未达到股权激励计划规定的解锁条</w:t>
      </w:r>
      <w:r>
        <w:rPr>
          <w:spacing w:val="-63"/>
        </w:rPr>
        <w:t> </w:t>
      </w:r>
      <w:r>
        <w:rPr>
          <w:spacing w:val="-63"/>
        </w:rPr>
      </w:r>
      <w:r>
        <w:rPr>
          <w:spacing w:val="-5"/>
        </w:rPr>
        <w:t>件，则本集团按照事先约定的价格回购股票。向职工发行的限制性股票按有关规定履行了注册登记等增资手续的，在授予日，</w:t>
      </w:r>
      <w:r>
        <w:rPr>
          <w:spacing w:val="-76"/>
        </w:rPr>
        <w:t> </w:t>
      </w:r>
      <w:r>
        <w:rPr>
          <w:spacing w:val="-76"/>
        </w:rPr>
      </w:r>
      <w:r>
        <w:rPr/>
        <w:t>本集团根据收到的职工缴纳的认股款确认股本和资本公积（股本溢价）；同时就回购义务确认库存股和其他应付款。</w:t>
      </w:r>
    </w:p>
    <w:p>
      <w:pPr>
        <w:spacing w:line="240" w:lineRule="auto" w:before="8"/>
        <w:rPr>
          <w:rFonts w:ascii="宋体" w:hAnsi="宋体" w:cs="宋体" w:eastAsia="宋体" w:hint="default"/>
          <w:sz w:val="25"/>
          <w:szCs w:val="25"/>
        </w:rPr>
      </w:pPr>
    </w:p>
    <w:p>
      <w:pPr>
        <w:pStyle w:val="BodyText"/>
        <w:spacing w:line="309" w:lineRule="auto"/>
        <w:ind w:right="1115"/>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）重大会计判断和估计</w:t>
      </w:r>
      <w:r>
        <w:rPr>
          <w:rFonts w:ascii="宋体" w:hAnsi="宋体" w:cs="宋体" w:eastAsia="宋体" w:hint="default"/>
          <w:b/>
          <w:bCs/>
          <w:w w:val="99"/>
        </w:rPr>
        <w:t> </w:t>
      </w:r>
      <w:r>
        <w:rPr>
          <w:spacing w:val="-2"/>
        </w:rPr>
        <w:t>本集团根据历史经验和其它因素，包括对未来事项的合理预期，对所采用的重要会计估计和关键假设进行持续的评价。很可</w:t>
      </w:r>
      <w:r>
        <w:rPr>
          <w:spacing w:val="-63"/>
        </w:rPr>
        <w:t> </w:t>
      </w:r>
      <w:r>
        <w:rPr>
          <w:spacing w:val="-63"/>
        </w:rPr>
      </w:r>
      <w:r>
        <w:rPr/>
        <w:t>能导致下一会计年度资产和负债的账面价值出现重大调整风险的重要会计估计和关键假设列示如下：</w:t>
      </w:r>
    </w:p>
    <w:p>
      <w:pPr>
        <w:pStyle w:val="BodyText"/>
        <w:spacing w:line="316" w:lineRule="auto" w:before="24"/>
        <w:ind w:right="3374"/>
        <w:jc w:val="left"/>
      </w:pPr>
      <w:r>
        <w:rPr/>
        <w:t>① 金融资产的分类 本集团在确定金融资产的分类时涉及的重大判断包括业务模式及合同现金流量特征的分析等。</w:t>
      </w:r>
    </w:p>
    <w:p>
      <w:pPr>
        <w:pStyle w:val="BodyText"/>
        <w:spacing w:line="316" w:lineRule="auto" w:before="19"/>
        <w:ind w:right="1115"/>
        <w:jc w:val="left"/>
      </w:pPr>
      <w:r>
        <w:rPr>
          <w:spacing w:val="-2"/>
        </w:rPr>
        <w:t>本集团在金融资产组合的层次上确定管理金融资产的业务模式，考虑的因素包括评价和向关键管理人员报告金融资产业绩的</w:t>
      </w:r>
      <w:r>
        <w:rPr>
          <w:spacing w:val="-64"/>
        </w:rPr>
        <w:t> </w:t>
      </w:r>
      <w:r>
        <w:rPr>
          <w:spacing w:val="-64"/>
        </w:rPr>
      </w:r>
      <w:r>
        <w:rPr/>
        <w:t>方式、影响金融资产业绩的风险及其管理方式、以及相关业务管理人员获得报酬的方式等。 </w:t>
      </w:r>
      <w:r>
        <w:rPr>
          <w:spacing w:val="-2"/>
        </w:rPr>
        <w:t>本集团在评估金融资产的合同现金流量是否与基本借贷安排相一致时，存在以下主要判断：本金是否可能因提前还款等原因</w:t>
      </w:r>
      <w:r>
        <w:rPr>
          <w:spacing w:val="-64"/>
        </w:rPr>
        <w:t> </w:t>
      </w:r>
      <w:r>
        <w:rPr>
          <w:spacing w:val="-64"/>
        </w:rPr>
      </w:r>
      <w:r>
        <w:rPr>
          <w:spacing w:val="-2"/>
        </w:rPr>
        <w:t>导致在存续期内的时间分布或者金额发生变动；利息是否仅包括货币时间价值、信用风险、其他基本借贷风险以及与成本和</w:t>
      </w:r>
    </w:p>
    <w:p>
      <w:pPr>
        <w:spacing w:after="0" w:line="316"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4"/>
        <w:ind w:right="1115"/>
        <w:jc w:val="left"/>
      </w:pPr>
      <w:r>
        <w:rPr>
          <w:spacing w:val="-2"/>
        </w:rPr>
        <w:t>利润的对价。例如，提前偿付的金额是否仅反映了尚未支付的本金及以未偿付本金为基础的利息，以及因提前终止合同而支</w:t>
      </w:r>
      <w:r>
        <w:rPr>
          <w:spacing w:val="-66"/>
        </w:rPr>
        <w:t> </w:t>
      </w:r>
      <w:r>
        <w:rPr>
          <w:spacing w:val="-66"/>
        </w:rPr>
      </w:r>
      <w:r>
        <w:rPr/>
        <w:t>付的合理补偿。</w:t>
      </w:r>
    </w:p>
    <w:p>
      <w:pPr>
        <w:pStyle w:val="BodyText"/>
        <w:spacing w:line="316" w:lineRule="auto" w:before="17"/>
        <w:ind w:right="1034"/>
        <w:jc w:val="left"/>
      </w:pPr>
      <w:r>
        <w:rPr/>
        <w:t>② 应收账款预期信用损失的计量 </w:t>
      </w:r>
      <w:r>
        <w:rPr>
          <w:spacing w:val="-2"/>
        </w:rPr>
        <w:t>本集团通过应收账款违约风险敞口和预期信用损失率计算应收账款预期信用损失，并基于违约概率和违约损失率确定预期信</w:t>
      </w:r>
      <w:r>
        <w:rPr>
          <w:spacing w:val="-64"/>
        </w:rPr>
        <w:t> </w:t>
      </w:r>
      <w:r>
        <w:rPr>
          <w:spacing w:val="-64"/>
        </w:rPr>
      </w:r>
      <w:r>
        <w:rPr>
          <w:spacing w:val="-2"/>
        </w:rPr>
        <w:t>用损失率。在确定预期信用损失率时，本集团使用内部历史信用损失经验等数据，并结合当前状况和前瞻性信息对历史数据</w:t>
      </w:r>
      <w:r>
        <w:rPr>
          <w:spacing w:val="-63"/>
        </w:rPr>
        <w:t> </w:t>
      </w:r>
      <w:r>
        <w:rPr>
          <w:spacing w:val="-63"/>
        </w:rPr>
      </w:r>
      <w:r>
        <w:rPr/>
        <w:t>进行调整。在考虑前瞻性信息时，本集团使用的指标包括经济下滑的风险、外部市场环境、技术环境和客户情况的变化等。</w:t>
      </w:r>
      <w:r>
        <w:rPr>
          <w:spacing w:val="-86"/>
        </w:rPr>
        <w:t> </w:t>
      </w:r>
      <w:r>
        <w:rPr>
          <w:spacing w:val="-86"/>
        </w:rPr>
      </w:r>
      <w:r>
        <w:rPr/>
        <w:t>本集团定期监控并复核与预期信用损失计算相关的假设。</w:t>
      </w:r>
    </w:p>
    <w:p>
      <w:pPr>
        <w:pStyle w:val="BodyText"/>
        <w:spacing w:line="316" w:lineRule="auto" w:before="19"/>
        <w:ind w:right="1115"/>
        <w:jc w:val="left"/>
      </w:pPr>
      <w:r>
        <w:rPr/>
        <w:t>③</w:t>
      </w:r>
      <w:r>
        <w:rPr>
          <w:spacing w:val="89"/>
        </w:rPr>
        <w:t> </w:t>
      </w:r>
      <w:r>
        <w:rPr/>
        <w:t>固定资产、无形资产等资产的使用寿命</w:t>
      </w:r>
      <w:r>
        <w:rPr/>
        <w:t> </w:t>
      </w:r>
      <w:r>
        <w:rPr>
          <w:spacing w:val="-2"/>
        </w:rPr>
        <w:t>管理层需要对固定资产、无形资产等资产的使用寿命作出合理估计，该估计是建立在历史经验及对固定资产、无形资产等资</w:t>
      </w:r>
      <w:r>
        <w:rPr>
          <w:spacing w:val="-63"/>
        </w:rPr>
        <w:t> </w:t>
      </w:r>
      <w:r>
        <w:rPr>
          <w:spacing w:val="-63"/>
        </w:rPr>
      </w:r>
      <w:r>
        <w:rPr>
          <w:spacing w:val="-2"/>
        </w:rPr>
        <w:t>产的未来使用计划和预期的基础上的。本集团至少于每年年度终了，对固定资产、无形资产等资产的使用寿命和折旧方法进</w:t>
      </w:r>
      <w:r>
        <w:rPr>
          <w:spacing w:val="-66"/>
        </w:rPr>
        <w:t> </w:t>
      </w:r>
      <w:r>
        <w:rPr>
          <w:spacing w:val="-66"/>
        </w:rPr>
      </w:r>
      <w:r>
        <w:rPr/>
        <w:t>行复核，必要时进行调整。</w:t>
      </w:r>
    </w:p>
    <w:p>
      <w:pPr>
        <w:pStyle w:val="BodyText"/>
        <w:spacing w:line="316" w:lineRule="auto" w:before="19"/>
        <w:ind w:right="1115"/>
        <w:jc w:val="left"/>
      </w:pPr>
      <w:r>
        <w:rPr/>
        <w:t>④ 除金融资产之外的非流动资产减值 </w:t>
      </w:r>
      <w:r>
        <w:rPr>
          <w:spacing w:val="-2"/>
        </w:rPr>
        <w:t>本集团于资产负债表日对除金融资产之外的非流动资产判断是否存在可能发生减值的迹象，当存在迹象表明其账面金额不可</w:t>
      </w:r>
      <w:r>
        <w:rPr>
          <w:spacing w:val="-64"/>
        </w:rPr>
        <w:t> </w:t>
      </w:r>
      <w:r>
        <w:rPr>
          <w:spacing w:val="-64"/>
        </w:rPr>
      </w:r>
      <w:r>
        <w:rPr/>
        <w:t>收回时，进行减值测试。 </w:t>
      </w:r>
      <w:r>
        <w:rPr>
          <w:spacing w:val="-2"/>
        </w:rPr>
        <w:t>当资产或资产组的账面价值高于可收回金额，即公允价值减去处置费用后的净额和预计未来现金流量的现值中的较高者，表</w:t>
      </w:r>
      <w:r>
        <w:rPr>
          <w:spacing w:val="-63"/>
        </w:rPr>
        <w:t> </w:t>
      </w:r>
      <w:r>
        <w:rPr>
          <w:spacing w:val="-63"/>
        </w:rPr>
      </w:r>
      <w:r>
        <w:rPr/>
        <w:t>明发生了减值。 </w:t>
      </w:r>
      <w:r>
        <w:rPr>
          <w:spacing w:val="-2"/>
        </w:rPr>
        <w:t>公允价值减去处置费用后的净额，参考公平交易中类似资产的销售协议价格或可观察到的市场价格，减去可直接归属于该资</w:t>
      </w:r>
      <w:r>
        <w:rPr>
          <w:spacing w:val="-64"/>
        </w:rPr>
        <w:t> </w:t>
      </w:r>
      <w:r>
        <w:rPr>
          <w:spacing w:val="-64"/>
        </w:rPr>
      </w:r>
      <w:r>
        <w:rPr>
          <w:spacing w:val="-2"/>
        </w:rPr>
        <w:t>产处置的增量成本确定。在预计未来现金流量现值时，管理层须估计该项资产或资产组的预计未来现金流量，并选择恰当的</w:t>
      </w:r>
      <w:r>
        <w:rPr>
          <w:spacing w:val="-63"/>
        </w:rPr>
        <w:t> </w:t>
      </w:r>
      <w:r>
        <w:rPr>
          <w:spacing w:val="-63"/>
        </w:rPr>
      </w:r>
      <w:r>
        <w:rPr/>
        <w:t>折现率确定未来现金流量的现值。</w:t>
      </w:r>
    </w:p>
    <w:p>
      <w:pPr>
        <w:pStyle w:val="BodyText"/>
        <w:spacing w:line="316" w:lineRule="auto" w:before="19"/>
        <w:ind w:right="1115"/>
        <w:jc w:val="left"/>
      </w:pPr>
      <w:r>
        <w:rPr/>
        <w:t>⑤ 商誉减值 </w:t>
      </w:r>
      <w:r>
        <w:rPr>
          <w:spacing w:val="-2"/>
        </w:rPr>
        <w:t>本集团至少每年评估商誉是否发生减值。这要求对分配了商誉的资产组的使用价值进行估计。估计使用价值时，本集团需要</w:t>
      </w:r>
      <w:r>
        <w:rPr>
          <w:spacing w:val="-66"/>
        </w:rPr>
        <w:t> </w:t>
      </w:r>
      <w:r>
        <w:rPr>
          <w:spacing w:val="-66"/>
        </w:rPr>
      </w:r>
      <w:r>
        <w:rPr/>
        <w:t>估计未来来自资产组的现金流量，同时选择恰当的折现率计算未来现金流量的现值。</w:t>
      </w:r>
    </w:p>
    <w:p>
      <w:pPr>
        <w:pStyle w:val="BodyText"/>
        <w:spacing w:line="316" w:lineRule="auto" w:before="19"/>
        <w:ind w:right="1574"/>
        <w:jc w:val="left"/>
      </w:pPr>
      <w:r>
        <w:rPr/>
        <w:t>⑥ 开发支出 确定资本化的金额时，管理层必须做出有关资产的预期未来现金的产生、应采用的折现率以及预计受益期间的假设。</w:t>
      </w:r>
    </w:p>
    <w:p>
      <w:pPr>
        <w:pStyle w:val="BodyText"/>
        <w:spacing w:line="316" w:lineRule="auto" w:before="19"/>
        <w:ind w:right="1115"/>
        <w:jc w:val="left"/>
      </w:pPr>
      <w:r>
        <w:rPr/>
        <w:t>⑦ 递延所得税资产 </w:t>
      </w:r>
      <w:r>
        <w:rPr>
          <w:spacing w:val="-2"/>
        </w:rPr>
        <w:t>在很有可能有足够的应纳税利润来抵扣亏损的限度内，应就所有未利用的税务亏损确认递延所得税资产。这需要管理层运用</w:t>
      </w:r>
      <w:r>
        <w:rPr>
          <w:spacing w:val="-64"/>
        </w:rPr>
        <w:t> </w:t>
      </w:r>
      <w:r>
        <w:rPr>
          <w:spacing w:val="-64"/>
        </w:rPr>
      </w:r>
      <w:r>
        <w:rPr/>
        <w:t>大量的判断来估计未来应纳税利润发生的时间和金额，结合纳税筹划策略，以决定应确认的递延所得税资产的金额。</w:t>
      </w:r>
    </w:p>
    <w:p>
      <w:pPr>
        <w:pStyle w:val="BodyText"/>
        <w:spacing w:line="316" w:lineRule="auto" w:before="19"/>
        <w:ind w:right="1115"/>
        <w:jc w:val="left"/>
      </w:pPr>
      <w:r>
        <w:rPr/>
        <w:t>⑧ 企业所得税 </w:t>
      </w:r>
      <w:r>
        <w:rPr>
          <w:spacing w:val="-2"/>
        </w:rPr>
        <w:t>本集团在正常的经营活动中，有部分交易其最终的税务处理和计算存在一定的不确定性，部分项目是否能够在税前列支需要</w:t>
      </w:r>
      <w:r>
        <w:rPr>
          <w:spacing w:val="-64"/>
        </w:rPr>
        <w:t> </w:t>
      </w:r>
      <w:r>
        <w:rPr>
          <w:spacing w:val="-64"/>
        </w:rPr>
      </w:r>
      <w:r>
        <w:rPr>
          <w:spacing w:val="-2"/>
        </w:rPr>
        <w:t>税收主管机关的审批。如果这些税务事项的最终认定结果同最初入账的金额存在差异，则该差异将对其最终认定期间的当期</w:t>
      </w:r>
      <w:r>
        <w:rPr>
          <w:spacing w:val="-63"/>
        </w:rPr>
        <w:t> </w:t>
      </w:r>
      <w:r>
        <w:rPr>
          <w:spacing w:val="-63"/>
        </w:rPr>
      </w:r>
      <w:r>
        <w:rPr/>
        <w:t>所得税和递延所得税产生影响。</w:t>
      </w:r>
    </w:p>
    <w:p>
      <w:pPr>
        <w:pStyle w:val="BodyText"/>
        <w:spacing w:line="319" w:lineRule="auto" w:before="19"/>
        <w:ind w:right="1115"/>
        <w:jc w:val="left"/>
      </w:pPr>
      <w:r>
        <w:rPr/>
        <w:t>⑨ 未上市权益投资的公允价值确定 </w:t>
      </w:r>
      <w:r>
        <w:rPr>
          <w:spacing w:val="-2"/>
        </w:rPr>
        <w:t>未上市的权益投资的公允价值是根据具有类似条款和风险特征的项目当前折现率折现的预计未来现金流量。这种估价要求本</w:t>
      </w:r>
      <w:r>
        <w:rPr>
          <w:spacing w:val="-64"/>
        </w:rPr>
        <w:t> </w:t>
      </w:r>
      <w:r>
        <w:rPr>
          <w:spacing w:val="-64"/>
        </w:rPr>
      </w:r>
      <w:r>
        <w:rPr>
          <w:spacing w:val="-2"/>
        </w:rPr>
        <w:t>集团估计预期未来现金流量和折现率，因此具有不确定性。在有限情况下，如果用以确定公允价值的信息不足，或者公允价</w:t>
      </w:r>
      <w:r>
        <w:rPr>
          <w:spacing w:val="-64"/>
        </w:rPr>
        <w:t> </w:t>
      </w:r>
      <w:r>
        <w:rPr>
          <w:spacing w:val="-64"/>
        </w:rPr>
      </w:r>
      <w:r>
        <w:rPr>
          <w:spacing w:val="-2"/>
        </w:rPr>
        <w:t>值的可能估计金额分布范围很广，而成本代表了该范围内对公允价值的最佳估计的，该成本可代表其在该分布范围内对公允</w:t>
      </w:r>
      <w:r>
        <w:rPr>
          <w:spacing w:val="-64"/>
        </w:rPr>
        <w:t> </w:t>
      </w:r>
      <w:r>
        <w:rPr>
          <w:spacing w:val="-64"/>
        </w:rPr>
      </w:r>
      <w:r>
        <w:rPr/>
        <w:t>价值的恰当估计。</w:t>
      </w:r>
    </w:p>
    <w:p>
      <w:pPr>
        <w:spacing w:line="240" w:lineRule="auto" w:before="9"/>
        <w:rPr>
          <w:rFonts w:ascii="宋体" w:hAnsi="宋体" w:cs="宋体" w:eastAsia="宋体" w:hint="default"/>
          <w:sz w:val="22"/>
          <w:szCs w:val="22"/>
        </w:rPr>
      </w:pPr>
    </w:p>
    <w:p>
      <w:pPr>
        <w:pStyle w:val="Heading3"/>
        <w:spacing w:line="240" w:lineRule="auto"/>
        <w:ind w:right="1115"/>
        <w:jc w:val="left"/>
        <w:rPr>
          <w:b w:val="0"/>
          <w:bCs w:val="0"/>
        </w:rPr>
      </w:pPr>
      <w:bookmarkStart w:name="32、重要会计政策和会计估计变更" w:id="209"/>
      <w:bookmarkEnd w:id="209"/>
      <w:r>
        <w:rPr>
          <w:b w:val="0"/>
          <w:bCs w:val="0"/>
        </w:rPr>
      </w:r>
      <w:r>
        <w:rPr>
          <w:rFonts w:ascii="Times New Roman" w:hAnsi="Times New Roman" w:cs="Times New Roman" w:eastAsia="Times New Roman" w:hint="default"/>
        </w:rPr>
        <w:t>32</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5"/>
        <w:jc w:val="left"/>
        <w:rPr>
          <w:b w:val="0"/>
          <w:bCs w:val="0"/>
        </w:rPr>
      </w:pPr>
      <w:bookmarkStart w:name="（1）重要会计政策变更" w:id="210"/>
      <w:bookmarkEnd w:id="210"/>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487"/>
        <w:gridCol w:w="1562"/>
        <w:gridCol w:w="1520"/>
      </w:tblGrid>
      <w:tr>
        <w:trPr>
          <w:trHeight w:val="401" w:hRule="exact"/>
        </w:trPr>
        <w:tc>
          <w:tcPr>
            <w:tcW w:w="6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59"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6489"/>
        <w:gridCol w:w="1561"/>
        <w:gridCol w:w="1522"/>
      </w:tblGrid>
      <w:tr>
        <w:trPr>
          <w:trHeight w:val="1337" w:hRule="exact"/>
        </w:trPr>
        <w:tc>
          <w:tcPr>
            <w:tcW w:w="64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日起执行新金融工具准则。新金融工具准则要求根据管理金融资产 </w:t>
            </w:r>
            <w:r>
              <w:rPr>
                <w:rFonts w:ascii="宋体" w:hAnsi="宋体" w:cs="宋体" w:eastAsia="宋体" w:hint="default"/>
                <w:spacing w:val="-5"/>
                <w:sz w:val="18"/>
                <w:szCs w:val="18"/>
              </w:rPr>
              <w:t>的业务模式和金融资产的合同现金流量特征，将金融资产划分为以下三类：（</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）以</w:t>
            </w:r>
            <w:r>
              <w:rPr>
                <w:rFonts w:ascii="宋体" w:hAnsi="宋体" w:cs="宋体" w:eastAsia="宋体" w:hint="default"/>
                <w:spacing w:val="-62"/>
                <w:sz w:val="18"/>
                <w:szCs w:val="18"/>
              </w:rPr>
              <w:t> </w:t>
            </w:r>
            <w:r>
              <w:rPr>
                <w:rFonts w:ascii="宋体" w:hAnsi="宋体" w:cs="宋体" w:eastAsia="宋体" w:hint="default"/>
                <w:spacing w:val="-4"/>
                <w:sz w:val="18"/>
                <w:szCs w:val="18"/>
              </w:rPr>
              <w:t>摊余成本计量的金融资产；（</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）以公允价值计量且其变动计入其他综合收益的金融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资产；（</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）以公允价值计量且其变动计入当期损益的金融资产。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董事会</w:t>
            </w: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6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资产负债表，将</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；将</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董事会</w:t>
            </w:r>
          </w:p>
        </w:tc>
        <w:tc>
          <w:tcPr>
            <w:tcW w:w="152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04" w:lineRule="auto" w:before="8"/>
        <w:ind w:right="1115"/>
        <w:jc w:val="left"/>
      </w:pPr>
      <w:r>
        <w:rPr/>
        <w:t>① 新金融工具准则 </w:t>
      </w:r>
      <w:r>
        <w:rPr>
          <w:spacing w:val="-2"/>
        </w:rPr>
        <w:t>财政部于</w:t>
      </w:r>
      <w:r>
        <w:rPr>
          <w:rFonts w:ascii="Times New Roman" w:hAnsi="Times New Roman" w:cs="Times New Roman" w:eastAsia="Times New Roman" w:hint="default"/>
          <w:spacing w:val="-2"/>
        </w:rPr>
        <w:t>2017</w:t>
      </w:r>
      <w:r>
        <w:rPr>
          <w:spacing w:val="-2"/>
        </w:rPr>
        <w:t>年颁布了《企业会计准则第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金融工具确认和计量（修订）》、《企业会计准则第</w:t>
      </w:r>
      <w:r>
        <w:rPr>
          <w:rFonts w:ascii="Times New Roman" w:hAnsi="Times New Roman" w:cs="Times New Roman" w:eastAsia="Times New Roman" w:hint="default"/>
          <w:spacing w:val="-2"/>
        </w:rPr>
        <w:t>23</w:t>
      </w:r>
      <w:r>
        <w:rPr>
          <w:spacing w:val="-2"/>
        </w:rPr>
        <w:t>号</w:t>
      </w:r>
      <w:r>
        <w:rPr>
          <w:rFonts w:ascii="Times New Roman" w:hAnsi="Times New Roman" w:cs="Times New Roman" w:eastAsia="Times New Roman" w:hint="default"/>
          <w:spacing w:val="-2"/>
        </w:rPr>
        <w:t>——</w:t>
      </w:r>
      <w:r>
        <w:rPr>
          <w:spacing w:val="-2"/>
        </w:rPr>
        <w:t>金融资产转</w:t>
      </w:r>
      <w:r>
        <w:rPr>
          <w:spacing w:val="-62"/>
        </w:rPr>
        <w:t> </w:t>
      </w:r>
      <w:r>
        <w:rPr>
          <w:spacing w:val="-62"/>
        </w:rPr>
      </w:r>
      <w:r>
        <w:rPr>
          <w:spacing w:val="-2"/>
        </w:rPr>
        <w:t>移（修订）》、《企业会计准则第</w:t>
      </w:r>
      <w:r>
        <w:rPr>
          <w:rFonts w:ascii="Times New Roman" w:hAnsi="Times New Roman" w:cs="Times New Roman" w:eastAsia="Times New Roman" w:hint="default"/>
          <w:spacing w:val="-2"/>
        </w:rPr>
        <w:t>24</w:t>
      </w:r>
      <w:r>
        <w:rPr>
          <w:spacing w:val="-2"/>
        </w:rPr>
        <w:t>号</w:t>
      </w:r>
      <w:r>
        <w:rPr>
          <w:rFonts w:ascii="Times New Roman" w:hAnsi="Times New Roman" w:cs="Times New Roman" w:eastAsia="Times New Roman" w:hint="default"/>
          <w:spacing w:val="-2"/>
        </w:rPr>
        <w:t>——</w:t>
      </w:r>
      <w:r>
        <w:rPr>
          <w:spacing w:val="-2"/>
        </w:rPr>
        <w:t>套期会计（修订）》及《企业会计准则第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金融工具列报（修订）》（统</w:t>
      </w:r>
      <w:r>
        <w:rPr>
          <w:spacing w:val="-71"/>
        </w:rPr>
        <w:t> </w:t>
      </w:r>
      <w:r>
        <w:rPr>
          <w:spacing w:val="-71"/>
        </w:rPr>
      </w:r>
      <w:r>
        <w:rPr>
          <w:spacing w:val="-2"/>
        </w:rPr>
        <w:t>称</w:t>
      </w:r>
      <w:r>
        <w:rPr>
          <w:rFonts w:ascii="Times New Roman" w:hAnsi="Times New Roman" w:cs="Times New Roman" w:eastAsia="Times New Roman" w:hint="default"/>
          <w:spacing w:val="-2"/>
        </w:rPr>
        <w:t>“</w:t>
      </w:r>
      <w:r>
        <w:rPr>
          <w:spacing w:val="-2"/>
        </w:rPr>
        <w:t>新金融工具准则</w:t>
      </w:r>
      <w:r>
        <w:rPr>
          <w:rFonts w:ascii="Times New Roman" w:hAnsi="Times New Roman" w:cs="Times New Roman" w:eastAsia="Times New Roman" w:hint="default"/>
          <w:spacing w:val="-2"/>
        </w:rPr>
        <w:t>”</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日，金融资产按照原金融工具准则和新金融工具准则的规定进行分类和计量的结</w:t>
      </w:r>
      <w:r>
        <w:rPr>
          <w:spacing w:val="-43"/>
        </w:rPr>
        <w:t> </w:t>
      </w:r>
      <w:r>
        <w:rPr>
          <w:spacing w:val="-43"/>
        </w:rPr>
      </w:r>
      <w:r>
        <w:rPr/>
        <w:t>果对比如下：</w:t>
      </w:r>
    </w:p>
    <w:p>
      <w:pPr>
        <w:pStyle w:val="BodyText"/>
        <w:spacing w:line="240" w:lineRule="auto" w:before="68"/>
        <w:ind w:left="0" w:right="1131"/>
        <w:jc w:val="right"/>
      </w:pPr>
      <w:r>
        <w:rPr/>
        <w:t>单位：元</w:t>
      </w:r>
    </w:p>
    <w:p>
      <w:pPr>
        <w:spacing w:line="240" w:lineRule="auto" w:before="0"/>
        <w:rPr>
          <w:rFonts w:ascii="宋体" w:hAnsi="宋体" w:cs="宋体" w:eastAsia="宋体" w:hint="default"/>
          <w:sz w:val="9"/>
          <w:szCs w:val="9"/>
        </w:rPr>
      </w:pPr>
    </w:p>
    <w:tbl>
      <w:tblPr>
        <w:tblW w:w="0" w:type="auto"/>
        <w:jc w:val="left"/>
        <w:tblInd w:w="157" w:type="dxa"/>
        <w:tblLayout w:type="fixed"/>
        <w:tblCellMar>
          <w:top w:w="0" w:type="dxa"/>
          <w:left w:w="0" w:type="dxa"/>
          <w:bottom w:w="0" w:type="dxa"/>
          <w:right w:w="0" w:type="dxa"/>
        </w:tblCellMar>
        <w:tblLook w:val="01E0"/>
      </w:tblPr>
      <w:tblGrid>
        <w:gridCol w:w="1688"/>
        <w:gridCol w:w="1275"/>
        <w:gridCol w:w="1303"/>
        <w:gridCol w:w="1817"/>
        <w:gridCol w:w="1985"/>
        <w:gridCol w:w="1553"/>
      </w:tblGrid>
      <w:tr>
        <w:trPr>
          <w:trHeight w:val="328" w:hRule="exact"/>
        </w:trPr>
        <w:tc>
          <w:tcPr>
            <w:tcW w:w="4266"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原金融工具准则</w:t>
            </w:r>
          </w:p>
        </w:tc>
        <w:tc>
          <w:tcPr>
            <w:tcW w:w="5355"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3"/>
              <w:jc w:val="center"/>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346" w:hRule="exact"/>
        </w:trPr>
        <w:tc>
          <w:tcPr>
            <w:tcW w:w="16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类别</w:t>
            </w:r>
          </w:p>
        </w:tc>
        <w:tc>
          <w:tcPr>
            <w:tcW w:w="13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28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41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655" w:hRule="exact"/>
        </w:trPr>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3"/>
              <w:jc w:val="left"/>
              <w:rPr>
                <w:rFonts w:ascii="宋体" w:hAnsi="宋体" w:cs="宋体" w:eastAsia="宋体" w:hint="default"/>
                <w:sz w:val="18"/>
                <w:szCs w:val="18"/>
              </w:rPr>
            </w:pPr>
            <w:r>
              <w:rPr>
                <w:rFonts w:ascii="宋体" w:hAnsi="宋体" w:cs="宋体" w:eastAsia="宋体" w:hint="default"/>
                <w:sz w:val="18"/>
                <w:szCs w:val="18"/>
              </w:rPr>
              <w:t>以成本计量（权 益工具）</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6,998,002.94</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66"/>
              <w:jc w:val="left"/>
              <w:rPr>
                <w:rFonts w:ascii="宋体" w:hAnsi="宋体" w:cs="宋体" w:eastAsia="宋体" w:hint="default"/>
                <w:sz w:val="18"/>
                <w:szCs w:val="18"/>
              </w:rPr>
            </w:pPr>
            <w:r>
              <w:rPr>
                <w:rFonts w:ascii="宋体" w:hAnsi="宋体" w:cs="宋体" w:eastAsia="宋体" w:hint="default"/>
                <w:sz w:val="18"/>
                <w:szCs w:val="18"/>
              </w:rPr>
              <w:t>以公允价值计量且其变 动计入当期损益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6,552,904.16</w:t>
            </w:r>
          </w:p>
        </w:tc>
      </w:tr>
      <w:tr>
        <w:trPr>
          <w:trHeight w:val="341" w:hRule="exact"/>
        </w:trPr>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11,928,010.71</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11,928,010.71</w:t>
            </w:r>
          </w:p>
        </w:tc>
      </w:tr>
      <w:tr>
        <w:trPr>
          <w:trHeight w:val="343" w:hRule="exact"/>
        </w:trPr>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517,590,825.75</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516,451,081.20</w:t>
            </w:r>
          </w:p>
        </w:tc>
      </w:tr>
      <w:tr>
        <w:trPr>
          <w:trHeight w:val="341" w:hRule="exact"/>
        </w:trPr>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应收保理款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130,125,330.00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应收保理款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129,632,749.66</w:t>
            </w:r>
          </w:p>
        </w:tc>
      </w:tr>
      <w:tr>
        <w:trPr>
          <w:trHeight w:val="343" w:hRule="exact"/>
        </w:trPr>
        <w:tc>
          <w:tcPr>
            <w:tcW w:w="16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79,152,699.71</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75,351,410.85</w:t>
            </w:r>
          </w:p>
        </w:tc>
      </w:tr>
      <w:tr>
        <w:trPr>
          <w:trHeight w:val="341" w:hRule="exact"/>
        </w:trPr>
        <w:tc>
          <w:tcPr>
            <w:tcW w:w="1688"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应收保理款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2,216,029.98</w:t>
            </w:r>
          </w:p>
        </w:tc>
      </w:tr>
      <w:tr>
        <w:trPr>
          <w:trHeight w:val="656" w:hRule="exact"/>
        </w:trPr>
        <w:tc>
          <w:tcPr>
            <w:tcW w:w="1688"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303" w:type="dxa"/>
            <w:vMerge/>
            <w:tcBorders>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7" w:right="2"/>
              <w:jc w:val="left"/>
              <w:rPr>
                <w:rFonts w:ascii="宋体" w:hAnsi="宋体" w:cs="宋体" w:eastAsia="宋体" w:hint="default"/>
                <w:sz w:val="18"/>
                <w:szCs w:val="18"/>
              </w:rPr>
            </w:pPr>
            <w:r>
              <w:rPr>
                <w:rFonts w:ascii="宋体" w:hAnsi="宋体" w:cs="宋体" w:eastAsia="宋体" w:hint="default"/>
                <w:spacing w:val="16"/>
                <w:sz w:val="18"/>
                <w:szCs w:val="18"/>
              </w:rPr>
              <w:t>以公允价值计量且其变</w:t>
            </w:r>
            <w:r>
              <w:rPr>
                <w:rFonts w:ascii="宋体" w:hAnsi="宋体" w:cs="宋体" w:eastAsia="宋体" w:hint="default"/>
                <w:sz w:val="18"/>
                <w:szCs w:val="18"/>
              </w:rPr>
              <w:t> 动计入当期损益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418,500.00</w:t>
            </w:r>
          </w:p>
        </w:tc>
      </w:tr>
      <w:tr>
        <w:trPr>
          <w:trHeight w:val="655" w:hRule="exact"/>
        </w:trPr>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437,000,000.00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66"/>
              <w:jc w:val="left"/>
              <w:rPr>
                <w:rFonts w:ascii="宋体" w:hAnsi="宋体" w:cs="宋体" w:eastAsia="宋体" w:hint="default"/>
                <w:sz w:val="18"/>
                <w:szCs w:val="18"/>
              </w:rPr>
            </w:pPr>
            <w:r>
              <w:rPr>
                <w:rFonts w:ascii="宋体" w:hAnsi="宋体" w:cs="宋体" w:eastAsia="宋体" w:hint="default"/>
                <w:sz w:val="18"/>
                <w:szCs w:val="18"/>
              </w:rPr>
              <w:t>以公允价值计量且其变 动计入当期损益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437,000,000.00</w:t>
            </w:r>
          </w:p>
        </w:tc>
      </w:tr>
    </w:tbl>
    <w:p>
      <w:pPr>
        <w:pStyle w:val="BodyText"/>
        <w:spacing w:line="240" w:lineRule="auto" w:before="8"/>
        <w:ind w:right="1115"/>
        <w:jc w:val="left"/>
      </w:pP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日，执行新金融工具准则时金融工具分类和账面价值调节表如下：</w:t>
      </w:r>
    </w:p>
    <w:p>
      <w:pPr>
        <w:pStyle w:val="BodyText"/>
        <w:spacing w:line="240" w:lineRule="auto" w:before="103"/>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970"/>
        <w:gridCol w:w="2059"/>
        <w:gridCol w:w="1512"/>
        <w:gridCol w:w="1287"/>
        <w:gridCol w:w="1831"/>
      </w:tblGrid>
      <w:tr>
        <w:trPr>
          <w:trHeight w:val="653" w:hRule="exact"/>
        </w:trPr>
        <w:tc>
          <w:tcPr>
            <w:tcW w:w="29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调整前账面金额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5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2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8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283" w:right="0"/>
              <w:jc w:val="left"/>
              <w:rPr>
                <w:rFonts w:ascii="宋体" w:hAnsi="宋体" w:cs="宋体" w:eastAsia="宋体" w:hint="default"/>
                <w:sz w:val="18"/>
                <w:szCs w:val="18"/>
              </w:rPr>
            </w:pPr>
            <w:r>
              <w:rPr>
                <w:rFonts w:ascii="宋体" w:hAnsi="宋体" w:cs="宋体" w:eastAsia="宋体" w:hint="default"/>
                <w:sz w:val="18"/>
                <w:szCs w:val="18"/>
              </w:rPr>
              <w:t>调整后账面金额</w:t>
            </w:r>
          </w:p>
          <w:p>
            <w:pPr>
              <w:pStyle w:val="TableParagraph"/>
              <w:spacing w:line="240" w:lineRule="auto" w:before="76"/>
              <w:ind w:left="19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343" w:hRule="exact"/>
        </w:trPr>
        <w:tc>
          <w:tcPr>
            <w:tcW w:w="9660"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341" w:hRule="exact"/>
        </w:trPr>
        <w:tc>
          <w:tcPr>
            <w:tcW w:w="2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437,418,500.00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437,418,500.00</w:t>
            </w:r>
          </w:p>
        </w:tc>
      </w:tr>
      <w:tr>
        <w:trPr>
          <w:trHeight w:val="343" w:hRule="exact"/>
        </w:trPr>
        <w:tc>
          <w:tcPr>
            <w:tcW w:w="2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11,928,010.71</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11,928,010.71</w:t>
            </w:r>
          </w:p>
        </w:tc>
      </w:tr>
      <w:tr>
        <w:trPr>
          <w:trHeight w:val="341" w:hRule="exact"/>
        </w:trPr>
        <w:tc>
          <w:tcPr>
            <w:tcW w:w="2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517,590,825.75</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-1,139,744.55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516,451,081.20</w:t>
            </w:r>
          </w:p>
        </w:tc>
      </w:tr>
      <w:tr>
        <w:trPr>
          <w:trHeight w:val="343" w:hRule="exact"/>
        </w:trPr>
        <w:tc>
          <w:tcPr>
            <w:tcW w:w="2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应收保理款</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130,125,330.00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2,216,029.98</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-492,580.34</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131,848,779.64</w:t>
            </w:r>
          </w:p>
        </w:tc>
      </w:tr>
      <w:tr>
        <w:trPr>
          <w:trHeight w:val="341" w:hRule="exact"/>
        </w:trPr>
        <w:tc>
          <w:tcPr>
            <w:tcW w:w="2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79,152,699.71</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-2,634,529.98</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-1,166,758.88</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75,351,410.85</w:t>
            </w:r>
          </w:p>
        </w:tc>
      </w:tr>
      <w:tr>
        <w:trPr>
          <w:trHeight w:val="343" w:hRule="exact"/>
        </w:trPr>
        <w:tc>
          <w:tcPr>
            <w:tcW w:w="2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446,058,173.02</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-437,000,000.00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9,058,173.02</w:t>
            </w:r>
          </w:p>
        </w:tc>
      </w:tr>
      <w:tr>
        <w:trPr>
          <w:trHeight w:val="341" w:hRule="exact"/>
        </w:trPr>
        <w:tc>
          <w:tcPr>
            <w:tcW w:w="2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6,998,002.94</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-6,998,002.94</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6,998,002.94</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-445,098.78</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6,552,904.16</w:t>
            </w:r>
          </w:p>
        </w:tc>
      </w:tr>
      <w:tr>
        <w:trPr>
          <w:trHeight w:val="341" w:hRule="exact"/>
        </w:trPr>
        <w:tc>
          <w:tcPr>
            <w:tcW w:w="2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9,882,375.71</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273,530.24</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10,155,905.95</w:t>
            </w:r>
          </w:p>
        </w:tc>
      </w:tr>
      <w:tr>
        <w:trPr>
          <w:trHeight w:val="338" w:hRule="exact"/>
        </w:trPr>
        <w:tc>
          <w:tcPr>
            <w:tcW w:w="9660"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负债：</w:t>
            </w:r>
          </w:p>
        </w:tc>
      </w:tr>
      <w:tr>
        <w:trPr>
          <w:trHeight w:val="348" w:hRule="exact"/>
        </w:trPr>
        <w:tc>
          <w:tcPr>
            <w:tcW w:w="297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05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134,820,300.00</w:t>
            </w:r>
          </w:p>
        </w:tc>
        <w:tc>
          <w:tcPr>
            <w:tcW w:w="151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190,227.52</w:t>
            </w:r>
          </w:p>
        </w:tc>
        <w:tc>
          <w:tcPr>
            <w:tcW w:w="128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3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135,010,527.52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2970"/>
        <w:gridCol w:w="2059"/>
        <w:gridCol w:w="1512"/>
        <w:gridCol w:w="1287"/>
        <w:gridCol w:w="1831"/>
      </w:tblGrid>
      <w:tr>
        <w:trPr>
          <w:trHeight w:val="653" w:hRule="exact"/>
        </w:trPr>
        <w:tc>
          <w:tcPr>
            <w:tcW w:w="29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调整前账面金额</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5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2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8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283" w:right="0"/>
              <w:jc w:val="left"/>
              <w:rPr>
                <w:rFonts w:ascii="宋体" w:hAnsi="宋体" w:cs="宋体" w:eastAsia="宋体" w:hint="default"/>
                <w:sz w:val="18"/>
                <w:szCs w:val="18"/>
              </w:rPr>
            </w:pPr>
            <w:r>
              <w:rPr>
                <w:rFonts w:ascii="宋体" w:hAnsi="宋体" w:cs="宋体" w:eastAsia="宋体" w:hint="default"/>
                <w:sz w:val="18"/>
                <w:szCs w:val="18"/>
              </w:rPr>
              <w:t>调整后账面金额</w:t>
            </w:r>
          </w:p>
          <w:p>
            <w:pPr>
              <w:pStyle w:val="TableParagraph"/>
              <w:spacing w:line="240" w:lineRule="auto" w:before="77"/>
              <w:ind w:left="19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343" w:hRule="exact"/>
        </w:trPr>
        <w:tc>
          <w:tcPr>
            <w:tcW w:w="2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626,829,746.13</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-2,457,701.65</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624,372,044.48</w:t>
            </w:r>
          </w:p>
        </w:tc>
      </w:tr>
      <w:tr>
        <w:trPr>
          <w:trHeight w:val="341" w:hRule="exact"/>
        </w:trPr>
        <w:tc>
          <w:tcPr>
            <w:tcW w:w="2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一年内到期的其他非流动负债</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2,267,474.13</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2,267,474.13</w:t>
            </w:r>
          </w:p>
        </w:tc>
      </w:tr>
      <w:tr>
        <w:trPr>
          <w:trHeight w:val="338" w:hRule="exact"/>
        </w:trPr>
        <w:tc>
          <w:tcPr>
            <w:tcW w:w="9660"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股东权益：</w:t>
            </w:r>
          </w:p>
        </w:tc>
      </w:tr>
      <w:tr>
        <w:trPr>
          <w:trHeight w:val="346" w:hRule="exact"/>
        </w:trPr>
        <w:tc>
          <w:tcPr>
            <w:tcW w:w="297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05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-34,386,587.17</w:t>
            </w:r>
          </w:p>
        </w:tc>
        <w:tc>
          <w:tcPr>
            <w:tcW w:w="151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-2,955,611.87</w:t>
            </w:r>
          </w:p>
        </w:tc>
        <w:tc>
          <w:tcPr>
            <w:tcW w:w="183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-37,342,199.04</w:t>
            </w:r>
          </w:p>
        </w:tc>
      </w:tr>
      <w:tr>
        <w:trPr>
          <w:trHeight w:val="343" w:hRule="exact"/>
        </w:trPr>
        <w:tc>
          <w:tcPr>
            <w:tcW w:w="2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32,740,644.85</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-15,040.44</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32,725,604.41</w:t>
            </w:r>
          </w:p>
        </w:tc>
      </w:tr>
    </w:tbl>
    <w:p>
      <w:pPr>
        <w:pStyle w:val="BodyText"/>
        <w:spacing w:line="300" w:lineRule="auto" w:before="8"/>
        <w:ind w:right="1115"/>
        <w:jc w:val="left"/>
      </w:pPr>
      <w:r>
        <w:rPr/>
        <w:t>本集团将根据原金融工具准则计量的</w:t>
      </w:r>
      <w:r>
        <w:rPr>
          <w:rFonts w:ascii="Times New Roman" w:hAnsi="Times New Roman" w:cs="Times New Roman" w:eastAsia="Times New Roman" w:hint="default"/>
        </w:rPr>
        <w:t>2018</w:t>
      </w:r>
      <w:r>
        <w:rPr/>
        <w:t>年年末损失准备与根据新金融工具准则确定的</w:t>
      </w:r>
      <w:r>
        <w:rPr>
          <w:rFonts w:ascii="Times New Roman" w:hAnsi="Times New Roman" w:cs="Times New Roman" w:eastAsia="Times New Roman" w:hint="default"/>
        </w:rPr>
        <w:t>2019</w:t>
      </w:r>
      <w:r>
        <w:rPr/>
        <w:t>年年初损失准备之间的调节表</w:t>
      </w:r>
      <w:r>
        <w:rPr>
          <w:spacing w:val="-6"/>
        </w:rPr>
        <w:t> </w:t>
      </w:r>
      <w:r>
        <w:rPr>
          <w:spacing w:val="-6"/>
        </w:rPr>
      </w:r>
      <w:r>
        <w:rPr/>
        <w:t>列示如下：</w:t>
      </w:r>
    </w:p>
    <w:p>
      <w:pPr>
        <w:pStyle w:val="BodyText"/>
        <w:spacing w:line="240" w:lineRule="auto" w:before="72"/>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530"/>
        <w:gridCol w:w="2528"/>
        <w:gridCol w:w="864"/>
        <w:gridCol w:w="1488"/>
        <w:gridCol w:w="2249"/>
      </w:tblGrid>
      <w:tr>
        <w:trPr>
          <w:trHeight w:val="655" w:hRule="exact"/>
        </w:trPr>
        <w:tc>
          <w:tcPr>
            <w:tcW w:w="25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25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调整前账面金额</w:t>
            </w:r>
          </w:p>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4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22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left="490" w:right="0"/>
              <w:jc w:val="left"/>
              <w:rPr>
                <w:rFonts w:ascii="宋体" w:hAnsi="宋体" w:cs="宋体" w:eastAsia="宋体" w:hint="default"/>
                <w:sz w:val="18"/>
                <w:szCs w:val="18"/>
              </w:rPr>
            </w:pPr>
            <w:r>
              <w:rPr>
                <w:rFonts w:ascii="宋体" w:hAnsi="宋体" w:cs="宋体" w:eastAsia="宋体" w:hint="default"/>
                <w:sz w:val="18"/>
                <w:szCs w:val="18"/>
              </w:rPr>
              <w:t>调整后账面金额</w:t>
            </w:r>
          </w:p>
          <w:p>
            <w:pPr>
              <w:pStyle w:val="TableParagraph"/>
              <w:spacing w:line="240" w:lineRule="auto" w:before="77"/>
              <w:ind w:left="39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341"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应收账款减值准备</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20,709,555.57</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1,139,744.55</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21,849,300.12</w:t>
            </w:r>
          </w:p>
        </w:tc>
      </w:tr>
      <w:tr>
        <w:trPr>
          <w:trHeight w:val="343"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其他应收款减值准备</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17,669,599.32</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1,166,758.88</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18,836,358.20</w:t>
            </w:r>
          </w:p>
        </w:tc>
      </w:tr>
      <w:tr>
        <w:trPr>
          <w:trHeight w:val="343"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应收保理款减值准备</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25,000,000.00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492,580.34</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25,492,580.34</w:t>
            </w:r>
          </w:p>
        </w:tc>
      </w:tr>
    </w:tbl>
    <w:p>
      <w:pPr>
        <w:pStyle w:val="BodyText"/>
        <w:spacing w:line="304" w:lineRule="auto" w:before="8"/>
        <w:ind w:right="1115"/>
        <w:jc w:val="left"/>
      </w:pPr>
      <w:r>
        <w:rPr/>
        <w:t>② 财务报表格式 财政部于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月发布了《财政部关于修订印发</w:t>
      </w:r>
      <w:r>
        <w:rPr>
          <w:rFonts w:ascii="Times New Roman" w:hAnsi="Times New Roman" w:cs="Times New Roman" w:eastAsia="Times New Roman" w:hint="default"/>
        </w:rPr>
        <w:t>2019</w:t>
      </w:r>
      <w:r>
        <w:rPr/>
        <w:t>年度一般企业财务报表格式的通知》（财会</w:t>
      </w:r>
      <w:r>
        <w:rPr>
          <w:rFonts w:ascii="Times New Roman" w:hAnsi="Times New Roman" w:cs="Times New Roman" w:eastAsia="Times New Roman" w:hint="default"/>
        </w:rPr>
        <w:t>[2019]6</w:t>
      </w:r>
      <w:r>
        <w:rPr/>
        <w:t>号），</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spacing w:val="-36"/>
        </w:rPr>
        <w:t> </w:t>
      </w:r>
      <w:r>
        <w:rPr/>
        <w:t>发布的《财政部关于修订印发</w:t>
      </w:r>
      <w:r>
        <w:rPr>
          <w:rFonts w:ascii="Times New Roman" w:hAnsi="Times New Roman" w:cs="Times New Roman" w:eastAsia="Times New Roman" w:hint="default"/>
        </w:rPr>
        <w:t>2018</w:t>
      </w:r>
      <w:r>
        <w:rPr/>
        <w:t>年度一般企业财务报表格式的通知》（财会</w:t>
      </w:r>
      <w:r>
        <w:rPr>
          <w:rFonts w:ascii="Times New Roman" w:hAnsi="Times New Roman" w:cs="Times New Roman" w:eastAsia="Times New Roman" w:hint="default"/>
        </w:rPr>
        <w:t>[2018]15</w:t>
      </w:r>
      <w:r>
        <w:rPr/>
        <w:t>号）同时废止；财政部于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spacing w:val="-33"/>
        </w:rPr>
        <w:t> </w:t>
      </w:r>
      <w:r>
        <w:rPr>
          <w:spacing w:val="-1"/>
        </w:rPr>
        <w:t>发布了《财政部关于修订印发合并财务报表格式（</w:t>
      </w:r>
      <w:r>
        <w:rPr>
          <w:rFonts w:ascii="Times New Roman" w:hAnsi="Times New Roman" w:cs="Times New Roman" w:eastAsia="Times New Roman" w:hint="default"/>
          <w:spacing w:val="-1"/>
        </w:rPr>
        <w:t>2019</w:t>
      </w:r>
      <w:r>
        <w:rPr>
          <w:spacing w:val="-1"/>
        </w:rPr>
        <w:t>版）的通知》（财会</w:t>
      </w:r>
      <w:r>
        <w:rPr>
          <w:rFonts w:ascii="Times New Roman" w:hAnsi="Times New Roman" w:cs="Times New Roman" w:eastAsia="Times New Roman" w:hint="default"/>
          <w:spacing w:val="-1"/>
        </w:rPr>
        <w:t>[2019]16</w:t>
      </w:r>
      <w:r>
        <w:rPr>
          <w:spacing w:val="-1"/>
        </w:rPr>
        <w:t>号），《财政部关于修订印发</w:t>
      </w:r>
      <w:r>
        <w:rPr>
          <w:rFonts w:ascii="Times New Roman" w:hAnsi="Times New Roman" w:cs="Times New Roman" w:eastAsia="Times New Roman" w:hint="default"/>
          <w:spacing w:val="-1"/>
        </w:rPr>
        <w:t>2018</w:t>
      </w:r>
      <w:r>
        <w:rPr>
          <w:spacing w:val="-1"/>
        </w:rPr>
        <w:t>年度</w:t>
      </w:r>
      <w:r>
        <w:rPr>
          <w:spacing w:val="-61"/>
        </w:rPr>
        <w:t> </w:t>
      </w:r>
      <w:r>
        <w:rPr/>
        <w:t>合并财务报表格式的通知》（财会</w:t>
      </w:r>
      <w:r>
        <w:rPr>
          <w:rFonts w:ascii="Times New Roman" w:hAnsi="Times New Roman" w:cs="Times New Roman" w:eastAsia="Times New Roman" w:hint="default"/>
        </w:rPr>
        <w:t>[2019]1</w:t>
      </w:r>
      <w:r>
        <w:rPr/>
        <w:t>号）同时废止。</w:t>
      </w:r>
    </w:p>
    <w:p>
      <w:pPr>
        <w:pStyle w:val="BodyText"/>
        <w:spacing w:line="300" w:lineRule="auto" w:before="9"/>
        <w:ind w:right="1124"/>
        <w:jc w:val="left"/>
      </w:pPr>
      <w:r>
        <w:rPr/>
        <w:t>本集团对可比期间的比较数据按照财会</w:t>
      </w:r>
      <w:r>
        <w:rPr>
          <w:rFonts w:ascii="Times New Roman" w:hAnsi="Times New Roman" w:cs="Times New Roman" w:eastAsia="Times New Roman" w:hint="default"/>
        </w:rPr>
        <w:t>[2019]6</w:t>
      </w:r>
      <w:r>
        <w:rPr/>
        <w:t>号文进行调整。 该会计政策变更由本公司于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日召开的第六届董事会第四十二次会议批准。财务报表格式的修订对本集团的资产</w:t>
      </w:r>
      <w:r>
        <w:rPr>
          <w:spacing w:val="-85"/>
        </w:rPr>
        <w:t> </w:t>
      </w:r>
      <w:r>
        <w:rPr>
          <w:spacing w:val="-85"/>
        </w:rPr>
      </w:r>
      <w:r>
        <w:rPr/>
        <w:t>总额、负债总额、净利润、其他综合收益等无影响。</w:t>
      </w:r>
    </w:p>
    <w:p>
      <w:pPr>
        <w:spacing w:line="240" w:lineRule="auto" w:before="10"/>
        <w:rPr>
          <w:rFonts w:ascii="宋体" w:hAnsi="宋体" w:cs="宋体" w:eastAsia="宋体" w:hint="default"/>
          <w:sz w:val="23"/>
          <w:szCs w:val="23"/>
        </w:rPr>
      </w:pPr>
    </w:p>
    <w:p>
      <w:pPr>
        <w:pStyle w:val="Heading3"/>
        <w:spacing w:line="240" w:lineRule="auto"/>
        <w:ind w:right="1115"/>
        <w:jc w:val="left"/>
        <w:rPr>
          <w:b w:val="0"/>
          <w:bCs w:val="0"/>
        </w:rPr>
      </w:pPr>
      <w:bookmarkStart w:name="（2）重要会计估计变更" w:id="211"/>
      <w:bookmarkEnd w:id="211"/>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3）2019年起执行新金融工具准则、新收入准则或新租赁准则调整执行当年年初财务" w:id="212"/>
      <w:bookmarkEnd w:id="212"/>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pStyle w:val="BodyText"/>
        <w:spacing w:line="338"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534" w:space="7387"/>
            <w:col w:w="2009"/>
          </w:cols>
        </w:sectPr>
      </w:pPr>
    </w:p>
    <w:p>
      <w:pPr>
        <w:spacing w:line="240" w:lineRule="auto" w:before="4"/>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4855"/>
        <w:gridCol w:w="1730"/>
        <w:gridCol w:w="1719"/>
        <w:gridCol w:w="1382"/>
      </w:tblGrid>
      <w:tr>
        <w:trPr>
          <w:trHeight w:val="401"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7" w:right="0"/>
              <w:jc w:val="left"/>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61" w:right="0"/>
              <w:jc w:val="left"/>
              <w:rPr>
                <w:rFonts w:ascii="Times New Roman" w:hAnsi="Times New Roman" w:cs="Times New Roman" w:eastAsia="Times New Roman" w:hint="default"/>
                <w:sz w:val="18"/>
                <w:szCs w:val="18"/>
              </w:rPr>
            </w:pPr>
            <w:r>
              <w:rPr>
                <w:rFonts w:ascii="Times New Roman"/>
                <w:sz w:val="18"/>
              </w:rPr>
              <w:t>793,917,307.25</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793,917,307.25</w:t>
            </w: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730"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730"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730"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437,418,500.00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5" w:right="0"/>
              <w:jc w:val="left"/>
              <w:rPr>
                <w:rFonts w:ascii="Times New Roman" w:hAnsi="Times New Roman" w:cs="Times New Roman" w:eastAsia="Times New Roman" w:hint="default"/>
                <w:sz w:val="18"/>
                <w:szCs w:val="18"/>
              </w:rPr>
            </w:pPr>
            <w:r>
              <w:rPr>
                <w:rFonts w:ascii="Times New Roman"/>
                <w:sz w:val="18"/>
              </w:rPr>
              <w:t>437,418,500.00</w:t>
            </w:r>
          </w:p>
        </w:tc>
      </w:tr>
      <w:tr>
        <w:trPr>
          <w:trHeight w:val="401"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730"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1" w:type="dxa"/>
        <w:tblLayout w:type="fixed"/>
        <w:tblCellMar>
          <w:top w:w="0" w:type="dxa"/>
          <w:left w:w="0" w:type="dxa"/>
          <w:bottom w:w="0" w:type="dxa"/>
          <w:right w:w="0" w:type="dxa"/>
        </w:tblCellMar>
        <w:tblLook w:val="01E0"/>
      </w:tblPr>
      <w:tblGrid>
        <w:gridCol w:w="4850"/>
        <w:gridCol w:w="1734"/>
        <w:gridCol w:w="1719"/>
        <w:gridCol w:w="1382"/>
      </w:tblGrid>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7" w:right="0"/>
              <w:jc w:val="left"/>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734"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11,928,010.71</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11,928,010.71</w:t>
            </w: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517,590,825.75</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516,451,081.20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-1,139,744.55</w:t>
            </w: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734"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7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70,883,629.59</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70,883,629.59</w:t>
            </w: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应收保理款</w:t>
            </w:r>
          </w:p>
        </w:tc>
        <w:tc>
          <w:tcPr>
            <w:tcW w:w="17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130,125,330.00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Arial" w:hAnsi="Arial" w:cs="Arial" w:eastAsia="Arial" w:hint="default"/>
                <w:sz w:val="18"/>
                <w:szCs w:val="18"/>
              </w:rPr>
            </w:pPr>
            <w:r>
              <w:rPr>
                <w:rFonts w:ascii="Arial"/>
                <w:spacing w:val="-1"/>
                <w:w w:val="80"/>
                <w:sz w:val="18"/>
              </w:rPr>
              <w:t>131,848,779.64</w:t>
            </w:r>
            <w:r>
              <w:rPr>
                <w:rFonts w:ascii="Arial"/>
                <w:spacing w:val="-1"/>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1,723,449.64</w:t>
            </w:r>
            <w:r>
              <w:rPr>
                <w:rFonts w:ascii="Arial"/>
                <w:spacing w:val="-1"/>
                <w:sz w:val="18"/>
              </w:rPr>
            </w: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734"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734"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734"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79,152,699.71</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75,351,410.85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-3,801,288.86</w:t>
            </w: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17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2,634,529.98</w:t>
            </w: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-2,634,529.98</w:t>
            </w: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734"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734"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7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23,991,294.24</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23,991,294.24</w:t>
            </w: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1734"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734"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734"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7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446,058,173.02</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9,058,173.02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-437,000,000.00</w:t>
            </w: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7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2,073,647,270.27</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2,070,848,186.50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-2,799,083.77</w:t>
            </w: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1734"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1734"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6,998,002.94</w:t>
            </w: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-6,998,002.94</w:t>
            </w: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1734"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734"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734"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7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129,886,501.93</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129,886,501.93</w:t>
            </w: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734"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734"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6,552,904.16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6,552,904.16</w:t>
            </w: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7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28,522,376.28</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28,522,376.28</w:t>
            </w: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7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226,609,647.58</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226,609,647.58</w:t>
            </w: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81,224,640.18</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81,224,640.18</w:t>
            </w: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734"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1" w:type="dxa"/>
        <w:tblLayout w:type="fixed"/>
        <w:tblCellMar>
          <w:top w:w="0" w:type="dxa"/>
          <w:left w:w="0" w:type="dxa"/>
          <w:bottom w:w="0" w:type="dxa"/>
          <w:right w:w="0" w:type="dxa"/>
        </w:tblCellMar>
        <w:tblLook w:val="01E0"/>
      </w:tblPr>
      <w:tblGrid>
        <w:gridCol w:w="4855"/>
        <w:gridCol w:w="1730"/>
        <w:gridCol w:w="1719"/>
        <w:gridCol w:w="1382"/>
      </w:tblGrid>
      <w:tr>
        <w:trPr>
          <w:trHeight w:val="402"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7" w:right="0"/>
              <w:jc w:val="left"/>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730"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1730"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7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99,460,970.67</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99,460,970.67</w:t>
            </w: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7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16,026,424.23</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16,026,424.23</w:t>
            </w: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7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601,235,608.10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601,235,608.10</w:t>
            </w: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7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3,564,349.43</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3,564,349.43</w:t>
            </w: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7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9,882,375.71</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10,155,905.95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273,530.24</w:t>
            </w:r>
          </w:p>
        </w:tc>
      </w:tr>
      <w:tr>
        <w:trPr>
          <w:trHeight w:val="402"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730"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7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1,203,410,897.05</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1,203,239,328.51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-171,568.54</w:t>
            </w:r>
          </w:p>
        </w:tc>
      </w:tr>
      <w:tr>
        <w:trPr>
          <w:trHeight w:val="402"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7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3,277,058,167.32</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3,274,087,515.01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-2,970,652.31</w:t>
            </w:r>
          </w:p>
        </w:tc>
      </w:tr>
      <w:tr>
        <w:trPr>
          <w:trHeight w:val="402"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134,820,300.00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135,010,527.52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190,227.52</w:t>
            </w:r>
          </w:p>
        </w:tc>
      </w:tr>
      <w:tr>
        <w:trPr>
          <w:trHeight w:val="402"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730"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730"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730"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1730"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730"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183,610,965.70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183,610,965.70</w:t>
            </w: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7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68,584,431.39</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68,584,431.39</w:t>
            </w: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1730"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730"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730"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730"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730"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7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125,362,030.41</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125,362,030.41</w:t>
            </w: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7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49,807,214.11</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49,807,214.11</w:t>
            </w: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626,829,746.13</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624,372,044.48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-2,457,701.65</w:t>
            </w:r>
          </w:p>
        </w:tc>
      </w:tr>
      <w:tr>
        <w:trPr>
          <w:trHeight w:val="402"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17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2,457,701.65</w:t>
            </w: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-2,457,701.65</w:t>
            </w:r>
          </w:p>
        </w:tc>
      </w:tr>
      <w:tr>
        <w:trPr>
          <w:trHeight w:val="402"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730"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730"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730"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1730"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1" w:type="dxa"/>
        <w:tblLayout w:type="fixed"/>
        <w:tblCellMar>
          <w:top w:w="0" w:type="dxa"/>
          <w:left w:w="0" w:type="dxa"/>
          <w:bottom w:w="0" w:type="dxa"/>
          <w:right w:w="0" w:type="dxa"/>
        </w:tblCellMar>
        <w:tblLook w:val="01E0"/>
      </w:tblPr>
      <w:tblGrid>
        <w:gridCol w:w="4850"/>
        <w:gridCol w:w="1734"/>
        <w:gridCol w:w="1719"/>
        <w:gridCol w:w="1382"/>
      </w:tblGrid>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7" w:right="0"/>
              <w:jc w:val="left"/>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734"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2,267,474.13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2,267,474.13</w:t>
            </w: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734"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7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1,189,214,687.74</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1,189,214,687.74</w:t>
            </w: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734"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252,000,000.00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252,000,000.00</w:t>
            </w: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7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659,725,709.42</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659,725,709.42</w:t>
            </w: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734"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734"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1734"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734"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734"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734"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7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9,548,582.02</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9,548,582.02</w:t>
            </w: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734"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734"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7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921,274,291.44</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921,274,291.44</w:t>
            </w: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7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2,110,488,979.18</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2,110,488,979.18</w:t>
            </w: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711,226,578.00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711,226,578.00</w:t>
            </w: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154,587,824.25</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154,587,824.25</w:t>
            </w: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734"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734"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7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258,987,182.74</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258,987,182.74</w:t>
            </w: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7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29,874,024.00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29,874,024.00</w:t>
            </w: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7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791,865.03</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791,865.03</w:t>
            </w: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734"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72,495,704.44</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72,495,704.44</w:t>
            </w: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734" w:type="dxa"/>
            <w:tcBorders>
              <w:top w:val="single" w:sz="4" w:space="0" w:color="000000"/>
              <w:left w:val="single" w:sz="12" w:space="0" w:color="D2D2D2"/>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-34,386,587.17</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-37,342,199.04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-2,955,611.87</w:t>
            </w: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7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1,133,828,543.29</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1,130,872,931.42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-2,955,611.87</w:t>
            </w: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32,740,644.85</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32,725,604.41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-15,040.44</w:t>
            </w: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7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1,166,569,188.14</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1,163,598,535.83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-2,970,652.31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1" w:type="dxa"/>
        <w:tblLayout w:type="fixed"/>
        <w:tblCellMar>
          <w:top w:w="0" w:type="dxa"/>
          <w:left w:w="0" w:type="dxa"/>
          <w:bottom w:w="0" w:type="dxa"/>
          <w:right w:w="0" w:type="dxa"/>
        </w:tblCellMar>
        <w:tblLook w:val="01E0"/>
      </w:tblPr>
      <w:tblGrid>
        <w:gridCol w:w="4855"/>
        <w:gridCol w:w="1730"/>
        <w:gridCol w:w="1719"/>
        <w:gridCol w:w="1382"/>
      </w:tblGrid>
      <w:tr>
        <w:trPr>
          <w:trHeight w:val="402"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7" w:right="0"/>
              <w:jc w:val="left"/>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7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left="427" w:right="0"/>
              <w:jc w:val="left"/>
              <w:rPr>
                <w:rFonts w:ascii="Times New Roman" w:hAnsi="Times New Roman" w:cs="Times New Roman" w:eastAsia="Times New Roman" w:hint="default"/>
                <w:sz w:val="18"/>
                <w:szCs w:val="18"/>
              </w:rPr>
            </w:pPr>
            <w:r>
              <w:rPr>
                <w:rFonts w:ascii="Times New Roman"/>
                <w:sz w:val="18"/>
              </w:rPr>
              <w:t>3,277,058,167.32</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7" w:right="0"/>
              <w:jc w:val="left"/>
              <w:rPr>
                <w:rFonts w:ascii="Times New Roman" w:hAnsi="Times New Roman" w:cs="Times New Roman" w:eastAsia="Times New Roman" w:hint="default"/>
                <w:sz w:val="18"/>
                <w:szCs w:val="18"/>
              </w:rPr>
            </w:pPr>
            <w:r>
              <w:rPr>
                <w:rFonts w:ascii="Times New Roman"/>
                <w:sz w:val="18"/>
              </w:rPr>
              <w:t>3,274,087,515.01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5" w:right="0"/>
              <w:jc w:val="left"/>
              <w:rPr>
                <w:rFonts w:ascii="Times New Roman" w:hAnsi="Times New Roman" w:cs="Times New Roman" w:eastAsia="Times New Roman" w:hint="default"/>
                <w:sz w:val="18"/>
                <w:szCs w:val="18"/>
              </w:rPr>
            </w:pPr>
            <w:r>
              <w:rPr>
                <w:rFonts w:ascii="Times New Roman"/>
                <w:sz w:val="18"/>
              </w:rPr>
              <w:t>-2,970,652.31</w:t>
            </w:r>
          </w:p>
        </w:tc>
      </w:tr>
    </w:tbl>
    <w:p>
      <w:pPr>
        <w:pStyle w:val="BodyText"/>
        <w:spacing w:line="240" w:lineRule="auto" w:before="49"/>
        <w:ind w:right="1115"/>
        <w:jc w:val="left"/>
      </w:pPr>
      <w:r>
        <w:rPr/>
        <w:t>母公司资产负债表</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4830"/>
        <w:gridCol w:w="1724"/>
        <w:gridCol w:w="1712"/>
        <w:gridCol w:w="1421"/>
      </w:tblGrid>
      <w:tr>
        <w:trPr>
          <w:trHeight w:val="403" w:hRule="exact"/>
        </w:trPr>
        <w:tc>
          <w:tcPr>
            <w:tcW w:w="4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4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7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153,919,297.28</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153,919,297.28</w:t>
            </w: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724" w:type="dxa"/>
            <w:tcBorders>
              <w:top w:val="single" w:sz="4" w:space="0" w:color="000000"/>
              <w:left w:val="single" w:sz="13" w:space="0" w:color="D2D2D2"/>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724" w:type="dxa"/>
            <w:tcBorders>
              <w:top w:val="single" w:sz="4" w:space="0" w:color="000000"/>
              <w:left w:val="single" w:sz="13" w:space="0" w:color="D2D2D2"/>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724" w:type="dxa"/>
            <w:tcBorders>
              <w:top w:val="single" w:sz="4" w:space="0" w:color="000000"/>
              <w:left w:val="single" w:sz="13" w:space="0" w:color="D2D2D2"/>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24" w:type="dxa"/>
            <w:tcBorders>
              <w:top w:val="single" w:sz="4" w:space="0" w:color="000000"/>
              <w:left w:val="single" w:sz="13" w:space="0" w:color="D2D2D2"/>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113,515,515.57</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113,432,125.41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-83,390.16</w:t>
            </w:r>
          </w:p>
        </w:tc>
      </w:tr>
      <w:tr>
        <w:trPr>
          <w:trHeight w:val="403" w:hRule="exact"/>
        </w:trPr>
        <w:tc>
          <w:tcPr>
            <w:tcW w:w="4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724" w:type="dxa"/>
            <w:tcBorders>
              <w:top w:val="single" w:sz="4" w:space="0" w:color="000000"/>
              <w:left w:val="single" w:sz="13" w:space="0" w:color="D2D2D2"/>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7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8,283,449.69</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8,283,449.69</w:t>
            </w: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136,147,378.92</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135,314,628.58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-832,750.34</w:t>
            </w:r>
          </w:p>
        </w:tc>
      </w:tr>
      <w:tr>
        <w:trPr>
          <w:trHeight w:val="401" w:hRule="exact"/>
        </w:trPr>
        <w:tc>
          <w:tcPr>
            <w:tcW w:w="4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1724" w:type="dxa"/>
            <w:tcBorders>
              <w:top w:val="single" w:sz="4" w:space="0" w:color="000000"/>
              <w:left w:val="single" w:sz="13" w:space="0" w:color="D2D2D2"/>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724" w:type="dxa"/>
            <w:tcBorders>
              <w:top w:val="single" w:sz="4" w:space="0" w:color="000000"/>
              <w:left w:val="single" w:sz="13" w:space="0" w:color="D2D2D2"/>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7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1,278,332.73</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1,278,332.73</w:t>
            </w: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1724" w:type="dxa"/>
            <w:tcBorders>
              <w:top w:val="single" w:sz="4" w:space="0" w:color="000000"/>
              <w:left w:val="single" w:sz="13" w:space="0" w:color="D2D2D2"/>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724" w:type="dxa"/>
            <w:tcBorders>
              <w:top w:val="single" w:sz="4" w:space="0" w:color="000000"/>
              <w:left w:val="single" w:sz="13" w:space="0" w:color="D2D2D2"/>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724" w:type="dxa"/>
            <w:tcBorders>
              <w:top w:val="single" w:sz="4" w:space="0" w:color="000000"/>
              <w:left w:val="single" w:sz="13" w:space="0" w:color="D2D2D2"/>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7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124,002,725.75</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124,002,725.75</w:t>
            </w: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7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537,146,699.94</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536,230,559.44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-916,140.50</w:t>
            </w:r>
          </w:p>
        </w:tc>
      </w:tr>
      <w:tr>
        <w:trPr>
          <w:trHeight w:val="401" w:hRule="exact"/>
        </w:trPr>
        <w:tc>
          <w:tcPr>
            <w:tcW w:w="4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7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1724" w:type="dxa"/>
            <w:tcBorders>
              <w:top w:val="single" w:sz="4" w:space="0" w:color="000000"/>
              <w:left w:val="single" w:sz="13" w:space="0" w:color="D2D2D2"/>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4,998,002.94</w:t>
            </w:r>
          </w:p>
        </w:tc>
        <w:tc>
          <w:tcPr>
            <w:tcW w:w="171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-4,998,002.94</w:t>
            </w:r>
          </w:p>
        </w:tc>
      </w:tr>
      <w:tr>
        <w:trPr>
          <w:trHeight w:val="403" w:hRule="exact"/>
        </w:trPr>
        <w:tc>
          <w:tcPr>
            <w:tcW w:w="4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1724" w:type="dxa"/>
            <w:tcBorders>
              <w:top w:val="single" w:sz="4" w:space="0" w:color="000000"/>
              <w:left w:val="single" w:sz="13" w:space="0" w:color="D2D2D2"/>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724" w:type="dxa"/>
            <w:tcBorders>
              <w:top w:val="single" w:sz="4" w:space="0" w:color="000000"/>
              <w:left w:val="single" w:sz="13" w:space="0" w:color="D2D2D2"/>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724" w:type="dxa"/>
            <w:tcBorders>
              <w:top w:val="single" w:sz="4" w:space="0" w:color="000000"/>
              <w:left w:val="single" w:sz="13" w:space="0" w:color="D2D2D2"/>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7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2,290,316,453.59</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2,290,316,453.59</w:t>
            </w: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724" w:type="dxa"/>
            <w:tcBorders>
              <w:top w:val="single" w:sz="4" w:space="0" w:color="000000"/>
              <w:left w:val="single" w:sz="13" w:space="0" w:color="D2D2D2"/>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724" w:type="dxa"/>
            <w:tcBorders>
              <w:top w:val="single" w:sz="4" w:space="0" w:color="000000"/>
              <w:left w:val="single" w:sz="13" w:space="0" w:color="D2D2D2"/>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4,552,904.16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4,552,904.16</w:t>
            </w:r>
          </w:p>
        </w:tc>
      </w:tr>
      <w:tr>
        <w:trPr>
          <w:trHeight w:val="403" w:hRule="exact"/>
        </w:trPr>
        <w:tc>
          <w:tcPr>
            <w:tcW w:w="4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724" w:type="dxa"/>
            <w:tcBorders>
              <w:top w:val="single" w:sz="4" w:space="0" w:color="000000"/>
              <w:left w:val="single" w:sz="13" w:space="0" w:color="D2D2D2"/>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7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127,752,484.75</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127,752,484.75</w:t>
            </w:r>
          </w:p>
        </w:tc>
        <w:tc>
          <w:tcPr>
            <w:tcW w:w="14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1" w:type="dxa"/>
        <w:tblLayout w:type="fixed"/>
        <w:tblCellMar>
          <w:top w:w="0" w:type="dxa"/>
          <w:left w:w="0" w:type="dxa"/>
          <w:bottom w:w="0" w:type="dxa"/>
          <w:right w:w="0" w:type="dxa"/>
        </w:tblCellMar>
        <w:tblLook w:val="01E0"/>
      </w:tblPr>
      <w:tblGrid>
        <w:gridCol w:w="4825"/>
        <w:gridCol w:w="1728"/>
        <w:gridCol w:w="1712"/>
        <w:gridCol w:w="1421"/>
      </w:tblGrid>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28" w:type="dxa"/>
            <w:tcBorders>
              <w:top w:val="single" w:sz="4" w:space="0" w:color="000000"/>
              <w:left w:val="single" w:sz="13" w:space="0" w:color="D2D2D2"/>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728" w:type="dxa"/>
            <w:tcBorders>
              <w:top w:val="single" w:sz="4" w:space="0" w:color="000000"/>
              <w:left w:val="single" w:sz="13" w:space="0" w:color="D2D2D2"/>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728" w:type="dxa"/>
            <w:tcBorders>
              <w:top w:val="single" w:sz="4" w:space="0" w:color="000000"/>
              <w:left w:val="single" w:sz="13" w:space="0" w:color="D2D2D2"/>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1728" w:type="dxa"/>
            <w:tcBorders>
              <w:top w:val="single" w:sz="4" w:space="0" w:color="000000"/>
              <w:left w:val="single" w:sz="13" w:space="0" w:color="D2D2D2"/>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7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65,827,225.40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65,827,225.40</w:t>
            </w: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7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16,026,424.23</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16,026,424.23</w:t>
            </w: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728" w:type="dxa"/>
            <w:tcBorders>
              <w:top w:val="single" w:sz="4" w:space="0" w:color="000000"/>
              <w:left w:val="single" w:sz="13" w:space="0" w:color="D2D2D2"/>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7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3,296,171.82</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3,296,171.82</w:t>
            </w: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7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1,785,725.03</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1,914,437.58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128,712.55</w:t>
            </w: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728" w:type="dxa"/>
            <w:tcBorders>
              <w:top w:val="single" w:sz="4" w:space="0" w:color="000000"/>
              <w:left w:val="single" w:sz="13" w:space="0" w:color="D2D2D2"/>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7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2,510,002,487.76</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2,509,686,101.53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-316,386.23</w:t>
            </w: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7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3,047,149,187.70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3,045,916,660.97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-1,232,526.73</w:t>
            </w: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114,820,300.00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115,010,527.52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190,227.52</w:t>
            </w: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728" w:type="dxa"/>
            <w:tcBorders>
              <w:top w:val="single" w:sz="4" w:space="0" w:color="000000"/>
              <w:left w:val="single" w:sz="13" w:space="0" w:color="D2D2D2"/>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1728" w:type="dxa"/>
            <w:tcBorders>
              <w:top w:val="single" w:sz="4" w:space="0" w:color="000000"/>
              <w:left w:val="single" w:sz="13" w:space="0" w:color="D2D2D2"/>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728" w:type="dxa"/>
            <w:tcBorders>
              <w:top w:val="single" w:sz="4" w:space="0" w:color="000000"/>
              <w:left w:val="single" w:sz="13" w:space="0" w:color="D2D2D2"/>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28" w:type="dxa"/>
            <w:tcBorders>
              <w:top w:val="single" w:sz="4" w:space="0" w:color="000000"/>
              <w:left w:val="single" w:sz="13" w:space="0" w:color="D2D2D2"/>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25,409,440.45</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25,409,440.45</w:t>
            </w: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7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14,604,954.61</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14,604,954.61</w:t>
            </w: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1728" w:type="dxa"/>
            <w:tcBorders>
              <w:top w:val="single" w:sz="4" w:space="0" w:color="000000"/>
              <w:left w:val="single" w:sz="13" w:space="0" w:color="D2D2D2"/>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7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75,105,900.27</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75,105,900.27</w:t>
            </w: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7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10,520,160.79</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10,520,160.79</w:t>
            </w: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760,786,828.79</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758,329,127.14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-2,457,701.65</w:t>
            </w: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17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2,457,701.65</w:t>
            </w:r>
          </w:p>
        </w:tc>
        <w:tc>
          <w:tcPr>
            <w:tcW w:w="171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-2,457,701.65</w:t>
            </w: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728" w:type="dxa"/>
            <w:tcBorders>
              <w:top w:val="single" w:sz="4" w:space="0" w:color="000000"/>
              <w:left w:val="single" w:sz="13" w:space="0" w:color="D2D2D2"/>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1728" w:type="dxa"/>
            <w:tcBorders>
              <w:top w:val="single" w:sz="4" w:space="0" w:color="000000"/>
              <w:left w:val="single" w:sz="13" w:space="0" w:color="D2D2D2"/>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728" w:type="dxa"/>
            <w:tcBorders>
              <w:top w:val="single" w:sz="4" w:space="0" w:color="000000"/>
              <w:left w:val="single" w:sz="13" w:space="0" w:color="D2D2D2"/>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2,267,474.13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2,267,474.13</w:t>
            </w: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728" w:type="dxa"/>
            <w:tcBorders>
              <w:top w:val="single" w:sz="4" w:space="0" w:color="000000"/>
              <w:left w:val="single" w:sz="13" w:space="0" w:color="D2D2D2"/>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7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1,001,247,584.91</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1,001,247,584.91</w:t>
            </w: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252,000,000.00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252,000,000.00</w:t>
            </w: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7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659,725,709.42</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659,725,709.42</w:t>
            </w:r>
          </w:p>
        </w:tc>
        <w:tc>
          <w:tcPr>
            <w:tcW w:w="14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1" w:type="dxa"/>
        <w:tblLayout w:type="fixed"/>
        <w:tblCellMar>
          <w:top w:w="0" w:type="dxa"/>
          <w:left w:w="0" w:type="dxa"/>
          <w:bottom w:w="0" w:type="dxa"/>
          <w:right w:w="0" w:type="dxa"/>
        </w:tblCellMar>
        <w:tblLook w:val="01E0"/>
      </w:tblPr>
      <w:tblGrid>
        <w:gridCol w:w="4825"/>
        <w:gridCol w:w="1728"/>
        <w:gridCol w:w="1712"/>
        <w:gridCol w:w="1421"/>
      </w:tblGrid>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728" w:type="dxa"/>
            <w:tcBorders>
              <w:top w:val="single" w:sz="4" w:space="0" w:color="000000"/>
              <w:left w:val="single" w:sz="13" w:space="0" w:color="D2D2D2"/>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728" w:type="dxa"/>
            <w:tcBorders>
              <w:top w:val="single" w:sz="4" w:space="0" w:color="000000"/>
              <w:left w:val="single" w:sz="13" w:space="0" w:color="D2D2D2"/>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1728" w:type="dxa"/>
            <w:tcBorders>
              <w:top w:val="single" w:sz="4" w:space="0" w:color="000000"/>
              <w:left w:val="single" w:sz="13" w:space="0" w:color="D2D2D2"/>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728" w:type="dxa"/>
            <w:tcBorders>
              <w:top w:val="single" w:sz="4" w:space="0" w:color="000000"/>
              <w:left w:val="single" w:sz="13" w:space="0" w:color="D2D2D2"/>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728" w:type="dxa"/>
            <w:tcBorders>
              <w:top w:val="single" w:sz="4" w:space="0" w:color="000000"/>
              <w:left w:val="single" w:sz="13" w:space="0" w:color="D2D2D2"/>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728" w:type="dxa"/>
            <w:tcBorders>
              <w:top w:val="single" w:sz="4" w:space="0" w:color="000000"/>
              <w:left w:val="single" w:sz="13" w:space="0" w:color="D2D2D2"/>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7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9,548,582.02</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9,548,582.02</w:t>
            </w: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728" w:type="dxa"/>
            <w:tcBorders>
              <w:top w:val="single" w:sz="4" w:space="0" w:color="000000"/>
              <w:left w:val="single" w:sz="13" w:space="0" w:color="D2D2D2"/>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728" w:type="dxa"/>
            <w:tcBorders>
              <w:top w:val="single" w:sz="4" w:space="0" w:color="000000"/>
              <w:left w:val="single" w:sz="13" w:space="0" w:color="D2D2D2"/>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7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921,274,291.44</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921,274,291.44</w:t>
            </w: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7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1,922,521,876.35</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1,922,521,876.35</w:t>
            </w: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711,226,578.00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711,226,578.00</w:t>
            </w: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154,587,824.25</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154,587,824.25</w:t>
            </w: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728" w:type="dxa"/>
            <w:tcBorders>
              <w:top w:val="single" w:sz="4" w:space="0" w:color="000000"/>
              <w:left w:val="single" w:sz="13" w:space="0" w:color="D2D2D2"/>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728" w:type="dxa"/>
            <w:tcBorders>
              <w:top w:val="single" w:sz="4" w:space="0" w:color="000000"/>
              <w:left w:val="single" w:sz="13" w:space="0" w:color="D2D2D2"/>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7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922,044,987.85</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922,044,987.85</w:t>
            </w: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7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29,874,024.00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29,874,024.00</w:t>
            </w: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728" w:type="dxa"/>
            <w:tcBorders>
              <w:top w:val="single" w:sz="4" w:space="0" w:color="000000"/>
              <w:left w:val="single" w:sz="13" w:space="0" w:color="D2D2D2"/>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728" w:type="dxa"/>
            <w:tcBorders>
              <w:top w:val="single" w:sz="4" w:space="0" w:color="000000"/>
              <w:left w:val="single" w:sz="13" w:space="0" w:color="D2D2D2"/>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72,495,704.44</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72,495,704.44</w:t>
            </w: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-705,853,759.19</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-707,086,285.92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1" w:right="0"/>
              <w:jc w:val="left"/>
              <w:rPr>
                <w:rFonts w:ascii="Times New Roman" w:hAnsi="Times New Roman" w:cs="Times New Roman" w:eastAsia="Times New Roman" w:hint="default"/>
                <w:sz w:val="18"/>
                <w:szCs w:val="18"/>
              </w:rPr>
            </w:pPr>
            <w:r>
              <w:rPr>
                <w:rFonts w:ascii="Times New Roman"/>
                <w:sz w:val="18"/>
              </w:rPr>
              <w:t>-1,232,526.73</w:t>
            </w: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7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1,124,627,311.35</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1,123,394,784.62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1" w:right="0"/>
              <w:jc w:val="left"/>
              <w:rPr>
                <w:rFonts w:ascii="Times New Roman" w:hAnsi="Times New Roman" w:cs="Times New Roman" w:eastAsia="Times New Roman" w:hint="default"/>
                <w:sz w:val="18"/>
                <w:szCs w:val="18"/>
              </w:rPr>
            </w:pPr>
            <w:r>
              <w:rPr>
                <w:rFonts w:ascii="Times New Roman"/>
                <w:sz w:val="18"/>
              </w:rPr>
              <w:t>-1,232,526.73</w:t>
            </w:r>
          </w:p>
        </w:tc>
      </w:tr>
      <w:tr>
        <w:trPr>
          <w:trHeight w:val="40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7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3,047,149,187.70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3,045,916,660.97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1" w:right="0"/>
              <w:jc w:val="left"/>
              <w:rPr>
                <w:rFonts w:ascii="Times New Roman" w:hAnsi="Times New Roman" w:cs="Times New Roman" w:eastAsia="Times New Roman" w:hint="default"/>
                <w:sz w:val="18"/>
                <w:szCs w:val="18"/>
              </w:rPr>
            </w:pPr>
            <w:r>
              <w:rPr>
                <w:rFonts w:ascii="Times New Roman"/>
                <w:sz w:val="18"/>
              </w:rPr>
              <w:t>-1,232,526.73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15"/>
        <w:jc w:val="left"/>
        <w:rPr>
          <w:b w:val="0"/>
          <w:bCs w:val="0"/>
        </w:rPr>
      </w:pPr>
      <w:bookmarkStart w:name="（4）2019年起执行新金融工具准则或新租赁准则追溯调整前期比较数据说明" w:id="213"/>
      <w:bookmarkEnd w:id="213"/>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15"/>
        <w:jc w:val="left"/>
        <w:rPr>
          <w:b w:val="0"/>
          <w:bCs w:val="0"/>
        </w:rPr>
      </w:pPr>
      <w:bookmarkStart w:name="六、税项" w:id="214"/>
      <w:bookmarkEnd w:id="214"/>
      <w:r>
        <w:rPr>
          <w:b w:val="0"/>
          <w:bCs w:val="0"/>
        </w:rPr>
      </w: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5"/>
        <w:jc w:val="left"/>
        <w:rPr>
          <w:b w:val="0"/>
          <w:bCs w:val="0"/>
        </w:rPr>
      </w:pPr>
      <w:bookmarkStart w:name="1、主要税种及税率" w:id="215"/>
      <w:bookmarkEnd w:id="215"/>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16%/13%</w:t>
            </w:r>
            <w:r>
              <w:rPr>
                <w:rFonts w:ascii="宋体" w:hAnsi="宋体" w:cs="宋体" w:eastAsia="宋体" w:hint="default"/>
                <w:sz w:val="18"/>
                <w:szCs w:val="18"/>
              </w:rPr>
              <w:t>、</w:t>
            </w:r>
            <w:r>
              <w:rPr>
                <w:rFonts w:ascii="Times New Roman" w:hAnsi="Times New Roman" w:cs="Times New Roman" w:eastAsia="Times New Roman" w:hint="default"/>
                <w:sz w:val="18"/>
                <w:szCs w:val="18"/>
              </w:rPr>
              <w:t>10%/9%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spacing w:line="240" w:lineRule="auto" w:before="2"/>
        <w:rPr>
          <w:rFonts w:ascii="宋体" w:hAnsi="宋体" w:cs="宋体" w:eastAsia="宋体" w:hint="default"/>
          <w:b/>
          <w:bCs/>
          <w:sz w:val="27"/>
          <w:szCs w:val="27"/>
        </w:rPr>
      </w:pPr>
    </w:p>
    <w:p>
      <w:pPr>
        <w:pStyle w:val="BodyText"/>
        <w:spacing w:line="240" w:lineRule="auto" w:before="44"/>
        <w:ind w:right="1115"/>
        <w:jc w:val="left"/>
      </w:pPr>
      <w:r>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482"/>
        <w:gridCol w:w="2089"/>
      </w:tblGrid>
      <w:tr>
        <w:trPr>
          <w:trHeight w:val="403" w:hRule="exact"/>
        </w:trPr>
        <w:tc>
          <w:tcPr>
            <w:tcW w:w="7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2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7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7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西安久其软件有限公司（以下简称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西安久其</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7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上海久其软件有限公司（以下简称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上海久其</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7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成都久其软件有限公司（以下简称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成都久其</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7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广东久其软件有限公司（以下简称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广东久其</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7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北京久其政务软件股份有限公司（以下简称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久其政务</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7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新疆久其科技有限公司（以下简称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新疆久其</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7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重庆久其软件有限公司（以下简称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重庆久其</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7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海南久其云计算科技有限公司（以下简称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久其云计算</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7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北京久其智通数据科技有限公司（以下简称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久其智通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7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北京久其互联网金融信息服务有限公司（以下简称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久其互联网金融</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7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北京蜂语网络科技有限公司（以下简称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蜂语网络</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7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北京亿起联科技有限公司（以下简称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亿起联科技</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15%</w:t>
            </w:r>
          </w:p>
        </w:tc>
      </w:tr>
      <w:tr>
        <w:trPr>
          <w:trHeight w:val="404" w:hRule="exact"/>
        </w:trPr>
        <w:tc>
          <w:tcPr>
            <w:tcW w:w="7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北京华夏电通科技有限公司（以下简称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华夏电通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7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北京中民颐养科技服务有限公司（以下简称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中民颐养</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7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北京瑞意恒动科技有限公司（以下简称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瑞意恒动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7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海南久其互联网产业研究院有限公司（以下简称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久其研究院</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7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深圳市久金保商业保理有限公司（以下简称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久金保</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7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上海移通网络有限公司（以下简称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上海移通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7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北京久其金建科技有限公司（以下简称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久其金建</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7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久其数字传播有限公司（以下简称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久其数字</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7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雄安久其数字科技有限公司（以下简称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雄安久其</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2、税收优惠" w:id="216"/>
      <w:bookmarkEnd w:id="216"/>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2"/>
        <w:rPr>
          <w:rFonts w:ascii="宋体" w:hAnsi="宋体" w:cs="宋体" w:eastAsia="宋体" w:hint="default"/>
          <w:b/>
          <w:bCs/>
          <w:sz w:val="26"/>
          <w:szCs w:val="26"/>
        </w:rPr>
      </w:pPr>
    </w:p>
    <w:p>
      <w:pPr>
        <w:pStyle w:val="BodyText"/>
        <w:spacing w:line="307" w:lineRule="auto"/>
        <w:ind w:right="1115"/>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）企业所得税</w:t>
      </w:r>
      <w:r>
        <w:rPr>
          <w:rFonts w:ascii="宋体" w:hAnsi="宋体" w:cs="宋体" w:eastAsia="宋体" w:hint="default"/>
          <w:b/>
          <w:bCs/>
          <w:w w:val="99"/>
        </w:rPr>
        <w:t> </w:t>
      </w:r>
      <w:r>
        <w:rPr>
          <w:spacing w:val="-2"/>
        </w:rPr>
        <w:t>本公司及子公司华夏电通符合财政部、国家税务总局、发展改革委、工业和信息化部《关于软件和集成电路产业企业所得税</w:t>
      </w:r>
      <w:r>
        <w:rPr>
          <w:spacing w:val="-66"/>
        </w:rPr>
        <w:t> </w:t>
      </w:r>
      <w:r>
        <w:rPr>
          <w:spacing w:val="-66"/>
        </w:rPr>
      </w:r>
      <w:r>
        <w:rPr/>
        <w:t>优惠政策有关问题的通知》（财税</w:t>
      </w:r>
      <w:r>
        <w:rPr>
          <w:rFonts w:ascii="Times New Roman" w:hAnsi="Times New Roman" w:cs="Times New Roman" w:eastAsia="Times New Roman" w:hint="default"/>
        </w:rPr>
        <w:t>[2016]49</w:t>
      </w:r>
      <w:r>
        <w:rPr/>
        <w:t>号）要求，</w:t>
      </w:r>
      <w:r>
        <w:rPr>
          <w:rFonts w:ascii="Times New Roman" w:hAnsi="Times New Roman" w:cs="Times New Roman" w:eastAsia="Times New Roman" w:hint="default"/>
        </w:rPr>
        <w:t>2019</w:t>
      </w:r>
      <w:r>
        <w:rPr/>
        <w:t>年度执行</w:t>
      </w:r>
      <w:r>
        <w:rPr>
          <w:rFonts w:ascii="Times New Roman" w:hAnsi="Times New Roman" w:cs="Times New Roman" w:eastAsia="Times New Roman" w:hint="default"/>
        </w:rPr>
        <w:t>10%</w:t>
      </w:r>
      <w:r>
        <w:rPr/>
        <w:t>的企业所得税税率。 </w:t>
      </w:r>
      <w:r>
        <w:rPr>
          <w:spacing w:val="-2"/>
        </w:rPr>
        <w:t>公司之子公司西安久其、上海久其、成都久其、广东久其、久其政务、久其云计算、蜂语网络、亿起联科技、瑞意恒动、上</w:t>
      </w:r>
      <w:r>
        <w:rPr>
          <w:spacing w:val="-69"/>
        </w:rPr>
        <w:t> </w:t>
      </w:r>
      <w:r>
        <w:rPr>
          <w:spacing w:val="-69"/>
        </w:rPr>
      </w:r>
      <w:r>
        <w:rPr/>
        <w:t>海移通、久其金建系高新技术企业，</w:t>
      </w:r>
      <w:r>
        <w:rPr>
          <w:rFonts w:ascii="Times New Roman" w:hAnsi="Times New Roman" w:cs="Times New Roman" w:eastAsia="Times New Roman" w:hint="default"/>
        </w:rPr>
        <w:t>2019</w:t>
      </w:r>
      <w:r>
        <w:rPr/>
        <w:t>年度执行</w:t>
      </w:r>
      <w:r>
        <w:rPr>
          <w:rFonts w:ascii="Times New Roman" w:hAnsi="Times New Roman" w:cs="Times New Roman" w:eastAsia="Times New Roman" w:hint="default"/>
        </w:rPr>
        <w:t>15%</w:t>
      </w:r>
      <w:r>
        <w:rPr/>
        <w:t>的企业所得税税率。 公司之子公司新疆久其系小型微利企业，</w:t>
      </w:r>
      <w:r>
        <w:rPr>
          <w:rFonts w:ascii="Times New Roman" w:hAnsi="Times New Roman" w:cs="Times New Roman" w:eastAsia="Times New Roman" w:hint="default"/>
        </w:rPr>
        <w:t>2019</w:t>
      </w:r>
      <w:r>
        <w:rPr/>
        <w:t>年度执行</w:t>
      </w:r>
      <w:r>
        <w:rPr>
          <w:rFonts w:ascii="Times New Roman" w:hAnsi="Times New Roman" w:cs="Times New Roman" w:eastAsia="Times New Roman" w:hint="default"/>
        </w:rPr>
        <w:t>20%</w:t>
      </w:r>
      <w:r>
        <w:rPr/>
        <w:t>的企业所得税税率。</w:t>
      </w:r>
    </w:p>
    <w:p>
      <w:pPr>
        <w:pStyle w:val="Heading4"/>
        <w:spacing w:line="240" w:lineRule="auto" w:before="7"/>
        <w:ind w:left="152" w:right="1115"/>
        <w:jc w:val="left"/>
        <w:rPr>
          <w:b w:val="0"/>
          <w:bCs w:val="0"/>
        </w:rPr>
      </w:pPr>
      <w:r>
        <w:rPr/>
        <w:t>（</w:t>
      </w:r>
      <w:r>
        <w:rPr>
          <w:rFonts w:ascii="Times New Roman" w:hAnsi="Times New Roman" w:cs="Times New Roman" w:eastAsia="Times New Roman" w:hint="default"/>
        </w:rPr>
        <w:t>2</w:t>
      </w:r>
      <w:r>
        <w:rPr/>
        <w:t>）增值税</w:t>
      </w:r>
      <w:r>
        <w:rPr>
          <w:b w:val="0"/>
          <w:bCs w:val="0"/>
        </w:rPr>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b/>
          <w:bCs/>
          <w:sz w:val="21"/>
          <w:szCs w:val="21"/>
        </w:rPr>
      </w:pPr>
    </w:p>
    <w:p>
      <w:pPr>
        <w:pStyle w:val="BodyText"/>
        <w:spacing w:line="307" w:lineRule="auto" w:before="44"/>
        <w:ind w:right="1134"/>
        <w:jc w:val="both"/>
      </w:pPr>
      <w:r>
        <w:rPr/>
        <w:t>根据国务院国发</w:t>
      </w:r>
      <w:r>
        <w:rPr>
          <w:rFonts w:ascii="Times New Roman" w:hAnsi="Times New Roman" w:cs="Times New Roman" w:eastAsia="Times New Roman" w:hint="default"/>
        </w:rPr>
        <w:t>[2011]4</w:t>
      </w:r>
      <w:r>
        <w:rPr/>
        <w:t>号文件《国务院关于印发进一步鼓励软件产业和集成电路产业发展若干政策的通知》的规定，对增</w:t>
      </w:r>
      <w:r>
        <w:rPr>
          <w:spacing w:val="-36"/>
        </w:rPr>
        <w:t> </w:t>
      </w:r>
      <w:r>
        <w:rPr>
          <w:spacing w:val="-36"/>
        </w:rPr>
      </w:r>
      <w:r>
        <w:rPr/>
        <w:t>值税一般纳税人销售其自行开发生产的软件产品，按</w:t>
      </w:r>
      <w:r>
        <w:rPr>
          <w:rFonts w:ascii="Times New Roman" w:hAnsi="Times New Roman" w:cs="Times New Roman" w:eastAsia="Times New Roman" w:hint="default"/>
        </w:rPr>
        <w:t>16%/13%</w:t>
      </w:r>
      <w:r>
        <w:rPr/>
        <w:t>税率征收增值税后，对其增值税实际税负超过</w:t>
      </w:r>
      <w:r>
        <w:rPr>
          <w:rFonts w:ascii="Times New Roman" w:hAnsi="Times New Roman" w:cs="Times New Roman" w:eastAsia="Times New Roman" w:hint="default"/>
        </w:rPr>
        <w:t>3%</w:t>
      </w:r>
      <w:r>
        <w:rPr/>
        <w:t>的部分实行</w:t>
      </w:r>
      <w:r>
        <w:rPr>
          <w:spacing w:val="-52"/>
        </w:rPr>
        <w:t> </w:t>
      </w:r>
      <w:r>
        <w:rPr>
          <w:spacing w:val="-52"/>
        </w:rPr>
      </w:r>
      <w:r>
        <w:rPr>
          <w:spacing w:val="-5"/>
        </w:rPr>
        <w:t>即征即退政策，公司及子公司广东久其、久其政务、重庆久其、久其云计算、蜂语网络、亿起联科技、华夏电通、上海移通、</w:t>
      </w:r>
      <w:r>
        <w:rPr>
          <w:spacing w:val="-82"/>
        </w:rPr>
        <w:t> </w:t>
      </w:r>
      <w:r>
        <w:rPr>
          <w:spacing w:val="-82"/>
        </w:rPr>
      </w:r>
      <w:r>
        <w:rPr/>
        <w:t>久其金建</w:t>
      </w:r>
      <w:r>
        <w:rPr>
          <w:rFonts w:ascii="Times New Roman" w:hAnsi="Times New Roman" w:cs="Times New Roman" w:eastAsia="Times New Roman" w:hint="default"/>
        </w:rPr>
        <w:t>2019</w:t>
      </w:r>
      <w:r>
        <w:rPr/>
        <w:t>年度享受此规定相关的税收优惠。</w:t>
      </w:r>
    </w:p>
    <w:p>
      <w:pPr>
        <w:spacing w:line="240" w:lineRule="auto" w:before="0"/>
        <w:rPr>
          <w:rFonts w:ascii="宋体" w:hAnsi="宋体" w:cs="宋体" w:eastAsia="宋体" w:hint="default"/>
          <w:sz w:val="18"/>
          <w:szCs w:val="18"/>
        </w:rPr>
      </w:pPr>
    </w:p>
    <w:p>
      <w:pPr>
        <w:pStyle w:val="BodyText"/>
        <w:spacing w:line="319" w:lineRule="auto" w:before="124"/>
        <w:ind w:right="1124"/>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报告期公司及其子公司享受软件产品增值税优惠政策，收到软件增值税即征即退款项</w:t>
      </w:r>
      <w:r>
        <w:rPr>
          <w:rFonts w:ascii="Times New Roman" w:hAnsi="Times New Roman" w:cs="Times New Roman" w:eastAsia="Times New Roman" w:hint="default"/>
        </w:rPr>
        <w:t>1270.19</w:t>
      </w:r>
      <w:r>
        <w:rPr/>
        <w:t>万元，增加利润总额</w:t>
      </w:r>
      <w:r>
        <w:rPr>
          <w:rFonts w:ascii="Times New Roman" w:hAnsi="Times New Roman" w:cs="Times New Roman" w:eastAsia="Times New Roman" w:hint="default"/>
        </w:rPr>
        <w:t>1270.19</w:t>
      </w:r>
      <w:r>
        <w:rPr/>
        <w:t>万</w:t>
      </w:r>
      <w:r>
        <w:rPr>
          <w:spacing w:val="-83"/>
        </w:rPr>
        <w:t> </w:t>
      </w:r>
      <w:r>
        <w:rPr/>
        <w:t>元。报告期公司及其子公司享受企业所得税优惠政策，减少所得税费用</w:t>
      </w:r>
      <w:r>
        <w:rPr>
          <w:rFonts w:ascii="Times New Roman" w:hAnsi="Times New Roman" w:cs="Times New Roman" w:eastAsia="Times New Roman" w:hint="default"/>
        </w:rPr>
        <w:t>2883.70</w:t>
      </w:r>
      <w:r>
        <w:rPr/>
        <w:t>万元。</w:t>
      </w:r>
    </w:p>
    <w:p>
      <w:pPr>
        <w:spacing w:line="240" w:lineRule="auto" w:before="2"/>
        <w:rPr>
          <w:rFonts w:ascii="宋体" w:hAnsi="宋体" w:cs="宋体" w:eastAsia="宋体" w:hint="default"/>
          <w:sz w:val="19"/>
          <w:szCs w:val="19"/>
        </w:rPr>
      </w:pPr>
    </w:p>
    <w:p>
      <w:pPr>
        <w:pStyle w:val="Heading2"/>
        <w:spacing w:line="240" w:lineRule="auto"/>
        <w:ind w:right="1115"/>
        <w:jc w:val="left"/>
        <w:rPr>
          <w:b w:val="0"/>
          <w:bCs w:val="0"/>
        </w:rPr>
      </w:pPr>
      <w:bookmarkStart w:name="七、合并财务报表项目注释" w:id="217"/>
      <w:bookmarkEnd w:id="217"/>
      <w:r>
        <w:rPr>
          <w:b w:val="0"/>
          <w:bCs w:val="0"/>
        </w:rPr>
      </w: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5"/>
        <w:jc w:val="left"/>
        <w:rPr>
          <w:b w:val="0"/>
          <w:bCs w:val="0"/>
        </w:rPr>
      </w:pPr>
      <w:bookmarkStart w:name="1、货币资金" w:id="218"/>
      <w:bookmarkEnd w:id="218"/>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437,530.87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397,302.61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709,497,912.95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771,097,197.90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38,678,097.58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22,422,806.74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748,613,541.40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793,917,307.25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65,575,347.25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67,670,198.89</w:t>
            </w:r>
          </w:p>
        </w:tc>
      </w:tr>
    </w:tbl>
    <w:p>
      <w:pPr>
        <w:pStyle w:val="BodyText"/>
        <w:spacing w:line="240" w:lineRule="auto" w:before="49"/>
        <w:ind w:right="1115"/>
        <w:jc w:val="left"/>
      </w:pPr>
      <w:r>
        <w:rPr/>
        <w:t>其他说明</w:t>
      </w:r>
    </w:p>
    <w:p>
      <w:pPr>
        <w:pStyle w:val="BodyText"/>
        <w:spacing w:line="240" w:lineRule="auto" w:before="117"/>
        <w:ind w:right="1115"/>
        <w:jc w:val="left"/>
      </w:pPr>
      <w:r>
        <w:rPr/>
        <w:t>（</w:t>
      </w:r>
      <w:r>
        <w:rPr>
          <w:rFonts w:ascii="Times New Roman" w:hAnsi="Times New Roman" w:cs="Times New Roman" w:eastAsia="Times New Roman" w:hint="default"/>
        </w:rPr>
        <w:t>1</w:t>
      </w:r>
      <w:r>
        <w:rPr/>
        <w:t>）本集团其他货币资金存在使用受到限制的货币资金（参见</w:t>
      </w:r>
      <w:r>
        <w:rPr>
          <w:rFonts w:ascii="Times New Roman" w:hAnsi="Times New Roman" w:cs="Times New Roman" w:eastAsia="Times New Roman" w:hint="default"/>
        </w:rPr>
        <w:t>“57</w:t>
      </w:r>
      <w:r>
        <w:rPr/>
        <w:t>、所有权或使用权受到限制的资产</w:t>
      </w:r>
      <w:r>
        <w:rPr>
          <w:rFonts w:ascii="Times New Roman" w:hAnsi="Times New Roman" w:cs="Times New Roman" w:eastAsia="Times New Roman" w:hint="default"/>
        </w:rPr>
        <w:t>”</w:t>
      </w:r>
      <w:r>
        <w:rPr/>
        <w:t>）明细如下：</w:t>
      </w:r>
    </w:p>
    <w:p>
      <w:pPr>
        <w:spacing w:line="240" w:lineRule="auto" w:before="7"/>
        <w:rPr>
          <w:rFonts w:ascii="宋体" w:hAnsi="宋体" w:cs="宋体" w:eastAsia="宋体" w:hint="default"/>
          <w:sz w:val="4"/>
          <w:szCs w:val="4"/>
        </w:rPr>
      </w:pPr>
    </w:p>
    <w:tbl>
      <w:tblPr>
        <w:tblW w:w="0" w:type="auto"/>
        <w:jc w:val="left"/>
        <w:tblInd w:w="140" w:type="dxa"/>
        <w:tblLayout w:type="fixed"/>
        <w:tblCellMar>
          <w:top w:w="0" w:type="dxa"/>
          <w:left w:w="0" w:type="dxa"/>
          <w:bottom w:w="0" w:type="dxa"/>
          <w:right w:w="0" w:type="dxa"/>
        </w:tblCellMar>
        <w:tblLook w:val="01E0"/>
      </w:tblPr>
      <w:tblGrid>
        <w:gridCol w:w="3266"/>
        <w:gridCol w:w="3268"/>
        <w:gridCol w:w="3123"/>
      </w:tblGrid>
      <w:tr>
        <w:trPr>
          <w:trHeight w:val="336" w:hRule="exact"/>
        </w:trPr>
        <w:tc>
          <w:tcPr>
            <w:tcW w:w="3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left="9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left="9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3" w:hRule="exact"/>
        </w:trPr>
        <w:tc>
          <w:tcPr>
            <w:tcW w:w="3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26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34,802,084.83</w:t>
            </w:r>
          </w:p>
        </w:tc>
        <w:tc>
          <w:tcPr>
            <w:tcW w:w="312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21,930,706.32</w:t>
            </w:r>
          </w:p>
        </w:tc>
      </w:tr>
      <w:tr>
        <w:trPr>
          <w:trHeight w:val="341" w:hRule="exact"/>
        </w:trPr>
        <w:tc>
          <w:tcPr>
            <w:tcW w:w="3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40,000.00</w:t>
            </w:r>
          </w:p>
        </w:tc>
      </w:tr>
      <w:tr>
        <w:trPr>
          <w:trHeight w:val="343" w:hRule="exact"/>
        </w:trPr>
        <w:tc>
          <w:tcPr>
            <w:tcW w:w="3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34,802,084.83</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21,970,706.32</w:t>
            </w:r>
          </w:p>
        </w:tc>
      </w:tr>
    </w:tbl>
    <w:p>
      <w:pPr>
        <w:pStyle w:val="BodyText"/>
        <w:spacing w:line="240" w:lineRule="auto" w:before="8"/>
        <w:ind w:right="1115"/>
        <w:jc w:val="left"/>
      </w:pPr>
      <w:r>
        <w:rPr/>
        <w:t>（</w:t>
      </w:r>
      <w:r>
        <w:rPr>
          <w:rFonts w:ascii="Times New Roman" w:hAnsi="Times New Roman" w:cs="Times New Roman" w:eastAsia="Times New Roman" w:hint="default"/>
        </w:rPr>
        <w:t>2</w:t>
      </w:r>
      <w:r>
        <w:rPr/>
        <w:t>）除上述货币资金外，本集团不存在抵押、质押或冻结、或存放在境外且资金汇回受到限制的款项。</w:t>
      </w:r>
    </w:p>
    <w:p>
      <w:pPr>
        <w:spacing w:line="240" w:lineRule="auto" w:before="2"/>
        <w:rPr>
          <w:rFonts w:ascii="宋体" w:hAnsi="宋体" w:cs="宋体" w:eastAsia="宋体" w:hint="default"/>
          <w:sz w:val="26"/>
          <w:szCs w:val="26"/>
        </w:rPr>
      </w:pPr>
    </w:p>
    <w:p>
      <w:pPr>
        <w:pStyle w:val="Heading3"/>
        <w:spacing w:line="240" w:lineRule="auto"/>
        <w:ind w:right="1115"/>
        <w:jc w:val="left"/>
        <w:rPr>
          <w:b w:val="0"/>
          <w:bCs w:val="0"/>
        </w:rPr>
      </w:pPr>
      <w:bookmarkStart w:name="2、交易性金融资产" w:id="219"/>
      <w:bookmarkEnd w:id="219"/>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6107"/>
        <w:gridCol w:w="1796"/>
        <w:gridCol w:w="1795"/>
      </w:tblGrid>
      <w:tr>
        <w:trPr>
          <w:trHeight w:val="402" w:hRule="exact"/>
        </w:trPr>
        <w:tc>
          <w:tcPr>
            <w:tcW w:w="6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2"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61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207,000,000.00</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437,418,500.00</w:t>
            </w:r>
          </w:p>
        </w:tc>
      </w:tr>
      <w:tr>
        <w:trPr>
          <w:trHeight w:val="402" w:hRule="exact"/>
        </w:trPr>
        <w:tc>
          <w:tcPr>
            <w:tcW w:w="61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9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1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债务工具投资</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207,000,000.00</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437,418,500.00</w:t>
            </w:r>
          </w:p>
        </w:tc>
      </w:tr>
      <w:tr>
        <w:trPr>
          <w:trHeight w:val="402" w:hRule="exact"/>
        </w:trPr>
        <w:tc>
          <w:tcPr>
            <w:tcW w:w="6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207,000,000.00</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437,418,500.00</w:t>
            </w:r>
          </w:p>
        </w:tc>
      </w:tr>
    </w:tbl>
    <w:p>
      <w:pPr>
        <w:pStyle w:val="BodyText"/>
        <w:spacing w:line="338" w:lineRule="auto" w:before="50"/>
        <w:ind w:right="1115"/>
        <w:jc w:val="left"/>
      </w:pPr>
      <w:r>
        <w:rPr/>
        <w:t>其他说明： </w:t>
      </w:r>
      <w:r>
        <w:rPr>
          <w:spacing w:val="-2"/>
        </w:rPr>
        <w:t>本集团按新金融工具准则规定将结构性存款等理财产品由其他流动资产调整至交易性金融资产核算，按公允价值计量；期末</w:t>
      </w:r>
      <w:r>
        <w:rPr>
          <w:spacing w:val="-64"/>
        </w:rPr>
        <w:t> </w:t>
      </w:r>
      <w:r>
        <w:rPr>
          <w:spacing w:val="-64"/>
        </w:rPr>
      </w:r>
      <w:r>
        <w:rPr/>
        <w:t>持有的债务工具投资公允价值与投资成本近似。</w:t>
      </w:r>
    </w:p>
    <w:p>
      <w:pPr>
        <w:spacing w:after="0" w:line="338"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15"/>
        <w:jc w:val="left"/>
        <w:rPr>
          <w:b w:val="0"/>
          <w:bCs w:val="0"/>
        </w:rPr>
      </w:pPr>
      <w:bookmarkStart w:name="3、应收票据" w:id="220"/>
      <w:bookmarkEnd w:id="220"/>
      <w:r>
        <w:rPr>
          <w:b w:val="0"/>
          <w:bCs w:val="0"/>
        </w:rPr>
      </w:r>
      <w:r>
        <w:rPr>
          <w:rFonts w:ascii="Times New Roman" w:hAnsi="Times New Roman" w:cs="Times New Roman" w:eastAsia="Times New Roman" w:hint="default"/>
        </w:rPr>
        <w:t>3</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5"/>
        <w:jc w:val="left"/>
        <w:rPr>
          <w:b w:val="0"/>
          <w:bCs w:val="0"/>
        </w:rPr>
      </w:pPr>
      <w:bookmarkStart w:name="（1）应收票据分类列示" w:id="221"/>
      <w:bookmarkEnd w:id="221"/>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4,665,500.00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11,928,010.71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4,665,500.00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11,928,010.71</w:t>
            </w:r>
          </w:p>
        </w:tc>
      </w:tr>
    </w:tbl>
    <w:p>
      <w:pPr>
        <w:pStyle w:val="BodyText"/>
        <w:spacing w:line="240" w:lineRule="auto" w:before="49"/>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44"/>
        <w:gridCol w:w="1012"/>
        <w:gridCol w:w="701"/>
        <w:gridCol w:w="372"/>
        <w:gridCol w:w="648"/>
        <w:gridCol w:w="1001"/>
        <w:gridCol w:w="1085"/>
        <w:gridCol w:w="701"/>
        <w:gridCol w:w="373"/>
        <w:gridCol w:w="646"/>
        <w:gridCol w:w="1087"/>
      </w:tblGrid>
      <w:tr>
        <w:trPr>
          <w:trHeight w:val="396" w:hRule="exact"/>
        </w:trPr>
        <w:tc>
          <w:tcPr>
            <w:tcW w:w="2044" w:type="dxa"/>
            <w:vMerge w:val="restart"/>
            <w:tcBorders>
              <w:top w:val="single" w:sz="4" w:space="0" w:color="000000"/>
              <w:left w:val="single" w:sz="4" w:space="0" w:color="000000"/>
              <w:right w:val="single" w:sz="4" w:space="0" w:color="000000"/>
            </w:tcBorders>
            <w:shd w:val="clear" w:color="auto" w:fill="D2D2D2"/>
          </w:tcPr>
          <w:p>
            <w:pPr/>
          </w:p>
        </w:tc>
        <w:tc>
          <w:tcPr>
            <w:tcW w:w="373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9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2044" w:type="dxa"/>
            <w:vMerge/>
            <w:tcBorders>
              <w:left w:val="single" w:sz="4" w:space="0" w:color="000000"/>
              <w:bottom w:val="nil" w:sz="6" w:space="0" w:color="auto"/>
              <w:right w:val="single" w:sz="4" w:space="0" w:color="000000"/>
            </w:tcBorders>
            <w:shd w:val="clear" w:color="auto" w:fill="D2D2D2"/>
          </w:tcPr>
          <w:p>
            <w:pPr/>
          </w:p>
        </w:tc>
        <w:tc>
          <w:tcPr>
            <w:tcW w:w="17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2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01" w:type="dxa"/>
            <w:vMerge w:val="restart"/>
            <w:tcBorders>
              <w:top w:val="single" w:sz="4" w:space="0" w:color="000000"/>
              <w:left w:val="single" w:sz="4" w:space="0" w:color="000000"/>
              <w:right w:val="single" w:sz="4" w:space="0" w:color="000000"/>
            </w:tcBorders>
            <w:shd w:val="clear" w:color="auto" w:fill="D2D2D2"/>
          </w:tcPr>
          <w:p>
            <w:pPr/>
          </w:p>
        </w:tc>
        <w:tc>
          <w:tcPr>
            <w:tcW w:w="17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1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87" w:type="dxa"/>
            <w:vMerge w:val="restart"/>
            <w:tcBorders>
              <w:top w:val="single" w:sz="4" w:space="0" w:color="000000"/>
              <w:left w:val="single" w:sz="4" w:space="0" w:color="000000"/>
              <w:right w:val="single" w:sz="4" w:space="0" w:color="000000"/>
            </w:tcBorders>
            <w:shd w:val="clear" w:color="auto" w:fill="D2D2D2"/>
          </w:tcPr>
          <w:p>
            <w:pPr/>
          </w:p>
        </w:tc>
      </w:tr>
      <w:tr>
        <w:trPr>
          <w:trHeight w:val="243" w:hRule="exact"/>
        </w:trPr>
        <w:tc>
          <w:tcPr>
            <w:tcW w:w="20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713" w:type="dxa"/>
            <w:gridSpan w:val="2"/>
            <w:vMerge/>
            <w:tcBorders>
              <w:left w:val="single" w:sz="4" w:space="0" w:color="000000"/>
              <w:bottom w:val="single" w:sz="4" w:space="0" w:color="000000"/>
              <w:right w:val="single" w:sz="4" w:space="0" w:color="000000"/>
            </w:tcBorders>
            <w:shd w:val="clear" w:color="auto" w:fill="D2D2D2"/>
          </w:tcPr>
          <w:p>
            <w:pPr/>
          </w:p>
        </w:tc>
        <w:tc>
          <w:tcPr>
            <w:tcW w:w="1020" w:type="dxa"/>
            <w:gridSpan w:val="2"/>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1786" w:type="dxa"/>
            <w:gridSpan w:val="2"/>
            <w:vMerge/>
            <w:tcBorders>
              <w:left w:val="single" w:sz="4" w:space="0" w:color="000000"/>
              <w:bottom w:val="single" w:sz="4" w:space="0" w:color="000000"/>
              <w:right w:val="single" w:sz="4" w:space="0" w:color="000000"/>
            </w:tcBorders>
            <w:shd w:val="clear" w:color="auto" w:fill="D2D2D2"/>
          </w:tcPr>
          <w:p>
            <w:pPr/>
          </w:p>
        </w:tc>
        <w:tc>
          <w:tcPr>
            <w:tcW w:w="1018" w:type="dxa"/>
            <w:gridSpan w:val="2"/>
            <w:vMerge/>
            <w:tcBorders>
              <w:left w:val="single" w:sz="4" w:space="0" w:color="000000"/>
              <w:bottom w:val="single" w:sz="4" w:space="0" w:color="000000"/>
              <w:right w:val="single" w:sz="4" w:space="0" w:color="000000"/>
            </w:tcBorders>
            <w:shd w:val="clear" w:color="auto" w:fill="D2D2D2"/>
          </w:tcPr>
          <w:p>
            <w:pPr/>
          </w:p>
        </w:tc>
        <w:tc>
          <w:tcPr>
            <w:tcW w:w="1087"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2044" w:type="dxa"/>
            <w:vMerge/>
            <w:tcBorders>
              <w:left w:val="single" w:sz="4" w:space="0" w:color="000000"/>
              <w:bottom w:val="single" w:sz="4" w:space="0" w:color="FFFFFF"/>
              <w:right w:val="single" w:sz="4" w:space="0" w:color="000000"/>
            </w:tcBorders>
            <w:shd w:val="clear" w:color="auto" w:fill="D2D2D2"/>
          </w:tcPr>
          <w:p>
            <w:pPr/>
          </w:p>
        </w:tc>
        <w:tc>
          <w:tcPr>
            <w:tcW w:w="101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0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3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金 额</w:t>
            </w:r>
          </w:p>
        </w:tc>
        <w:tc>
          <w:tcPr>
            <w:tcW w:w="64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30" w:right="47"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3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85"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金 额</w:t>
            </w:r>
          </w:p>
        </w:tc>
        <w:tc>
          <w:tcPr>
            <w:tcW w:w="64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0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7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2044" w:type="dxa"/>
            <w:vMerge w:val="restart"/>
            <w:tcBorders>
              <w:top w:val="single" w:sz="4" w:space="0" w:color="FFFFFF"/>
              <w:left w:val="single" w:sz="4" w:space="0" w:color="000000"/>
              <w:right w:val="single" w:sz="4" w:space="0" w:color="000000"/>
            </w:tcBorders>
            <w:shd w:val="clear" w:color="auto" w:fill="D2D2D2"/>
          </w:tcPr>
          <w:p>
            <w:pPr/>
          </w:p>
        </w:tc>
        <w:tc>
          <w:tcPr>
            <w:tcW w:w="101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32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372" w:type="dxa"/>
            <w:vMerge/>
            <w:tcBorders>
              <w:left w:val="single" w:sz="4" w:space="0" w:color="000000"/>
              <w:right w:val="single" w:sz="4" w:space="0" w:color="000000"/>
            </w:tcBorders>
            <w:shd w:val="clear" w:color="auto" w:fill="D2D2D2"/>
          </w:tcPr>
          <w:p>
            <w:pPr/>
          </w:p>
        </w:tc>
        <w:tc>
          <w:tcPr>
            <w:tcW w:w="648" w:type="dxa"/>
            <w:vMerge/>
            <w:tcBorders>
              <w:left w:val="single" w:sz="4" w:space="0" w:color="000000"/>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10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5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373" w:type="dxa"/>
            <w:vMerge/>
            <w:tcBorders>
              <w:left w:val="single" w:sz="4" w:space="0" w:color="000000"/>
              <w:right w:val="single" w:sz="4" w:space="0" w:color="000000"/>
            </w:tcBorders>
            <w:shd w:val="clear" w:color="auto" w:fill="D2D2D2"/>
          </w:tcPr>
          <w:p>
            <w:pPr/>
          </w:p>
        </w:tc>
        <w:tc>
          <w:tcPr>
            <w:tcW w:w="646" w:type="dxa"/>
            <w:vMerge/>
            <w:tcBorders>
              <w:left w:val="single" w:sz="4" w:space="0" w:color="000000"/>
              <w:right w:val="single" w:sz="4" w:space="0" w:color="000000"/>
            </w:tcBorders>
            <w:shd w:val="clear" w:color="auto" w:fill="D2D2D2"/>
          </w:tcPr>
          <w:p>
            <w:pPr/>
          </w:p>
        </w:tc>
        <w:tc>
          <w:tcPr>
            <w:tcW w:w="1087"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044" w:type="dxa"/>
            <w:vMerge/>
            <w:tcBorders>
              <w:left w:val="single" w:sz="4" w:space="0" w:color="000000"/>
              <w:right w:val="single" w:sz="4" w:space="0" w:color="000000"/>
            </w:tcBorders>
            <w:shd w:val="clear" w:color="auto" w:fill="D2D2D2"/>
          </w:tcPr>
          <w:p>
            <w:pPr/>
          </w:p>
        </w:tc>
        <w:tc>
          <w:tcPr>
            <w:tcW w:w="1012" w:type="dxa"/>
            <w:vMerge/>
            <w:tcBorders>
              <w:left w:val="single" w:sz="4" w:space="0" w:color="000000"/>
              <w:bottom w:val="nil" w:sz="6" w:space="0" w:color="auto"/>
              <w:right w:val="single" w:sz="4" w:space="0" w:color="000000"/>
            </w:tcBorders>
            <w:shd w:val="clear" w:color="auto" w:fill="D2D2D2"/>
          </w:tcPr>
          <w:p>
            <w:pPr/>
          </w:p>
        </w:tc>
        <w:tc>
          <w:tcPr>
            <w:tcW w:w="701" w:type="dxa"/>
            <w:vMerge/>
            <w:tcBorders>
              <w:left w:val="single" w:sz="4" w:space="0" w:color="000000"/>
              <w:bottom w:val="nil" w:sz="6" w:space="0" w:color="auto"/>
              <w:right w:val="single" w:sz="4" w:space="0" w:color="000000"/>
            </w:tcBorders>
            <w:shd w:val="clear" w:color="auto" w:fill="D2D2D2"/>
          </w:tcPr>
          <w:p>
            <w:pPr/>
          </w:p>
        </w:tc>
        <w:tc>
          <w:tcPr>
            <w:tcW w:w="372" w:type="dxa"/>
            <w:vMerge/>
            <w:tcBorders>
              <w:left w:val="single" w:sz="4" w:space="0" w:color="000000"/>
              <w:right w:val="single" w:sz="4" w:space="0" w:color="000000"/>
            </w:tcBorders>
            <w:shd w:val="clear" w:color="auto" w:fill="D2D2D2"/>
          </w:tcPr>
          <w:p>
            <w:pPr/>
          </w:p>
        </w:tc>
        <w:tc>
          <w:tcPr>
            <w:tcW w:w="648" w:type="dxa"/>
            <w:vMerge/>
            <w:tcBorders>
              <w:left w:val="single" w:sz="4" w:space="0" w:color="000000"/>
              <w:right w:val="single" w:sz="4" w:space="0" w:color="000000"/>
            </w:tcBorders>
            <w:shd w:val="clear" w:color="auto" w:fill="D2D2D2"/>
          </w:tcPr>
          <w:p>
            <w:pPr/>
          </w:p>
        </w:tc>
        <w:tc>
          <w:tcPr>
            <w:tcW w:w="1001" w:type="dxa"/>
            <w:vMerge w:val="restart"/>
            <w:tcBorders>
              <w:top w:val="nil" w:sz="6" w:space="0" w:color="auto"/>
              <w:left w:val="single" w:sz="4" w:space="0" w:color="000000"/>
              <w:right w:val="single" w:sz="4" w:space="0" w:color="000000"/>
            </w:tcBorders>
            <w:shd w:val="clear" w:color="auto" w:fill="D2D2D2"/>
          </w:tcPr>
          <w:p>
            <w:pPr/>
          </w:p>
        </w:tc>
        <w:tc>
          <w:tcPr>
            <w:tcW w:w="1085" w:type="dxa"/>
            <w:vMerge/>
            <w:tcBorders>
              <w:left w:val="single" w:sz="4" w:space="0" w:color="000000"/>
              <w:bottom w:val="nil" w:sz="6" w:space="0" w:color="auto"/>
              <w:right w:val="single" w:sz="4" w:space="0" w:color="000000"/>
            </w:tcBorders>
            <w:shd w:val="clear" w:color="auto" w:fill="D2D2D2"/>
          </w:tcPr>
          <w:p>
            <w:pPr/>
          </w:p>
        </w:tc>
        <w:tc>
          <w:tcPr>
            <w:tcW w:w="701" w:type="dxa"/>
            <w:vMerge/>
            <w:tcBorders>
              <w:left w:val="single" w:sz="4" w:space="0" w:color="000000"/>
              <w:bottom w:val="nil" w:sz="6" w:space="0" w:color="auto"/>
              <w:right w:val="single" w:sz="4" w:space="0" w:color="000000"/>
            </w:tcBorders>
            <w:shd w:val="clear" w:color="auto" w:fill="D2D2D2"/>
          </w:tcPr>
          <w:p>
            <w:pPr/>
          </w:p>
        </w:tc>
        <w:tc>
          <w:tcPr>
            <w:tcW w:w="373" w:type="dxa"/>
            <w:vMerge/>
            <w:tcBorders>
              <w:left w:val="single" w:sz="4" w:space="0" w:color="000000"/>
              <w:right w:val="single" w:sz="4" w:space="0" w:color="000000"/>
            </w:tcBorders>
            <w:shd w:val="clear" w:color="auto" w:fill="D2D2D2"/>
          </w:tcPr>
          <w:p>
            <w:pPr/>
          </w:p>
        </w:tc>
        <w:tc>
          <w:tcPr>
            <w:tcW w:w="646" w:type="dxa"/>
            <w:vMerge/>
            <w:tcBorders>
              <w:left w:val="single" w:sz="4" w:space="0" w:color="000000"/>
              <w:right w:val="single" w:sz="4" w:space="0" w:color="000000"/>
            </w:tcBorders>
            <w:shd w:val="clear" w:color="auto" w:fill="D2D2D2"/>
          </w:tcPr>
          <w:p>
            <w:pPr/>
          </w:p>
        </w:tc>
        <w:tc>
          <w:tcPr>
            <w:tcW w:w="108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044" w:type="dxa"/>
            <w:vMerge/>
            <w:tcBorders>
              <w:left w:val="single" w:sz="4" w:space="0" w:color="000000"/>
              <w:bottom w:val="single" w:sz="4" w:space="0" w:color="000000"/>
              <w:right w:val="single" w:sz="4" w:space="0" w:color="000000"/>
            </w:tcBorders>
            <w:shd w:val="clear" w:color="auto" w:fill="D2D2D2"/>
          </w:tcPr>
          <w:p>
            <w:pPr/>
          </w:p>
        </w:tc>
        <w:tc>
          <w:tcPr>
            <w:tcW w:w="10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tcBorders>
              <w:top w:val="nil" w:sz="6" w:space="0" w:color="auto"/>
              <w:left w:val="single" w:sz="4" w:space="0" w:color="000000"/>
              <w:bottom w:val="single" w:sz="4" w:space="0" w:color="000000"/>
              <w:right w:val="single" w:sz="4" w:space="0" w:color="000000"/>
            </w:tcBorders>
            <w:shd w:val="clear" w:color="auto" w:fill="D2D2D2"/>
          </w:tcPr>
          <w:p>
            <w:pPr/>
          </w:p>
        </w:tc>
        <w:tc>
          <w:tcPr>
            <w:tcW w:w="372" w:type="dxa"/>
            <w:vMerge/>
            <w:tcBorders>
              <w:left w:val="single" w:sz="4" w:space="0" w:color="000000"/>
              <w:bottom w:val="single" w:sz="4" w:space="0" w:color="000000"/>
              <w:right w:val="single" w:sz="4" w:space="0" w:color="000000"/>
            </w:tcBorders>
            <w:shd w:val="clear" w:color="auto" w:fill="D2D2D2"/>
          </w:tcPr>
          <w:p>
            <w:pPr/>
          </w:p>
        </w:tc>
        <w:tc>
          <w:tcPr>
            <w:tcW w:w="648"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1085"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tcBorders>
              <w:top w:val="nil" w:sz="6" w:space="0" w:color="auto"/>
              <w:left w:val="single" w:sz="4" w:space="0" w:color="000000"/>
              <w:bottom w:val="single" w:sz="4" w:space="0" w:color="000000"/>
              <w:right w:val="single" w:sz="4" w:space="0" w:color="000000"/>
            </w:tcBorders>
            <w:shd w:val="clear" w:color="auto" w:fill="D2D2D2"/>
          </w:tcPr>
          <w:p>
            <w:pPr/>
          </w:p>
        </w:tc>
        <w:tc>
          <w:tcPr>
            <w:tcW w:w="373" w:type="dxa"/>
            <w:vMerge/>
            <w:tcBorders>
              <w:left w:val="single" w:sz="4" w:space="0" w:color="000000"/>
              <w:bottom w:val="single" w:sz="4" w:space="0" w:color="000000"/>
              <w:right w:val="single" w:sz="4" w:space="0" w:color="000000"/>
            </w:tcBorders>
            <w:shd w:val="clear" w:color="auto" w:fill="D2D2D2"/>
          </w:tcPr>
          <w:p>
            <w:pPr/>
          </w:p>
        </w:tc>
        <w:tc>
          <w:tcPr>
            <w:tcW w:w="646" w:type="dxa"/>
            <w:vMerge/>
            <w:tcBorders>
              <w:left w:val="single" w:sz="4" w:space="0" w:color="000000"/>
              <w:bottom w:val="single" w:sz="4" w:space="0" w:color="000000"/>
              <w:right w:val="single" w:sz="4" w:space="0" w:color="000000"/>
            </w:tcBorders>
            <w:shd w:val="clear" w:color="auto" w:fill="D2D2D2"/>
          </w:tcPr>
          <w:p>
            <w:pPr/>
          </w:p>
        </w:tc>
        <w:tc>
          <w:tcPr>
            <w:tcW w:w="1087"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8"/>
              <w:jc w:val="left"/>
              <w:rPr>
                <w:rFonts w:ascii="宋体" w:hAnsi="宋体" w:cs="宋体" w:eastAsia="宋体" w:hint="default"/>
                <w:sz w:val="18"/>
                <w:szCs w:val="18"/>
              </w:rPr>
            </w:pPr>
            <w:r>
              <w:rPr>
                <w:rFonts w:ascii="宋体" w:hAnsi="宋体" w:cs="宋体" w:eastAsia="宋体" w:hint="default"/>
                <w:sz w:val="18"/>
                <w:szCs w:val="18"/>
              </w:rPr>
              <w:t>按组合计提坏账准备的应 收票据</w:t>
            </w:r>
          </w:p>
        </w:tc>
        <w:tc>
          <w:tcPr>
            <w:tcW w:w="101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4,665,500.00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72"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4,665,500.00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11,928,010.71</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37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11,928,010.71</w:t>
            </w:r>
          </w:p>
        </w:tc>
      </w:tr>
      <w:tr>
        <w:trPr>
          <w:trHeight w:val="401" w:hRule="exact"/>
        </w:trPr>
        <w:tc>
          <w:tcPr>
            <w:tcW w:w="2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0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8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：银行承兑汇票</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4,665,500.00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72"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4,665,500.00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11,928,010.71</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100.00%</w:t>
            </w:r>
          </w:p>
        </w:tc>
        <w:tc>
          <w:tcPr>
            <w:tcW w:w="37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11,928,010.71</w:t>
            </w:r>
          </w:p>
        </w:tc>
      </w:tr>
      <w:tr>
        <w:trPr>
          <w:trHeight w:val="401" w:hRule="exact"/>
        </w:trPr>
        <w:tc>
          <w:tcPr>
            <w:tcW w:w="2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4,665,500.00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72"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4,665,500.00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11,928,010.71</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100.00%</w:t>
            </w:r>
          </w:p>
        </w:tc>
        <w:tc>
          <w:tcPr>
            <w:tcW w:w="37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11,928,010.71</w:t>
            </w:r>
          </w:p>
        </w:tc>
      </w:tr>
    </w:tbl>
    <w:p>
      <w:pPr>
        <w:pStyle w:val="BodyText"/>
        <w:spacing w:line="240" w:lineRule="auto" w:before="49"/>
        <w:ind w:right="1115"/>
        <w:jc w:val="left"/>
      </w:pPr>
      <w:r>
        <w:rPr/>
        <w:t>如是按照预期信用损失一般模型计提应收票据坏账准备，请参照其他应收款的披露方式披露坏账准备的相关信息：</w:t>
      </w:r>
    </w:p>
    <w:p>
      <w:pPr>
        <w:pStyle w:val="BodyText"/>
        <w:spacing w:line="240" w:lineRule="auto" w:before="117"/>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15"/>
        <w:jc w:val="left"/>
        <w:rPr>
          <w:b w:val="0"/>
          <w:bCs w:val="0"/>
        </w:rPr>
      </w:pPr>
      <w:bookmarkStart w:name="（2）期末公司已背书或贴现且在资产负债表日尚未到期的应收票据" w:id="222"/>
      <w:bookmarkEnd w:id="222"/>
      <w:r>
        <w:rPr>
          <w:b w:val="0"/>
          <w:bCs w:val="0"/>
        </w:rPr>
      </w: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11,343,428.20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11,343,428.20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4" w:lineRule="auto" w:before="49"/>
        <w:ind w:right="1115"/>
        <w:jc w:val="left"/>
      </w:pPr>
      <w:r>
        <w:rPr>
          <w:spacing w:val="-2"/>
        </w:rPr>
        <w:t>说明：用于贴现的银行承兑汇票是由信用等级较高的银行承兑，信用风险和延期付款风险很小，并且票据相关的利率风险已</w:t>
      </w:r>
      <w:r>
        <w:rPr>
          <w:spacing w:val="-62"/>
        </w:rPr>
        <w:t> </w:t>
      </w:r>
      <w:r>
        <w:rPr>
          <w:spacing w:val="-62"/>
        </w:rPr>
      </w:r>
      <w:r>
        <w:rPr/>
        <w:t>转移给银行，可以判断票据所有权上的主要风险和报酬已经转移，故终止确认。</w:t>
      </w:r>
    </w:p>
    <w:p>
      <w:pPr>
        <w:spacing w:line="240" w:lineRule="auto" w:before="12"/>
        <w:rPr>
          <w:rFonts w:ascii="宋体" w:hAnsi="宋体" w:cs="宋体" w:eastAsia="宋体" w:hint="default"/>
          <w:sz w:val="22"/>
          <w:szCs w:val="22"/>
        </w:rPr>
      </w:pPr>
    </w:p>
    <w:p>
      <w:pPr>
        <w:pStyle w:val="Heading3"/>
        <w:spacing w:line="240" w:lineRule="auto"/>
        <w:ind w:right="1115"/>
        <w:jc w:val="left"/>
        <w:rPr>
          <w:b w:val="0"/>
          <w:bCs w:val="0"/>
        </w:rPr>
      </w:pPr>
      <w:bookmarkStart w:name="4、应收账款" w:id="223"/>
      <w:bookmarkEnd w:id="223"/>
      <w:r>
        <w:rPr>
          <w:b w:val="0"/>
          <w:bCs w:val="0"/>
        </w:rPr>
      </w:r>
      <w:r>
        <w:rPr>
          <w:rFonts w:ascii="Times New Roman" w:hAnsi="Times New Roman" w:cs="Times New Roman" w:eastAsia="Times New Roman" w:hint="default"/>
        </w:rPr>
        <w:t>4</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5"/>
        <w:jc w:val="left"/>
        <w:rPr>
          <w:b w:val="0"/>
          <w:bCs w:val="0"/>
        </w:rPr>
      </w:pPr>
      <w:bookmarkStart w:name="（1）应收账款分类披露" w:id="224"/>
      <w:bookmarkEnd w:id="224"/>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4"/>
        <w:gridCol w:w="761"/>
        <w:gridCol w:w="763"/>
        <w:gridCol w:w="790"/>
        <w:gridCol w:w="775"/>
        <w:gridCol w:w="797"/>
        <w:gridCol w:w="800"/>
        <w:gridCol w:w="790"/>
        <w:gridCol w:w="931"/>
      </w:tblGrid>
      <w:tr>
        <w:trPr>
          <w:trHeight w:val="403"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634"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13,254,5</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37.62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10,099,1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14.36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76.19%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3,155,423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20,489,79</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1.98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11,192,28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4.41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54.62%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9,297,507.5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649,256,</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517.32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12,644,7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42.04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636,611,7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75.28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517,810,5</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89.34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96.19%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10,657,01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5.71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507,153,57</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3.63</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：软件及服务 相关业务客户</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194,540,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641.39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29.36%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8,989,56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0.35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185,551,0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81.04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186,675,1</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34.70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34.68%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7,379,447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179,295,68</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7.19</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7" w:lineRule="auto" w:before="51"/>
              <w:ind w:left="24" w:right="21"/>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：数字传播业 务客户</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454,715,</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875.93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68.64%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3,655,18</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1.69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451,060,6</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94.24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217,881,4</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97.77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40.48%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3,158,796</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.89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214,722,70</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0.88</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：移动信息业 务客户</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113,253,9</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56.87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21.04%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118,771.3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113,135,18</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5.56</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7" w:right="0"/>
              <w:jc w:val="center"/>
              <w:rPr>
                <w:rFonts w:ascii="Times New Roman" w:hAnsi="Times New Roman" w:cs="Times New Roman" w:eastAsia="Times New Roman" w:hint="default"/>
                <w:sz w:val="18"/>
                <w:szCs w:val="18"/>
              </w:rPr>
            </w:pPr>
            <w:r>
              <w:rPr>
                <w:rFonts w:ascii="Times New Roman"/>
                <w:sz w:val="18"/>
              </w:rPr>
              <w:t>662,511,</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054.94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22,743,8</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56.40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639,767,1</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98.54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538,300,3</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81.32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21,849,30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0.12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516,451,08</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1.20</w:t>
            </w:r>
          </w:p>
        </w:tc>
      </w:tr>
    </w:tbl>
    <w:p>
      <w:pPr>
        <w:pStyle w:val="BodyText"/>
        <w:spacing w:line="240" w:lineRule="auto" w:before="49"/>
        <w:ind w:right="1115"/>
        <w:jc w:val="left"/>
      </w:pPr>
      <w:r>
        <w:rPr/>
        <w:t>按单项计提坏账准备：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6,310,846.52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3,115,423.26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经仲裁达成和解</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其他单位汇总</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6,943,691.10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6,943,691.10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预计难以收回</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13,254,537.62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10,099,114.36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15"/>
        <w:jc w:val="left"/>
      </w:pPr>
      <w:r>
        <w:rPr/>
        <w:t>按组合计提坏账准备：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4391"/>
        <w:gridCol w:w="2324"/>
        <w:gridCol w:w="1961"/>
        <w:gridCol w:w="1022"/>
      </w:tblGrid>
      <w:tr>
        <w:trPr>
          <w:trHeight w:val="401" w:hRule="exact"/>
        </w:trPr>
        <w:tc>
          <w:tcPr>
            <w:tcW w:w="4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530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4391" w:type="dxa"/>
            <w:vMerge/>
            <w:tcBorders>
              <w:left w:val="single" w:sz="4" w:space="0" w:color="000000"/>
              <w:bottom w:val="single" w:sz="4" w:space="0" w:color="000000"/>
              <w:right w:val="single" w:sz="4" w:space="0" w:color="000000"/>
            </w:tcBorders>
            <w:shd w:val="clear" w:color="auto" w:fill="D2D2D2"/>
          </w:tcPr>
          <w:p>
            <w:pP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698"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①组合计提项目：软件及服务相关业务客户</w:t>
            </w:r>
          </w:p>
        </w:tc>
      </w:tr>
      <w:tr>
        <w:trPr>
          <w:trHeight w:val="403" w:hRule="exact"/>
        </w:trPr>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150,322,592.41</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1,996,573.77</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1.33</w:t>
            </w:r>
          </w:p>
        </w:tc>
      </w:tr>
      <w:tr>
        <w:trPr>
          <w:trHeight w:val="401" w:hRule="exact"/>
        </w:trPr>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26,541,441.11</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2,064,860.52</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7.78</w:t>
            </w:r>
          </w:p>
        </w:tc>
      </w:tr>
      <w:tr>
        <w:trPr>
          <w:trHeight w:val="403" w:hRule="exact"/>
        </w:trPr>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8,190,544.40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1,011,051.75</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12.34</w:t>
            </w:r>
          </w:p>
        </w:tc>
      </w:tr>
      <w:tr>
        <w:trPr>
          <w:trHeight w:val="401" w:hRule="exact"/>
        </w:trPr>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9,486,063.47</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3,917,074.31</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41.29</w:t>
            </w:r>
          </w:p>
        </w:tc>
      </w:tr>
      <w:tr>
        <w:trPr>
          <w:trHeight w:val="403" w:hRule="exact"/>
        </w:trPr>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194,540,641.39</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8,989,560.35</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4.62%</w:t>
            </w:r>
          </w:p>
        </w:tc>
      </w:tr>
      <w:tr>
        <w:trPr>
          <w:trHeight w:val="401" w:hRule="exact"/>
        </w:trPr>
        <w:tc>
          <w:tcPr>
            <w:tcW w:w="9698"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②组合计提项目：数字传播业务客户</w:t>
            </w:r>
          </w:p>
        </w:tc>
      </w:tr>
      <w:tr>
        <w:trPr>
          <w:trHeight w:val="403" w:hRule="exact"/>
        </w:trPr>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450,918,825.38</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2,776,589.73</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0.62</w:t>
            </w:r>
          </w:p>
        </w:tc>
      </w:tr>
      <w:tr>
        <w:trPr>
          <w:trHeight w:val="401" w:hRule="exact"/>
        </w:trPr>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2,926,412.84</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523,167.48</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17.88</w:t>
            </w:r>
          </w:p>
        </w:tc>
      </w:tr>
      <w:tr>
        <w:trPr>
          <w:trHeight w:val="403" w:hRule="exact"/>
        </w:trPr>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767,509.71</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280,141.04</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36.50</w:t>
            </w:r>
          </w:p>
        </w:tc>
      </w:tr>
      <w:tr>
        <w:trPr>
          <w:trHeight w:val="401" w:hRule="exact"/>
        </w:trPr>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103,128.00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75,283.44</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73.00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4391"/>
        <w:gridCol w:w="2324"/>
        <w:gridCol w:w="1961"/>
        <w:gridCol w:w="1022"/>
      </w:tblGrid>
      <w:tr>
        <w:trPr>
          <w:trHeight w:val="402" w:hRule="exact"/>
        </w:trPr>
        <w:tc>
          <w:tcPr>
            <w:tcW w:w="4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530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4391" w:type="dxa"/>
            <w:vMerge/>
            <w:tcBorders>
              <w:left w:val="single" w:sz="4" w:space="0" w:color="000000"/>
              <w:bottom w:val="single" w:sz="4" w:space="0" w:color="000000"/>
              <w:right w:val="single" w:sz="4" w:space="0" w:color="000000"/>
            </w:tcBorders>
            <w:shd w:val="clear" w:color="auto" w:fill="D2D2D2"/>
          </w:tcPr>
          <w:p>
            <w:pP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454,715,875.93</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3,655,181.69</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0.80%</w:t>
            </w:r>
          </w:p>
        </w:tc>
      </w:tr>
      <w:tr>
        <w:trPr>
          <w:trHeight w:val="403" w:hRule="exact"/>
        </w:trPr>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649,256,517.32</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12,644,742.04</w:t>
            </w:r>
          </w:p>
        </w:tc>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1754"/>
        <w:jc w:val="left"/>
      </w:pPr>
      <w:r>
        <w:rPr/>
        <w:t>确定该组合依据的说明： 如是按照预期信用损失一般模型计提应收账款坏账准备，请参照其他应收款的披露方式披露坏账准备的相关信息：</w:t>
      </w:r>
    </w:p>
    <w:p>
      <w:pPr>
        <w:pStyle w:val="BodyText"/>
        <w:spacing w:line="340" w:lineRule="auto" w:before="29"/>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39"/>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602,043,207.77</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36,313,933.85</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9,163,925.21</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14,989,988.11</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662,511,054.94</w:t>
            </w:r>
          </w:p>
        </w:tc>
      </w:tr>
    </w:tbl>
    <w:p>
      <w:pPr>
        <w:pStyle w:val="BodyText"/>
        <w:spacing w:line="340" w:lineRule="auto" w:before="49"/>
        <w:ind w:right="1664"/>
        <w:jc w:val="left"/>
      </w:pPr>
      <w:r>
        <w:rPr/>
        <w:t>公司需要遵守《深圳证券交易所行业信息披露指引第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报告期内不存在账龄超过三年的单项金额重大的应收账款。</w:t>
      </w:r>
    </w:p>
    <w:p>
      <w:pPr>
        <w:spacing w:line="240" w:lineRule="auto" w:before="3"/>
        <w:rPr>
          <w:rFonts w:ascii="宋体" w:hAnsi="宋体" w:cs="宋体" w:eastAsia="宋体" w:hint="default"/>
          <w:sz w:val="21"/>
          <w:szCs w:val="21"/>
        </w:rPr>
      </w:pPr>
    </w:p>
    <w:p>
      <w:pPr>
        <w:pStyle w:val="Heading3"/>
        <w:spacing w:line="240" w:lineRule="auto"/>
        <w:ind w:right="1115"/>
        <w:jc w:val="left"/>
        <w:rPr>
          <w:b w:val="0"/>
          <w:bCs w:val="0"/>
        </w:rPr>
      </w:pPr>
      <w:bookmarkStart w:name="（2）本期计提、收回或转回的坏账准备情况" w:id="225"/>
      <w:bookmarkEnd w:id="22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15"/>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21,849,300.12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3,337,885.13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26,509.71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-2,416,819.14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22,743,856.40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21,849,300.12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3,337,885.13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26,509.71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-2,416,819.14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22,743,856.40</w:t>
            </w:r>
          </w:p>
        </w:tc>
      </w:tr>
    </w:tbl>
    <w:p>
      <w:pPr>
        <w:pStyle w:val="BodyText"/>
        <w:spacing w:line="240" w:lineRule="auto" w:before="49"/>
        <w:ind w:right="1115"/>
        <w:jc w:val="left"/>
      </w:pPr>
      <w:r>
        <w:rPr/>
        <w:t>其中本期坏账准备收回或转回金额重要的：无。</w:t>
      </w:r>
    </w:p>
    <w:p>
      <w:pPr>
        <w:spacing w:line="240" w:lineRule="auto" w:before="0"/>
        <w:rPr>
          <w:rFonts w:ascii="宋体" w:hAnsi="宋体" w:cs="宋体" w:eastAsia="宋体" w:hint="default"/>
          <w:sz w:val="18"/>
          <w:szCs w:val="18"/>
        </w:rPr>
      </w:pPr>
    </w:p>
    <w:p>
      <w:pPr>
        <w:pStyle w:val="Heading3"/>
        <w:spacing w:line="240" w:lineRule="auto" w:before="118"/>
        <w:ind w:right="1115"/>
        <w:jc w:val="left"/>
        <w:rPr>
          <w:b w:val="0"/>
          <w:bCs w:val="0"/>
        </w:rPr>
      </w:pPr>
      <w:bookmarkStart w:name="（3）本期实际核销的应收账款情况" w:id="226"/>
      <w:bookmarkEnd w:id="226"/>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26,509.71</w:t>
            </w:r>
          </w:p>
        </w:tc>
      </w:tr>
    </w:tbl>
    <w:p>
      <w:pPr>
        <w:pStyle w:val="BodyText"/>
        <w:spacing w:line="240" w:lineRule="auto" w:before="49"/>
        <w:ind w:right="1115"/>
        <w:jc w:val="left"/>
      </w:pPr>
      <w:r>
        <w:rPr/>
        <w:t>其中重要的应收账款核销情况：无。</w:t>
      </w:r>
    </w:p>
    <w:p>
      <w:pPr>
        <w:spacing w:line="240" w:lineRule="auto" w:before="0"/>
        <w:rPr>
          <w:rFonts w:ascii="宋体" w:hAnsi="宋体" w:cs="宋体" w:eastAsia="宋体" w:hint="default"/>
          <w:sz w:val="18"/>
          <w:szCs w:val="18"/>
        </w:rPr>
      </w:pPr>
    </w:p>
    <w:p>
      <w:pPr>
        <w:pStyle w:val="Heading3"/>
        <w:spacing w:line="240" w:lineRule="auto" w:before="118"/>
        <w:ind w:right="1115"/>
        <w:jc w:val="left"/>
        <w:rPr>
          <w:b w:val="0"/>
          <w:bCs w:val="0"/>
        </w:rPr>
      </w:pPr>
      <w:bookmarkStart w:name="（4）按欠款方归集的期末余额前五名的应收账款情况" w:id="227"/>
      <w:bookmarkEnd w:id="227"/>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80"/>
        <w:gridCol w:w="2240"/>
        <w:gridCol w:w="3120"/>
        <w:gridCol w:w="2228"/>
      </w:tblGrid>
      <w:tr>
        <w:trPr>
          <w:trHeight w:val="401"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占应收账款期末余额合计数的比例</w:t>
            </w:r>
          </w:p>
        </w:tc>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52,095,846.91</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7.86%</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248,348.46</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20,287,908.30</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119,698.66</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17,790,000.00</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2.69%</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83,703.11</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17,271,773.70</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2.61%</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101,903.46</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16,400,000.00</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2.48%</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207,531.55</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123,845,528.91</w:t>
            </w:r>
          </w:p>
        </w:tc>
        <w:tc>
          <w:tcPr>
            <w:tcW w:w="31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18.70%</w:t>
            </w:r>
          </w:p>
        </w:tc>
        <w:tc>
          <w:tcPr>
            <w:tcW w:w="2228" w:type="dxa"/>
            <w:tcBorders>
              <w:top w:val="single" w:sz="4" w:space="0" w:color="000000"/>
              <w:left w:val="single" w:sz="10" w:space="0" w:color="D9D9D9"/>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5、 应收保理款" w:id="228"/>
      <w:bookmarkEnd w:id="228"/>
      <w:r>
        <w:rPr>
          <w:b w:val="0"/>
          <w:bCs w:val="0"/>
        </w:rPr>
      </w:r>
      <w:r>
        <w:rPr>
          <w:rFonts w:ascii="Times New Roman" w:hAnsi="Times New Roman" w:cs="Times New Roman" w:eastAsia="Times New Roman" w:hint="default"/>
        </w:rPr>
        <w:t>5</w:t>
      </w:r>
      <w:r>
        <w:rPr/>
        <w:t>、</w:t>
      </w:r>
      <w:r>
        <w:rPr>
          <w:spacing w:val="2"/>
        </w:rPr>
        <w:t> </w:t>
      </w:r>
      <w:r>
        <w:rPr/>
        <w:t>应收保理款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5"/>
        <w:jc w:val="left"/>
        <w:rPr>
          <w:b w:val="0"/>
          <w:bCs w:val="0"/>
        </w:rPr>
      </w:pPr>
      <w:bookmarkStart w:name="（1）按账龄披露" w:id="229"/>
      <w:bookmarkEnd w:id="229"/>
      <w:r>
        <w:rPr>
          <w:b w:val="0"/>
          <w:bCs w:val="0"/>
        </w:rPr>
      </w:r>
      <w:r>
        <w:rPr/>
        <w:t>（</w:t>
      </w:r>
      <w:r>
        <w:rPr>
          <w:rFonts w:ascii="Times New Roman" w:hAnsi="Times New Roman" w:cs="Times New Roman" w:eastAsia="Times New Roman" w:hint="default"/>
        </w:rPr>
        <w:t>1</w:t>
      </w:r>
      <w:r>
        <w:rPr/>
        <w:t>）按账龄披露</w:t>
      </w:r>
      <w:r>
        <w:rPr>
          <w:b w:val="0"/>
          <w:bCs w:val="0"/>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3135"/>
        <w:gridCol w:w="3262"/>
        <w:gridCol w:w="3262"/>
      </w:tblGrid>
      <w:tr>
        <w:trPr>
          <w:trHeight w:val="422" w:hRule="exact"/>
        </w:trPr>
        <w:tc>
          <w:tcPr>
            <w:tcW w:w="3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32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8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8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41"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23,622,096.04</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85,515,330.00</w:t>
            </w:r>
          </w:p>
        </w:tc>
      </w:tr>
      <w:tr>
        <w:trPr>
          <w:trHeight w:val="343"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44,119,162.00</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69,610,000.00</w:t>
            </w:r>
          </w:p>
        </w:tc>
      </w:tr>
      <w:tr>
        <w:trPr>
          <w:trHeight w:val="341"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65,000,000.00</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7" w:hRule="exact"/>
        </w:trPr>
        <w:tc>
          <w:tcPr>
            <w:tcW w:w="3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32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132,741,258.04</w:t>
            </w:r>
          </w:p>
        </w:tc>
        <w:tc>
          <w:tcPr>
            <w:tcW w:w="32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155,125,330.00</w:t>
            </w:r>
          </w:p>
        </w:tc>
      </w:tr>
      <w:tr>
        <w:trPr>
          <w:trHeight w:val="347"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 w:right="0"/>
              <w:jc w:val="left"/>
              <w:rPr>
                <w:rFonts w:ascii="宋体" w:hAnsi="宋体" w:cs="宋体" w:eastAsia="宋体" w:hint="default"/>
                <w:sz w:val="18"/>
                <w:szCs w:val="18"/>
              </w:rPr>
            </w:pPr>
            <w:r>
              <w:rPr>
                <w:rFonts w:ascii="宋体" w:hAnsi="宋体" w:cs="宋体" w:eastAsia="宋体" w:hint="default"/>
                <w:sz w:val="18"/>
                <w:szCs w:val="18"/>
              </w:rPr>
              <w:t>减：坏账准备</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right"/>
              <w:rPr>
                <w:rFonts w:ascii="Times New Roman" w:hAnsi="Times New Roman" w:cs="Times New Roman" w:eastAsia="Times New Roman" w:hint="default"/>
                <w:sz w:val="18"/>
                <w:szCs w:val="18"/>
              </w:rPr>
            </w:pPr>
            <w:r>
              <w:rPr>
                <w:rFonts w:ascii="Times New Roman"/>
                <w:spacing w:val="-1"/>
                <w:sz w:val="18"/>
              </w:rPr>
              <w:t>71,401,488.81</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343" w:hRule="exact"/>
        </w:trPr>
        <w:tc>
          <w:tcPr>
            <w:tcW w:w="3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61,339,769.23</w:t>
            </w:r>
          </w:p>
        </w:tc>
        <w:tc>
          <w:tcPr>
            <w:tcW w:w="32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130,125,330.00</w:t>
            </w:r>
          </w:p>
        </w:tc>
      </w:tr>
    </w:tbl>
    <w:p>
      <w:pPr>
        <w:pStyle w:val="BodyText"/>
        <w:spacing w:line="297" w:lineRule="auto" w:before="49"/>
        <w:ind w:right="1130"/>
        <w:jc w:val="left"/>
      </w:pPr>
      <w:r>
        <w:rPr/>
        <w:t>说明：应收保理款系子公司久金保的保理业务形成，且均附追索权。应收保理款以摊余成本计量，自</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 </w:t>
      </w:r>
      <w:r>
        <w:rPr/>
        <w:t>日执行 新金融工具准则起，账面余额包含计提的利息。</w:t>
      </w:r>
    </w:p>
    <w:p>
      <w:pPr>
        <w:spacing w:line="240" w:lineRule="auto" w:before="12"/>
        <w:rPr>
          <w:rFonts w:ascii="宋体" w:hAnsi="宋体" w:cs="宋体" w:eastAsia="宋体" w:hint="default"/>
          <w:sz w:val="23"/>
          <w:szCs w:val="23"/>
        </w:rPr>
      </w:pPr>
    </w:p>
    <w:p>
      <w:pPr>
        <w:pStyle w:val="Heading3"/>
        <w:spacing w:line="240" w:lineRule="auto"/>
        <w:ind w:right="1115"/>
        <w:jc w:val="left"/>
        <w:rPr>
          <w:b w:val="0"/>
          <w:bCs w:val="0"/>
        </w:rPr>
      </w:pPr>
      <w:bookmarkStart w:name="（2）坏账准备计提" w:id="230"/>
      <w:bookmarkEnd w:id="230"/>
      <w:r>
        <w:rPr>
          <w:b w:val="0"/>
          <w:bCs w:val="0"/>
        </w:rPr>
      </w:r>
      <w:r>
        <w:rPr/>
        <w:t>（</w:t>
      </w:r>
      <w:r>
        <w:rPr>
          <w:rFonts w:ascii="Times New Roman" w:hAnsi="Times New Roman" w:cs="Times New Roman" w:eastAsia="Times New Roman" w:hint="default"/>
        </w:rPr>
        <w:t>2</w:t>
      </w:r>
      <w:r>
        <w:rPr/>
        <w:t>）坏账准备计提</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期末，处于第一阶段的坏账准备：</w:t>
      </w:r>
    </w:p>
    <w:p>
      <w:pPr>
        <w:spacing w:line="240" w:lineRule="auto" w:before="4"/>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868"/>
        <w:gridCol w:w="1217"/>
        <w:gridCol w:w="1766"/>
        <w:gridCol w:w="1572"/>
        <w:gridCol w:w="1573"/>
        <w:gridCol w:w="1706"/>
      </w:tblGrid>
      <w:tr>
        <w:trPr>
          <w:trHeight w:val="634" w:hRule="exact"/>
        </w:trPr>
        <w:tc>
          <w:tcPr>
            <w:tcW w:w="18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2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8"/>
              <w:ind w:left="292" w:right="65" w:hanging="226"/>
              <w:jc w:val="left"/>
              <w:rPr>
                <w:rFonts w:ascii="Times New Roman" w:hAnsi="Times New Roman" w:cs="Times New Roman" w:eastAsia="Times New Roman" w:hint="default"/>
                <w:sz w:val="18"/>
                <w:szCs w:val="18"/>
              </w:rPr>
            </w:pPr>
            <w:r>
              <w:rPr>
                <w:rFonts w:ascii="宋体" w:hAnsi="宋体" w:cs="宋体" w:eastAsia="宋体" w:hint="default"/>
                <w:sz w:val="18"/>
                <w:szCs w:val="18"/>
              </w:rPr>
              <w:t>未来</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个月内的预期 信用损失率</w:t>
            </w:r>
            <w:r>
              <w:rPr>
                <w:rFonts w:ascii="Times New Roman" w:hAnsi="Times New Roman" w:cs="Times New Roman" w:eastAsia="Times New Roman" w:hint="default"/>
                <w:sz w:val="18"/>
                <w:szCs w:val="18"/>
              </w:rPr>
              <w:t>(%)</w:t>
            </w:r>
          </w:p>
        </w:tc>
        <w:tc>
          <w:tcPr>
            <w:tcW w:w="1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634"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按单项计提坏账准备</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9" w:right="0"/>
              <w:jc w:val="center"/>
              <w:rPr>
                <w:rFonts w:ascii="Times New Roman" w:hAnsi="Times New Roman" w:cs="Times New Roman" w:eastAsia="Times New Roman" w:hint="default"/>
                <w:sz w:val="18"/>
                <w:szCs w:val="18"/>
              </w:rPr>
            </w:pPr>
            <w:r>
              <w:rPr>
                <w:rFonts w:ascii="Times New Roman"/>
                <w:sz w:val="18"/>
              </w:rPr>
              <w:t>21,641,258.04</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1.35</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27" w:right="0"/>
              <w:jc w:val="left"/>
              <w:rPr>
                <w:rFonts w:ascii="Times New Roman" w:hAnsi="Times New Roman" w:cs="Times New Roman" w:eastAsia="Times New Roman" w:hint="default"/>
                <w:sz w:val="18"/>
                <w:szCs w:val="18"/>
              </w:rPr>
            </w:pPr>
            <w:r>
              <w:rPr>
                <w:rFonts w:ascii="Times New Roman"/>
                <w:sz w:val="18"/>
              </w:rPr>
              <w:t>291,488.81</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01" w:right="0"/>
              <w:jc w:val="left"/>
              <w:rPr>
                <w:rFonts w:ascii="Times New Roman" w:hAnsi="Times New Roman" w:cs="Times New Roman" w:eastAsia="Times New Roman" w:hint="default"/>
                <w:sz w:val="18"/>
                <w:szCs w:val="18"/>
              </w:rPr>
            </w:pPr>
            <w:r>
              <w:rPr>
                <w:rFonts w:ascii="Times New Roman"/>
                <w:sz w:val="18"/>
              </w:rPr>
              <w:t>21,349,769.23</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48"/>
              <w:jc w:val="left"/>
              <w:rPr>
                <w:rFonts w:ascii="宋体" w:hAnsi="宋体" w:cs="宋体" w:eastAsia="宋体" w:hint="default"/>
                <w:sz w:val="18"/>
                <w:szCs w:val="18"/>
              </w:rPr>
            </w:pPr>
            <w:r>
              <w:rPr>
                <w:rFonts w:ascii="宋体" w:hAnsi="宋体" w:cs="宋体" w:eastAsia="宋体" w:hint="default"/>
                <w:sz w:val="18"/>
                <w:szCs w:val="18"/>
              </w:rPr>
              <w:t>自初始确认后信用风 险未显著增加</w:t>
            </w:r>
          </w:p>
        </w:tc>
      </w:tr>
    </w:tbl>
    <w:p>
      <w:pPr>
        <w:spacing w:line="240" w:lineRule="auto" w:before="2"/>
        <w:rPr>
          <w:rFonts w:ascii="宋体" w:hAnsi="宋体" w:cs="宋体" w:eastAsia="宋体" w:hint="default"/>
          <w:sz w:val="27"/>
          <w:szCs w:val="27"/>
        </w:rPr>
      </w:pPr>
    </w:p>
    <w:p>
      <w:pPr>
        <w:pStyle w:val="BodyText"/>
        <w:spacing w:line="240" w:lineRule="auto" w:before="44"/>
        <w:ind w:right="1115"/>
        <w:jc w:val="left"/>
      </w:pPr>
      <w:r>
        <w:rPr/>
        <w:t>期末，处于第二阶段的坏账准备：</w:t>
      </w:r>
    </w:p>
    <w:p>
      <w:pPr>
        <w:spacing w:line="240" w:lineRule="auto" w:before="4"/>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884"/>
        <w:gridCol w:w="1227"/>
        <w:gridCol w:w="1601"/>
        <w:gridCol w:w="1712"/>
        <w:gridCol w:w="1429"/>
        <w:gridCol w:w="1850"/>
      </w:tblGrid>
      <w:tr>
        <w:trPr>
          <w:trHeight w:val="634" w:hRule="exact"/>
        </w:trPr>
        <w:tc>
          <w:tcPr>
            <w:tcW w:w="18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2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6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8"/>
              <w:ind w:left="180" w:right="72" w:hanging="104"/>
              <w:jc w:val="left"/>
              <w:rPr>
                <w:rFonts w:ascii="宋体" w:hAnsi="宋体" w:cs="宋体" w:eastAsia="宋体" w:hint="default"/>
                <w:sz w:val="18"/>
                <w:szCs w:val="18"/>
              </w:rPr>
            </w:pPr>
            <w:r>
              <w:rPr>
                <w:rFonts w:ascii="宋体" w:hAnsi="宋体" w:cs="宋体" w:eastAsia="宋体" w:hint="default"/>
                <w:sz w:val="18"/>
                <w:szCs w:val="18"/>
              </w:rPr>
              <w:t>整个存续期预期信 用损失率（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948"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按单项计提坏账准备</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33" w:right="0"/>
              <w:jc w:val="center"/>
              <w:rPr>
                <w:rFonts w:ascii="Times New Roman" w:hAnsi="Times New Roman" w:cs="Times New Roman" w:eastAsia="Times New Roman" w:hint="default"/>
                <w:sz w:val="18"/>
                <w:szCs w:val="18"/>
              </w:rPr>
            </w:pPr>
            <w:r>
              <w:rPr>
                <w:rFonts w:ascii="Times New Roman"/>
                <w:sz w:val="18"/>
              </w:rPr>
              <w:t>11,100,000.00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10.00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732" w:right="0"/>
              <w:jc w:val="left"/>
              <w:rPr>
                <w:rFonts w:ascii="Times New Roman" w:hAnsi="Times New Roman" w:cs="Times New Roman" w:eastAsia="Times New Roman" w:hint="default"/>
                <w:sz w:val="18"/>
                <w:szCs w:val="18"/>
              </w:rPr>
            </w:pPr>
            <w:r>
              <w:rPr>
                <w:rFonts w:ascii="Times New Roman"/>
                <w:sz w:val="18"/>
              </w:rPr>
              <w:t>1,110,000.00</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48" w:right="0"/>
              <w:jc w:val="left"/>
              <w:rPr>
                <w:rFonts w:ascii="Times New Roman" w:hAnsi="Times New Roman" w:cs="Times New Roman" w:eastAsia="Times New Roman" w:hint="default"/>
                <w:sz w:val="18"/>
                <w:szCs w:val="18"/>
              </w:rPr>
            </w:pPr>
            <w:r>
              <w:rPr>
                <w:rFonts w:ascii="Times New Roman"/>
                <w:sz w:val="18"/>
              </w:rPr>
              <w:t>9,990,000.00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8" w:right="191"/>
              <w:jc w:val="both"/>
              <w:rPr>
                <w:rFonts w:ascii="宋体" w:hAnsi="宋体" w:cs="宋体" w:eastAsia="宋体" w:hint="default"/>
                <w:sz w:val="18"/>
                <w:szCs w:val="18"/>
              </w:rPr>
            </w:pPr>
            <w:r>
              <w:rPr>
                <w:rFonts w:ascii="宋体" w:hAnsi="宋体" w:cs="宋体" w:eastAsia="宋体" w:hint="default"/>
                <w:sz w:val="18"/>
                <w:szCs w:val="18"/>
              </w:rPr>
              <w:t>信用风险自初始确认 后已显著增加但尚未 发生信用减值</w:t>
            </w:r>
          </w:p>
        </w:tc>
      </w:tr>
    </w:tbl>
    <w:p>
      <w:pPr>
        <w:spacing w:line="240" w:lineRule="auto" w:before="2"/>
        <w:rPr>
          <w:rFonts w:ascii="宋体" w:hAnsi="宋体" w:cs="宋体" w:eastAsia="宋体" w:hint="default"/>
          <w:sz w:val="27"/>
          <w:szCs w:val="27"/>
        </w:rPr>
      </w:pPr>
    </w:p>
    <w:p>
      <w:pPr>
        <w:pStyle w:val="BodyText"/>
        <w:spacing w:line="240" w:lineRule="auto" w:before="44"/>
        <w:ind w:right="1115"/>
        <w:jc w:val="left"/>
      </w:pPr>
      <w:r>
        <w:rPr/>
        <w:t>期末，处于第三阶段的坏账准备：</w:t>
      </w:r>
    </w:p>
    <w:p>
      <w:pPr>
        <w:spacing w:line="240" w:lineRule="auto" w:before="4"/>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995"/>
        <w:gridCol w:w="1286"/>
        <w:gridCol w:w="1570"/>
        <w:gridCol w:w="1284"/>
        <w:gridCol w:w="1287"/>
        <w:gridCol w:w="1279"/>
      </w:tblGrid>
      <w:tr>
        <w:trPr>
          <w:trHeight w:val="634" w:hRule="exact"/>
        </w:trPr>
        <w:tc>
          <w:tcPr>
            <w:tcW w:w="29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2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165" w:right="58" w:hanging="106"/>
              <w:jc w:val="left"/>
              <w:rPr>
                <w:rFonts w:ascii="宋体" w:hAnsi="宋体" w:cs="宋体" w:eastAsia="宋体" w:hint="default"/>
                <w:sz w:val="18"/>
                <w:szCs w:val="18"/>
              </w:rPr>
            </w:pPr>
            <w:r>
              <w:rPr>
                <w:rFonts w:ascii="宋体" w:hAnsi="宋体" w:cs="宋体" w:eastAsia="宋体" w:hint="default"/>
                <w:sz w:val="18"/>
                <w:szCs w:val="18"/>
              </w:rPr>
              <w:t>整个存续期预期信 用损失率（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256" w:type="dxa"/>
        <w:tblLayout w:type="fixed"/>
        <w:tblCellMar>
          <w:top w:w="0" w:type="dxa"/>
          <w:left w:w="0" w:type="dxa"/>
          <w:bottom w:w="0" w:type="dxa"/>
          <w:right w:w="0" w:type="dxa"/>
        </w:tblCellMar>
        <w:tblLook w:val="01E0"/>
      </w:tblPr>
      <w:tblGrid>
        <w:gridCol w:w="2996"/>
        <w:gridCol w:w="1286"/>
        <w:gridCol w:w="1570"/>
        <w:gridCol w:w="1284"/>
        <w:gridCol w:w="1287"/>
        <w:gridCol w:w="1279"/>
      </w:tblGrid>
      <w:tr>
        <w:trPr>
          <w:trHeight w:val="408"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按单项计提坏账准备</w:t>
            </w:r>
          </w:p>
        </w:tc>
        <w:tc>
          <w:tcPr>
            <w:tcW w:w="1286"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北京中新能业世纪科技有限公司</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60,000,000.00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42,000,000.00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18,000,000.00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预期信用损失</w:t>
            </w:r>
          </w:p>
        </w:tc>
      </w:tr>
      <w:tr>
        <w:trPr>
          <w:trHeight w:val="408"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北京华科光辉科技有限公司</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40,000,000.00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28,000,000.00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12,000,000.00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预期信用损失</w:t>
            </w:r>
          </w:p>
        </w:tc>
      </w:tr>
      <w:tr>
        <w:trPr>
          <w:trHeight w:val="407" w:hRule="exact"/>
        </w:trPr>
        <w:tc>
          <w:tcPr>
            <w:tcW w:w="29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100,000,000.00</w:t>
            </w:r>
          </w:p>
        </w:tc>
        <w:tc>
          <w:tcPr>
            <w:tcW w:w="15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70.00</w:t>
            </w:r>
          </w:p>
        </w:tc>
        <w:tc>
          <w:tcPr>
            <w:tcW w:w="12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70,000,000.00</w:t>
            </w:r>
          </w:p>
        </w:tc>
        <w:tc>
          <w:tcPr>
            <w:tcW w:w="12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279" w:type="dxa"/>
            <w:tcBorders>
              <w:top w:val="single" w:sz="4" w:space="0" w:color="000000"/>
              <w:left w:val="single" w:sz="4" w:space="0" w:color="000000"/>
              <w:bottom w:val="single" w:sz="4" w:space="0" w:color="000000"/>
              <w:right w:val="single" w:sz="4" w:space="0" w:color="000000"/>
            </w:tcBorders>
            <w:shd w:val="clear" w:color="auto" w:fill="D9D9D9"/>
          </w:tcPr>
          <w:p>
            <w:pPr/>
          </w:p>
        </w:tc>
      </w:tr>
    </w:tbl>
    <w:p>
      <w:pPr>
        <w:pStyle w:val="BodyText"/>
        <w:spacing w:line="302" w:lineRule="auto" w:before="9"/>
        <w:ind w:left="292" w:right="1124"/>
        <w:jc w:val="left"/>
      </w:pPr>
      <w:r>
        <w:rPr/>
        <w:t>其他说明： </w:t>
      </w:r>
      <w:r>
        <w:rPr>
          <w:rFonts w:ascii="Times New Roman" w:hAnsi="Times New Roman" w:cs="Times New Roman" w:eastAsia="Times New Roman" w:hint="default"/>
          <w:spacing w:val="-2"/>
        </w:rPr>
        <w:t>2017</w:t>
      </w:r>
      <w:r>
        <w:rPr>
          <w:spacing w:val="-2"/>
        </w:rPr>
        <w:t>年度，久金保与北京中新能业世纪科技有限公司（以下简称</w:t>
      </w:r>
      <w:r>
        <w:rPr>
          <w:rFonts w:ascii="Times New Roman" w:hAnsi="Times New Roman" w:cs="Times New Roman" w:eastAsia="Times New Roman" w:hint="default"/>
          <w:spacing w:val="-2"/>
        </w:rPr>
        <w:t>“</w:t>
      </w:r>
      <w:r>
        <w:rPr>
          <w:spacing w:val="-2"/>
        </w:rPr>
        <w:t>中新能业</w:t>
      </w:r>
      <w:r>
        <w:rPr>
          <w:rFonts w:ascii="Times New Roman" w:hAnsi="Times New Roman" w:cs="Times New Roman" w:eastAsia="Times New Roman" w:hint="default"/>
          <w:spacing w:val="-2"/>
        </w:rPr>
        <w:t>”</w:t>
      </w:r>
      <w:r>
        <w:rPr>
          <w:spacing w:val="-2"/>
        </w:rPr>
        <w:t>）签订《国内有追索权保理业务合同》（合同编</w:t>
      </w:r>
      <w:r>
        <w:rPr>
          <w:spacing w:val="-43"/>
        </w:rPr>
        <w:t> </w:t>
      </w:r>
      <w:r>
        <w:rPr>
          <w:spacing w:val="-43"/>
        </w:rPr>
      </w:r>
      <w:r>
        <w:rPr/>
        <w:t>号</w:t>
      </w:r>
      <w:r>
        <w:rPr>
          <w:rFonts w:ascii="Times New Roman" w:hAnsi="Times New Roman" w:cs="Times New Roman" w:eastAsia="Times New Roman" w:hint="default"/>
        </w:rPr>
        <w:t>JJBZXNY20170808</w:t>
      </w:r>
      <w:r>
        <w:rPr/>
        <w:t>），中新能业向久金保转让对中核新能核工业工程有限责任公司、核工业理化工程研究院的应收账款</w:t>
      </w:r>
      <w:r>
        <w:rPr>
          <w:spacing w:val="-46"/>
        </w:rPr>
        <w:t> </w:t>
      </w:r>
      <w:r>
        <w:rPr>
          <w:spacing w:val="-46"/>
        </w:rPr>
      </w:r>
      <w:r>
        <w:rPr>
          <w:spacing w:val="-1"/>
        </w:rPr>
        <w:t>进行保理，保理金额</w:t>
      </w:r>
      <w:r>
        <w:rPr>
          <w:rFonts w:ascii="Times New Roman" w:hAnsi="Times New Roman" w:cs="Times New Roman" w:eastAsia="Times New Roman" w:hint="default"/>
          <w:spacing w:val="-1"/>
        </w:rPr>
        <w:t>6,000</w:t>
      </w:r>
      <w:r>
        <w:rPr>
          <w:spacing w:val="-1"/>
        </w:rPr>
        <w:t>万元。中新能业涉及多起经济纠纷并被列为失信被执行人。</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月及</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3</w:t>
      </w:r>
      <w:r>
        <w:rPr>
          <w:spacing w:val="-1"/>
        </w:rPr>
        <w:t>月，久金保向北</w:t>
      </w:r>
      <w:r>
        <w:rPr>
          <w:spacing w:val="-72"/>
        </w:rPr>
        <w:t> </w:t>
      </w:r>
      <w:r>
        <w:rPr>
          <w:spacing w:val="-72"/>
        </w:rPr>
      </w:r>
      <w:r>
        <w:rPr/>
        <w:t>京市西城区人民法院、天津市河东区人民法院对保理申请人、保证人、债务人提起诉讼。针对案件进展的综合考虑，</w:t>
      </w:r>
      <w:r>
        <w:rPr>
          <w:rFonts w:ascii="Times New Roman" w:hAnsi="Times New Roman" w:cs="Times New Roman" w:eastAsia="Times New Roman" w:hint="default"/>
        </w:rPr>
        <w:t>2019</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年</w:t>
      </w:r>
      <w:r>
        <w:rPr>
          <w:rFonts w:ascii="Times New Roman" w:hAnsi="Times New Roman" w:cs="Times New Roman" w:eastAsia="Times New Roman" w:hint="default"/>
        </w:rPr>
        <w:t>7</w:t>
      </w:r>
      <w:r>
        <w:rPr/>
        <w:t>月，久金保向天津市河东区人民法院提出撤销诉讼。 </w:t>
      </w:r>
      <w:r>
        <w:rPr>
          <w:rFonts w:ascii="Times New Roman" w:hAnsi="Times New Roman" w:cs="Times New Roman" w:eastAsia="Times New Roman" w:hint="default"/>
        </w:rPr>
        <w:t>2017</w:t>
      </w:r>
      <w:r>
        <w:rPr/>
        <w:t>年度，久金保与北京华科光辉科技有限公司（以下简称</w:t>
      </w:r>
      <w:r>
        <w:rPr>
          <w:rFonts w:ascii="Times New Roman" w:hAnsi="Times New Roman" w:cs="Times New Roman" w:eastAsia="Times New Roman" w:hint="default"/>
        </w:rPr>
        <w:t>“</w:t>
      </w:r>
      <w:r>
        <w:rPr/>
        <w:t>华科光辉</w:t>
      </w:r>
      <w:r>
        <w:rPr>
          <w:rFonts w:ascii="Times New Roman" w:hAnsi="Times New Roman" w:cs="Times New Roman" w:eastAsia="Times New Roman" w:hint="default"/>
        </w:rPr>
        <w:t>”</w:t>
      </w:r>
      <w:r>
        <w:rPr/>
        <w:t>）签订《国内有追索权保理业务合同》（合同编号</w:t>
      </w:r>
      <w:r>
        <w:rPr>
          <w:spacing w:val="11"/>
        </w:rPr>
        <w:t> </w:t>
      </w:r>
      <w:r>
        <w:rPr>
          <w:rFonts w:ascii="Times New Roman" w:hAnsi="Times New Roman" w:cs="Times New Roman" w:eastAsia="Times New Roman" w:hint="default"/>
          <w:spacing w:val="-1"/>
        </w:rPr>
        <w:t>JJBHKGH20170803</w:t>
      </w:r>
      <w:r>
        <w:rPr>
          <w:spacing w:val="-1"/>
        </w:rPr>
        <w:t>），华科光辉转让对中核兰州铀浓缩有限责任公司的应收账款进行保理，保理金额</w:t>
      </w:r>
      <w:r>
        <w:rPr>
          <w:rFonts w:ascii="Times New Roman" w:hAnsi="Times New Roman" w:cs="Times New Roman" w:eastAsia="Times New Roman" w:hint="default"/>
          <w:spacing w:val="-1"/>
        </w:rPr>
        <w:t>4,000</w:t>
      </w:r>
      <w:r>
        <w:rPr>
          <w:spacing w:val="-1"/>
        </w:rPr>
        <w:t>万元。华科光辉</w:t>
      </w:r>
      <w:r>
        <w:rPr>
          <w:spacing w:val="-42"/>
        </w:rPr>
        <w:t> </w:t>
      </w:r>
      <w:r>
        <w:rPr>
          <w:spacing w:val="-42"/>
        </w:rPr>
      </w:r>
      <w:r>
        <w:rPr/>
        <w:t>涉及多起经济纠纷并被列为失信被执行人。 截至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日，久金保向北京市西城区人民法院提起的诉讼仍在审理中，尚未判决。久金保对中新能业的应收保理款</w:t>
      </w:r>
      <w:r>
        <w:rPr>
          <w:spacing w:val="-87"/>
        </w:rPr>
        <w:t> </w:t>
      </w:r>
      <w:r>
        <w:rPr>
          <w:spacing w:val="-87"/>
        </w:rPr>
      </w:r>
      <w:r>
        <w:rPr>
          <w:rFonts w:ascii="Times New Roman" w:hAnsi="Times New Roman" w:cs="Times New Roman" w:eastAsia="Times New Roman" w:hint="default"/>
        </w:rPr>
        <w:t>6,000</w:t>
      </w:r>
      <w:r>
        <w:rPr/>
        <w:t>万元、对华科光辉的应收账款</w:t>
      </w:r>
      <w:r>
        <w:rPr>
          <w:rFonts w:ascii="Times New Roman" w:hAnsi="Times New Roman" w:cs="Times New Roman" w:eastAsia="Times New Roman" w:hint="default"/>
        </w:rPr>
        <w:t>4,000</w:t>
      </w:r>
      <w:r>
        <w:rPr/>
        <w:t>万元尚未收回。经久金保管理层对于应收保理款可收回性的分析和评估，预期信用</w:t>
      </w:r>
      <w:r>
        <w:rPr>
          <w:spacing w:val="-84"/>
        </w:rPr>
        <w:t> </w:t>
      </w:r>
      <w:r>
        <w:rPr>
          <w:spacing w:val="-84"/>
        </w:rPr>
      </w:r>
      <w:r>
        <w:rPr/>
        <w:t>损失率为</w:t>
      </w:r>
      <w:r>
        <w:rPr>
          <w:rFonts w:ascii="Times New Roman" w:hAnsi="Times New Roman" w:cs="Times New Roman" w:eastAsia="Times New Roman" w:hint="default"/>
        </w:rPr>
        <w:t>70%</w:t>
      </w:r>
      <w:r>
        <w:rPr/>
        <w:t>，故截至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日累计计提应收保理款坏账准备共</w:t>
      </w:r>
      <w:r>
        <w:rPr>
          <w:rFonts w:ascii="Times New Roman" w:hAnsi="Times New Roman" w:cs="Times New Roman" w:eastAsia="Times New Roman" w:hint="default"/>
        </w:rPr>
        <w:t>7,000</w:t>
      </w:r>
      <w:r>
        <w:rPr/>
        <w:t>万元。未决诉讼情况详见本节“十四、承诺及</w:t>
      </w:r>
      <w:r>
        <w:rPr>
          <w:spacing w:val="-19"/>
        </w:rPr>
        <w:t> </w:t>
      </w:r>
      <w:r>
        <w:rPr>
          <w:spacing w:val="-19"/>
        </w:rPr>
      </w:r>
      <w:r>
        <w:rPr/>
        <w:t>或有事项</w:t>
      </w:r>
      <w:r>
        <w:rPr>
          <w:spacing w:val="2"/>
        </w:rPr>
        <w:t> </w:t>
      </w:r>
      <w:r>
        <w:rPr>
          <w:rFonts w:ascii="Times New Roman" w:hAnsi="Times New Roman" w:cs="Times New Roman" w:eastAsia="Times New Roman" w:hint="default"/>
        </w:rPr>
        <w:t>2</w:t>
      </w:r>
      <w:r>
        <w:rPr/>
        <w:t>、或有事项”。</w:t>
      </w:r>
    </w:p>
    <w:p>
      <w:pPr>
        <w:spacing w:line="240" w:lineRule="auto" w:before="2"/>
        <w:rPr>
          <w:rFonts w:ascii="宋体" w:hAnsi="宋体" w:cs="宋体" w:eastAsia="宋体" w:hint="default"/>
          <w:sz w:val="22"/>
          <w:szCs w:val="22"/>
        </w:rPr>
      </w:pPr>
    </w:p>
    <w:p>
      <w:pPr>
        <w:pStyle w:val="Heading3"/>
        <w:spacing w:line="240" w:lineRule="auto"/>
        <w:ind w:left="292" w:right="1124"/>
        <w:jc w:val="left"/>
        <w:rPr>
          <w:b w:val="0"/>
          <w:bCs w:val="0"/>
        </w:rPr>
      </w:pPr>
      <w:bookmarkStart w:name="（3）本期计提、收回或转回的减值准备情况" w:id="231"/>
      <w:bookmarkEnd w:id="231"/>
      <w:r>
        <w:rPr>
          <w:b w:val="0"/>
          <w:bCs w:val="0"/>
        </w:rPr>
      </w:r>
      <w:r>
        <w:rPr/>
        <w:t>（</w:t>
      </w:r>
      <w:r>
        <w:rPr>
          <w:rFonts w:ascii="Times New Roman" w:hAnsi="Times New Roman" w:cs="Times New Roman" w:eastAsia="Times New Roman" w:hint="default"/>
        </w:rPr>
        <w:t>3</w:t>
      </w:r>
      <w:r>
        <w:rPr/>
        <w:t>）本期计提、收回或转回的减值准备情况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5" w:type="dxa"/>
        <w:tblLayout w:type="fixed"/>
        <w:tblCellMar>
          <w:top w:w="0" w:type="dxa"/>
          <w:left w:w="0" w:type="dxa"/>
          <w:bottom w:w="0" w:type="dxa"/>
          <w:right w:w="0" w:type="dxa"/>
        </w:tblCellMar>
        <w:tblLook w:val="01E0"/>
      </w:tblPr>
      <w:tblGrid>
        <w:gridCol w:w="3193"/>
        <w:gridCol w:w="1452"/>
        <w:gridCol w:w="2031"/>
        <w:gridCol w:w="2031"/>
        <w:gridCol w:w="1298"/>
      </w:tblGrid>
      <w:tr>
        <w:trPr>
          <w:trHeight w:val="350" w:hRule="exact"/>
        </w:trPr>
        <w:tc>
          <w:tcPr>
            <w:tcW w:w="319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359"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650"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0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650"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29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634" w:hRule="exact"/>
        </w:trPr>
        <w:tc>
          <w:tcPr>
            <w:tcW w:w="3193" w:type="dxa"/>
            <w:vMerge/>
            <w:tcBorders>
              <w:left w:val="single" w:sz="4" w:space="0" w:color="000000"/>
              <w:bottom w:val="single" w:sz="4" w:space="0" w:color="000000"/>
              <w:right w:val="single" w:sz="4" w:space="0" w:color="000000"/>
            </w:tcBorders>
            <w:shd w:val="clear" w:color="auto" w:fill="D9D9D9"/>
          </w:tcPr>
          <w:p>
            <w:pPr/>
          </w:p>
        </w:tc>
        <w:tc>
          <w:tcPr>
            <w:tcW w:w="14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8"/>
              <w:ind w:left="271" w:right="179" w:hanging="92"/>
              <w:jc w:val="left"/>
              <w:rPr>
                <w:rFonts w:ascii="宋体" w:hAnsi="宋体" w:cs="宋体" w:eastAsia="宋体" w:hint="default"/>
                <w:sz w:val="18"/>
                <w:szCs w:val="18"/>
              </w:rPr>
            </w:pPr>
            <w:r>
              <w:rPr>
                <w:rFonts w:ascii="宋体" w:hAnsi="宋体" w:cs="宋体" w:eastAsia="宋体" w:hint="default"/>
                <w:sz w:val="18"/>
                <w:szCs w:val="18"/>
              </w:rPr>
              <w:t>未来</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个月预 期信用损失</w:t>
            </w:r>
          </w:p>
        </w:tc>
        <w:tc>
          <w:tcPr>
            <w:tcW w:w="20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8"/>
              <w:ind w:left="230" w:right="108"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0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8"/>
              <w:ind w:left="230" w:right="110"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298" w:type="dxa"/>
            <w:vMerge/>
            <w:tcBorders>
              <w:left w:val="single" w:sz="4" w:space="0" w:color="000000"/>
              <w:bottom w:val="single" w:sz="4" w:space="0" w:color="000000"/>
              <w:right w:val="single" w:sz="4" w:space="0" w:color="000000"/>
            </w:tcBorders>
            <w:shd w:val="clear" w:color="auto" w:fill="D9D9D9"/>
          </w:tcPr>
          <w:p>
            <w:pPr/>
          </w:p>
        </w:tc>
      </w:tr>
      <w:tr>
        <w:trPr>
          <w:trHeight w:val="350"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日余额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25,000,000.00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350"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首次执行新金融工具准则的调整金额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492,580.34</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492,580.34</w:t>
            </w:r>
          </w:p>
        </w:tc>
      </w:tr>
      <w:tr>
        <w:trPr>
          <w:trHeight w:val="350"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日余额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492,580.34</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25,000,000.00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25,492,580.34</w:t>
            </w:r>
          </w:p>
        </w:tc>
      </w:tr>
      <w:tr>
        <w:trPr>
          <w:trHeight w:val="348"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日余额在本期</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-182,381.64</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182,381.64</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转回第二阶段</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转回第一阶段</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-18,709.89</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927,618.36</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45,000,000.00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45,908,908.47</w:t>
            </w:r>
          </w:p>
        </w:tc>
      </w:tr>
      <w:tr>
        <w:trPr>
          <w:trHeight w:val="35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日余额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291,488.81</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1,110,000.00</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70,000,000.00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71,401,488.81</w:t>
            </w:r>
          </w:p>
        </w:tc>
      </w:tr>
    </w:tbl>
    <w:p>
      <w:pPr>
        <w:spacing w:line="240" w:lineRule="auto" w:before="3"/>
        <w:rPr>
          <w:rFonts w:ascii="宋体" w:hAnsi="宋体" w:cs="宋体" w:eastAsia="宋体" w:hint="default"/>
          <w:b/>
          <w:bCs/>
          <w:sz w:val="19"/>
          <w:szCs w:val="19"/>
        </w:rPr>
      </w:pPr>
    </w:p>
    <w:p>
      <w:pPr>
        <w:pStyle w:val="Heading3"/>
        <w:spacing w:line="240" w:lineRule="auto" w:before="36"/>
        <w:ind w:left="292" w:right="1124"/>
        <w:jc w:val="left"/>
        <w:rPr>
          <w:b w:val="0"/>
          <w:bCs w:val="0"/>
        </w:rPr>
      </w:pPr>
      <w:bookmarkStart w:name="6、预付款项" w:id="232"/>
      <w:bookmarkEnd w:id="232"/>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292" w:right="1124"/>
        <w:jc w:val="left"/>
        <w:rPr>
          <w:b w:val="0"/>
          <w:bCs w:val="0"/>
        </w:rPr>
      </w:pPr>
      <w:bookmarkStart w:name="（1）预付款项按账龄列示" w:id="233"/>
      <w:bookmarkEnd w:id="233"/>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8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bl>
    <w:p>
      <w:pPr>
        <w:spacing w:after="0" w:line="240" w:lineRule="auto"/>
        <w:jc w:val="center"/>
        <w:rPr>
          <w:rFonts w:ascii="宋体" w:hAnsi="宋体" w:cs="宋体" w:eastAsia="宋体" w:hint="default"/>
          <w:sz w:val="18"/>
          <w:szCs w:val="18"/>
        </w:rPr>
        <w:sectPr>
          <w:pgSz w:w="11910" w:h="16840"/>
          <w:pgMar w:header="877" w:footer="980" w:top="1100" w:bottom="1160" w:left="84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67,740,827.38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97.85%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68,975,528.07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97.30%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576,394.52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0.83%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1,074,702.99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1.52%</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405,107.89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414,992.72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0.59%</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505,470.57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0.73%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418,405.81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0.59%</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69,227,800.36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70,883,629.59</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15"/>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年的预付账款主要系未结算的购货尾款。</w:t>
      </w:r>
    </w:p>
    <w:p>
      <w:pPr>
        <w:spacing w:line="240" w:lineRule="auto" w:before="13"/>
        <w:rPr>
          <w:rFonts w:ascii="宋体" w:hAnsi="宋体" w:cs="宋体" w:eastAsia="宋体" w:hint="default"/>
          <w:sz w:val="25"/>
          <w:szCs w:val="25"/>
        </w:rPr>
      </w:pPr>
    </w:p>
    <w:p>
      <w:pPr>
        <w:pStyle w:val="Heading3"/>
        <w:spacing w:line="240" w:lineRule="auto"/>
        <w:ind w:right="1115"/>
        <w:jc w:val="left"/>
        <w:rPr>
          <w:b w:val="0"/>
          <w:bCs w:val="0"/>
        </w:rPr>
      </w:pPr>
      <w:bookmarkStart w:name="（2）按预付对象归集的期末余额前五名的预付款情况" w:id="234"/>
      <w:bookmarkEnd w:id="234"/>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6"/>
        <w:rPr>
          <w:rFonts w:ascii="宋体" w:hAnsi="宋体" w:cs="宋体" w:eastAsia="宋体" w:hint="default"/>
          <w:b/>
          <w:bCs/>
          <w:sz w:val="26"/>
          <w:szCs w:val="26"/>
        </w:rPr>
      </w:pPr>
    </w:p>
    <w:tbl>
      <w:tblPr>
        <w:tblW w:w="0" w:type="auto"/>
        <w:jc w:val="left"/>
        <w:tblInd w:w="138" w:type="dxa"/>
        <w:tblLayout w:type="fixed"/>
        <w:tblCellMar>
          <w:top w:w="0" w:type="dxa"/>
          <w:left w:w="0" w:type="dxa"/>
          <w:bottom w:w="0" w:type="dxa"/>
          <w:right w:w="0" w:type="dxa"/>
        </w:tblCellMar>
        <w:tblLook w:val="01E0"/>
      </w:tblPr>
      <w:tblGrid>
        <w:gridCol w:w="2470"/>
        <w:gridCol w:w="2809"/>
        <w:gridCol w:w="4381"/>
      </w:tblGrid>
      <w:tr>
        <w:trPr>
          <w:trHeight w:val="331" w:hRule="exact"/>
        </w:trPr>
        <w:tc>
          <w:tcPr>
            <w:tcW w:w="24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8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预付款项期末余额</w:t>
            </w:r>
          </w:p>
        </w:tc>
        <w:tc>
          <w:tcPr>
            <w:tcW w:w="43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3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占预付款项期末余额合计数的比例</w:t>
            </w:r>
            <w:r>
              <w:rPr>
                <w:rFonts w:ascii="Times New Roman" w:hAnsi="Times New Roman" w:cs="Times New Roman" w:eastAsia="Times New Roman" w:hint="default"/>
                <w:sz w:val="18"/>
                <w:szCs w:val="18"/>
              </w:rPr>
              <w:t>%</w:t>
            </w:r>
          </w:p>
        </w:tc>
      </w:tr>
      <w:tr>
        <w:trPr>
          <w:trHeight w:val="344" w:hRule="exact"/>
        </w:trPr>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1</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21,617,699.41</w:t>
            </w:r>
          </w:p>
        </w:tc>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31.23</w:t>
            </w:r>
          </w:p>
        </w:tc>
      </w:tr>
      <w:tr>
        <w:trPr>
          <w:trHeight w:val="341" w:hRule="exact"/>
        </w:trPr>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2</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13,646,385.04</w:t>
            </w:r>
          </w:p>
        </w:tc>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19.71</w:t>
            </w:r>
          </w:p>
        </w:tc>
      </w:tr>
      <w:tr>
        <w:trPr>
          <w:trHeight w:val="343" w:hRule="exact"/>
        </w:trPr>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3</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5,002,667.92</w:t>
            </w:r>
          </w:p>
        </w:tc>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7.23</w:t>
            </w:r>
          </w:p>
        </w:tc>
      </w:tr>
      <w:tr>
        <w:trPr>
          <w:trHeight w:val="341" w:hRule="exact"/>
        </w:trPr>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4</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3,854,239.12</w:t>
            </w:r>
          </w:p>
        </w:tc>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5.57</w:t>
            </w:r>
          </w:p>
        </w:tc>
      </w:tr>
      <w:tr>
        <w:trPr>
          <w:trHeight w:val="343" w:hRule="exact"/>
        </w:trPr>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5</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2,700,000.00</w:t>
            </w:r>
          </w:p>
        </w:tc>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3.90</w:t>
            </w:r>
          </w:p>
        </w:tc>
      </w:tr>
      <w:tr>
        <w:trPr>
          <w:trHeight w:val="343" w:hRule="exact"/>
        </w:trPr>
        <w:tc>
          <w:tcPr>
            <w:tcW w:w="24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46,820,991.49</w:t>
            </w:r>
          </w:p>
        </w:tc>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67.64</w:t>
            </w:r>
          </w:p>
        </w:tc>
      </w:tr>
    </w:tbl>
    <w:p>
      <w:pPr>
        <w:spacing w:line="240" w:lineRule="auto" w:before="3"/>
        <w:rPr>
          <w:rFonts w:ascii="宋体" w:hAnsi="宋体" w:cs="宋体" w:eastAsia="宋体" w:hint="default"/>
          <w:b/>
          <w:bCs/>
          <w:sz w:val="19"/>
          <w:szCs w:val="19"/>
        </w:rPr>
      </w:pPr>
    </w:p>
    <w:p>
      <w:pPr>
        <w:pStyle w:val="Heading3"/>
        <w:spacing w:line="240" w:lineRule="auto" w:before="36"/>
        <w:ind w:right="1115"/>
        <w:jc w:val="left"/>
        <w:rPr>
          <w:b w:val="0"/>
          <w:bCs w:val="0"/>
        </w:rPr>
      </w:pPr>
      <w:bookmarkStart w:name="7、其他应收款" w:id="235"/>
      <w:bookmarkEnd w:id="235"/>
      <w:r>
        <w:rPr>
          <w:b w:val="0"/>
          <w:bCs w:val="0"/>
        </w:rPr>
      </w:r>
      <w:r>
        <w:rPr>
          <w:rFonts w:ascii="Times New Roman" w:hAnsi="Times New Roman" w:cs="Times New Roman" w:eastAsia="Times New Roman" w:hint="default"/>
        </w:rPr>
        <w:t>7</w:t>
      </w:r>
      <w:r>
        <w:rPr/>
        <w:t>、其他应收款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68,036,704.98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75,351,410.85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68,036,704.98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75,351,410.85</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1）其他应收款" w:id="236"/>
      <w:bookmarkEnd w:id="236"/>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5"/>
        <w:jc w:val="left"/>
        <w:rPr>
          <w:b w:val="0"/>
          <w:bCs w:val="0"/>
        </w:rPr>
      </w:pPr>
      <w:bookmarkStart w:name="1）其他应收款按款项性质分类情况" w:id="237"/>
      <w:bookmarkEnd w:id="237"/>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60,973,504.73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67,511,360.06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12,804,556.90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17,396,015.17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1,941,220.52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9,280,393.82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75,719,282.15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94,187,769.05</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2）坏账准备计提情况" w:id="238"/>
      <w:bookmarkEnd w:id="238"/>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2126"/>
        <w:gridCol w:w="1844"/>
        <w:gridCol w:w="1840"/>
        <w:gridCol w:w="114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7"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1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639"/>
        <w:gridCol w:w="2138"/>
        <w:gridCol w:w="1844"/>
        <w:gridCol w:w="1839"/>
        <w:gridCol w:w="1150"/>
      </w:tblGrid>
      <w:tr>
        <w:trPr>
          <w:trHeight w:val="161" w:hRule="exact"/>
        </w:trPr>
        <w:tc>
          <w:tcPr>
            <w:tcW w:w="2639" w:type="dxa"/>
            <w:vMerge w:val="restart"/>
            <w:tcBorders>
              <w:top w:val="single" w:sz="4" w:space="0" w:color="000000"/>
              <w:left w:val="single" w:sz="4" w:space="0" w:color="000000"/>
              <w:right w:val="single" w:sz="4" w:space="0" w:color="000000"/>
            </w:tcBorders>
            <w:shd w:val="clear" w:color="auto" w:fill="D2D2D2"/>
          </w:tcPr>
          <w:p>
            <w:pPr/>
          </w:p>
        </w:tc>
        <w:tc>
          <w:tcPr>
            <w:tcW w:w="21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47" w:right="43" w:firstLine="6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 损失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183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45" w:right="41" w:firstLine="6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 损失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150"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2639" w:type="dxa"/>
            <w:vMerge/>
            <w:tcBorders>
              <w:left w:val="single" w:sz="4" w:space="0" w:color="000000"/>
              <w:right w:val="single" w:sz="4" w:space="0" w:color="000000"/>
            </w:tcBorders>
            <w:shd w:val="clear" w:color="auto" w:fill="D2D2D2"/>
          </w:tcPr>
          <w:p>
            <w:pPr/>
          </w:p>
        </w:tc>
        <w:tc>
          <w:tcPr>
            <w:tcW w:w="21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7"/>
              <w:jc w:val="righ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个月预期信用损失</w:t>
            </w:r>
          </w:p>
        </w:tc>
        <w:tc>
          <w:tcPr>
            <w:tcW w:w="1844" w:type="dxa"/>
            <w:vMerge/>
            <w:tcBorders>
              <w:left w:val="single" w:sz="4" w:space="0" w:color="000000"/>
              <w:right w:val="single" w:sz="4" w:space="0" w:color="000000"/>
            </w:tcBorders>
            <w:shd w:val="clear" w:color="auto" w:fill="D2D2D2"/>
          </w:tcPr>
          <w:p>
            <w:pPr/>
          </w:p>
        </w:tc>
        <w:tc>
          <w:tcPr>
            <w:tcW w:w="1839" w:type="dxa"/>
            <w:vMerge/>
            <w:tcBorders>
              <w:left w:val="single" w:sz="4" w:space="0" w:color="000000"/>
              <w:right w:val="single" w:sz="4" w:space="0" w:color="000000"/>
            </w:tcBorders>
            <w:shd w:val="clear" w:color="auto" w:fill="D2D2D2"/>
          </w:tcPr>
          <w:p>
            <w:pPr/>
          </w:p>
        </w:tc>
        <w:tc>
          <w:tcPr>
            <w:tcW w:w="1150" w:type="dxa"/>
            <w:vMerge/>
            <w:tcBorders>
              <w:left w:val="single" w:sz="4" w:space="0" w:color="000000"/>
              <w:right w:val="single" w:sz="4" w:space="0" w:color="000000"/>
            </w:tcBorders>
            <w:shd w:val="clear" w:color="auto" w:fill="D2D2D2"/>
          </w:tcPr>
          <w:p>
            <w:pPr/>
          </w:p>
        </w:tc>
      </w:tr>
      <w:tr>
        <w:trPr>
          <w:trHeight w:val="161" w:hRule="exact"/>
        </w:trPr>
        <w:tc>
          <w:tcPr>
            <w:tcW w:w="2639" w:type="dxa"/>
            <w:vMerge/>
            <w:tcBorders>
              <w:left w:val="single" w:sz="4" w:space="0" w:color="000000"/>
              <w:bottom w:val="single" w:sz="4" w:space="0" w:color="000000"/>
              <w:right w:val="single" w:sz="4" w:space="0" w:color="000000"/>
            </w:tcBorders>
            <w:shd w:val="clear" w:color="auto" w:fill="D2D2D2"/>
          </w:tcPr>
          <w:p>
            <w:pPr/>
          </w:p>
        </w:tc>
        <w:tc>
          <w:tcPr>
            <w:tcW w:w="21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844" w:type="dxa"/>
            <w:vMerge/>
            <w:tcBorders>
              <w:left w:val="single" w:sz="4" w:space="0" w:color="000000"/>
              <w:bottom w:val="single" w:sz="4" w:space="0" w:color="000000"/>
              <w:right w:val="single" w:sz="4" w:space="0" w:color="000000"/>
            </w:tcBorders>
            <w:shd w:val="clear" w:color="auto" w:fill="D2D2D2"/>
          </w:tcPr>
          <w:p>
            <w:pPr/>
          </w:p>
        </w:tc>
        <w:tc>
          <w:tcPr>
            <w:tcW w:w="1839" w:type="dxa"/>
            <w:vMerge/>
            <w:tcBorders>
              <w:left w:val="single" w:sz="4" w:space="0" w:color="000000"/>
              <w:bottom w:val="single" w:sz="4" w:space="0" w:color="000000"/>
              <w:right w:val="single" w:sz="4" w:space="0" w:color="000000"/>
            </w:tcBorders>
            <w:shd w:val="clear" w:color="auto" w:fill="D2D2D2"/>
          </w:tcPr>
          <w:p>
            <w:pPr/>
          </w:p>
        </w:tc>
        <w:tc>
          <w:tcPr>
            <w:tcW w:w="115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6,650,966.20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12,185,392.00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18,836,358.20</w:t>
            </w:r>
          </w:p>
        </w:tc>
      </w:tr>
      <w:tr>
        <w:trPr>
          <w:trHeight w:val="401" w:hRule="exact"/>
        </w:trPr>
        <w:tc>
          <w:tcPr>
            <w:tcW w:w="2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日余额在本期</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2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1,298,277.37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1,298,277.37</w:t>
            </w:r>
          </w:p>
        </w:tc>
      </w:tr>
      <w:tr>
        <w:trPr>
          <w:trHeight w:val="401" w:hRule="exact"/>
        </w:trPr>
        <w:tc>
          <w:tcPr>
            <w:tcW w:w="2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2138" w:type="dxa"/>
            <w:tcBorders>
              <w:top w:val="single" w:sz="4" w:space="0" w:color="000000"/>
              <w:left w:val="single" w:sz="13"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185,392.00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185,392.00</w:t>
            </w:r>
          </w:p>
        </w:tc>
      </w:tr>
      <w:tr>
        <w:trPr>
          <w:trHeight w:val="403" w:hRule="exact"/>
        </w:trPr>
        <w:tc>
          <w:tcPr>
            <w:tcW w:w="2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-266,666.40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-12,266,666.40</w:t>
            </w:r>
          </w:p>
        </w:tc>
      </w:tr>
      <w:tr>
        <w:trPr>
          <w:trHeight w:val="403" w:hRule="exact"/>
        </w:trPr>
        <w:tc>
          <w:tcPr>
            <w:tcW w:w="2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7,682,577.17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7,682,577.17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pStyle w:val="BodyText"/>
        <w:spacing w:line="240" w:lineRule="auto" w:before="49"/>
        <w:ind w:right="-20"/>
        <w:jc w:val="left"/>
      </w:pPr>
      <w:r>
        <w:rPr/>
        <w:t>损失准备本期变动金额重大的账面余额变动情况</w:t>
      </w:r>
    </w:p>
    <w:p>
      <w:pPr>
        <w:pStyle w:val="BodyText"/>
        <w:spacing w:line="340" w:lineRule="auto" w:before="115"/>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1"/>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3" w:space="489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72"/>
        <w:gridCol w:w="4787"/>
      </w:tblGrid>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34,767,360.61</w:t>
            </w: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22,826,489.36</w:t>
            </w: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5,132,156.17</w:t>
            </w: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12,993,276.01</w:t>
            </w: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75,719,282.15</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3）本期计提、收回或转回的坏账准备情况" w:id="239"/>
      <w:bookmarkEnd w:id="239"/>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15"/>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6"/>
        <w:gridCol w:w="1097"/>
        <w:gridCol w:w="1196"/>
        <w:gridCol w:w="1303"/>
        <w:gridCol w:w="1092"/>
        <w:gridCol w:w="1736"/>
        <w:gridCol w:w="1730"/>
      </w:tblGrid>
      <w:tr>
        <w:trPr>
          <w:trHeight w:val="403" w:hRule="exact"/>
        </w:trPr>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416"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3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18,836,358.20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1,298,277.37</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185,392.00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-12,266,666.40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7,682,577.17</w:t>
            </w:r>
          </w:p>
        </w:tc>
      </w:tr>
      <w:tr>
        <w:trPr>
          <w:trHeight w:val="401"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18,836,358.20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1,298,277.37</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185,392.00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-12,266,666.40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7,682,577.17</w:t>
            </w:r>
          </w:p>
        </w:tc>
      </w:tr>
    </w:tbl>
    <w:p>
      <w:pPr>
        <w:pStyle w:val="BodyText"/>
        <w:spacing w:line="240" w:lineRule="auto" w:before="49"/>
        <w:ind w:right="1115"/>
        <w:jc w:val="left"/>
      </w:pPr>
      <w:r>
        <w:rPr/>
        <w:t>其中本期坏账准备转回或收回金额重要的：无。</w:t>
      </w:r>
    </w:p>
    <w:p>
      <w:pPr>
        <w:spacing w:line="240" w:lineRule="auto" w:before="0"/>
        <w:rPr>
          <w:rFonts w:ascii="宋体" w:hAnsi="宋体" w:cs="宋体" w:eastAsia="宋体" w:hint="default"/>
          <w:sz w:val="18"/>
          <w:szCs w:val="18"/>
        </w:rPr>
      </w:pPr>
    </w:p>
    <w:p>
      <w:pPr>
        <w:pStyle w:val="Heading3"/>
        <w:spacing w:line="240" w:lineRule="auto" w:before="121"/>
        <w:ind w:right="1115"/>
        <w:jc w:val="left"/>
        <w:rPr>
          <w:b w:val="0"/>
          <w:bCs w:val="0"/>
        </w:rPr>
      </w:pPr>
      <w:bookmarkStart w:name="4）按欠款方归集的期末余额前五名的其他应收款情况" w:id="240"/>
      <w:bookmarkEnd w:id="240"/>
      <w:r>
        <w:rPr>
          <w:b w:val="0"/>
          <w:bCs w:val="0"/>
        </w:rPr>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339,255.67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3,488,110.83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349,159.89</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1,988,031.00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185,824.82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207"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41"/>
              <w:jc w:val="righ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533,211.41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41"/>
              <w:jc w:val="righ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1,785,800.00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2.36%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62,324.42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13,236,941.83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17.49%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1,469,776.21</w:t>
            </w:r>
          </w:p>
        </w:tc>
      </w:tr>
    </w:tbl>
    <w:p>
      <w:pPr>
        <w:spacing w:line="240" w:lineRule="auto" w:before="3"/>
        <w:rPr>
          <w:rFonts w:ascii="宋体" w:hAnsi="宋体" w:cs="宋体" w:eastAsia="宋体" w:hint="default"/>
          <w:sz w:val="19"/>
          <w:szCs w:val="19"/>
        </w:rPr>
      </w:pPr>
    </w:p>
    <w:p>
      <w:pPr>
        <w:pStyle w:val="Heading3"/>
        <w:spacing w:line="240" w:lineRule="auto" w:before="36"/>
        <w:ind w:left="212" w:right="0"/>
        <w:jc w:val="left"/>
        <w:rPr>
          <w:b w:val="0"/>
          <w:bCs w:val="0"/>
        </w:rPr>
      </w:pPr>
      <w:bookmarkStart w:name="8、存货" w:id="241"/>
      <w:bookmarkEnd w:id="241"/>
      <w:r>
        <w:rPr>
          <w:b w:val="0"/>
          <w:bCs w:val="0"/>
        </w:rPr>
      </w:r>
      <w:r>
        <w:rPr>
          <w:rFonts w:ascii="Times New Roman" w:hAnsi="Times New Roman" w:cs="Times New Roman" w:eastAsia="Times New Roman" w:hint="default"/>
        </w:rPr>
        <w:t>8</w:t>
      </w:r>
      <w:r>
        <w:rPr/>
        <w:t>、存货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212" w:right="0"/>
        <w:jc w:val="left"/>
      </w:pPr>
      <w:r>
        <w:rPr/>
        <w:t>是否已执行新收入准则</w:t>
      </w:r>
    </w:p>
    <w:p>
      <w:pPr>
        <w:pStyle w:val="BodyText"/>
        <w:spacing w:line="240" w:lineRule="auto" w:before="117"/>
        <w:ind w:left="212"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left="212" w:right="0"/>
        <w:jc w:val="left"/>
        <w:rPr>
          <w:b w:val="0"/>
          <w:bCs w:val="0"/>
        </w:rPr>
      </w:pPr>
      <w:bookmarkStart w:name="（1）存货分类" w:id="242"/>
      <w:bookmarkEnd w:id="242"/>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1,352,226.46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1,352,226.46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1,752,693.70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1,752,693.70</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1,976,203.43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1,976,203.43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2,776,781.77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2,776,781.77</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11,102,012.60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5,527.81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11,096,484.79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9,288,600.65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5,527.81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9,283,072.84</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7,353,082.22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7,353,082.22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10,178,745.93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10,178,745.93</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21,783,524.71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5,527.81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21,777,996.90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23,996,822.05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5,527.81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23,991,294.24</w:t>
            </w:r>
          </w:p>
        </w:tc>
      </w:tr>
    </w:tbl>
    <w:p>
      <w:pPr>
        <w:spacing w:line="240" w:lineRule="auto" w:before="3"/>
        <w:rPr>
          <w:rFonts w:ascii="宋体" w:hAnsi="宋体" w:cs="宋体" w:eastAsia="宋体" w:hint="default"/>
          <w:sz w:val="19"/>
          <w:szCs w:val="19"/>
        </w:rPr>
      </w:pPr>
    </w:p>
    <w:p>
      <w:pPr>
        <w:pStyle w:val="Heading3"/>
        <w:spacing w:line="240" w:lineRule="auto" w:before="36"/>
        <w:ind w:left="212" w:right="0"/>
        <w:jc w:val="left"/>
        <w:rPr>
          <w:b w:val="0"/>
          <w:bCs w:val="0"/>
        </w:rPr>
      </w:pPr>
      <w:bookmarkStart w:name="（2）存货跌价准备" w:id="243"/>
      <w:bookmarkEnd w:id="243"/>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1356"/>
        <w:gridCol w:w="1369"/>
        <w:gridCol w:w="1368"/>
        <w:gridCol w:w="1366"/>
        <w:gridCol w:w="1368"/>
        <w:gridCol w:w="1366"/>
        <w:gridCol w:w="1368"/>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5,527.81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5,527.81</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5,527.81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5,527.81</w:t>
            </w:r>
          </w:p>
        </w:tc>
      </w:tr>
    </w:tbl>
    <w:p>
      <w:pPr>
        <w:pStyle w:val="BodyText"/>
        <w:spacing w:line="240" w:lineRule="auto" w:before="49"/>
        <w:ind w:left="212" w:right="0"/>
        <w:jc w:val="left"/>
      </w:pPr>
      <w:r>
        <w:rPr/>
        <w:t>说明确定可变现净值的具体依据及本期转回或转销存货跌价准备的原因：</w:t>
      </w:r>
    </w:p>
    <w:p>
      <w:pPr>
        <w:spacing w:line="240" w:lineRule="auto" w:before="3"/>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253"/>
        <w:gridCol w:w="5418"/>
        <w:gridCol w:w="3185"/>
      </w:tblGrid>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确定可变现净值</w:t>
            </w:r>
            <w:r>
              <w:rPr>
                <w:rFonts w:ascii="Times New Roman" w:hAnsi="Times New Roman" w:cs="Times New Roman" w:eastAsia="Times New Roman" w:hint="default"/>
                <w:sz w:val="18"/>
                <w:szCs w:val="18"/>
              </w:rPr>
              <w:t>/</w:t>
            </w:r>
            <w:r>
              <w:rPr>
                <w:rFonts w:ascii="宋体" w:hAnsi="宋体" w:cs="宋体" w:eastAsia="宋体" w:hint="default"/>
                <w:sz w:val="18"/>
                <w:szCs w:val="18"/>
              </w:rPr>
              <w:t>剩余对价与将要发生的成本的具体依据</w:t>
            </w:r>
          </w:p>
        </w:tc>
        <w:tc>
          <w:tcPr>
            <w:tcW w:w="31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本期转回或转销存货跌价准备的原因</w:t>
            </w: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库存商品</w:t>
            </w:r>
          </w:p>
        </w:tc>
        <w:tc>
          <w:tcPr>
            <w:tcW w:w="5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可变现净值低于相应成本</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3"/>
        <w:rPr>
          <w:rFonts w:ascii="宋体" w:hAnsi="宋体" w:cs="宋体" w:eastAsia="宋体" w:hint="default"/>
          <w:sz w:val="19"/>
          <w:szCs w:val="19"/>
        </w:rPr>
      </w:pPr>
    </w:p>
    <w:p>
      <w:pPr>
        <w:pStyle w:val="Heading3"/>
        <w:spacing w:line="240" w:lineRule="auto" w:before="36"/>
        <w:ind w:left="212" w:right="0"/>
        <w:jc w:val="left"/>
        <w:rPr>
          <w:b w:val="0"/>
          <w:bCs w:val="0"/>
        </w:rPr>
      </w:pPr>
      <w:bookmarkStart w:name="（3）存货期末余额含有借款费用资本化金额的说明" w:id="244"/>
      <w:bookmarkEnd w:id="244"/>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21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left="212" w:right="0"/>
        <w:jc w:val="left"/>
        <w:rPr>
          <w:b w:val="0"/>
          <w:bCs w:val="0"/>
        </w:rPr>
      </w:pPr>
      <w:bookmarkStart w:name="（4）期末建造合同形成的已完工未结算资产情况" w:id="245"/>
      <w:bookmarkEnd w:id="245"/>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1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100" w:bottom="1160" w:left="920" w:right="0"/>
        </w:sectPr>
      </w:pPr>
    </w:p>
    <w:p>
      <w:pPr>
        <w:spacing w:line="240" w:lineRule="auto" w:before="11"/>
        <w:rPr>
          <w:rFonts w:ascii="宋体" w:hAnsi="宋体" w:cs="宋体" w:eastAsia="宋体" w:hint="default"/>
          <w:sz w:val="20"/>
          <w:szCs w:val="20"/>
        </w:rPr>
      </w:pPr>
    </w:p>
    <w:p>
      <w:pPr>
        <w:pStyle w:val="Heading3"/>
        <w:spacing w:line="240" w:lineRule="auto" w:before="36"/>
        <w:ind w:right="1115"/>
        <w:jc w:val="left"/>
        <w:rPr>
          <w:b w:val="0"/>
          <w:bCs w:val="0"/>
        </w:rPr>
      </w:pPr>
      <w:bookmarkStart w:name="9、其他流动资产" w:id="246"/>
      <w:bookmarkEnd w:id="246"/>
      <w:r>
        <w:rPr>
          <w:b w:val="0"/>
          <w:bCs w:val="0"/>
        </w:rPr>
      </w:r>
      <w:r>
        <w:rPr>
          <w:rFonts w:ascii="Times New Roman" w:hAnsi="Times New Roman" w:cs="Times New Roman" w:eastAsia="Times New Roman" w:hint="default"/>
        </w:rPr>
        <w:t>9</w:t>
      </w:r>
      <w:r>
        <w:rPr/>
        <w:t>、其他流动资产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待抵扣进项税额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5,492,693.21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8,896,891.68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3,269,265.57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161,281.34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预缴其他税费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118,241.96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8,880,200.74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9,058,173.02</w:t>
            </w:r>
          </w:p>
        </w:tc>
      </w:tr>
    </w:tbl>
    <w:p>
      <w:pPr>
        <w:pStyle w:val="BodyText"/>
        <w:spacing w:line="338" w:lineRule="auto" w:before="49"/>
        <w:ind w:right="1115"/>
        <w:jc w:val="left"/>
      </w:pPr>
      <w:r>
        <w:rPr/>
        <w:t>其他说明： </w:t>
      </w:r>
      <w:r>
        <w:rPr>
          <w:spacing w:val="-2"/>
        </w:rPr>
        <w:t>本集团按新金融工具准则规定将结构性存款等理财产品由其他流动资产调整至交易性金融资产核算，以公允价值计量且其变</w:t>
      </w:r>
      <w:r>
        <w:rPr>
          <w:spacing w:val="-64"/>
        </w:rPr>
        <w:t> </w:t>
      </w:r>
      <w:r>
        <w:rPr>
          <w:spacing w:val="-64"/>
        </w:rPr>
      </w:r>
      <w:r>
        <w:rPr/>
        <w:t>动计入当期损益。</w:t>
      </w:r>
    </w:p>
    <w:p>
      <w:pPr>
        <w:spacing w:line="240" w:lineRule="auto" w:before="7"/>
        <w:rPr>
          <w:rFonts w:ascii="宋体" w:hAnsi="宋体" w:cs="宋体" w:eastAsia="宋体" w:hint="default"/>
          <w:sz w:val="21"/>
          <w:szCs w:val="21"/>
        </w:rPr>
      </w:pPr>
    </w:p>
    <w:p>
      <w:pPr>
        <w:pStyle w:val="Heading3"/>
        <w:spacing w:line="240" w:lineRule="auto"/>
        <w:ind w:right="1115"/>
        <w:jc w:val="left"/>
        <w:rPr>
          <w:b w:val="0"/>
          <w:bCs w:val="0"/>
        </w:rPr>
      </w:pPr>
      <w:bookmarkStart w:name="10、长期股权投资" w:id="247"/>
      <w:bookmarkEnd w:id="247"/>
      <w:r>
        <w:rPr>
          <w:b w:val="0"/>
          <w:bCs w:val="0"/>
        </w:rPr>
      </w:r>
      <w:r>
        <w:rPr>
          <w:rFonts w:ascii="Times New Roman" w:hAnsi="Times New Roman" w:cs="Times New Roman" w:eastAsia="Times New Roman" w:hint="default"/>
        </w:rPr>
        <w:t>10</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72"/>
        <w:gridCol w:w="1287"/>
        <w:gridCol w:w="1001"/>
        <w:gridCol w:w="367"/>
        <w:gridCol w:w="1198"/>
        <w:gridCol w:w="545"/>
        <w:gridCol w:w="456"/>
        <w:gridCol w:w="674"/>
        <w:gridCol w:w="456"/>
        <w:gridCol w:w="281"/>
        <w:gridCol w:w="1286"/>
        <w:gridCol w:w="545"/>
      </w:tblGrid>
      <w:tr>
        <w:trPr>
          <w:trHeight w:val="403" w:hRule="exact"/>
        </w:trPr>
        <w:tc>
          <w:tcPr>
            <w:tcW w:w="15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2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00" w:lineRule="auto"/>
              <w:ind w:left="429" w:right="65"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497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00" w:lineRule="auto"/>
              <w:ind w:left="429" w:right="65"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5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86" w:right="86"/>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1337" w:hRule="exact"/>
        </w:trPr>
        <w:tc>
          <w:tcPr>
            <w:tcW w:w="1572" w:type="dxa"/>
            <w:vMerge/>
            <w:tcBorders>
              <w:left w:val="single" w:sz="4" w:space="0" w:color="000000"/>
              <w:bottom w:val="single" w:sz="4" w:space="0" w:color="000000"/>
              <w:right w:val="single" w:sz="4" w:space="0" w:color="000000"/>
            </w:tcBorders>
            <w:shd w:val="clear" w:color="auto" w:fill="D2D2D2"/>
          </w:tcPr>
          <w:p>
            <w:pPr/>
          </w:p>
        </w:tc>
        <w:tc>
          <w:tcPr>
            <w:tcW w:w="1287" w:type="dxa"/>
            <w:vMerge/>
            <w:tcBorders>
              <w:left w:val="single" w:sz="4" w:space="0" w:color="000000"/>
              <w:bottom w:val="single" w:sz="4" w:space="0" w:color="000000"/>
              <w:right w:val="single" w:sz="4" w:space="0" w:color="000000"/>
            </w:tcBorders>
            <w:shd w:val="clear" w:color="auto" w:fill="D2D2D2"/>
          </w:tcPr>
          <w:p>
            <w:pP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88" w:right="86"/>
              <w:jc w:val="both"/>
              <w:rPr>
                <w:rFonts w:ascii="宋体" w:hAnsi="宋体" w:cs="宋体" w:eastAsia="宋体" w:hint="default"/>
                <w:sz w:val="18"/>
                <w:szCs w:val="18"/>
              </w:rPr>
            </w:pPr>
            <w:r>
              <w:rPr>
                <w:rFonts w:ascii="宋体" w:hAnsi="宋体" w:cs="宋体" w:eastAsia="宋体" w:hint="default"/>
                <w:sz w:val="18"/>
                <w:szCs w:val="18"/>
              </w:rPr>
              <w:t>减 少 投 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143" w:right="53" w:hanging="92"/>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86" w:right="86"/>
              <w:jc w:val="both"/>
              <w:rPr>
                <w:rFonts w:ascii="宋体" w:hAnsi="宋体" w:cs="宋体" w:eastAsia="宋体" w:hint="default"/>
                <w:sz w:val="18"/>
                <w:szCs w:val="18"/>
              </w:rPr>
            </w:pPr>
            <w:r>
              <w:rPr>
                <w:rFonts w:ascii="宋体" w:hAnsi="宋体" w:cs="宋体" w:eastAsia="宋体" w:hint="default"/>
                <w:sz w:val="18"/>
                <w:szCs w:val="18"/>
              </w:rPr>
              <w:t>其他 综合 收益 调整</w:t>
            </w:r>
          </w:p>
        </w:tc>
        <w:tc>
          <w:tcPr>
            <w:tcW w:w="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3" w:right="41"/>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2" w:right="60"/>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3" w:right="41"/>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45" w:right="44"/>
              <w:jc w:val="left"/>
              <w:rPr>
                <w:rFonts w:ascii="宋体" w:hAnsi="宋体" w:cs="宋体" w:eastAsia="宋体" w:hint="default"/>
                <w:sz w:val="18"/>
                <w:szCs w:val="18"/>
              </w:rPr>
            </w:pPr>
            <w:r>
              <w:rPr>
                <w:rFonts w:ascii="宋体" w:hAnsi="宋体" w:cs="宋体" w:eastAsia="宋体" w:hint="default"/>
                <w:sz w:val="18"/>
                <w:szCs w:val="18"/>
              </w:rPr>
              <w:t>其 他</w:t>
            </w:r>
          </w:p>
        </w:tc>
        <w:tc>
          <w:tcPr>
            <w:tcW w:w="1286" w:type="dxa"/>
            <w:vMerge/>
            <w:tcBorders>
              <w:left w:val="single" w:sz="4" w:space="0" w:color="000000"/>
              <w:bottom w:val="single" w:sz="4" w:space="0" w:color="000000"/>
              <w:right w:val="single" w:sz="4" w:space="0" w:color="000000"/>
            </w:tcBorders>
            <w:shd w:val="clear" w:color="auto" w:fill="D2D2D2"/>
          </w:tcPr>
          <w:p>
            <w:pPr/>
          </w:p>
        </w:tc>
        <w:tc>
          <w:tcPr>
            <w:tcW w:w="54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66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5"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4"/>
              <w:jc w:val="left"/>
              <w:rPr>
                <w:rFonts w:ascii="宋体" w:hAnsi="宋体" w:cs="宋体" w:eastAsia="宋体" w:hint="default"/>
                <w:sz w:val="18"/>
                <w:szCs w:val="18"/>
              </w:rPr>
            </w:pPr>
            <w:r>
              <w:rPr>
                <w:rFonts w:ascii="宋体" w:hAnsi="宋体" w:cs="宋体" w:eastAsia="宋体" w:hint="default"/>
                <w:sz w:val="18"/>
                <w:szCs w:val="18"/>
              </w:rPr>
              <w:t>同望科技股份有限 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同 望科技</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59,520,061.07</w:t>
            </w:r>
          </w:p>
        </w:tc>
        <w:tc>
          <w:tcPr>
            <w:tcW w:w="1001"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749,417.15</w:t>
            </w:r>
          </w:p>
        </w:tc>
        <w:tc>
          <w:tcPr>
            <w:tcW w:w="545"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60,269,478.22</w:t>
            </w:r>
          </w:p>
        </w:tc>
        <w:tc>
          <w:tcPr>
            <w:tcW w:w="545"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4"/>
              <w:jc w:val="left"/>
              <w:rPr>
                <w:rFonts w:ascii="宋体" w:hAnsi="宋体" w:cs="宋体" w:eastAsia="宋体" w:hint="default"/>
                <w:sz w:val="18"/>
                <w:szCs w:val="18"/>
              </w:rPr>
            </w:pPr>
            <w:r>
              <w:rPr>
                <w:rFonts w:ascii="宋体" w:hAnsi="宋体" w:cs="宋体" w:eastAsia="宋体" w:hint="default"/>
                <w:sz w:val="18"/>
                <w:szCs w:val="18"/>
              </w:rPr>
              <w:t>深圳前海数聚成长 投资中心（有限合 </w:t>
            </w:r>
            <w:r>
              <w:rPr>
                <w:rFonts w:ascii="宋体" w:hAnsi="宋体" w:cs="宋体" w:eastAsia="宋体" w:hint="default"/>
                <w:spacing w:val="-19"/>
                <w:w w:val="99"/>
                <w:sz w:val="18"/>
                <w:szCs w:val="18"/>
              </w:rPr>
              <w:t>伙）（以下简称</w:t>
            </w:r>
            <w:r>
              <w:rPr>
                <w:rFonts w:ascii="Times New Roman" w:hAnsi="Times New Roman" w:cs="Times New Roman" w:eastAsia="Times New Roman" w:hint="default"/>
                <w:spacing w:val="-19"/>
                <w:w w:val="99"/>
                <w:sz w:val="18"/>
                <w:szCs w:val="18"/>
              </w:rPr>
              <w:t>"</w:t>
            </w:r>
            <w:r>
              <w:rPr>
                <w:rFonts w:ascii="宋体" w:hAnsi="宋体" w:cs="宋体" w:eastAsia="宋体" w:hint="default"/>
                <w:spacing w:val="-19"/>
                <w:w w:val="99"/>
                <w:sz w:val="18"/>
                <w:szCs w:val="18"/>
              </w:rPr>
              <w:t>前海</w:t>
            </w:r>
            <w:r>
              <w:rPr>
                <w:rFonts w:ascii="宋体" w:hAnsi="宋体" w:cs="宋体" w:eastAsia="宋体" w:hint="default"/>
                <w:spacing w:val="-82"/>
                <w:w w:val="99"/>
                <w:sz w:val="18"/>
                <w:szCs w:val="18"/>
              </w:rPr>
              <w:t> </w:t>
            </w:r>
            <w:r>
              <w:rPr>
                <w:rFonts w:ascii="宋体" w:hAnsi="宋体" w:cs="宋体" w:eastAsia="宋体" w:hint="default"/>
                <w:sz w:val="18"/>
                <w:szCs w:val="18"/>
              </w:rPr>
              <w:t>数聚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70,366,440.86</w:t>
            </w:r>
          </w:p>
        </w:tc>
        <w:tc>
          <w:tcPr>
            <w:tcW w:w="1001"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-753,262.35</w:t>
            </w:r>
          </w:p>
        </w:tc>
        <w:tc>
          <w:tcPr>
            <w:tcW w:w="545"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69,613,178.51</w:t>
            </w:r>
          </w:p>
        </w:tc>
        <w:tc>
          <w:tcPr>
            <w:tcW w:w="545"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国新久其数字科技</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（北京）有限公司</w:t>
            </w:r>
          </w:p>
          <w:p>
            <w:pPr>
              <w:pStyle w:val="TableParagraph"/>
              <w:spacing w:line="300" w:lineRule="auto" w:before="76"/>
              <w:ind w:left="24" w:right="24"/>
              <w:jc w:val="left"/>
              <w:rPr>
                <w:rFonts w:ascii="宋体" w:hAnsi="宋体" w:cs="宋体" w:eastAsia="宋体" w:hint="default"/>
                <w:sz w:val="18"/>
                <w:szCs w:val="18"/>
              </w:rPr>
            </w:pP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国新久 其</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8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9,800,000.00</w:t>
            </w:r>
          </w:p>
        </w:tc>
        <w:tc>
          <w:tcPr>
            <w:tcW w:w="36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-172,350.55</w:t>
            </w:r>
          </w:p>
        </w:tc>
        <w:tc>
          <w:tcPr>
            <w:tcW w:w="545"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9,627,649.45</w:t>
            </w:r>
          </w:p>
        </w:tc>
        <w:tc>
          <w:tcPr>
            <w:tcW w:w="5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129,886,501.93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9,800,000.00</w:t>
            </w:r>
          </w:p>
        </w:tc>
        <w:tc>
          <w:tcPr>
            <w:tcW w:w="36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-176,195.75</w:t>
            </w:r>
          </w:p>
        </w:tc>
        <w:tc>
          <w:tcPr>
            <w:tcW w:w="545"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139,510,306.18</w:t>
            </w:r>
          </w:p>
        </w:tc>
        <w:tc>
          <w:tcPr>
            <w:tcW w:w="54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129,886,501.93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9,800,000.00</w:t>
            </w:r>
          </w:p>
        </w:tc>
        <w:tc>
          <w:tcPr>
            <w:tcW w:w="36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-176,195.75</w:t>
            </w:r>
          </w:p>
        </w:tc>
        <w:tc>
          <w:tcPr>
            <w:tcW w:w="545"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139,510,306.18</w:t>
            </w:r>
          </w:p>
        </w:tc>
        <w:tc>
          <w:tcPr>
            <w:tcW w:w="54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1115"/>
        <w:jc w:val="left"/>
      </w:pPr>
      <w:r>
        <w:rPr/>
        <w:t>其他说明： 国新久其由久其研究院与国新商业保理有限公司于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9</w:t>
      </w:r>
      <w:r>
        <w:rPr/>
        <w:t>日共同出资成立。久其研究院出资</w:t>
      </w:r>
      <w:r>
        <w:rPr>
          <w:rFonts w:ascii="Times New Roman" w:hAnsi="Times New Roman" w:cs="Times New Roman" w:eastAsia="Times New Roman" w:hint="default"/>
        </w:rPr>
        <w:t>9,800,000.00</w:t>
      </w:r>
      <w:r>
        <w:rPr/>
        <w:t>元取得国新久</w:t>
      </w:r>
    </w:p>
    <w:p>
      <w:pPr>
        <w:spacing w:after="0" w:line="360" w:lineRule="auto"/>
        <w:jc w:val="left"/>
        <w:sectPr>
          <w:type w:val="continuous"/>
          <w:pgSz w:w="11910" w:h="16840"/>
          <w:pgMar w:top="106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1115"/>
        <w:jc w:val="left"/>
      </w:pPr>
      <w:r>
        <w:rPr/>
        <w:t>其</w:t>
      </w:r>
      <w:r>
        <w:rPr>
          <w:rFonts w:ascii="Times New Roman" w:hAnsi="Times New Roman" w:cs="Times New Roman" w:eastAsia="Times New Roman" w:hint="default"/>
        </w:rPr>
        <w:t>49%</w:t>
      </w:r>
      <w:r>
        <w:rPr/>
        <w:t>的股份，可对其施加重大影响，作为联营企业，以权益法核算。</w:t>
      </w:r>
    </w:p>
    <w:p>
      <w:pPr>
        <w:spacing w:line="240" w:lineRule="auto" w:before="2"/>
        <w:rPr>
          <w:rFonts w:ascii="宋体" w:hAnsi="宋体" w:cs="宋体" w:eastAsia="宋体" w:hint="default"/>
          <w:sz w:val="26"/>
          <w:szCs w:val="26"/>
        </w:rPr>
      </w:pPr>
    </w:p>
    <w:p>
      <w:pPr>
        <w:pStyle w:val="Heading3"/>
        <w:spacing w:line="240" w:lineRule="auto"/>
        <w:ind w:right="1115"/>
        <w:jc w:val="left"/>
        <w:rPr>
          <w:b w:val="0"/>
          <w:bCs w:val="0"/>
        </w:rPr>
      </w:pPr>
      <w:bookmarkStart w:name="11、其他非流动金融资产" w:id="248"/>
      <w:bookmarkEnd w:id="248"/>
      <w:r>
        <w:rPr>
          <w:b w:val="0"/>
          <w:bCs w:val="0"/>
        </w:rPr>
      </w:r>
      <w:r>
        <w:rPr>
          <w:rFonts w:ascii="Times New Roman" w:hAnsi="Times New Roman" w:cs="Times New Roman" w:eastAsia="Times New Roman" w:hint="default"/>
        </w:rPr>
        <w:t>11</w:t>
      </w:r>
      <w:r>
        <w:rPr/>
        <w:t>、其他非流动金融资产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364"/>
        <w:gridCol w:w="2602"/>
        <w:gridCol w:w="2605"/>
      </w:tblGrid>
      <w:tr>
        <w:trPr>
          <w:trHeight w:val="403" w:hRule="exact"/>
        </w:trPr>
        <w:tc>
          <w:tcPr>
            <w:tcW w:w="4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6,420,586.17</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6,552,904.16</w:t>
            </w:r>
          </w:p>
        </w:tc>
      </w:tr>
      <w:tr>
        <w:trPr>
          <w:trHeight w:val="403" w:hRule="exact"/>
        </w:trPr>
        <w:tc>
          <w:tcPr>
            <w:tcW w:w="4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6,420,586.17</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6,552,904.16</w:t>
            </w:r>
          </w:p>
        </w:tc>
      </w:tr>
    </w:tbl>
    <w:p>
      <w:pPr>
        <w:pStyle w:val="BodyText"/>
        <w:spacing w:line="338" w:lineRule="auto" w:before="49"/>
        <w:ind w:right="1115"/>
        <w:jc w:val="left"/>
      </w:pPr>
      <w:r>
        <w:rPr/>
        <w:t>其他说明： </w:t>
      </w:r>
      <w:r>
        <w:rPr>
          <w:spacing w:val="-2"/>
        </w:rPr>
        <w:t>本集团按新金融工具准则规定，将原可供出售金融资产中的权益工具投资调整至其他非流动金融资产核算，以公允价值计量</w:t>
      </w:r>
      <w:r>
        <w:rPr>
          <w:spacing w:val="-64"/>
        </w:rPr>
        <w:t> </w:t>
      </w:r>
      <w:r>
        <w:rPr>
          <w:spacing w:val="-64"/>
        </w:rPr>
      </w:r>
      <w:r>
        <w:rPr/>
        <w:t>且其变动计入当期损益。</w:t>
      </w:r>
    </w:p>
    <w:p>
      <w:pPr>
        <w:pStyle w:val="BodyText"/>
        <w:spacing w:line="300" w:lineRule="auto" w:before="3"/>
        <w:ind w:right="1129"/>
        <w:jc w:val="both"/>
      </w:pPr>
      <w:r>
        <w:rPr>
          <w:spacing w:val="-2"/>
        </w:rPr>
        <w:t>（</w:t>
      </w:r>
      <w:r>
        <w:rPr>
          <w:rFonts w:ascii="Times New Roman" w:hAnsi="Times New Roman" w:cs="Times New Roman" w:eastAsia="Times New Roman" w:hint="default"/>
          <w:spacing w:val="-2"/>
        </w:rPr>
        <w:t>1</w:t>
      </w:r>
      <w:r>
        <w:rPr>
          <w:spacing w:val="-2"/>
        </w:rPr>
        <w:t>）本公司与深圳市惟新科技股份有限公司（以下简称</w:t>
      </w:r>
      <w:r>
        <w:rPr>
          <w:rFonts w:ascii="Times New Roman" w:hAnsi="Times New Roman" w:cs="Times New Roman" w:eastAsia="Times New Roman" w:hint="default"/>
          <w:spacing w:val="-2"/>
        </w:rPr>
        <w:t>“</w:t>
      </w:r>
      <w:r>
        <w:rPr>
          <w:spacing w:val="-2"/>
        </w:rPr>
        <w:t>惟新科技</w:t>
      </w:r>
      <w:r>
        <w:rPr>
          <w:rFonts w:ascii="Times New Roman" w:hAnsi="Times New Roman" w:cs="Times New Roman" w:eastAsia="Times New Roman" w:hint="default"/>
          <w:spacing w:val="-2"/>
        </w:rPr>
        <w:t>”</w:t>
      </w:r>
      <w:r>
        <w:rPr>
          <w:spacing w:val="-2"/>
        </w:rPr>
        <w:t>）于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11</w:t>
      </w:r>
      <w:r>
        <w:rPr>
          <w:spacing w:val="-2"/>
        </w:rPr>
        <w:t>日签订了股份认购协议，以现金方式认</w:t>
      </w:r>
      <w:r>
        <w:rPr>
          <w:spacing w:val="-41"/>
        </w:rPr>
        <w:t> </w:t>
      </w:r>
      <w:r>
        <w:rPr>
          <w:spacing w:val="-41"/>
        </w:rPr>
      </w:r>
      <w:r>
        <w:rPr>
          <w:spacing w:val="-2"/>
        </w:rPr>
        <w:t>购惟新科技</w:t>
      </w:r>
      <w:r>
        <w:rPr>
          <w:rFonts w:ascii="Times New Roman" w:hAnsi="Times New Roman" w:cs="Times New Roman" w:eastAsia="Times New Roman" w:hint="default"/>
          <w:spacing w:val="-2"/>
        </w:rPr>
        <w:t>1,133,334</w:t>
      </w:r>
      <w:r>
        <w:rPr>
          <w:spacing w:val="-2"/>
        </w:rPr>
        <w:t>股，认购价格为</w:t>
      </w:r>
      <w:r>
        <w:rPr>
          <w:rFonts w:ascii="Times New Roman" w:hAnsi="Times New Roman" w:cs="Times New Roman" w:eastAsia="Times New Roman" w:hint="default"/>
          <w:spacing w:val="-2"/>
        </w:rPr>
        <w:t>4.41</w:t>
      </w:r>
      <w:r>
        <w:rPr>
          <w:spacing w:val="-2"/>
        </w:rPr>
        <w:t>元人民币每股，共计</w:t>
      </w:r>
      <w:r>
        <w:rPr>
          <w:rFonts w:ascii="Times New Roman" w:hAnsi="Times New Roman" w:cs="Times New Roman" w:eastAsia="Times New Roman" w:hint="default"/>
          <w:spacing w:val="-2"/>
        </w:rPr>
        <w:t>4,998,002.94</w:t>
      </w:r>
      <w:r>
        <w:rPr>
          <w:spacing w:val="-2"/>
        </w:rPr>
        <w:t>元。截至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日，该权益工具投资的公允</w:t>
      </w:r>
      <w:r>
        <w:rPr>
          <w:spacing w:val="-38"/>
        </w:rPr>
        <w:t> </w:t>
      </w:r>
      <w:r>
        <w:rPr>
          <w:spacing w:val="-38"/>
        </w:rPr>
      </w:r>
      <w:r>
        <w:rPr/>
        <w:t>价值为</w:t>
      </w:r>
      <w:r>
        <w:rPr>
          <w:rFonts w:ascii="Times New Roman" w:hAnsi="Times New Roman" w:cs="Times New Roman" w:eastAsia="Times New Roman" w:hint="default"/>
        </w:rPr>
        <w:t>4,651,999.72</w:t>
      </w:r>
      <w:r>
        <w:rPr/>
        <w:t>元。</w:t>
      </w:r>
    </w:p>
    <w:p>
      <w:pPr>
        <w:pStyle w:val="BodyText"/>
        <w:spacing w:line="300" w:lineRule="auto" w:before="13"/>
        <w:ind w:right="1130"/>
        <w:jc w:val="both"/>
      </w:pPr>
      <w:r>
        <w:rPr>
          <w:spacing w:val="-2"/>
        </w:rPr>
        <w:t>（</w:t>
      </w:r>
      <w:r>
        <w:rPr>
          <w:rFonts w:ascii="Times New Roman" w:hAnsi="Times New Roman" w:cs="Times New Roman" w:eastAsia="Times New Roman" w:hint="default"/>
          <w:spacing w:val="-2"/>
        </w:rPr>
        <w:t>2</w:t>
      </w:r>
      <w:r>
        <w:rPr>
          <w:spacing w:val="-2"/>
        </w:rPr>
        <w:t>）久其研究院于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18</w:t>
      </w:r>
      <w:r>
        <w:rPr>
          <w:spacing w:val="-2"/>
        </w:rPr>
        <w:t>日与互动派科技股份有限公司、徐亚波、广州数说邦投资合伙企业（有限合伙）、广州数盈</w:t>
      </w:r>
      <w:r>
        <w:rPr>
          <w:spacing w:val="-62"/>
        </w:rPr>
        <w:t> </w:t>
      </w:r>
      <w:r>
        <w:rPr>
          <w:spacing w:val="-62"/>
        </w:rPr>
      </w:r>
      <w:r>
        <w:rPr>
          <w:spacing w:val="-2"/>
        </w:rPr>
        <w:t>投资合伙企业（有限合伙）及广州数说故事信息科技有限公司（以下简称</w:t>
      </w:r>
      <w:r>
        <w:rPr>
          <w:rFonts w:ascii="Times New Roman" w:hAnsi="Times New Roman" w:cs="Times New Roman" w:eastAsia="Times New Roman" w:hint="default"/>
          <w:spacing w:val="-2"/>
        </w:rPr>
        <w:t>“</w:t>
      </w:r>
      <w:r>
        <w:rPr>
          <w:spacing w:val="-2"/>
        </w:rPr>
        <w:t>数说故事</w:t>
      </w:r>
      <w:r>
        <w:rPr>
          <w:rFonts w:ascii="Times New Roman" w:hAnsi="Times New Roman" w:cs="Times New Roman" w:eastAsia="Times New Roman" w:hint="default"/>
          <w:spacing w:val="-2"/>
        </w:rPr>
        <w:t>”</w:t>
      </w:r>
      <w:r>
        <w:rPr>
          <w:spacing w:val="-2"/>
        </w:rPr>
        <w:t>）共同签订了投资协议，协议约定研究</w:t>
      </w:r>
      <w:r>
        <w:rPr>
          <w:spacing w:val="-46"/>
        </w:rPr>
        <w:t> </w:t>
      </w:r>
      <w:r>
        <w:rPr>
          <w:spacing w:val="-46"/>
        </w:rPr>
      </w:r>
      <w:r>
        <w:rPr>
          <w:spacing w:val="7"/>
        </w:rPr>
        <w:t>院向数说故事增资</w:t>
      </w:r>
      <w:r>
        <w:rPr>
          <w:rFonts w:ascii="Times New Roman" w:hAnsi="Times New Roman" w:cs="Times New Roman" w:eastAsia="Times New Roman" w:hint="default"/>
          <w:spacing w:val="7"/>
        </w:rPr>
        <w:t>2,000,000.00</w:t>
      </w:r>
      <w:r>
        <w:rPr>
          <w:spacing w:val="7"/>
        </w:rPr>
        <w:t>元，取得数说故事</w:t>
      </w:r>
      <w:r>
        <w:rPr>
          <w:rFonts w:ascii="Times New Roman" w:hAnsi="Times New Roman" w:cs="Times New Roman" w:eastAsia="Times New Roman" w:hint="default"/>
          <w:spacing w:val="7"/>
        </w:rPr>
        <w:t>1.00%</w:t>
      </w:r>
      <w:r>
        <w:rPr>
          <w:spacing w:val="7"/>
        </w:rPr>
        <w:t>的股权。截至</w:t>
      </w:r>
      <w:r>
        <w:rPr>
          <w:rFonts w:ascii="Times New Roman" w:hAnsi="Times New Roman" w:cs="Times New Roman" w:eastAsia="Times New Roman" w:hint="default"/>
          <w:spacing w:val="7"/>
        </w:rPr>
        <w:t>2019</w:t>
      </w:r>
      <w:r>
        <w:rPr>
          <w:spacing w:val="7"/>
        </w:rPr>
        <w:t>年</w:t>
      </w:r>
      <w:r>
        <w:rPr>
          <w:rFonts w:ascii="Times New Roman" w:hAnsi="Times New Roman" w:cs="Times New Roman" w:eastAsia="Times New Roman" w:hint="default"/>
          <w:spacing w:val="7"/>
        </w:rPr>
        <w:t>12</w:t>
      </w:r>
      <w:r>
        <w:rPr>
          <w:spacing w:val="7"/>
        </w:rPr>
        <w:t>月</w:t>
      </w:r>
      <w:r>
        <w:rPr>
          <w:rFonts w:ascii="Times New Roman" w:hAnsi="Times New Roman" w:cs="Times New Roman" w:eastAsia="Times New Roman" w:hint="default"/>
          <w:spacing w:val="7"/>
        </w:rPr>
        <w:t>31</w:t>
      </w:r>
      <w:r>
        <w:rPr>
          <w:spacing w:val="7"/>
        </w:rPr>
        <w:t>日，该权益工具投资的公允价值为</w:t>
      </w:r>
      <w:r>
        <w:rPr/>
        <w:t> </w:t>
      </w:r>
      <w:r>
        <w:rPr>
          <w:rFonts w:ascii="Times New Roman" w:hAnsi="Times New Roman" w:cs="Times New Roman" w:eastAsia="Times New Roman" w:hint="default"/>
        </w:rPr>
        <w:t>1,768,586.45</w:t>
      </w:r>
      <w:r>
        <w:rPr/>
        <w:t>元。</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bookmarkStart w:name="12、投资性房地产" w:id="249"/>
      <w:bookmarkEnd w:id="249"/>
      <w:r>
        <w:rPr>
          <w:b w:val="0"/>
          <w:bCs w:val="0"/>
        </w:rPr>
      </w:r>
      <w:r>
        <w:rPr>
          <w:rFonts w:ascii="Times New Roman" w:hAnsi="Times New Roman" w:cs="Times New Roman" w:eastAsia="Times New Roman" w:hint="default"/>
        </w:rPr>
        <w:t>12</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采用成本计量模式的投资性房地产" w:id="250"/>
      <w:bookmarkEnd w:id="250"/>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4255"/>
        <w:gridCol w:w="1566"/>
        <w:gridCol w:w="1310"/>
        <w:gridCol w:w="1061"/>
        <w:gridCol w:w="1493"/>
      </w:tblGrid>
      <w:tr>
        <w:trPr>
          <w:trHeight w:val="401"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66" w:type="dxa"/>
            <w:tcBorders>
              <w:top w:val="single" w:sz="4" w:space="0" w:color="000000"/>
              <w:left w:val="single" w:sz="10" w:space="0" w:color="D2D2D2"/>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35,438,827.01</w:t>
            </w:r>
          </w:p>
        </w:tc>
        <w:tc>
          <w:tcPr>
            <w:tcW w:w="131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35,438,827.01</w:t>
            </w:r>
          </w:p>
        </w:tc>
      </w:tr>
      <w:tr>
        <w:trPr>
          <w:trHeight w:val="403"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66" w:type="dxa"/>
            <w:tcBorders>
              <w:top w:val="single" w:sz="4" w:space="0" w:color="000000"/>
              <w:left w:val="single" w:sz="10" w:space="0" w:color="D2D2D2"/>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566" w:type="dxa"/>
            <w:tcBorders>
              <w:top w:val="single" w:sz="4" w:space="0" w:color="000000"/>
              <w:left w:val="single" w:sz="10" w:space="0" w:color="D2D2D2"/>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566" w:type="dxa"/>
            <w:tcBorders>
              <w:top w:val="single" w:sz="4" w:space="0" w:color="000000"/>
              <w:left w:val="single" w:sz="10" w:space="0" w:color="D2D2D2"/>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566" w:type="dxa"/>
            <w:tcBorders>
              <w:top w:val="single" w:sz="4" w:space="0" w:color="000000"/>
              <w:left w:val="single" w:sz="10" w:space="0" w:color="D2D2D2"/>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66" w:type="dxa"/>
            <w:tcBorders>
              <w:top w:val="single" w:sz="4" w:space="0" w:color="000000"/>
              <w:left w:val="single" w:sz="10" w:space="0" w:color="D2D2D2"/>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66" w:type="dxa"/>
            <w:tcBorders>
              <w:top w:val="single" w:sz="4" w:space="0" w:color="000000"/>
              <w:left w:val="single" w:sz="10" w:space="0" w:color="D2D2D2"/>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566" w:type="dxa"/>
            <w:tcBorders>
              <w:top w:val="single" w:sz="4" w:space="0" w:color="000000"/>
              <w:left w:val="single" w:sz="10" w:space="0" w:color="D2D2D2"/>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35,438,827.01</w:t>
            </w:r>
          </w:p>
        </w:tc>
        <w:tc>
          <w:tcPr>
            <w:tcW w:w="131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35,438,827.01</w:t>
            </w:r>
          </w:p>
        </w:tc>
      </w:tr>
      <w:tr>
        <w:trPr>
          <w:trHeight w:val="403"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1566" w:type="dxa"/>
            <w:tcBorders>
              <w:top w:val="single" w:sz="4" w:space="0" w:color="000000"/>
              <w:left w:val="single" w:sz="10" w:space="0" w:color="D2D2D2"/>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6,916,450.73</w:t>
            </w:r>
          </w:p>
        </w:tc>
        <w:tc>
          <w:tcPr>
            <w:tcW w:w="131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6,916,450.73</w:t>
            </w:r>
          </w:p>
        </w:tc>
      </w:tr>
      <w:tr>
        <w:trPr>
          <w:trHeight w:val="403"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933,280.92</w:t>
            </w:r>
          </w:p>
        </w:tc>
        <w:tc>
          <w:tcPr>
            <w:tcW w:w="131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933,280.92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31" w:type="dxa"/>
        <w:tblLayout w:type="fixed"/>
        <w:tblCellMar>
          <w:top w:w="0" w:type="dxa"/>
          <w:left w:w="0" w:type="dxa"/>
          <w:bottom w:w="0" w:type="dxa"/>
          <w:right w:w="0" w:type="dxa"/>
        </w:tblCellMar>
        <w:tblLook w:val="01E0"/>
      </w:tblPr>
      <w:tblGrid>
        <w:gridCol w:w="4255"/>
        <w:gridCol w:w="1566"/>
        <w:gridCol w:w="1310"/>
        <w:gridCol w:w="1061"/>
        <w:gridCol w:w="1493"/>
      </w:tblGrid>
      <w:tr>
        <w:trPr>
          <w:trHeight w:val="402"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5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933,280.92</w:t>
            </w:r>
          </w:p>
        </w:tc>
        <w:tc>
          <w:tcPr>
            <w:tcW w:w="131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933,280.92</w:t>
            </w:r>
          </w:p>
        </w:tc>
      </w:tr>
      <w:tr>
        <w:trPr>
          <w:trHeight w:val="402"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66" w:type="dxa"/>
            <w:tcBorders>
              <w:top w:val="single" w:sz="4" w:space="0" w:color="000000"/>
              <w:left w:val="single" w:sz="10" w:space="0" w:color="D2D2D2"/>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66" w:type="dxa"/>
            <w:tcBorders>
              <w:top w:val="single" w:sz="4" w:space="0" w:color="000000"/>
              <w:left w:val="single" w:sz="10" w:space="0" w:color="D2D2D2"/>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566" w:type="dxa"/>
            <w:tcBorders>
              <w:top w:val="single" w:sz="4" w:space="0" w:color="000000"/>
              <w:left w:val="single" w:sz="10" w:space="0" w:color="D2D2D2"/>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7,849,731.65</w:t>
            </w:r>
          </w:p>
        </w:tc>
        <w:tc>
          <w:tcPr>
            <w:tcW w:w="131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7,849,731.65</w:t>
            </w:r>
          </w:p>
        </w:tc>
      </w:tr>
      <w:tr>
        <w:trPr>
          <w:trHeight w:val="402"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66" w:type="dxa"/>
            <w:tcBorders>
              <w:top w:val="single" w:sz="4" w:space="0" w:color="000000"/>
              <w:left w:val="single" w:sz="10" w:space="0" w:color="D2D2D2"/>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66" w:type="dxa"/>
            <w:tcBorders>
              <w:top w:val="single" w:sz="4" w:space="0" w:color="000000"/>
              <w:left w:val="single" w:sz="10" w:space="0" w:color="D2D2D2"/>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66" w:type="dxa"/>
            <w:tcBorders>
              <w:top w:val="single" w:sz="4" w:space="0" w:color="000000"/>
              <w:left w:val="single" w:sz="10" w:space="0" w:color="D2D2D2"/>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66" w:type="dxa"/>
            <w:tcBorders>
              <w:top w:val="single" w:sz="4" w:space="0" w:color="000000"/>
              <w:left w:val="single" w:sz="10" w:space="0" w:color="D2D2D2"/>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66" w:type="dxa"/>
            <w:tcBorders>
              <w:top w:val="single" w:sz="4" w:space="0" w:color="000000"/>
              <w:left w:val="single" w:sz="10" w:space="0" w:color="D2D2D2"/>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66" w:type="dxa"/>
            <w:tcBorders>
              <w:top w:val="single" w:sz="4" w:space="0" w:color="000000"/>
              <w:left w:val="single" w:sz="10" w:space="0" w:color="D2D2D2"/>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566" w:type="dxa"/>
            <w:tcBorders>
              <w:top w:val="single" w:sz="4" w:space="0" w:color="000000"/>
              <w:left w:val="single" w:sz="10" w:space="0" w:color="D2D2D2"/>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66" w:type="dxa"/>
            <w:tcBorders>
              <w:top w:val="single" w:sz="4" w:space="0" w:color="000000"/>
              <w:left w:val="single" w:sz="10" w:space="0" w:color="D2D2D2"/>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66" w:type="dxa"/>
            <w:tcBorders>
              <w:top w:val="single" w:sz="4" w:space="0" w:color="000000"/>
              <w:left w:val="single" w:sz="10" w:space="0" w:color="D2D2D2"/>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27,589,095.36</w:t>
            </w:r>
          </w:p>
        </w:tc>
        <w:tc>
          <w:tcPr>
            <w:tcW w:w="131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27,589,095.36</w:t>
            </w:r>
          </w:p>
        </w:tc>
      </w:tr>
      <w:tr>
        <w:trPr>
          <w:trHeight w:val="403"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28,522,376.28</w:t>
            </w:r>
          </w:p>
        </w:tc>
        <w:tc>
          <w:tcPr>
            <w:tcW w:w="131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28,522,376.28</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2）采用公允价值计量模式的投资性房地产" w:id="251"/>
      <w:bookmarkEnd w:id="251"/>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15"/>
        <w:jc w:val="left"/>
        <w:rPr>
          <w:b w:val="0"/>
          <w:bCs w:val="0"/>
        </w:rPr>
      </w:pPr>
      <w:bookmarkStart w:name="13、固定资产" w:id="252"/>
      <w:bookmarkEnd w:id="252"/>
      <w:r>
        <w:rPr>
          <w:b w:val="0"/>
          <w:bCs w:val="0"/>
        </w:rPr>
      </w:r>
      <w:r>
        <w:rPr>
          <w:rFonts w:ascii="Times New Roman" w:hAnsi="Times New Roman" w:cs="Times New Roman" w:eastAsia="Times New Roman" w:hint="default"/>
        </w:rPr>
        <w:t>13</w:t>
      </w:r>
      <w:r>
        <w:rPr/>
        <w:t>、固定资产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217,216,701.23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226,609,647.58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217,216,701.23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226,609,647.58</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1）固定资产情况" w:id="253"/>
      <w:bookmarkEnd w:id="253"/>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2827"/>
        <w:gridCol w:w="1470"/>
        <w:gridCol w:w="1347"/>
        <w:gridCol w:w="1346"/>
        <w:gridCol w:w="1237"/>
        <w:gridCol w:w="1459"/>
      </w:tblGrid>
      <w:tr>
        <w:trPr>
          <w:trHeight w:val="403" w:hRule="exact"/>
        </w:trPr>
        <w:tc>
          <w:tcPr>
            <w:tcW w:w="2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2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70" w:type="dxa"/>
            <w:tcBorders>
              <w:top w:val="single" w:sz="4" w:space="0" w:color="000000"/>
              <w:left w:val="single" w:sz="10" w:space="0" w:color="D2D2D2"/>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7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238,117,091.43</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19,739,772.71</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67,738,938.20</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5,460,614.45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331,056,416.79</w:t>
            </w:r>
          </w:p>
        </w:tc>
      </w:tr>
      <w:tr>
        <w:trPr>
          <w:trHeight w:val="401" w:hRule="exact"/>
        </w:trPr>
        <w:tc>
          <w:tcPr>
            <w:tcW w:w="2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7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117,976.89</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703,541.58</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8,539,972.03</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506,274.48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9,867,764.98</w:t>
            </w:r>
          </w:p>
        </w:tc>
      </w:tr>
      <w:tr>
        <w:trPr>
          <w:trHeight w:val="403" w:hRule="exact"/>
        </w:trPr>
        <w:tc>
          <w:tcPr>
            <w:tcW w:w="2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7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117,976.89</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703,541.58</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8,148,991.37</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506,274.48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9,476,784.32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31" w:type="dxa"/>
        <w:tblLayout w:type="fixed"/>
        <w:tblCellMar>
          <w:top w:w="0" w:type="dxa"/>
          <w:left w:w="0" w:type="dxa"/>
          <w:bottom w:w="0" w:type="dxa"/>
          <w:right w:w="0" w:type="dxa"/>
        </w:tblCellMar>
        <w:tblLook w:val="01E0"/>
      </w:tblPr>
      <w:tblGrid>
        <w:gridCol w:w="2827"/>
        <w:gridCol w:w="1470"/>
        <w:gridCol w:w="1347"/>
        <w:gridCol w:w="1346"/>
        <w:gridCol w:w="1237"/>
        <w:gridCol w:w="1459"/>
      </w:tblGrid>
      <w:tr>
        <w:trPr>
          <w:trHeight w:val="401" w:hRule="exact"/>
        </w:trPr>
        <w:tc>
          <w:tcPr>
            <w:tcW w:w="2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470" w:type="dxa"/>
            <w:tcBorders>
              <w:top w:val="single" w:sz="4" w:space="0" w:color="000000"/>
              <w:left w:val="single" w:sz="10" w:space="0" w:color="D2D2D2"/>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470" w:type="dxa"/>
            <w:tcBorders>
              <w:top w:val="single" w:sz="4" w:space="0" w:color="000000"/>
              <w:left w:val="single" w:sz="10" w:space="0" w:color="D2D2D2"/>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）存货转入</w:t>
            </w:r>
          </w:p>
        </w:tc>
        <w:tc>
          <w:tcPr>
            <w:tcW w:w="1470" w:type="dxa"/>
            <w:tcBorders>
              <w:top w:val="single" w:sz="4" w:space="0" w:color="000000"/>
              <w:left w:val="single" w:sz="10" w:space="0" w:color="D2D2D2"/>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390,980.66</w:t>
            </w:r>
          </w:p>
        </w:tc>
        <w:tc>
          <w:tcPr>
            <w:tcW w:w="123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390,980.66</w:t>
            </w:r>
          </w:p>
        </w:tc>
      </w:tr>
      <w:tr>
        <w:trPr>
          <w:trHeight w:val="401" w:hRule="exact"/>
        </w:trPr>
        <w:tc>
          <w:tcPr>
            <w:tcW w:w="2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70" w:type="dxa"/>
            <w:tcBorders>
              <w:top w:val="single" w:sz="4" w:space="0" w:color="000000"/>
              <w:left w:val="single" w:sz="10" w:space="0" w:color="D2D2D2"/>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873,595.57</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12,972,682.47</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7,001.43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13,853,279.47</w:t>
            </w:r>
          </w:p>
        </w:tc>
      </w:tr>
      <w:tr>
        <w:trPr>
          <w:trHeight w:val="403" w:hRule="exact"/>
        </w:trPr>
        <w:tc>
          <w:tcPr>
            <w:tcW w:w="2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70" w:type="dxa"/>
            <w:tcBorders>
              <w:top w:val="single" w:sz="4" w:space="0" w:color="000000"/>
              <w:left w:val="single" w:sz="10" w:space="0" w:color="D2D2D2"/>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873,595.57</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9,598,745.71</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7,001.43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10,479,342.71</w:t>
            </w:r>
          </w:p>
        </w:tc>
      </w:tr>
      <w:tr>
        <w:trPr>
          <w:trHeight w:val="401" w:hRule="exact"/>
        </w:trPr>
        <w:tc>
          <w:tcPr>
            <w:tcW w:w="2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4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）处置子公司减少</w:t>
            </w:r>
          </w:p>
        </w:tc>
        <w:tc>
          <w:tcPr>
            <w:tcW w:w="1470" w:type="dxa"/>
            <w:tcBorders>
              <w:top w:val="single" w:sz="4" w:space="0" w:color="000000"/>
              <w:left w:val="single" w:sz="10" w:space="0" w:color="D2D2D2"/>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3,373,936.76</w:t>
            </w:r>
          </w:p>
        </w:tc>
        <w:tc>
          <w:tcPr>
            <w:tcW w:w="123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3,373,936.76</w:t>
            </w:r>
          </w:p>
        </w:tc>
      </w:tr>
      <w:tr>
        <w:trPr>
          <w:trHeight w:val="403" w:hRule="exact"/>
        </w:trPr>
        <w:tc>
          <w:tcPr>
            <w:tcW w:w="2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7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238,235,068.32</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19,569,718.72</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63,306,227.76</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5,959,887.50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327,070,902.30</w:t>
            </w:r>
          </w:p>
        </w:tc>
      </w:tr>
      <w:tr>
        <w:trPr>
          <w:trHeight w:val="401" w:hRule="exact"/>
        </w:trPr>
        <w:tc>
          <w:tcPr>
            <w:tcW w:w="2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470" w:type="dxa"/>
            <w:tcBorders>
              <w:top w:val="single" w:sz="4" w:space="0" w:color="000000"/>
              <w:left w:val="single" w:sz="10" w:space="0" w:color="D2D2D2"/>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7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46,951,641.56</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10,637,783.27</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37,174,926.73</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3,849,516.56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98,613,868.12</w:t>
            </w:r>
          </w:p>
        </w:tc>
      </w:tr>
      <w:tr>
        <w:trPr>
          <w:trHeight w:val="401" w:hRule="exact"/>
        </w:trPr>
        <w:tc>
          <w:tcPr>
            <w:tcW w:w="2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7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6,218,501.76</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966,793.70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9,466,296.60</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663,676.37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17,315,268.43</w:t>
            </w:r>
          </w:p>
        </w:tc>
      </w:tr>
      <w:tr>
        <w:trPr>
          <w:trHeight w:val="403" w:hRule="exact"/>
        </w:trPr>
        <w:tc>
          <w:tcPr>
            <w:tcW w:w="2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7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6,218,501.76</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966,793.70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9,466,296.60</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663,676.37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17,315,268.43</w:t>
            </w:r>
          </w:p>
        </w:tc>
      </w:tr>
      <w:tr>
        <w:trPr>
          <w:trHeight w:val="401" w:hRule="exact"/>
        </w:trPr>
        <w:tc>
          <w:tcPr>
            <w:tcW w:w="2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70" w:type="dxa"/>
            <w:tcBorders>
              <w:top w:val="single" w:sz="4" w:space="0" w:color="000000"/>
              <w:left w:val="single" w:sz="10" w:space="0" w:color="D2D2D2"/>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779,366.73</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5,287,571.38</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7,997.37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6,074,935.48</w:t>
            </w:r>
          </w:p>
        </w:tc>
      </w:tr>
      <w:tr>
        <w:trPr>
          <w:trHeight w:val="403" w:hRule="exact"/>
        </w:trPr>
        <w:tc>
          <w:tcPr>
            <w:tcW w:w="2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70" w:type="dxa"/>
            <w:tcBorders>
              <w:top w:val="single" w:sz="4" w:space="0" w:color="000000"/>
              <w:left w:val="single" w:sz="10" w:space="0" w:color="D2D2D2"/>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779,366.73</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3,174,443.40</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7,997.37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3,961,807.50</w:t>
            </w:r>
          </w:p>
        </w:tc>
      </w:tr>
      <w:tr>
        <w:trPr>
          <w:trHeight w:val="401" w:hRule="exact"/>
        </w:trPr>
        <w:tc>
          <w:tcPr>
            <w:tcW w:w="2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4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）处置子公司减少</w:t>
            </w:r>
          </w:p>
        </w:tc>
        <w:tc>
          <w:tcPr>
            <w:tcW w:w="1470" w:type="dxa"/>
            <w:tcBorders>
              <w:top w:val="single" w:sz="4" w:space="0" w:color="000000"/>
              <w:left w:val="single" w:sz="10" w:space="0" w:color="D2D2D2"/>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2,113,127.98</w:t>
            </w:r>
          </w:p>
        </w:tc>
        <w:tc>
          <w:tcPr>
            <w:tcW w:w="123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2,113,127.98</w:t>
            </w:r>
          </w:p>
        </w:tc>
      </w:tr>
      <w:tr>
        <w:trPr>
          <w:trHeight w:val="403" w:hRule="exact"/>
        </w:trPr>
        <w:tc>
          <w:tcPr>
            <w:tcW w:w="2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7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53,170,143.32</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10,825,210.24</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41,353,651.95</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4,505,195.56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109,854,201.07</w:t>
            </w:r>
          </w:p>
        </w:tc>
      </w:tr>
      <w:tr>
        <w:trPr>
          <w:trHeight w:val="401" w:hRule="exact"/>
        </w:trPr>
        <w:tc>
          <w:tcPr>
            <w:tcW w:w="2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70" w:type="dxa"/>
            <w:tcBorders>
              <w:top w:val="single" w:sz="4" w:space="0" w:color="000000"/>
              <w:left w:val="single" w:sz="10" w:space="0" w:color="D2D2D2"/>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70" w:type="dxa"/>
            <w:tcBorders>
              <w:top w:val="single" w:sz="4" w:space="0" w:color="000000"/>
              <w:left w:val="single" w:sz="10" w:space="0" w:color="D2D2D2"/>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5,832,901.09</w:t>
            </w:r>
          </w:p>
        </w:tc>
        <w:tc>
          <w:tcPr>
            <w:tcW w:w="123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5,832,901.09</w:t>
            </w:r>
          </w:p>
        </w:tc>
      </w:tr>
      <w:tr>
        <w:trPr>
          <w:trHeight w:val="401" w:hRule="exact"/>
        </w:trPr>
        <w:tc>
          <w:tcPr>
            <w:tcW w:w="2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70" w:type="dxa"/>
            <w:tcBorders>
              <w:top w:val="single" w:sz="4" w:space="0" w:color="000000"/>
              <w:left w:val="single" w:sz="10" w:space="0" w:color="D2D2D2"/>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70" w:type="dxa"/>
            <w:tcBorders>
              <w:top w:val="single" w:sz="4" w:space="0" w:color="000000"/>
              <w:left w:val="single" w:sz="10" w:space="0" w:color="D2D2D2"/>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70" w:type="dxa"/>
            <w:tcBorders>
              <w:top w:val="single" w:sz="4" w:space="0" w:color="000000"/>
              <w:left w:val="single" w:sz="10" w:space="0" w:color="D2D2D2"/>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5,832,901.09</w:t>
            </w:r>
          </w:p>
        </w:tc>
        <w:tc>
          <w:tcPr>
            <w:tcW w:w="123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5,832,901.09</w:t>
            </w:r>
          </w:p>
        </w:tc>
      </w:tr>
      <w:tr>
        <w:trPr>
          <w:trHeight w:val="403" w:hRule="exact"/>
        </w:trPr>
        <w:tc>
          <w:tcPr>
            <w:tcW w:w="2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70" w:type="dxa"/>
            <w:tcBorders>
              <w:top w:val="single" w:sz="4" w:space="0" w:color="000000"/>
              <w:left w:val="single" w:sz="10" w:space="0" w:color="D2D2D2"/>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5,832,901.09</w:t>
            </w:r>
          </w:p>
        </w:tc>
        <w:tc>
          <w:tcPr>
            <w:tcW w:w="123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5,832,901.09</w:t>
            </w:r>
          </w:p>
        </w:tc>
      </w:tr>
      <w:tr>
        <w:trPr>
          <w:trHeight w:val="401" w:hRule="exact"/>
        </w:trPr>
        <w:tc>
          <w:tcPr>
            <w:tcW w:w="2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70" w:type="dxa"/>
            <w:tcBorders>
              <w:top w:val="single" w:sz="4" w:space="0" w:color="000000"/>
              <w:left w:val="single" w:sz="10" w:space="0" w:color="D2D2D2"/>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70" w:type="dxa"/>
            <w:tcBorders>
              <w:top w:val="single" w:sz="4" w:space="0" w:color="000000"/>
              <w:left w:val="single" w:sz="10" w:space="0" w:color="D2D2D2"/>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7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185,064,925.00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8,744,508.48</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21,952,575.81</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1,454,691.94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217,216,701.23</w:t>
            </w:r>
          </w:p>
        </w:tc>
      </w:tr>
      <w:tr>
        <w:trPr>
          <w:trHeight w:val="403" w:hRule="exact"/>
        </w:trPr>
        <w:tc>
          <w:tcPr>
            <w:tcW w:w="2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7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191,165,449.87</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9,101,989.44</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24,731,110.38</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1,611,097.89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226,609,647.58</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14、在建工程" w:id="254"/>
      <w:bookmarkEnd w:id="254"/>
      <w:r>
        <w:rPr>
          <w:b w:val="0"/>
          <w:bCs w:val="0"/>
        </w:rPr>
      </w:r>
      <w:r>
        <w:rPr>
          <w:rFonts w:ascii="Times New Roman" w:hAnsi="Times New Roman" w:cs="Times New Roman" w:eastAsia="Times New Roman" w:hint="default"/>
        </w:rPr>
        <w:t>14</w:t>
      </w:r>
      <w:r>
        <w:rPr/>
        <w:t>、在建工程</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100,488,389.38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81,224,640.18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100,488,389.38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81,224,640.18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15"/>
        <w:jc w:val="left"/>
        <w:rPr>
          <w:b w:val="0"/>
          <w:bCs w:val="0"/>
        </w:rPr>
      </w:pPr>
      <w:bookmarkStart w:name="（1）在建工程情况" w:id="255"/>
      <w:bookmarkEnd w:id="255"/>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585"/>
        <w:gridCol w:w="1378"/>
        <w:gridCol w:w="905"/>
        <w:gridCol w:w="1378"/>
        <w:gridCol w:w="1272"/>
        <w:gridCol w:w="908"/>
        <w:gridCol w:w="1272"/>
      </w:tblGrid>
      <w:tr>
        <w:trPr>
          <w:trHeight w:val="403" w:hRule="exact"/>
        </w:trPr>
        <w:tc>
          <w:tcPr>
            <w:tcW w:w="25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6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5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585"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久其政务研发中心建设项目</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100,488,389.38</w:t>
            </w:r>
          </w:p>
        </w:tc>
        <w:tc>
          <w:tcPr>
            <w:tcW w:w="90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100,488,389.38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81,224,640.18</w:t>
            </w:r>
          </w:p>
        </w:tc>
        <w:tc>
          <w:tcPr>
            <w:tcW w:w="90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81,224,640.18</w:t>
            </w:r>
          </w:p>
        </w:tc>
      </w:tr>
      <w:tr>
        <w:trPr>
          <w:trHeight w:val="401" w:hRule="exact"/>
        </w:trPr>
        <w:tc>
          <w:tcPr>
            <w:tcW w:w="2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100,488,389.38</w:t>
            </w:r>
          </w:p>
        </w:tc>
        <w:tc>
          <w:tcPr>
            <w:tcW w:w="90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100,488,389.38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81,224,640.18</w:t>
            </w:r>
          </w:p>
        </w:tc>
        <w:tc>
          <w:tcPr>
            <w:tcW w:w="90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81,224,640.18</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2）重要在建工程项目本期变动情况" w:id="256"/>
      <w:bookmarkEnd w:id="256"/>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44"/>
        <w:gridCol w:w="1181"/>
        <w:gridCol w:w="1093"/>
        <w:gridCol w:w="1099"/>
        <w:gridCol w:w="569"/>
        <w:gridCol w:w="494"/>
        <w:gridCol w:w="1181"/>
        <w:gridCol w:w="902"/>
        <w:gridCol w:w="348"/>
        <w:gridCol w:w="531"/>
        <w:gridCol w:w="785"/>
        <w:gridCol w:w="494"/>
        <w:gridCol w:w="348"/>
      </w:tblGrid>
      <w:tr>
        <w:trPr>
          <w:trHeight w:val="1649" w:hRule="exact"/>
        </w:trPr>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28" w:right="44"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预算数</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455" w:right="91" w:hanging="360"/>
              <w:jc w:val="left"/>
              <w:rPr>
                <w:rFonts w:ascii="宋体" w:hAnsi="宋体" w:cs="宋体" w:eastAsia="宋体" w:hint="default"/>
                <w:sz w:val="18"/>
                <w:szCs w:val="18"/>
              </w:rPr>
            </w:pPr>
            <w:r>
              <w:rPr>
                <w:rFonts w:ascii="宋体" w:hAnsi="宋体" w:cs="宋体" w:eastAsia="宋体" w:hint="default"/>
                <w:sz w:val="18"/>
                <w:szCs w:val="18"/>
              </w:rPr>
              <w:t>本期增加金 额</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8"/>
              <w:jc w:val="both"/>
              <w:rPr>
                <w:rFonts w:ascii="宋体" w:hAnsi="宋体" w:cs="宋体" w:eastAsia="宋体" w:hint="default"/>
                <w:sz w:val="18"/>
                <w:szCs w:val="18"/>
              </w:rPr>
            </w:pPr>
            <w:r>
              <w:rPr>
                <w:rFonts w:ascii="宋体" w:hAnsi="宋体" w:cs="宋体" w:eastAsia="宋体" w:hint="default"/>
                <w:sz w:val="18"/>
                <w:szCs w:val="18"/>
              </w:rPr>
              <w:t>本期 转入 固定 资产 金额</w:t>
            </w:r>
          </w:p>
        </w:tc>
        <w:tc>
          <w:tcPr>
            <w:tcW w:w="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6" w:right="84"/>
              <w:jc w:val="both"/>
              <w:rPr>
                <w:rFonts w:ascii="宋体" w:hAnsi="宋体" w:cs="宋体" w:eastAsia="宋体" w:hint="default"/>
                <w:sz w:val="18"/>
                <w:szCs w:val="18"/>
              </w:rPr>
            </w:pPr>
            <w:r>
              <w:rPr>
                <w:rFonts w:ascii="宋体" w:hAnsi="宋体" w:cs="宋体" w:eastAsia="宋体" w:hint="default"/>
                <w:sz w:val="18"/>
                <w:szCs w:val="18"/>
              </w:rPr>
              <w:t>工程累计 投入占预 算比例</w:t>
            </w:r>
          </w:p>
        </w:tc>
        <w:tc>
          <w:tcPr>
            <w:tcW w:w="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工 程 进 度</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 w:right="77"/>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8" w:right="24"/>
              <w:jc w:val="both"/>
              <w:rPr>
                <w:rFonts w:ascii="宋体" w:hAnsi="宋体" w:cs="宋体" w:eastAsia="宋体" w:hint="default"/>
                <w:sz w:val="18"/>
                <w:szCs w:val="18"/>
              </w:rPr>
            </w:pPr>
            <w:r>
              <w:rPr>
                <w:rFonts w:ascii="宋体" w:hAnsi="宋体" w:cs="宋体" w:eastAsia="宋体" w:hint="default"/>
                <w:sz w:val="18"/>
                <w:szCs w:val="18"/>
              </w:rPr>
              <w:t>其中：本 期利息资 本化金额</w:t>
            </w:r>
          </w:p>
        </w:tc>
        <w:tc>
          <w:tcPr>
            <w:tcW w:w="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资 金 来 源</w:t>
            </w:r>
          </w:p>
        </w:tc>
      </w:tr>
      <w:tr>
        <w:trPr>
          <w:trHeight w:val="1339"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7"/>
              <w:jc w:val="both"/>
              <w:rPr>
                <w:rFonts w:ascii="宋体" w:hAnsi="宋体" w:cs="宋体" w:eastAsia="宋体" w:hint="default"/>
                <w:sz w:val="18"/>
                <w:szCs w:val="18"/>
              </w:rPr>
            </w:pPr>
            <w:r>
              <w:rPr>
                <w:rFonts w:ascii="宋体" w:hAnsi="宋体" w:cs="宋体" w:eastAsia="宋体" w:hint="default"/>
                <w:sz w:val="18"/>
                <w:szCs w:val="18"/>
              </w:rPr>
              <w:t>久其政 务研发 中心建 设项目</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295,802,317.45</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81,224,640.18</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19,263,749.20</w:t>
            </w:r>
          </w:p>
        </w:tc>
        <w:tc>
          <w:tcPr>
            <w:tcW w:w="569"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100,488,389.38</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33.97%</w:t>
            </w:r>
          </w:p>
        </w:tc>
        <w:tc>
          <w:tcPr>
            <w:tcW w:w="348"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2"/>
              <w:jc w:val="both"/>
              <w:rPr>
                <w:rFonts w:ascii="宋体" w:hAnsi="宋体" w:cs="宋体" w:eastAsia="宋体" w:hint="default"/>
                <w:sz w:val="18"/>
                <w:szCs w:val="18"/>
              </w:rPr>
            </w:pPr>
            <w:r>
              <w:rPr>
                <w:rFonts w:ascii="宋体" w:hAnsi="宋体" w:cs="宋体" w:eastAsia="宋体" w:hint="default"/>
                <w:sz w:val="18"/>
                <w:szCs w:val="18"/>
              </w:rPr>
              <w:t>募 集 资 金</w:t>
            </w:r>
          </w:p>
        </w:tc>
      </w:tr>
      <w:tr>
        <w:trPr>
          <w:trHeight w:val="401" w:hRule="exact"/>
        </w:trPr>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295,802,317.45</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81,224,640.18</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19,263,749.20</w:t>
            </w:r>
          </w:p>
        </w:tc>
        <w:tc>
          <w:tcPr>
            <w:tcW w:w="569"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100,488,389.38</w:t>
            </w:r>
          </w:p>
        </w:tc>
        <w:tc>
          <w:tcPr>
            <w:tcW w:w="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7" w:right="0"/>
              <w:jc w:val="left"/>
              <w:rPr>
                <w:rFonts w:ascii="Times New Roman" w:hAnsi="Times New Roman" w:cs="Times New Roman" w:eastAsia="Times New Roman" w:hint="default"/>
                <w:sz w:val="18"/>
                <w:szCs w:val="18"/>
              </w:rPr>
            </w:pPr>
            <w:r>
              <w:rPr>
                <w:rFonts w:ascii="Times New Roman"/>
                <w:sz w:val="18"/>
              </w:rPr>
              <w:t>--</w:t>
            </w:r>
          </w:p>
        </w:tc>
        <w:tc>
          <w:tcPr>
            <w:tcW w:w="53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8"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15、无形资产" w:id="257"/>
      <w:bookmarkEnd w:id="257"/>
      <w:r>
        <w:rPr>
          <w:b w:val="0"/>
          <w:bCs w:val="0"/>
        </w:rPr>
      </w:r>
      <w:r>
        <w:rPr>
          <w:rFonts w:ascii="Times New Roman" w:hAnsi="Times New Roman" w:cs="Times New Roman" w:eastAsia="Times New Roman" w:hint="default"/>
        </w:rPr>
        <w:t>15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5"/>
        <w:jc w:val="left"/>
        <w:rPr>
          <w:b w:val="0"/>
          <w:bCs w:val="0"/>
        </w:rPr>
      </w:pPr>
      <w:bookmarkStart w:name="（1）无形资产情况" w:id="258"/>
      <w:bookmarkEnd w:id="258"/>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04"/>
        <w:gridCol w:w="1101"/>
        <w:gridCol w:w="866"/>
        <w:gridCol w:w="958"/>
        <w:gridCol w:w="1090"/>
        <w:gridCol w:w="1181"/>
        <w:gridCol w:w="1093"/>
        <w:gridCol w:w="1181"/>
      </w:tblGrid>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专利权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0"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01" w:type="dxa"/>
            <w:tcBorders>
              <w:top w:val="single" w:sz="4" w:space="0" w:color="000000"/>
              <w:left w:val="single" w:sz="12" w:space="0" w:color="D2D2D2"/>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21,307,433.90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400,000.00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42,915,799.85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114,332,740.47</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36,824,000.00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215,779,974.22</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01" w:type="dxa"/>
            <w:tcBorders>
              <w:top w:val="single" w:sz="4" w:space="0" w:color="000000"/>
              <w:left w:val="single" w:sz="12" w:space="0" w:color="D2D2D2"/>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9,574,518.04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22,893,194.53</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48,584.91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32,516,297.48</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01" w:type="dxa"/>
            <w:tcBorders>
              <w:top w:val="single" w:sz="4" w:space="0" w:color="000000"/>
              <w:left w:val="single" w:sz="12" w:space="0" w:color="D2D2D2"/>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9,574,518.04</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48,584.91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9,623,102.95</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101" w:type="dxa"/>
            <w:tcBorders>
              <w:top w:val="single" w:sz="4" w:space="0" w:color="000000"/>
              <w:left w:val="single" w:sz="12" w:space="0" w:color="D2D2D2"/>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22,893,194.53</w:t>
            </w:r>
          </w:p>
        </w:tc>
        <w:tc>
          <w:tcPr>
            <w:tcW w:w="109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22,893,194.53</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01" w:type="dxa"/>
            <w:tcBorders>
              <w:top w:val="single" w:sz="4" w:space="0" w:color="000000"/>
              <w:left w:val="single" w:sz="12" w:space="0" w:color="D2D2D2"/>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01" w:type="dxa"/>
            <w:tcBorders>
              <w:top w:val="single" w:sz="4" w:space="0" w:color="000000"/>
              <w:left w:val="single" w:sz="12" w:space="0" w:color="D2D2D2"/>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28,313.67</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20,604,000.00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20,632,313.67</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01" w:type="dxa"/>
            <w:tcBorders>
              <w:top w:val="single" w:sz="4" w:space="0" w:color="000000"/>
              <w:left w:val="single" w:sz="12" w:space="0" w:color="D2D2D2"/>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）处置子公司减少</w:t>
            </w:r>
          </w:p>
        </w:tc>
        <w:tc>
          <w:tcPr>
            <w:tcW w:w="1101" w:type="dxa"/>
            <w:tcBorders>
              <w:top w:val="single" w:sz="4" w:space="0" w:color="000000"/>
              <w:left w:val="single" w:sz="12" w:space="0" w:color="D2D2D2"/>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28,313.67</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20,604,000.00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20,632,313.67</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21,307,433.90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400,000.00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52,462,004.22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137,225,935.00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16,268,584.91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227,663,958.03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104"/>
        <w:gridCol w:w="1101"/>
        <w:gridCol w:w="866"/>
        <w:gridCol w:w="958"/>
        <w:gridCol w:w="1090"/>
        <w:gridCol w:w="1181"/>
        <w:gridCol w:w="1093"/>
        <w:gridCol w:w="1181"/>
      </w:tblGrid>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专利权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0"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自主研发</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101" w:type="dxa"/>
            <w:tcBorders>
              <w:top w:val="single" w:sz="4" w:space="0" w:color="000000"/>
              <w:left w:val="single" w:sz="12" w:space="0" w:color="D2D2D2"/>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2,416,574.56</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400,000.00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24,080,953.58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55,841,475.53</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17,440,199.88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100,179,203.55</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225" w:right="0"/>
              <w:jc w:val="center"/>
              <w:rPr>
                <w:rFonts w:ascii="Times New Roman" w:hAnsi="Times New Roman" w:cs="Times New Roman" w:eastAsia="Times New Roman" w:hint="default"/>
                <w:sz w:val="18"/>
                <w:szCs w:val="18"/>
              </w:rPr>
            </w:pPr>
            <w:r>
              <w:rPr>
                <w:rFonts w:ascii="Times New Roman"/>
                <w:sz w:val="18"/>
              </w:rPr>
              <w:t>430,502.16</w:t>
            </w:r>
          </w:p>
        </w:tc>
        <w:tc>
          <w:tcPr>
            <w:tcW w:w="86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2,360,169.83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center"/>
              <w:rPr>
                <w:rFonts w:ascii="Times New Roman" w:hAnsi="Times New Roman" w:cs="Times New Roman" w:eastAsia="Times New Roman" w:hint="default"/>
                <w:sz w:val="18"/>
                <w:szCs w:val="18"/>
              </w:rPr>
            </w:pPr>
            <w:r>
              <w:rPr>
                <w:rFonts w:ascii="Times New Roman"/>
                <w:sz w:val="18"/>
              </w:rPr>
              <w:t>17,130,655.80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3,250,627.05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23,171,954.84</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25" w:right="0"/>
              <w:jc w:val="center"/>
              <w:rPr>
                <w:rFonts w:ascii="Times New Roman" w:hAnsi="Times New Roman" w:cs="Times New Roman" w:eastAsia="Times New Roman" w:hint="default"/>
                <w:sz w:val="18"/>
                <w:szCs w:val="18"/>
              </w:rPr>
            </w:pPr>
            <w:r>
              <w:rPr>
                <w:rFonts w:ascii="Times New Roman"/>
                <w:sz w:val="18"/>
              </w:rPr>
              <w:t>430,502.16</w:t>
            </w:r>
          </w:p>
        </w:tc>
        <w:tc>
          <w:tcPr>
            <w:tcW w:w="86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2,360,169.83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17,130,655.80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3,250,627.05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23,171,954.84</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01" w:type="dxa"/>
            <w:tcBorders>
              <w:top w:val="single" w:sz="4" w:space="0" w:color="000000"/>
              <w:left w:val="single" w:sz="12" w:space="0" w:color="D2D2D2"/>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14,475.68</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4,464,200.00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4,478,675.68</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01" w:type="dxa"/>
            <w:tcBorders>
              <w:top w:val="single" w:sz="4" w:space="0" w:color="000000"/>
              <w:left w:val="single" w:sz="12" w:space="0" w:color="D2D2D2"/>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）处置子公司减少</w:t>
            </w:r>
          </w:p>
        </w:tc>
        <w:tc>
          <w:tcPr>
            <w:tcW w:w="1101" w:type="dxa"/>
            <w:tcBorders>
              <w:top w:val="single" w:sz="4" w:space="0" w:color="000000"/>
              <w:left w:val="single" w:sz="12" w:space="0" w:color="D2D2D2"/>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14,475.68</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4,464,200.00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4,478,675.68</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2,847,076.72</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400,000.00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26,426,647.73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72,972,131.33</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16,226,626.93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118,872,482.71</w:t>
            </w:r>
          </w:p>
        </w:tc>
      </w:tr>
      <w:tr>
        <w:trPr>
          <w:trHeight w:val="404"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01" w:type="dxa"/>
            <w:tcBorders>
              <w:top w:val="single" w:sz="4" w:space="0" w:color="000000"/>
              <w:left w:val="single" w:sz="12" w:space="0" w:color="D2D2D2"/>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01" w:type="dxa"/>
            <w:tcBorders>
              <w:top w:val="single" w:sz="4" w:space="0" w:color="000000"/>
              <w:left w:val="single" w:sz="12" w:space="0" w:color="D2D2D2"/>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16,139,800.00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16,139,800.00</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01" w:type="dxa"/>
            <w:tcBorders>
              <w:top w:val="single" w:sz="4" w:space="0" w:color="000000"/>
              <w:left w:val="single" w:sz="12" w:space="0" w:color="D2D2D2"/>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01" w:type="dxa"/>
            <w:tcBorders>
              <w:top w:val="single" w:sz="4" w:space="0" w:color="000000"/>
              <w:left w:val="single" w:sz="12" w:space="0" w:color="D2D2D2"/>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01" w:type="dxa"/>
            <w:tcBorders>
              <w:top w:val="single" w:sz="4" w:space="0" w:color="000000"/>
              <w:left w:val="single" w:sz="12" w:space="0" w:color="D2D2D2"/>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16,139,800.00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16,139,800.00</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01" w:type="dxa"/>
            <w:tcBorders>
              <w:top w:val="single" w:sz="4" w:space="0" w:color="000000"/>
              <w:left w:val="single" w:sz="12" w:space="0" w:color="D2D2D2"/>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）处置子公司减少</w:t>
            </w:r>
          </w:p>
        </w:tc>
        <w:tc>
          <w:tcPr>
            <w:tcW w:w="1101" w:type="dxa"/>
            <w:tcBorders>
              <w:top w:val="single" w:sz="4" w:space="0" w:color="000000"/>
              <w:left w:val="single" w:sz="12" w:space="0" w:color="D2D2D2"/>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16,139,800.00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16,139,800.00</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01" w:type="dxa"/>
            <w:tcBorders>
              <w:top w:val="single" w:sz="4" w:space="0" w:color="000000"/>
              <w:left w:val="single" w:sz="12" w:space="0" w:color="D2D2D2"/>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01" w:type="dxa"/>
            <w:tcBorders>
              <w:top w:val="single" w:sz="4" w:space="0" w:color="000000"/>
              <w:left w:val="single" w:sz="12" w:space="0" w:color="D2D2D2"/>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18,460,357.18</w:t>
            </w:r>
          </w:p>
        </w:tc>
        <w:tc>
          <w:tcPr>
            <w:tcW w:w="86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26,035,356.49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64,253,803.67</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41,957.98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108,791,475.32</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18,890,859.34</w:t>
            </w:r>
          </w:p>
        </w:tc>
        <w:tc>
          <w:tcPr>
            <w:tcW w:w="86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18,834,846.27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center"/>
              <w:rPr>
                <w:rFonts w:ascii="Times New Roman" w:hAnsi="Times New Roman" w:cs="Times New Roman" w:eastAsia="Times New Roman" w:hint="default"/>
                <w:sz w:val="18"/>
                <w:szCs w:val="18"/>
              </w:rPr>
            </w:pPr>
            <w:r>
              <w:rPr>
                <w:rFonts w:ascii="Times New Roman"/>
                <w:sz w:val="18"/>
              </w:rPr>
              <w:t>58,491,264.94</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3,244,000.12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99,460,970.67</w:t>
            </w:r>
          </w:p>
        </w:tc>
      </w:tr>
    </w:tbl>
    <w:p>
      <w:pPr>
        <w:pStyle w:val="BodyText"/>
        <w:spacing w:line="240" w:lineRule="auto" w:before="49"/>
        <w:ind w:right="1115"/>
        <w:jc w:val="left"/>
      </w:pPr>
      <w:r>
        <w:rPr/>
        <w:t>本期末通过公司内部研发形成的无形资产占无形资产余额的比例</w:t>
      </w:r>
      <w:r>
        <w:rPr>
          <w:spacing w:val="-44"/>
        </w:rPr>
        <w:t> </w:t>
      </w:r>
      <w:r>
        <w:rPr>
          <w:rFonts w:ascii="Times New Roman" w:hAnsi="Times New Roman" w:cs="Times New Roman" w:eastAsia="Times New Roman" w:hint="default"/>
        </w:rPr>
        <w:t>60.28</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r>
        <w:rPr/>
        <w:t>。</w:t>
      </w:r>
    </w:p>
    <w:p>
      <w:pPr>
        <w:spacing w:line="240" w:lineRule="auto" w:before="13"/>
        <w:rPr>
          <w:rFonts w:ascii="宋体" w:hAnsi="宋体" w:cs="宋体" w:eastAsia="宋体" w:hint="default"/>
          <w:sz w:val="25"/>
          <w:szCs w:val="25"/>
        </w:rPr>
      </w:pPr>
    </w:p>
    <w:p>
      <w:pPr>
        <w:pStyle w:val="Heading3"/>
        <w:spacing w:line="240" w:lineRule="auto"/>
        <w:ind w:right="1115"/>
        <w:jc w:val="left"/>
        <w:rPr>
          <w:b w:val="0"/>
          <w:bCs w:val="0"/>
        </w:rPr>
      </w:pPr>
      <w:bookmarkStart w:name="16、开发支出" w:id="259"/>
      <w:bookmarkEnd w:id="259"/>
      <w:r>
        <w:rPr>
          <w:b w:val="0"/>
          <w:bCs w:val="0"/>
        </w:rPr>
      </w:r>
      <w:r>
        <w:rPr>
          <w:rFonts w:ascii="Times New Roman" w:hAnsi="Times New Roman" w:cs="Times New Roman" w:eastAsia="Times New Roman" w:hint="default"/>
        </w:rPr>
        <w:t>16</w:t>
      </w:r>
      <w:r>
        <w:rPr/>
        <w:t>、开发支出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2802"/>
        <w:gridCol w:w="1207"/>
        <w:gridCol w:w="1296"/>
        <w:gridCol w:w="456"/>
        <w:gridCol w:w="1440"/>
        <w:gridCol w:w="1297"/>
        <w:gridCol w:w="1188"/>
      </w:tblGrid>
      <w:tr>
        <w:trPr>
          <w:trHeight w:val="206" w:hRule="exact"/>
        </w:trPr>
        <w:tc>
          <w:tcPr>
            <w:tcW w:w="28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7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8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28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52"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1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4" w:hRule="exact"/>
        </w:trPr>
        <w:tc>
          <w:tcPr>
            <w:tcW w:w="2802" w:type="dxa"/>
            <w:vMerge/>
            <w:tcBorders>
              <w:left w:val="single" w:sz="4" w:space="0" w:color="000000"/>
              <w:bottom w:val="nil" w:sz="6" w:space="0" w:color="auto"/>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2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4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2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18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8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96" w:type="dxa"/>
            <w:vMerge/>
            <w:tcBorders>
              <w:left w:val="single" w:sz="4" w:space="0" w:color="000000"/>
              <w:bottom w:val="single" w:sz="4" w:space="0" w:color="000000"/>
              <w:right w:val="single" w:sz="4" w:space="0" w:color="000000"/>
            </w:tcBorders>
            <w:shd w:val="clear" w:color="auto" w:fill="D2D2D2"/>
          </w:tcPr>
          <w:p>
            <w:pPr/>
          </w:p>
        </w:tc>
        <w:tc>
          <w:tcPr>
            <w:tcW w:w="456" w:type="dxa"/>
            <w:vMerge/>
            <w:tcBorders>
              <w:left w:val="single" w:sz="4" w:space="0" w:color="000000"/>
              <w:bottom w:val="single" w:sz="4" w:space="0" w:color="000000"/>
              <w:right w:val="single" w:sz="4" w:space="0" w:color="000000"/>
            </w:tcBorders>
            <w:shd w:val="clear" w:color="auto" w:fill="D2D2D2"/>
          </w:tcPr>
          <w:p>
            <w:pPr/>
          </w:p>
        </w:tc>
        <w:tc>
          <w:tcPr>
            <w:tcW w:w="1440" w:type="dxa"/>
            <w:vMerge/>
            <w:tcBorders>
              <w:left w:val="single" w:sz="4" w:space="0" w:color="000000"/>
              <w:bottom w:val="single" w:sz="4" w:space="0" w:color="000000"/>
              <w:right w:val="single" w:sz="4" w:space="0" w:color="000000"/>
            </w:tcBorders>
            <w:shd w:val="clear" w:color="auto" w:fill="D2D2D2"/>
          </w:tcPr>
          <w:p>
            <w:pPr/>
          </w:p>
        </w:tc>
        <w:tc>
          <w:tcPr>
            <w:tcW w:w="1297" w:type="dxa"/>
            <w:vMerge/>
            <w:tcBorders>
              <w:left w:val="single" w:sz="4" w:space="0" w:color="000000"/>
              <w:bottom w:val="single" w:sz="4" w:space="0" w:color="000000"/>
              <w:right w:val="single" w:sz="4" w:space="0" w:color="000000"/>
            </w:tcBorders>
            <w:shd w:val="clear" w:color="auto" w:fill="D2D2D2"/>
          </w:tcPr>
          <w:p>
            <w:pPr/>
          </w:p>
        </w:tc>
        <w:tc>
          <w:tcPr>
            <w:tcW w:w="118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政府会计核算系统</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15,311,435.36</w:t>
            </w:r>
          </w:p>
        </w:tc>
        <w:tc>
          <w:tcPr>
            <w:tcW w:w="45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15,311,435.36</w:t>
            </w:r>
          </w:p>
        </w:tc>
      </w:tr>
      <w:tr>
        <w:trPr>
          <w:trHeight w:val="401" w:hRule="exact"/>
        </w:trPr>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久其国资监管平台</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16,026,424.23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3,212,878.33</w:t>
            </w:r>
          </w:p>
        </w:tc>
        <w:tc>
          <w:tcPr>
            <w:tcW w:w="45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19,239,302.56</w:t>
            </w:r>
          </w:p>
        </w:tc>
        <w:tc>
          <w:tcPr>
            <w:tcW w:w="129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久其数字营销平台</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4.0</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5,762,955.93</w:t>
            </w:r>
          </w:p>
        </w:tc>
        <w:tc>
          <w:tcPr>
            <w:tcW w:w="45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3,653,891.97</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2,109,063.96</w:t>
            </w: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下一代集团管控平台</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114,750,122.50</w:t>
            </w:r>
          </w:p>
        </w:tc>
        <w:tc>
          <w:tcPr>
            <w:tcW w:w="45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114,750,122.50</w:t>
            </w: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政企大数据平台</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64,667,706.35</w:t>
            </w:r>
          </w:p>
        </w:tc>
        <w:tc>
          <w:tcPr>
            <w:tcW w:w="45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64,667,706.35</w:t>
            </w: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法庭云平台</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41,062,489.70</w:t>
            </w:r>
          </w:p>
        </w:tc>
        <w:tc>
          <w:tcPr>
            <w:tcW w:w="45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41,062,489.70</w:t>
            </w: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久其金建大数据平台</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13,489,313.77</w:t>
            </w:r>
          </w:p>
        </w:tc>
        <w:tc>
          <w:tcPr>
            <w:tcW w:w="45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13,489,313.77</w:t>
            </w: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面向大数据的电子政务应用平台</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13,393,181.74</w:t>
            </w:r>
          </w:p>
        </w:tc>
        <w:tc>
          <w:tcPr>
            <w:tcW w:w="45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13,393,181.74</w:t>
            </w:r>
          </w:p>
        </w:tc>
        <w:tc>
          <w:tcPr>
            <w:tcW w:w="11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31" w:type="dxa"/>
        <w:tblLayout w:type="fixed"/>
        <w:tblCellMar>
          <w:top w:w="0" w:type="dxa"/>
          <w:left w:w="0" w:type="dxa"/>
          <w:bottom w:w="0" w:type="dxa"/>
          <w:right w:w="0" w:type="dxa"/>
        </w:tblCellMar>
        <w:tblLook w:val="01E0"/>
      </w:tblPr>
      <w:tblGrid>
        <w:gridCol w:w="2802"/>
        <w:gridCol w:w="1207"/>
        <w:gridCol w:w="1296"/>
        <w:gridCol w:w="456"/>
        <w:gridCol w:w="1440"/>
        <w:gridCol w:w="1297"/>
        <w:gridCol w:w="1188"/>
      </w:tblGrid>
      <w:tr>
        <w:trPr>
          <w:trHeight w:val="206" w:hRule="exact"/>
        </w:trPr>
        <w:tc>
          <w:tcPr>
            <w:tcW w:w="28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7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8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28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52"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1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802" w:type="dxa"/>
            <w:vMerge/>
            <w:tcBorders>
              <w:left w:val="single" w:sz="4" w:space="0" w:color="000000"/>
              <w:bottom w:val="nil" w:sz="6" w:space="0" w:color="auto"/>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2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4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86"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2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18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8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96" w:type="dxa"/>
            <w:vMerge/>
            <w:tcBorders>
              <w:left w:val="single" w:sz="4" w:space="0" w:color="000000"/>
              <w:bottom w:val="single" w:sz="4" w:space="0" w:color="000000"/>
              <w:right w:val="single" w:sz="4" w:space="0" w:color="000000"/>
            </w:tcBorders>
            <w:shd w:val="clear" w:color="auto" w:fill="D2D2D2"/>
          </w:tcPr>
          <w:p>
            <w:pPr/>
          </w:p>
        </w:tc>
        <w:tc>
          <w:tcPr>
            <w:tcW w:w="456" w:type="dxa"/>
            <w:vMerge/>
            <w:tcBorders>
              <w:left w:val="single" w:sz="4" w:space="0" w:color="000000"/>
              <w:bottom w:val="single" w:sz="4" w:space="0" w:color="000000"/>
              <w:right w:val="single" w:sz="4" w:space="0" w:color="000000"/>
            </w:tcBorders>
            <w:shd w:val="clear" w:color="auto" w:fill="D2D2D2"/>
          </w:tcPr>
          <w:p>
            <w:pPr/>
          </w:p>
        </w:tc>
        <w:tc>
          <w:tcPr>
            <w:tcW w:w="1440" w:type="dxa"/>
            <w:vMerge/>
            <w:tcBorders>
              <w:left w:val="single" w:sz="4" w:space="0" w:color="000000"/>
              <w:bottom w:val="single" w:sz="4" w:space="0" w:color="000000"/>
              <w:right w:val="single" w:sz="4" w:space="0" w:color="000000"/>
            </w:tcBorders>
            <w:shd w:val="clear" w:color="auto" w:fill="D2D2D2"/>
          </w:tcPr>
          <w:p>
            <w:pPr/>
          </w:p>
        </w:tc>
        <w:tc>
          <w:tcPr>
            <w:tcW w:w="1297" w:type="dxa"/>
            <w:vMerge/>
            <w:tcBorders>
              <w:left w:val="single" w:sz="4" w:space="0" w:color="000000"/>
              <w:bottom w:val="single" w:sz="4" w:space="0" w:color="000000"/>
              <w:right w:val="single" w:sz="4" w:space="0" w:color="000000"/>
            </w:tcBorders>
            <w:shd w:val="clear" w:color="auto" w:fill="D2D2D2"/>
          </w:tcPr>
          <w:p>
            <w:pPr/>
          </w:p>
        </w:tc>
        <w:tc>
          <w:tcPr>
            <w:tcW w:w="118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大数据营销平台</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13,233,117.02</w:t>
            </w:r>
          </w:p>
        </w:tc>
        <w:tc>
          <w:tcPr>
            <w:tcW w:w="45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13,233,117.02</w:t>
            </w: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久其金建企业集团管控系统</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12,259,681.69</w:t>
            </w:r>
          </w:p>
        </w:tc>
        <w:tc>
          <w:tcPr>
            <w:tcW w:w="45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12,259,681.69</w:t>
            </w: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随意通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CRM </w:t>
            </w:r>
            <w:r>
              <w:rPr>
                <w:rFonts w:ascii="宋体" w:hAnsi="宋体" w:cs="宋体" w:eastAsia="宋体" w:hint="default"/>
                <w:sz w:val="18"/>
                <w:szCs w:val="18"/>
              </w:rPr>
              <w:t>移动互动平台</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7,906,688.51</w:t>
            </w:r>
          </w:p>
        </w:tc>
        <w:tc>
          <w:tcPr>
            <w:tcW w:w="45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7,906,688.51</w:t>
            </w: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久其金建财务共享云平台</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7,461,502.80</w:t>
            </w:r>
          </w:p>
        </w:tc>
        <w:tc>
          <w:tcPr>
            <w:tcW w:w="45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7,461,502.80</w:t>
            </w: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久其金建数字工程项目</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7,380,392.98</w:t>
            </w:r>
          </w:p>
        </w:tc>
        <w:tc>
          <w:tcPr>
            <w:tcW w:w="45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7,380,392.98</w:t>
            </w: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互联网应用开发平台</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6,361,092.16</w:t>
            </w:r>
          </w:p>
        </w:tc>
        <w:tc>
          <w:tcPr>
            <w:tcW w:w="45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6,361,092.16</w:t>
            </w: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新一代资产管理平台</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4,650,136.13</w:t>
            </w:r>
          </w:p>
        </w:tc>
        <w:tc>
          <w:tcPr>
            <w:tcW w:w="45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4,650,136.13</w:t>
            </w: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点入研发平台</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4,530,294.55</w:t>
            </w:r>
          </w:p>
        </w:tc>
        <w:tc>
          <w:tcPr>
            <w:tcW w:w="45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4,530,294.55</w:t>
            </w: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编解码系统</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3,981,772.83</w:t>
            </w:r>
          </w:p>
        </w:tc>
        <w:tc>
          <w:tcPr>
            <w:tcW w:w="45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3,981,772.83</w:t>
            </w: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SaaS</w:t>
            </w:r>
            <w:r>
              <w:rPr>
                <w:rFonts w:ascii="Times New Roman"/>
                <w:spacing w:val="-3"/>
                <w:sz w:val="18"/>
              </w:rPr>
              <w:t> </w:t>
            </w:r>
            <w:r>
              <w:rPr>
                <w:rFonts w:ascii="Times New Roman"/>
                <w:sz w:val="18"/>
              </w:rPr>
              <w:t>OA</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2,473,721.68</w:t>
            </w:r>
          </w:p>
        </w:tc>
        <w:tc>
          <w:tcPr>
            <w:tcW w:w="45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2,473,721.68</w:t>
            </w: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海南久其大数据处理与分析平台</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2,140,398.47</w:t>
            </w:r>
          </w:p>
        </w:tc>
        <w:tc>
          <w:tcPr>
            <w:tcW w:w="45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2,140,398.47</w:t>
            </w: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媒体营销与个性化推荐平台</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964,084.47</w:t>
            </w:r>
          </w:p>
        </w:tc>
        <w:tc>
          <w:tcPr>
            <w:tcW w:w="45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964,084.47</w:t>
            </w: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蜂语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PaaS </w:t>
            </w:r>
            <w:r>
              <w:rPr>
                <w:rFonts w:ascii="宋体" w:hAnsi="宋体" w:cs="宋体" w:eastAsia="宋体" w:hint="default"/>
                <w:sz w:val="18"/>
                <w:szCs w:val="18"/>
              </w:rPr>
              <w:t>平台</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800,348.64</w:t>
            </w:r>
          </w:p>
        </w:tc>
        <w:tc>
          <w:tcPr>
            <w:tcW w:w="45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800,348.64</w:t>
            </w: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129" w:right="0"/>
              <w:jc w:val="left"/>
              <w:rPr>
                <w:rFonts w:ascii="Times New Roman" w:hAnsi="Times New Roman" w:cs="Times New Roman" w:eastAsia="Times New Roman" w:hint="default"/>
                <w:sz w:val="18"/>
                <w:szCs w:val="18"/>
              </w:rPr>
            </w:pPr>
            <w:r>
              <w:rPr>
                <w:rFonts w:ascii="Times New Roman"/>
                <w:sz w:val="18"/>
              </w:rPr>
              <w:t>16,026,424.23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345,793,315.61</w:t>
            </w:r>
          </w:p>
        </w:tc>
        <w:tc>
          <w:tcPr>
            <w:tcW w:w="45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6" w:right="0"/>
              <w:jc w:val="left"/>
              <w:rPr>
                <w:rFonts w:ascii="Times New Roman" w:hAnsi="Times New Roman" w:cs="Times New Roman" w:eastAsia="Times New Roman" w:hint="default"/>
                <w:sz w:val="18"/>
                <w:szCs w:val="18"/>
              </w:rPr>
            </w:pPr>
            <w:r>
              <w:rPr>
                <w:rFonts w:ascii="Times New Roman"/>
                <w:sz w:val="18"/>
              </w:rPr>
              <w:t>22,893,194.53</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323,615,109.95</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4" w:right="0"/>
              <w:jc w:val="left"/>
              <w:rPr>
                <w:rFonts w:ascii="Times New Roman" w:hAnsi="Times New Roman" w:cs="Times New Roman" w:eastAsia="Times New Roman" w:hint="default"/>
                <w:sz w:val="18"/>
                <w:szCs w:val="18"/>
              </w:rPr>
            </w:pPr>
            <w:r>
              <w:rPr>
                <w:rFonts w:ascii="Times New Roman"/>
                <w:sz w:val="18"/>
              </w:rPr>
              <w:t>15,311,435.36</w:t>
            </w:r>
          </w:p>
        </w:tc>
      </w:tr>
    </w:tbl>
    <w:p>
      <w:pPr>
        <w:pStyle w:val="BodyText"/>
        <w:spacing w:line="240" w:lineRule="auto" w:before="49"/>
        <w:ind w:right="1115"/>
        <w:jc w:val="left"/>
      </w:pPr>
      <w:r>
        <w:rPr/>
        <w:t>其他说明：</w:t>
      </w:r>
    </w:p>
    <w:p>
      <w:pPr>
        <w:pStyle w:val="BodyText"/>
        <w:spacing w:line="300" w:lineRule="auto" w:before="115"/>
        <w:ind w:right="1037"/>
        <w:jc w:val="left"/>
      </w:pPr>
      <w:r>
        <w:rPr/>
        <w:t>公司</w:t>
      </w:r>
      <w:r>
        <w:rPr>
          <w:rFonts w:ascii="Times New Roman" w:hAnsi="Times New Roman" w:cs="Times New Roman" w:eastAsia="Times New Roman" w:hint="default"/>
        </w:rPr>
        <w:t>2019</w:t>
      </w:r>
      <w:r>
        <w:rPr/>
        <w:t>年度共发生研究开发支出</w:t>
      </w:r>
      <w:r>
        <w:rPr>
          <w:rFonts w:ascii="Times New Roman" w:hAnsi="Times New Roman" w:cs="Times New Roman" w:eastAsia="Times New Roman" w:hint="default"/>
        </w:rPr>
        <w:t>345,793,315.61</w:t>
      </w:r>
      <w:r>
        <w:rPr/>
        <w:t>元，其中资本化支出</w:t>
      </w:r>
      <w:r>
        <w:rPr>
          <w:rFonts w:ascii="Times New Roman" w:hAnsi="Times New Roman" w:cs="Times New Roman" w:eastAsia="Times New Roman" w:hint="default"/>
        </w:rPr>
        <w:t>22,178,205.66 </w:t>
      </w:r>
      <w:r>
        <w:rPr>
          <w:spacing w:val="-4"/>
        </w:rPr>
        <w:t>元，其中</w:t>
      </w:r>
      <w:r>
        <w:rPr>
          <w:rFonts w:ascii="Times New Roman" w:hAnsi="Times New Roman" w:cs="Times New Roman" w:eastAsia="Times New Roman" w:hint="default"/>
          <w:spacing w:val="-4"/>
        </w:rPr>
        <w:t>6,866,770.3</w:t>
      </w:r>
      <w:r>
        <w:rPr>
          <w:rFonts w:ascii="Times New Roman" w:hAnsi="Times New Roman" w:cs="Times New Roman" w:eastAsia="Times New Roman" w:hint="default"/>
          <w:spacing w:val="12"/>
        </w:rPr>
        <w:t> </w:t>
      </w:r>
      <w:r>
        <w:rPr/>
        <w:t>元结转至无形资产， </w:t>
      </w:r>
      <w:r>
        <w:rPr>
          <w:rFonts w:ascii="Times New Roman" w:hAnsi="Times New Roman" w:cs="Times New Roman" w:eastAsia="Times New Roman" w:hint="default"/>
          <w:spacing w:val="-2"/>
        </w:rPr>
        <w:t>15,311,435.36</w:t>
      </w:r>
      <w:r>
        <w:rPr>
          <w:spacing w:val="-2"/>
        </w:rPr>
        <w:t>元形成开发支出期末余额，费用化支出</w:t>
      </w:r>
      <w:r>
        <w:rPr>
          <w:rFonts w:ascii="Times New Roman" w:hAnsi="Times New Roman" w:cs="Times New Roman" w:eastAsia="Times New Roman" w:hint="default"/>
          <w:spacing w:val="-2"/>
        </w:rPr>
        <w:t>323,615,109.95</w:t>
      </w:r>
      <w:r>
        <w:rPr>
          <w:spacing w:val="-2"/>
        </w:rPr>
        <w:t>元计入研发费用。本期资本化支出占本期研究开发项目支</w:t>
      </w:r>
      <w:r>
        <w:rPr>
          <w:spacing w:val="-48"/>
        </w:rPr>
        <w:t> </w:t>
      </w:r>
      <w:r>
        <w:rPr>
          <w:spacing w:val="-48"/>
        </w:rPr>
      </w:r>
      <w:r>
        <w:rPr/>
        <w:t>出总额的比例为</w:t>
      </w:r>
      <w:r>
        <w:rPr>
          <w:rFonts w:ascii="Times New Roman" w:hAnsi="Times New Roman" w:cs="Times New Roman" w:eastAsia="Times New Roman" w:hint="default"/>
        </w:rPr>
        <w:t>6.41%</w:t>
      </w:r>
      <w:r>
        <w:rPr/>
        <w:t>。</w:t>
      </w:r>
    </w:p>
    <w:p>
      <w:pPr>
        <w:spacing w:line="240" w:lineRule="auto" w:before="4"/>
        <w:rPr>
          <w:rFonts w:ascii="宋体" w:hAnsi="宋体" w:cs="宋体" w:eastAsia="宋体" w:hint="default"/>
          <w:sz w:val="22"/>
          <w:szCs w:val="22"/>
        </w:rPr>
      </w:pPr>
    </w:p>
    <w:p>
      <w:pPr>
        <w:pStyle w:val="Heading3"/>
        <w:spacing w:line="240" w:lineRule="auto"/>
        <w:ind w:right="1115"/>
        <w:jc w:val="left"/>
        <w:rPr>
          <w:b w:val="0"/>
          <w:bCs w:val="0"/>
        </w:rPr>
      </w:pPr>
      <w:bookmarkStart w:name="17、商誉" w:id="260"/>
      <w:bookmarkEnd w:id="260"/>
      <w:r>
        <w:rPr>
          <w:b w:val="0"/>
          <w:bCs w:val="0"/>
        </w:rPr>
      </w:r>
      <w:r>
        <w:rPr>
          <w:rFonts w:ascii="Times New Roman" w:hAnsi="Times New Roman" w:cs="Times New Roman" w:eastAsia="Times New Roman" w:hint="default"/>
        </w:rPr>
        <w:t>17</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5"/>
        <w:jc w:val="left"/>
        <w:rPr>
          <w:b w:val="0"/>
          <w:bCs w:val="0"/>
        </w:rPr>
      </w:pPr>
      <w:bookmarkStart w:name="（1）商誉账面原值" w:id="261"/>
      <w:bookmarkEnd w:id="261"/>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3369"/>
        <w:gridCol w:w="1628"/>
        <w:gridCol w:w="1618"/>
        <w:gridCol w:w="1453"/>
        <w:gridCol w:w="1618"/>
      </w:tblGrid>
      <w:tr>
        <w:trPr>
          <w:trHeight w:val="206" w:hRule="exact"/>
        </w:trPr>
        <w:tc>
          <w:tcPr>
            <w:tcW w:w="3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4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3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9"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6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5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18" w:type="dxa"/>
            <w:vMerge/>
            <w:tcBorders>
              <w:left w:val="single" w:sz="4" w:space="0" w:color="000000"/>
              <w:bottom w:val="single" w:sz="4" w:space="0" w:color="000000"/>
              <w:right w:val="single" w:sz="4" w:space="0" w:color="000000"/>
            </w:tcBorders>
            <w:shd w:val="clear" w:color="auto" w:fill="D2D2D2"/>
          </w:tcPr>
          <w:p>
            <w:pPr/>
          </w:p>
        </w:tc>
        <w:tc>
          <w:tcPr>
            <w:tcW w:w="1453" w:type="dxa"/>
            <w:vMerge/>
            <w:tcBorders>
              <w:left w:val="single" w:sz="4" w:space="0" w:color="000000"/>
              <w:bottom w:val="single" w:sz="4" w:space="0" w:color="000000"/>
              <w:right w:val="single" w:sz="4" w:space="0" w:color="000000"/>
            </w:tcBorders>
            <w:shd w:val="clear" w:color="auto" w:fill="D2D2D2"/>
          </w:tcPr>
          <w:p>
            <w:pPr/>
          </w:p>
        </w:tc>
        <w:tc>
          <w:tcPr>
            <w:tcW w:w="16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4" w:hRule="exact"/>
        </w:trPr>
        <w:tc>
          <w:tcPr>
            <w:tcW w:w="3369" w:type="dxa"/>
            <w:vMerge/>
            <w:tcBorders>
              <w:left w:val="single" w:sz="4" w:space="0" w:color="000000"/>
              <w:bottom w:val="nil" w:sz="6" w:space="0" w:color="auto"/>
              <w:right w:val="single" w:sz="4" w:space="0" w:color="000000"/>
            </w:tcBorders>
            <w:shd w:val="clear" w:color="auto" w:fill="D2D2D2"/>
          </w:tcPr>
          <w:p>
            <w:pPr/>
          </w:p>
        </w:tc>
        <w:tc>
          <w:tcPr>
            <w:tcW w:w="1628" w:type="dxa"/>
            <w:vMerge/>
            <w:tcBorders>
              <w:left w:val="single" w:sz="4" w:space="0" w:color="000000"/>
              <w:bottom w:val="nil" w:sz="6" w:space="0" w:color="auto"/>
              <w:right w:val="single" w:sz="4" w:space="0" w:color="000000"/>
            </w:tcBorders>
            <w:shd w:val="clear" w:color="auto" w:fill="D2D2D2"/>
          </w:tcPr>
          <w:p>
            <w:pPr/>
          </w:p>
        </w:tc>
        <w:tc>
          <w:tcPr>
            <w:tcW w:w="16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4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61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3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8" w:type="dxa"/>
            <w:vMerge/>
            <w:tcBorders>
              <w:left w:val="single" w:sz="4" w:space="0" w:color="000000"/>
              <w:bottom w:val="single" w:sz="4" w:space="0" w:color="000000"/>
              <w:right w:val="single" w:sz="4" w:space="0" w:color="000000"/>
            </w:tcBorders>
            <w:shd w:val="clear" w:color="auto" w:fill="D2D2D2"/>
          </w:tcPr>
          <w:p>
            <w:pPr/>
          </w:p>
        </w:tc>
        <w:tc>
          <w:tcPr>
            <w:tcW w:w="1453" w:type="dxa"/>
            <w:vMerge/>
            <w:tcBorders>
              <w:left w:val="single" w:sz="4" w:space="0" w:color="000000"/>
              <w:bottom w:val="single" w:sz="4" w:space="0" w:color="000000"/>
              <w:right w:val="single" w:sz="4" w:space="0" w:color="000000"/>
            </w:tcBorders>
            <w:shd w:val="clear" w:color="auto" w:fill="D2D2D2"/>
          </w:tcPr>
          <w:p>
            <w:pPr/>
          </w:p>
        </w:tc>
        <w:tc>
          <w:tcPr>
            <w:tcW w:w="161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亿起联科技</w:t>
            </w:r>
          </w:p>
        </w:tc>
        <w:tc>
          <w:tcPr>
            <w:tcW w:w="162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446,246,013.63</w:t>
            </w:r>
          </w:p>
        </w:tc>
        <w:tc>
          <w:tcPr>
            <w:tcW w:w="1618"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446,246,013.63</w:t>
            </w:r>
          </w:p>
        </w:tc>
      </w:tr>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华夏电通</w:t>
            </w:r>
          </w:p>
        </w:tc>
        <w:tc>
          <w:tcPr>
            <w:tcW w:w="162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407,462,912.20</w:t>
            </w:r>
          </w:p>
        </w:tc>
        <w:tc>
          <w:tcPr>
            <w:tcW w:w="1618"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407,462,912.20</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瑞意恒动</w:t>
            </w:r>
          </w:p>
        </w:tc>
        <w:tc>
          <w:tcPr>
            <w:tcW w:w="162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177,261,216.67</w:t>
            </w:r>
          </w:p>
        </w:tc>
        <w:tc>
          <w:tcPr>
            <w:tcW w:w="1618"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177,261,216.67</w:t>
            </w:r>
          </w:p>
        </w:tc>
      </w:tr>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久其智通</w:t>
            </w:r>
          </w:p>
        </w:tc>
        <w:tc>
          <w:tcPr>
            <w:tcW w:w="162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2,401,000.00</w:t>
            </w:r>
          </w:p>
        </w:tc>
        <w:tc>
          <w:tcPr>
            <w:tcW w:w="1618"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2,401,000.00</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上海移通</w:t>
            </w:r>
          </w:p>
        </w:tc>
        <w:tc>
          <w:tcPr>
            <w:tcW w:w="162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647,660,396.82</w:t>
            </w:r>
          </w:p>
        </w:tc>
        <w:tc>
          <w:tcPr>
            <w:tcW w:w="1618"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647,660,396.82</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1,681,031,539.32</w:t>
            </w:r>
          </w:p>
        </w:tc>
        <w:tc>
          <w:tcPr>
            <w:tcW w:w="1618"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647,660,396.82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1,033,371,142.50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15"/>
        <w:jc w:val="left"/>
        <w:rPr>
          <w:b w:val="0"/>
          <w:bCs w:val="0"/>
        </w:rPr>
      </w:pPr>
      <w:bookmarkStart w:name="（2）商誉减值准备" w:id="262"/>
      <w:bookmarkEnd w:id="262"/>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3528"/>
        <w:gridCol w:w="1706"/>
        <w:gridCol w:w="1406"/>
        <w:gridCol w:w="1522"/>
        <w:gridCol w:w="1524"/>
      </w:tblGrid>
      <w:tr>
        <w:trPr>
          <w:trHeight w:val="206" w:hRule="exact"/>
        </w:trPr>
        <w:tc>
          <w:tcPr>
            <w:tcW w:w="35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35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7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06" w:type="dxa"/>
            <w:vMerge/>
            <w:tcBorders>
              <w:left w:val="single" w:sz="4" w:space="0" w:color="000000"/>
              <w:bottom w:val="single" w:sz="4" w:space="0" w:color="000000"/>
              <w:right w:val="single" w:sz="4" w:space="0" w:color="000000"/>
            </w:tcBorders>
            <w:shd w:val="clear" w:color="auto" w:fill="D2D2D2"/>
          </w:tcPr>
          <w:p>
            <w:pPr/>
          </w:p>
        </w:tc>
        <w:tc>
          <w:tcPr>
            <w:tcW w:w="1522" w:type="dxa"/>
            <w:vMerge/>
            <w:tcBorders>
              <w:left w:val="single" w:sz="4" w:space="0" w:color="000000"/>
              <w:bottom w:val="single" w:sz="4" w:space="0" w:color="000000"/>
              <w:right w:val="single" w:sz="4" w:space="0" w:color="000000"/>
            </w:tcBorders>
            <w:shd w:val="clear" w:color="auto" w:fill="D2D2D2"/>
          </w:tcPr>
          <w:p>
            <w:pPr/>
          </w:p>
        </w:tc>
        <w:tc>
          <w:tcPr>
            <w:tcW w:w="1524" w:type="dxa"/>
            <w:vMerge/>
            <w:tcBorders>
              <w:left w:val="single" w:sz="4" w:space="0" w:color="000000"/>
              <w:right w:val="single" w:sz="4" w:space="0" w:color="000000"/>
            </w:tcBorders>
            <w:shd w:val="clear" w:color="auto" w:fill="D2D2D2"/>
          </w:tcPr>
          <w:p>
            <w:pPr/>
          </w:p>
        </w:tc>
      </w:tr>
      <w:tr>
        <w:trPr>
          <w:trHeight w:val="194" w:hRule="exact"/>
        </w:trPr>
        <w:tc>
          <w:tcPr>
            <w:tcW w:w="3528" w:type="dxa"/>
            <w:vMerge/>
            <w:tcBorders>
              <w:left w:val="single" w:sz="4" w:space="0" w:color="000000"/>
              <w:bottom w:val="nil" w:sz="6" w:space="0" w:color="auto"/>
              <w:right w:val="single" w:sz="4" w:space="0" w:color="000000"/>
            </w:tcBorders>
            <w:shd w:val="clear" w:color="auto" w:fill="D2D2D2"/>
          </w:tcPr>
          <w:p>
            <w:pPr/>
          </w:p>
        </w:tc>
        <w:tc>
          <w:tcPr>
            <w:tcW w:w="1706" w:type="dxa"/>
            <w:vMerge/>
            <w:tcBorders>
              <w:left w:val="single" w:sz="4" w:space="0" w:color="000000"/>
              <w:bottom w:val="nil" w:sz="6" w:space="0" w:color="auto"/>
              <w:right w:val="single" w:sz="4" w:space="0" w:color="000000"/>
            </w:tcBorders>
            <w:shd w:val="clear" w:color="auto" w:fill="D2D2D2"/>
          </w:tcPr>
          <w:p>
            <w:pPr/>
          </w:p>
        </w:tc>
        <w:tc>
          <w:tcPr>
            <w:tcW w:w="14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5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524" w:type="dxa"/>
            <w:vMerge/>
            <w:tcBorders>
              <w:left w:val="single" w:sz="4" w:space="0" w:color="000000"/>
              <w:right w:val="single" w:sz="4" w:space="0" w:color="000000"/>
            </w:tcBorders>
            <w:shd w:val="clear" w:color="auto" w:fill="D2D2D2"/>
          </w:tcPr>
          <w:p>
            <w:pPr/>
          </w:p>
        </w:tc>
      </w:tr>
      <w:tr>
        <w:trPr>
          <w:trHeight w:val="206" w:hRule="exact"/>
        </w:trPr>
        <w:tc>
          <w:tcPr>
            <w:tcW w:w="35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06" w:type="dxa"/>
            <w:vMerge/>
            <w:tcBorders>
              <w:left w:val="single" w:sz="4" w:space="0" w:color="000000"/>
              <w:bottom w:val="single" w:sz="4" w:space="0" w:color="000000"/>
              <w:right w:val="single" w:sz="4" w:space="0" w:color="000000"/>
            </w:tcBorders>
            <w:shd w:val="clear" w:color="auto" w:fill="D2D2D2"/>
          </w:tcPr>
          <w:p>
            <w:pPr/>
          </w:p>
        </w:tc>
        <w:tc>
          <w:tcPr>
            <w:tcW w:w="1522" w:type="dxa"/>
            <w:vMerge/>
            <w:tcBorders>
              <w:left w:val="single" w:sz="4" w:space="0" w:color="000000"/>
              <w:bottom w:val="single" w:sz="4" w:space="0" w:color="000000"/>
              <w:right w:val="single" w:sz="4" w:space="0" w:color="000000"/>
            </w:tcBorders>
            <w:shd w:val="clear" w:color="auto" w:fill="D2D2D2"/>
          </w:tcPr>
          <w:p>
            <w:pPr/>
          </w:p>
        </w:tc>
        <w:tc>
          <w:tcPr>
            <w:tcW w:w="152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亿起联科技</w:t>
            </w:r>
          </w:p>
        </w:tc>
        <w:tc>
          <w:tcPr>
            <w:tcW w:w="17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409,368,717.33</w:t>
            </w:r>
          </w:p>
        </w:tc>
        <w:tc>
          <w:tcPr>
            <w:tcW w:w="1406"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409,368,717.33</w:t>
            </w:r>
          </w:p>
        </w:tc>
      </w:tr>
      <w:tr>
        <w:trPr>
          <w:trHeight w:val="401" w:hRule="exact"/>
        </w:trPr>
        <w:tc>
          <w:tcPr>
            <w:tcW w:w="3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瑞意恒动</w:t>
            </w:r>
          </w:p>
        </w:tc>
        <w:tc>
          <w:tcPr>
            <w:tcW w:w="17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20,365,817.07</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26,337,220.99</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46,703,038.06</w:t>
            </w:r>
          </w:p>
        </w:tc>
      </w:tr>
      <w:tr>
        <w:trPr>
          <w:trHeight w:val="403" w:hRule="exact"/>
        </w:trPr>
        <w:tc>
          <w:tcPr>
            <w:tcW w:w="3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久其智通</w:t>
            </w:r>
          </w:p>
        </w:tc>
        <w:tc>
          <w:tcPr>
            <w:tcW w:w="17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2,401,000.00</w:t>
            </w:r>
          </w:p>
        </w:tc>
        <w:tc>
          <w:tcPr>
            <w:tcW w:w="1406"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2,401,000.00</w:t>
            </w:r>
          </w:p>
        </w:tc>
      </w:tr>
      <w:tr>
        <w:trPr>
          <w:trHeight w:val="401" w:hRule="exact"/>
        </w:trPr>
        <w:tc>
          <w:tcPr>
            <w:tcW w:w="3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上海移通</w:t>
            </w:r>
          </w:p>
        </w:tc>
        <w:tc>
          <w:tcPr>
            <w:tcW w:w="17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647,660,396.82</w:t>
            </w:r>
          </w:p>
        </w:tc>
        <w:tc>
          <w:tcPr>
            <w:tcW w:w="1406"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647,660,396.82</w:t>
            </w: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1,079,795,931.22</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26,337,220.99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647,660,396.82</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458,472,755.39</w:t>
            </w:r>
          </w:p>
        </w:tc>
      </w:tr>
    </w:tbl>
    <w:p>
      <w:pPr>
        <w:pStyle w:val="BodyText"/>
        <w:spacing w:line="240" w:lineRule="auto" w:before="49"/>
        <w:ind w:right="0"/>
        <w:jc w:val="both"/>
      </w:pPr>
      <w:r>
        <w:rPr/>
        <w:t>商誉所在资产组或资产组组合的相关信息</w:t>
      </w:r>
    </w:p>
    <w:p>
      <w:pPr>
        <w:pStyle w:val="BodyText"/>
        <w:spacing w:line="316" w:lineRule="auto" w:before="115"/>
        <w:ind w:right="1133"/>
        <w:jc w:val="both"/>
      </w:pPr>
      <w:r>
        <w:rPr>
          <w:spacing w:val="-2"/>
        </w:rPr>
        <w:t>①北京久其智通数据科技有限公司：北京久其智通数据科技有限公司于评估基准日的评估范围，是其形成商誉的资产组涉及</w:t>
      </w:r>
      <w:r>
        <w:rPr>
          <w:spacing w:val="-64"/>
        </w:rPr>
        <w:t> </w:t>
      </w:r>
      <w:r>
        <w:rPr>
          <w:spacing w:val="-64"/>
        </w:rPr>
      </w:r>
      <w:r>
        <w:rPr/>
        <w:t>的资产，该资产组与购买日及以前年度商誉减值测试时所确定的资产组一致。</w:t>
      </w:r>
    </w:p>
    <w:p>
      <w:pPr>
        <w:pStyle w:val="BodyText"/>
        <w:spacing w:line="316" w:lineRule="auto" w:before="19"/>
        <w:ind w:right="1130"/>
        <w:jc w:val="both"/>
      </w:pPr>
      <w:r>
        <w:rPr>
          <w:spacing w:val="-2"/>
        </w:rPr>
        <w:t>②北京亿起联科技有限公司：北京亿起联科技有限公司于评估基准日的评估范围，是其形成商誉的资产组涉及的资产，该资</w:t>
      </w:r>
      <w:r>
        <w:rPr>
          <w:spacing w:val="-63"/>
        </w:rPr>
        <w:t> </w:t>
      </w:r>
      <w:r>
        <w:rPr>
          <w:spacing w:val="-63"/>
        </w:rPr>
      </w:r>
      <w:r>
        <w:rPr/>
        <w:t>产组与购买日及以前年度商誉减值测试时所确定的资产组一致。</w:t>
      </w:r>
    </w:p>
    <w:p>
      <w:pPr>
        <w:pStyle w:val="BodyText"/>
        <w:spacing w:line="316" w:lineRule="auto" w:before="19"/>
        <w:ind w:right="1042"/>
        <w:jc w:val="both"/>
      </w:pPr>
      <w:r>
        <w:rPr/>
        <w:t>③北京华夏电通科技有限公司：北京华夏电通科技有限公司于评估基准日的评估范围，是其形成商誉的资产组涉及的资产，</w:t>
      </w:r>
      <w:r>
        <w:rPr>
          <w:spacing w:val="-83"/>
        </w:rPr>
        <w:t> </w:t>
      </w:r>
      <w:r>
        <w:rPr>
          <w:spacing w:val="-83"/>
        </w:rPr>
      </w:r>
      <w:r>
        <w:rPr/>
        <w:t>该资产组与购买日及以前年度商誉减值测试时所确定的资产组一致。</w:t>
      </w:r>
    </w:p>
    <w:p>
      <w:pPr>
        <w:pStyle w:val="BodyText"/>
        <w:spacing w:line="316" w:lineRule="auto" w:before="19"/>
        <w:ind w:right="1040"/>
        <w:jc w:val="both"/>
      </w:pPr>
      <w:r>
        <w:rPr/>
        <w:t>④北京瑞意恒动科技有限公司：北京瑞意恒动科技有限公司于评估基准日的评估范围，是其形成商誉的资产组涉及的资产，</w:t>
      </w:r>
      <w:r>
        <w:rPr>
          <w:spacing w:val="-81"/>
        </w:rPr>
        <w:t> </w:t>
      </w:r>
      <w:r>
        <w:rPr>
          <w:spacing w:val="-81"/>
        </w:rPr>
      </w:r>
      <w:r>
        <w:rPr/>
        <w:t>该资产组与购买日及以前年度商誉减值测试时所确定的资产组一致。</w:t>
      </w:r>
    </w:p>
    <w:p>
      <w:pPr>
        <w:spacing w:line="240" w:lineRule="auto" w:before="4"/>
        <w:rPr>
          <w:rFonts w:ascii="宋体" w:hAnsi="宋体" w:cs="宋体" w:eastAsia="宋体" w:hint="default"/>
          <w:sz w:val="25"/>
          <w:szCs w:val="25"/>
        </w:rPr>
      </w:pPr>
    </w:p>
    <w:p>
      <w:pPr>
        <w:pStyle w:val="BodyText"/>
        <w:spacing w:line="319" w:lineRule="auto"/>
        <w:ind w:right="1135"/>
        <w:jc w:val="both"/>
      </w:pPr>
      <w:r>
        <w:rPr>
          <w:spacing w:val="-2"/>
        </w:rPr>
        <w:t>说明商誉减值测试过程、关键参数（如预计未来现金流量现值时的预测期增长率、稳定期增长率、利润率、折现率、预测期</w:t>
      </w:r>
      <w:r>
        <w:rPr>
          <w:spacing w:val="-70"/>
        </w:rPr>
        <w:t> </w:t>
      </w:r>
      <w:r>
        <w:rPr>
          <w:spacing w:val="-70"/>
        </w:rPr>
      </w:r>
      <w:r>
        <w:rPr/>
        <w:t>等）及商誉减值损失的确认方法</w:t>
      </w:r>
    </w:p>
    <w:p>
      <w:pPr>
        <w:pStyle w:val="BodyText"/>
        <w:spacing w:line="300" w:lineRule="auto" w:before="17"/>
        <w:ind w:right="1132"/>
        <w:jc w:val="both"/>
      </w:pPr>
      <w:r>
        <w:rPr>
          <w:spacing w:val="-2"/>
        </w:rPr>
        <w:t>①</w:t>
      </w:r>
      <w:r>
        <w:rPr>
          <w:rFonts w:ascii="Times New Roman" w:hAnsi="Times New Roman" w:cs="Times New Roman" w:eastAsia="Times New Roman" w:hint="default"/>
          <w:spacing w:val="-2"/>
        </w:rPr>
        <w:t>2019</w:t>
      </w:r>
      <w:r>
        <w:rPr>
          <w:spacing w:val="-2"/>
        </w:rPr>
        <w:t>年末，本集团采用预计未来现金流现值的方法计算与亿起联科技相关的商誉所在资产组的可收回金额。本集团根据管</w:t>
      </w:r>
      <w:r>
        <w:rPr>
          <w:spacing w:val="-62"/>
        </w:rPr>
        <w:t> </w:t>
      </w:r>
      <w:r>
        <w:rPr>
          <w:spacing w:val="-62"/>
        </w:rPr>
      </w:r>
      <w:r>
        <w:rPr/>
        <w:t>理层批准的财务预算预计未来</w:t>
      </w:r>
      <w:r>
        <w:rPr>
          <w:rFonts w:ascii="Times New Roman" w:hAnsi="Times New Roman" w:cs="Times New Roman" w:eastAsia="Times New Roman" w:hint="default"/>
        </w:rPr>
        <w:t>5</w:t>
      </w:r>
      <w:r>
        <w:rPr/>
        <w:t>年内现金流量。管理层根据过往表现及其对市场发展的预期编制上述财务预算。计算未来现</w:t>
      </w:r>
      <w:r>
        <w:rPr>
          <w:spacing w:val="-84"/>
        </w:rPr>
        <w:t> </w:t>
      </w:r>
      <w:r>
        <w:rPr>
          <w:spacing w:val="-84"/>
        </w:rPr>
      </w:r>
      <w:r>
        <w:rPr/>
        <w:t>金流现值所采用的税前折现率为</w:t>
      </w:r>
      <w:r>
        <w:rPr>
          <w:rFonts w:ascii="Times New Roman" w:hAnsi="Times New Roman" w:cs="Times New Roman" w:eastAsia="Times New Roman" w:hint="default"/>
        </w:rPr>
        <w:t>15.40%</w:t>
      </w:r>
      <w:r>
        <w:rPr/>
        <w:t>（上期：</w:t>
      </w:r>
      <w:r>
        <w:rPr>
          <w:rFonts w:ascii="Times New Roman" w:hAnsi="Times New Roman" w:cs="Times New Roman" w:eastAsia="Times New Roman" w:hint="default"/>
        </w:rPr>
        <w:t>15.41%</w:t>
      </w:r>
      <w:r>
        <w:rPr/>
        <w:t>），已反映了相对于有关分部的风险。根据减值测试的结果，本期</w:t>
      </w:r>
      <w:r>
        <w:rPr>
          <w:spacing w:val="-32"/>
        </w:rPr>
        <w:t> </w:t>
      </w:r>
      <w:r>
        <w:rPr>
          <w:spacing w:val="-32"/>
        </w:rPr>
      </w:r>
      <w:r>
        <w:rPr/>
        <w:t>期末商誉未发生减值（上期期末商誉减值准备：</w:t>
      </w:r>
      <w:r>
        <w:rPr>
          <w:rFonts w:ascii="Times New Roman" w:hAnsi="Times New Roman" w:cs="Times New Roman" w:eastAsia="Times New Roman" w:hint="default"/>
        </w:rPr>
        <w:t>409,368,717.33</w:t>
      </w:r>
      <w:r>
        <w:rPr/>
        <w:t>元）。</w:t>
      </w:r>
    </w:p>
    <w:p>
      <w:pPr>
        <w:pStyle w:val="BodyText"/>
        <w:spacing w:line="300" w:lineRule="auto" w:before="13"/>
        <w:ind w:right="1132"/>
        <w:jc w:val="both"/>
      </w:pPr>
      <w:r>
        <w:rPr>
          <w:spacing w:val="-2"/>
        </w:rPr>
        <w:t>②</w:t>
      </w:r>
      <w:r>
        <w:rPr>
          <w:rFonts w:ascii="Times New Roman" w:hAnsi="Times New Roman" w:cs="Times New Roman" w:eastAsia="Times New Roman" w:hint="default"/>
          <w:spacing w:val="-2"/>
        </w:rPr>
        <w:t>2019</w:t>
      </w:r>
      <w:r>
        <w:rPr>
          <w:spacing w:val="-2"/>
        </w:rPr>
        <w:t>年末，本集团采用预计未来现金流现值的方法计算与华夏电通相关的商誉所在资产组的可收回金额。本集团根据管理</w:t>
      </w:r>
      <w:r>
        <w:rPr>
          <w:spacing w:val="-62"/>
        </w:rPr>
        <w:t> </w:t>
      </w:r>
      <w:r>
        <w:rPr>
          <w:spacing w:val="-62"/>
        </w:rPr>
      </w:r>
      <w:r>
        <w:rPr/>
        <w:t>层批准的财务预算预计未来</w:t>
      </w:r>
      <w:r>
        <w:rPr>
          <w:rFonts w:ascii="Times New Roman" w:hAnsi="Times New Roman" w:cs="Times New Roman" w:eastAsia="Times New Roman" w:hint="default"/>
        </w:rPr>
        <w:t>5</w:t>
      </w:r>
      <w:r>
        <w:rPr/>
        <w:t>年内现金流量。管理层根据过往表现及其对市场发展的预期编制上述财务预算。计算未来现金</w:t>
      </w:r>
      <w:r>
        <w:rPr>
          <w:spacing w:val="-84"/>
        </w:rPr>
        <w:t> </w:t>
      </w:r>
      <w:r>
        <w:rPr>
          <w:spacing w:val="-84"/>
        </w:rPr>
      </w:r>
      <w:r>
        <w:rPr/>
        <w:t>流现值所采用的税前折现率为</w:t>
      </w:r>
      <w:r>
        <w:rPr>
          <w:rFonts w:ascii="Times New Roman" w:hAnsi="Times New Roman" w:cs="Times New Roman" w:eastAsia="Times New Roman" w:hint="default"/>
        </w:rPr>
        <w:t>13.80%</w:t>
      </w:r>
      <w:r>
        <w:rPr/>
        <w:t>（上期：</w:t>
      </w:r>
      <w:r>
        <w:rPr>
          <w:rFonts w:ascii="Times New Roman" w:hAnsi="Times New Roman" w:cs="Times New Roman" w:eastAsia="Times New Roman" w:hint="default"/>
        </w:rPr>
        <w:t>13.28%</w:t>
      </w:r>
      <w:r>
        <w:rPr/>
        <w:t>），已反映了相对于有关分部的风险。根据减值测试的结果，本期期</w:t>
      </w:r>
      <w:r>
        <w:rPr>
          <w:spacing w:val="-36"/>
        </w:rPr>
        <w:t> </w:t>
      </w:r>
      <w:r>
        <w:rPr>
          <w:spacing w:val="-36"/>
        </w:rPr>
      </w:r>
      <w:r>
        <w:rPr/>
        <w:t>末商誉未发生减值（上期期末商誉未发生减值）。</w:t>
      </w:r>
    </w:p>
    <w:p>
      <w:pPr>
        <w:pStyle w:val="BodyText"/>
        <w:spacing w:line="300" w:lineRule="auto" w:before="31"/>
        <w:ind w:right="1132"/>
        <w:jc w:val="both"/>
      </w:pPr>
      <w:r>
        <w:rPr>
          <w:spacing w:val="-2"/>
        </w:rPr>
        <w:t>③</w:t>
      </w:r>
      <w:r>
        <w:rPr>
          <w:rFonts w:ascii="Times New Roman" w:hAnsi="Times New Roman" w:cs="Times New Roman" w:eastAsia="Times New Roman" w:hint="default"/>
          <w:spacing w:val="-2"/>
        </w:rPr>
        <w:t>2019</w:t>
      </w:r>
      <w:r>
        <w:rPr>
          <w:spacing w:val="-2"/>
        </w:rPr>
        <w:t>年末，本集团采用预计未来现金流现值的方法计算与瑞意恒动相关的商誉所在资产组的可收回金额。本集团根据管理</w:t>
      </w:r>
      <w:r>
        <w:rPr>
          <w:spacing w:val="-62"/>
        </w:rPr>
        <w:t> </w:t>
      </w:r>
      <w:r>
        <w:rPr>
          <w:spacing w:val="-62"/>
        </w:rPr>
      </w:r>
      <w:r>
        <w:rPr/>
        <w:t>层批准的财务预算预计未来</w:t>
      </w:r>
      <w:r>
        <w:rPr>
          <w:rFonts w:ascii="Times New Roman" w:hAnsi="Times New Roman" w:cs="Times New Roman" w:eastAsia="Times New Roman" w:hint="default"/>
        </w:rPr>
        <w:t>5</w:t>
      </w:r>
      <w:r>
        <w:rPr/>
        <w:t>年内现金流量。管理层根据过往表现及其对市场发展的预期编制上述财务预算。计算未来现金</w:t>
      </w:r>
      <w:r>
        <w:rPr>
          <w:spacing w:val="-84"/>
        </w:rPr>
        <w:t> </w:t>
      </w:r>
      <w:r>
        <w:rPr>
          <w:spacing w:val="-84"/>
        </w:rPr>
      </w:r>
      <w:r>
        <w:rPr/>
        <w:t>流现值所采用的税前折现率为</w:t>
      </w:r>
      <w:r>
        <w:rPr>
          <w:rFonts w:ascii="Times New Roman" w:hAnsi="Times New Roman" w:cs="Times New Roman" w:eastAsia="Times New Roman" w:hint="default"/>
        </w:rPr>
        <w:t>16.90%</w:t>
      </w:r>
      <w:r>
        <w:rPr/>
        <w:t>（上期：</w:t>
      </w:r>
      <w:r>
        <w:rPr>
          <w:rFonts w:ascii="Times New Roman" w:hAnsi="Times New Roman" w:cs="Times New Roman" w:eastAsia="Times New Roman" w:hint="default"/>
        </w:rPr>
        <w:t>16.66%</w:t>
      </w:r>
      <w:r>
        <w:rPr/>
        <w:t>），已反映了相对于有关分部的风险。根据减值测试的结果，本期期</w:t>
      </w:r>
      <w:r>
        <w:rPr>
          <w:spacing w:val="-36"/>
        </w:rPr>
        <w:t> </w:t>
      </w:r>
      <w:r>
        <w:rPr>
          <w:spacing w:val="-36"/>
        </w:rPr>
      </w:r>
      <w:r>
        <w:rPr/>
        <w:t>末对商誉计提减值准备</w:t>
      </w:r>
      <w:r>
        <w:rPr>
          <w:rFonts w:ascii="Times New Roman" w:hAnsi="Times New Roman" w:cs="Times New Roman" w:eastAsia="Times New Roman" w:hint="default"/>
        </w:rPr>
        <w:t>46,703,038.06</w:t>
      </w:r>
      <w:r>
        <w:rPr/>
        <w:t>元（上期期末商誉减值准备</w:t>
      </w:r>
      <w:r>
        <w:rPr>
          <w:rFonts w:ascii="Times New Roman" w:hAnsi="Times New Roman" w:cs="Times New Roman" w:eastAsia="Times New Roman" w:hint="default"/>
        </w:rPr>
        <w:t>20,365,817.07</w:t>
      </w:r>
      <w:r>
        <w:rPr/>
        <w:t>元）。</w:t>
      </w:r>
    </w:p>
    <w:p>
      <w:pPr>
        <w:pStyle w:val="BodyText"/>
        <w:spacing w:line="240" w:lineRule="auto" w:before="13"/>
        <w:ind w:right="0"/>
        <w:jc w:val="both"/>
      </w:pPr>
      <w:r>
        <w:rPr/>
        <w:t>④本公司于</w:t>
      </w:r>
      <w:r>
        <w:rPr>
          <w:rFonts w:ascii="Times New Roman" w:hAnsi="Times New Roman" w:cs="Times New Roman" w:eastAsia="Times New Roman" w:hint="default"/>
        </w:rPr>
        <w:t>2019</w:t>
      </w:r>
      <w:r>
        <w:rPr/>
        <w:t>年度处置上海移通股权，导致已计提的上海移通商誉减值准备</w:t>
      </w:r>
      <w:r>
        <w:rPr>
          <w:rFonts w:ascii="Times New Roman" w:hAnsi="Times New Roman" w:cs="Times New Roman" w:eastAsia="Times New Roman" w:hint="default"/>
        </w:rPr>
        <w:t>647,660,396.82</w:t>
      </w:r>
      <w:r>
        <w:rPr/>
        <w:t>元处置转销。</w:t>
      </w:r>
    </w:p>
    <w:p>
      <w:pPr>
        <w:spacing w:line="240" w:lineRule="auto" w:before="0"/>
        <w:rPr>
          <w:rFonts w:ascii="宋体" w:hAnsi="宋体" w:cs="宋体" w:eastAsia="宋体" w:hint="default"/>
          <w:sz w:val="18"/>
          <w:szCs w:val="18"/>
        </w:rPr>
      </w:pPr>
    </w:p>
    <w:p>
      <w:pPr>
        <w:pStyle w:val="BodyText"/>
        <w:spacing w:line="316" w:lineRule="auto" w:before="139"/>
        <w:ind w:right="8414"/>
        <w:jc w:val="left"/>
      </w:pPr>
      <w:r>
        <w:rPr/>
        <w:t>商誉减值测试的影响 北京瑞意恒动科技有限公司：</w:t>
      </w:r>
    </w:p>
    <w:tbl>
      <w:tblPr>
        <w:tblW w:w="0" w:type="auto"/>
        <w:jc w:val="left"/>
        <w:tblInd w:w="138" w:type="dxa"/>
        <w:tblLayout w:type="fixed"/>
        <w:tblCellMar>
          <w:top w:w="0" w:type="dxa"/>
          <w:left w:w="0" w:type="dxa"/>
          <w:bottom w:w="0" w:type="dxa"/>
          <w:right w:w="0" w:type="dxa"/>
        </w:tblCellMar>
        <w:tblLook w:val="01E0"/>
      </w:tblPr>
      <w:tblGrid>
        <w:gridCol w:w="3219"/>
        <w:gridCol w:w="3216"/>
        <w:gridCol w:w="3219"/>
      </w:tblGrid>
      <w:tr>
        <w:trPr>
          <w:trHeight w:val="456" w:hRule="exact"/>
        </w:trPr>
        <w:tc>
          <w:tcPr>
            <w:tcW w:w="32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3"/>
              <w:ind w:left="417" w:right="0"/>
              <w:jc w:val="center"/>
              <w:rPr>
                <w:rFonts w:ascii="宋体" w:hAnsi="宋体" w:cs="宋体" w:eastAsia="宋体" w:hint="default"/>
                <w:sz w:val="18"/>
                <w:szCs w:val="18"/>
              </w:rPr>
            </w:pPr>
            <w:r>
              <w:rPr>
                <w:rFonts w:ascii="宋体" w:hAnsi="宋体" w:cs="宋体" w:eastAsia="宋体" w:hint="default"/>
                <w:color w:val="333333"/>
                <w:sz w:val="18"/>
                <w:szCs w:val="18"/>
              </w:rPr>
              <w:t>考核期</w:t>
            </w:r>
            <w:r>
              <w:rPr>
                <w:rFonts w:ascii="宋体" w:hAnsi="宋体" w:cs="宋体" w:eastAsia="宋体" w:hint="default"/>
                <w:sz w:val="18"/>
                <w:szCs w:val="18"/>
              </w:rPr>
            </w:r>
          </w:p>
        </w:tc>
        <w:tc>
          <w:tcPr>
            <w:tcW w:w="32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3"/>
              <w:ind w:left="1449" w:right="0"/>
              <w:jc w:val="left"/>
              <w:rPr>
                <w:rFonts w:ascii="宋体" w:hAnsi="宋体" w:cs="宋体" w:eastAsia="宋体" w:hint="default"/>
                <w:sz w:val="18"/>
                <w:szCs w:val="18"/>
              </w:rPr>
            </w:pPr>
            <w:r>
              <w:rPr>
                <w:rFonts w:ascii="宋体" w:hAnsi="宋体" w:cs="宋体" w:eastAsia="宋体" w:hint="default"/>
                <w:color w:val="333333"/>
                <w:sz w:val="18"/>
                <w:szCs w:val="18"/>
              </w:rPr>
              <w:t>承诺金额</w:t>
            </w:r>
            <w:r>
              <w:rPr>
                <w:rFonts w:ascii="宋体" w:hAnsi="宋体" w:cs="宋体" w:eastAsia="宋体" w:hint="default"/>
                <w:sz w:val="18"/>
                <w:szCs w:val="18"/>
              </w:rPr>
            </w:r>
          </w:p>
        </w:tc>
        <w:tc>
          <w:tcPr>
            <w:tcW w:w="32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3"/>
              <w:ind w:left="551" w:right="0"/>
              <w:jc w:val="left"/>
              <w:rPr>
                <w:rFonts w:ascii="宋体" w:hAnsi="宋体" w:cs="宋体" w:eastAsia="宋体" w:hint="default"/>
                <w:sz w:val="18"/>
                <w:szCs w:val="18"/>
              </w:rPr>
            </w:pPr>
            <w:r>
              <w:rPr>
                <w:rFonts w:ascii="宋体" w:hAnsi="宋体" w:cs="宋体" w:eastAsia="宋体" w:hint="default"/>
                <w:color w:val="333333"/>
                <w:sz w:val="18"/>
                <w:szCs w:val="18"/>
              </w:rPr>
              <w:t>实现金额（扣除非经常性损益）</w:t>
            </w:r>
            <w:r>
              <w:rPr>
                <w:rFonts w:ascii="宋体" w:hAnsi="宋体" w:cs="宋体" w:eastAsia="宋体" w:hint="default"/>
                <w:sz w:val="18"/>
                <w:szCs w:val="18"/>
              </w:rPr>
            </w:r>
          </w:p>
        </w:tc>
      </w:tr>
      <w:tr>
        <w:trPr>
          <w:trHeight w:val="374" w:hRule="exact"/>
        </w:trPr>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419" w:right="0"/>
              <w:jc w:val="center"/>
              <w:rPr>
                <w:rFonts w:ascii="宋体" w:hAnsi="宋体" w:cs="宋体" w:eastAsia="宋体" w:hint="default"/>
                <w:sz w:val="18"/>
                <w:szCs w:val="18"/>
              </w:rPr>
            </w:pPr>
            <w:r>
              <w:rPr>
                <w:rFonts w:ascii="Times New Roman" w:hAnsi="Times New Roman" w:cs="Times New Roman" w:eastAsia="Times New Roman" w:hint="default"/>
                <w:color w:val="333333"/>
                <w:sz w:val="18"/>
                <w:szCs w:val="18"/>
              </w:rPr>
              <w:t>2016</w:t>
            </w:r>
            <w:r>
              <w:rPr>
                <w:rFonts w:ascii="Times New Roman" w:hAnsi="Times New Roman" w:cs="Times New Roman" w:eastAsia="Times New Roman" w:hint="default"/>
                <w:color w:val="333333"/>
                <w:spacing w:val="2"/>
                <w:sz w:val="18"/>
                <w:szCs w:val="18"/>
              </w:rPr>
              <w:t> </w:t>
            </w:r>
            <w:r>
              <w:rPr>
                <w:rFonts w:ascii="宋体" w:hAnsi="宋体" w:cs="宋体" w:eastAsia="宋体" w:hint="default"/>
                <w:color w:val="333333"/>
                <w:sz w:val="18"/>
                <w:szCs w:val="18"/>
              </w:rPr>
              <w:t>年度</w:t>
            </w:r>
            <w:r>
              <w:rPr>
                <w:rFonts w:ascii="宋体" w:hAnsi="宋体" w:cs="宋体" w:eastAsia="宋体" w:hint="default"/>
                <w:sz w:val="18"/>
                <w:szCs w:val="18"/>
              </w:rPr>
            </w:r>
          </w:p>
        </w:tc>
        <w:tc>
          <w:tcPr>
            <w:tcW w:w="3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right"/>
              <w:rPr>
                <w:rFonts w:ascii="Times New Roman" w:hAnsi="Times New Roman" w:cs="Times New Roman" w:eastAsia="Times New Roman" w:hint="default"/>
                <w:sz w:val="18"/>
                <w:szCs w:val="18"/>
              </w:rPr>
            </w:pPr>
            <w:r>
              <w:rPr>
                <w:rFonts w:ascii="Times New Roman"/>
                <w:color w:val="333333"/>
                <w:spacing w:val="-1"/>
                <w:sz w:val="18"/>
              </w:rPr>
              <w:t>15,000,000.00</w:t>
            </w:r>
            <w:r>
              <w:rPr>
                <w:rFonts w:ascii="Times New Roman"/>
                <w:spacing w:val="-1"/>
                <w:sz w:val="18"/>
              </w:rPr>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right"/>
              <w:rPr>
                <w:rFonts w:ascii="Times New Roman" w:hAnsi="Times New Roman" w:cs="Times New Roman" w:eastAsia="Times New Roman" w:hint="default"/>
                <w:sz w:val="18"/>
                <w:szCs w:val="18"/>
              </w:rPr>
            </w:pPr>
            <w:r>
              <w:rPr>
                <w:rFonts w:ascii="Times New Roman"/>
                <w:color w:val="333333"/>
                <w:spacing w:val="-1"/>
                <w:sz w:val="18"/>
              </w:rPr>
              <w:t>15,681,389.38</w:t>
            </w:r>
            <w:r>
              <w:rPr>
                <w:rFonts w:ascii="Times New Roman"/>
                <w:spacing w:val="-1"/>
                <w:sz w:val="18"/>
              </w:rPr>
            </w:r>
          </w:p>
        </w:tc>
      </w:tr>
      <w:tr>
        <w:trPr>
          <w:trHeight w:val="374" w:hRule="exact"/>
        </w:trPr>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419" w:right="0"/>
              <w:jc w:val="center"/>
              <w:rPr>
                <w:rFonts w:ascii="宋体" w:hAnsi="宋体" w:cs="宋体" w:eastAsia="宋体" w:hint="default"/>
                <w:sz w:val="18"/>
                <w:szCs w:val="18"/>
              </w:rPr>
            </w:pPr>
            <w:r>
              <w:rPr>
                <w:rFonts w:ascii="Times New Roman" w:hAnsi="Times New Roman" w:cs="Times New Roman" w:eastAsia="Times New Roman" w:hint="default"/>
                <w:color w:val="333333"/>
                <w:sz w:val="18"/>
                <w:szCs w:val="18"/>
              </w:rPr>
              <w:t>2017</w:t>
            </w:r>
            <w:r>
              <w:rPr>
                <w:rFonts w:ascii="Times New Roman" w:hAnsi="Times New Roman" w:cs="Times New Roman" w:eastAsia="Times New Roman" w:hint="default"/>
                <w:color w:val="333333"/>
                <w:spacing w:val="2"/>
                <w:sz w:val="18"/>
                <w:szCs w:val="18"/>
              </w:rPr>
              <w:t> </w:t>
            </w:r>
            <w:r>
              <w:rPr>
                <w:rFonts w:ascii="宋体" w:hAnsi="宋体" w:cs="宋体" w:eastAsia="宋体" w:hint="default"/>
                <w:color w:val="333333"/>
                <w:sz w:val="18"/>
                <w:szCs w:val="18"/>
              </w:rPr>
              <w:t>年度</w:t>
            </w:r>
            <w:r>
              <w:rPr>
                <w:rFonts w:ascii="宋体" w:hAnsi="宋体" w:cs="宋体" w:eastAsia="宋体" w:hint="default"/>
                <w:sz w:val="18"/>
                <w:szCs w:val="18"/>
              </w:rPr>
            </w:r>
          </w:p>
        </w:tc>
        <w:tc>
          <w:tcPr>
            <w:tcW w:w="3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right"/>
              <w:rPr>
                <w:rFonts w:ascii="Times New Roman" w:hAnsi="Times New Roman" w:cs="Times New Roman" w:eastAsia="Times New Roman" w:hint="default"/>
                <w:sz w:val="18"/>
                <w:szCs w:val="18"/>
              </w:rPr>
            </w:pPr>
            <w:r>
              <w:rPr>
                <w:rFonts w:ascii="Times New Roman"/>
                <w:color w:val="333333"/>
                <w:spacing w:val="-1"/>
                <w:sz w:val="18"/>
              </w:rPr>
              <w:t>19,500,000.00</w:t>
            </w:r>
            <w:r>
              <w:rPr>
                <w:rFonts w:ascii="Times New Roman"/>
                <w:spacing w:val="-1"/>
                <w:sz w:val="18"/>
              </w:rPr>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right"/>
              <w:rPr>
                <w:rFonts w:ascii="Times New Roman" w:hAnsi="Times New Roman" w:cs="Times New Roman" w:eastAsia="Times New Roman" w:hint="default"/>
                <w:sz w:val="18"/>
                <w:szCs w:val="18"/>
              </w:rPr>
            </w:pPr>
            <w:r>
              <w:rPr>
                <w:rFonts w:ascii="Times New Roman"/>
                <w:color w:val="333333"/>
                <w:spacing w:val="-1"/>
                <w:sz w:val="18"/>
              </w:rPr>
              <w:t>21,850,590.48</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3219"/>
        <w:gridCol w:w="3216"/>
        <w:gridCol w:w="3219"/>
      </w:tblGrid>
      <w:tr>
        <w:trPr>
          <w:trHeight w:val="375" w:hRule="exact"/>
        </w:trPr>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1006"/>
              <w:jc w:val="right"/>
              <w:rPr>
                <w:rFonts w:ascii="宋体" w:hAnsi="宋体" w:cs="宋体" w:eastAsia="宋体" w:hint="default"/>
                <w:sz w:val="18"/>
                <w:szCs w:val="18"/>
              </w:rPr>
            </w:pPr>
            <w:r>
              <w:rPr>
                <w:rFonts w:ascii="Times New Roman" w:hAnsi="Times New Roman" w:cs="Times New Roman" w:eastAsia="Times New Roman" w:hint="default"/>
                <w:color w:val="333333"/>
                <w:sz w:val="18"/>
                <w:szCs w:val="18"/>
              </w:rPr>
              <w:t>2018</w:t>
            </w:r>
            <w:r>
              <w:rPr>
                <w:rFonts w:ascii="Times New Roman" w:hAnsi="Times New Roman" w:cs="Times New Roman" w:eastAsia="Times New Roman" w:hint="default"/>
                <w:color w:val="333333"/>
                <w:spacing w:val="2"/>
                <w:sz w:val="18"/>
                <w:szCs w:val="18"/>
              </w:rPr>
              <w:t> </w:t>
            </w:r>
            <w:r>
              <w:rPr>
                <w:rFonts w:ascii="宋体" w:hAnsi="宋体" w:cs="宋体" w:eastAsia="宋体" w:hint="default"/>
                <w:color w:val="333333"/>
                <w:sz w:val="18"/>
                <w:szCs w:val="18"/>
              </w:rPr>
              <w:t>年度</w:t>
            </w:r>
            <w:r>
              <w:rPr>
                <w:rFonts w:ascii="宋体" w:hAnsi="宋体" w:cs="宋体" w:eastAsia="宋体" w:hint="default"/>
                <w:sz w:val="18"/>
                <w:szCs w:val="18"/>
              </w:rPr>
            </w:r>
          </w:p>
        </w:tc>
        <w:tc>
          <w:tcPr>
            <w:tcW w:w="3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right"/>
              <w:rPr>
                <w:rFonts w:ascii="Times New Roman" w:hAnsi="Times New Roman" w:cs="Times New Roman" w:eastAsia="Times New Roman" w:hint="default"/>
                <w:sz w:val="18"/>
                <w:szCs w:val="18"/>
              </w:rPr>
            </w:pPr>
            <w:r>
              <w:rPr>
                <w:rFonts w:ascii="Times New Roman"/>
                <w:color w:val="333333"/>
                <w:spacing w:val="-1"/>
                <w:sz w:val="18"/>
              </w:rPr>
              <w:t>25,350,000.00</w:t>
            </w:r>
            <w:r>
              <w:rPr>
                <w:rFonts w:ascii="Times New Roman"/>
                <w:spacing w:val="-1"/>
                <w:sz w:val="18"/>
              </w:rPr>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right"/>
              <w:rPr>
                <w:rFonts w:ascii="Times New Roman" w:hAnsi="Times New Roman" w:cs="Times New Roman" w:eastAsia="Times New Roman" w:hint="default"/>
                <w:sz w:val="18"/>
                <w:szCs w:val="18"/>
              </w:rPr>
            </w:pPr>
            <w:r>
              <w:rPr>
                <w:rFonts w:ascii="Times New Roman"/>
                <w:color w:val="333333"/>
                <w:spacing w:val="-1"/>
                <w:sz w:val="18"/>
              </w:rPr>
              <w:t>26,166,920.17</w:t>
            </w:r>
            <w:r>
              <w:rPr>
                <w:rFonts w:ascii="Times New Roman"/>
                <w:spacing w:val="-1"/>
                <w:sz w:val="18"/>
              </w:rPr>
            </w:r>
          </w:p>
        </w:tc>
      </w:tr>
      <w:tr>
        <w:trPr>
          <w:trHeight w:val="377" w:hRule="exact"/>
        </w:trPr>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1006"/>
              <w:jc w:val="right"/>
              <w:rPr>
                <w:rFonts w:ascii="宋体" w:hAnsi="宋体" w:cs="宋体" w:eastAsia="宋体" w:hint="default"/>
                <w:sz w:val="18"/>
                <w:szCs w:val="18"/>
              </w:rPr>
            </w:pPr>
            <w:r>
              <w:rPr>
                <w:rFonts w:ascii="Times New Roman" w:hAnsi="Times New Roman" w:cs="Times New Roman" w:eastAsia="Times New Roman" w:hint="default"/>
                <w:color w:val="333333"/>
                <w:sz w:val="18"/>
                <w:szCs w:val="18"/>
              </w:rPr>
              <w:t>2019</w:t>
            </w:r>
            <w:r>
              <w:rPr>
                <w:rFonts w:ascii="Times New Roman" w:hAnsi="Times New Roman" w:cs="Times New Roman" w:eastAsia="Times New Roman" w:hint="default"/>
                <w:color w:val="333333"/>
                <w:spacing w:val="1"/>
                <w:sz w:val="18"/>
                <w:szCs w:val="18"/>
              </w:rPr>
              <w:t> </w:t>
            </w:r>
            <w:r>
              <w:rPr>
                <w:rFonts w:ascii="宋体" w:hAnsi="宋体" w:cs="宋体" w:eastAsia="宋体" w:hint="default"/>
                <w:color w:val="333333"/>
                <w:sz w:val="18"/>
                <w:szCs w:val="18"/>
              </w:rPr>
              <w:t>年度</w:t>
            </w:r>
            <w:r>
              <w:rPr>
                <w:rFonts w:ascii="宋体" w:hAnsi="宋体" w:cs="宋体" w:eastAsia="宋体" w:hint="default"/>
                <w:sz w:val="18"/>
                <w:szCs w:val="18"/>
              </w:rPr>
            </w:r>
          </w:p>
        </w:tc>
        <w:tc>
          <w:tcPr>
            <w:tcW w:w="3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Arial" w:hAnsi="Arial" w:cs="Arial" w:eastAsia="Arial" w:hint="default"/>
                <w:sz w:val="18"/>
                <w:szCs w:val="18"/>
              </w:rPr>
            </w:pPr>
            <w:r>
              <w:rPr>
                <w:rFonts w:ascii="Arial"/>
                <w:spacing w:val="-1"/>
                <w:w w:val="80"/>
                <w:sz w:val="18"/>
              </w:rPr>
              <w:t>26,000,000.00</w:t>
            </w:r>
            <w:r>
              <w:rPr>
                <w:rFonts w:ascii="Arial"/>
                <w:spacing w:val="-1"/>
                <w:sz w:val="18"/>
              </w:rPr>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Arial" w:hAnsi="Arial" w:cs="Arial" w:eastAsia="Arial" w:hint="default"/>
                <w:sz w:val="18"/>
                <w:szCs w:val="18"/>
              </w:rPr>
            </w:pPr>
            <w:r>
              <w:rPr>
                <w:rFonts w:ascii="Arial"/>
                <w:spacing w:val="-1"/>
                <w:w w:val="80"/>
                <w:sz w:val="18"/>
              </w:rPr>
              <w:t>21,379,686.70</w:t>
            </w:r>
            <w:r>
              <w:rPr>
                <w:rFonts w:ascii="Arial"/>
                <w:spacing w:val="-1"/>
                <w:sz w:val="18"/>
              </w:rPr>
            </w:r>
          </w:p>
        </w:tc>
      </w:tr>
    </w:tbl>
    <w:p>
      <w:pPr>
        <w:pStyle w:val="BodyText"/>
        <w:spacing w:line="307" w:lineRule="auto" w:before="8"/>
        <w:ind w:right="1129"/>
        <w:jc w:val="both"/>
      </w:pPr>
      <w:r>
        <w:rPr>
          <w:spacing w:val="-2"/>
        </w:rPr>
        <w:t>北京瑞意恒动科技有限公司</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2018</w:t>
      </w:r>
      <w:r>
        <w:rPr>
          <w:spacing w:val="-2"/>
        </w:rPr>
        <w:t>年均完成了业绩承诺，</w:t>
      </w:r>
      <w:r>
        <w:rPr>
          <w:rFonts w:ascii="Times New Roman" w:hAnsi="Times New Roman" w:cs="Times New Roman" w:eastAsia="Times New Roman" w:hint="default"/>
          <w:spacing w:val="-2"/>
        </w:rPr>
        <w:t>2019</w:t>
      </w:r>
      <w:r>
        <w:rPr>
          <w:spacing w:val="-2"/>
        </w:rPr>
        <w:t>年度未完成业绩承诺。通过北京瑞意恒动科技有</w:t>
      </w:r>
      <w:r>
        <w:rPr>
          <w:spacing w:val="-53"/>
        </w:rPr>
        <w:t> </w:t>
      </w:r>
      <w:r>
        <w:rPr>
          <w:spacing w:val="-53"/>
        </w:rPr>
      </w:r>
      <w:r>
        <w:rPr/>
        <w:t>限公</w:t>
      </w:r>
      <w:r>
        <w:rPr>
          <w:spacing w:val="-17"/>
        </w:rPr>
        <w:t> </w:t>
      </w:r>
      <w:r>
        <w:rPr>
          <w:spacing w:val="-3"/>
        </w:rPr>
        <w:t>司管理层对未来可预测期间的国内外市场行情、经营情况以及与对手的竞争状况等分析，根据专家商誉减值测试结果，</w:t>
      </w:r>
      <w:r>
        <w:rPr/>
        <w:t> 包含 </w:t>
      </w:r>
      <w:r>
        <w:rPr>
          <w:spacing w:val="-2"/>
        </w:rPr>
        <w:t>整体商誉的资产组的公允价值</w:t>
      </w:r>
      <w:r>
        <w:rPr>
          <w:rFonts w:ascii="Times New Roman" w:hAnsi="Times New Roman" w:cs="Times New Roman" w:eastAsia="Times New Roman" w:hint="default"/>
          <w:spacing w:val="-2"/>
        </w:rPr>
        <w:t>274,337,220.99</w:t>
      </w:r>
      <w:r>
        <w:rPr>
          <w:spacing w:val="-2"/>
        </w:rPr>
        <w:t>元，资产组预计未来现金流量的现值</w:t>
      </w:r>
      <w:r>
        <w:rPr>
          <w:rFonts w:ascii="Times New Roman" w:hAnsi="Times New Roman" w:cs="Times New Roman" w:eastAsia="Times New Roman" w:hint="default"/>
          <w:spacing w:val="-2"/>
        </w:rPr>
        <w:t>248,000,000.00</w:t>
      </w:r>
      <w:r>
        <w:rPr>
          <w:spacing w:val="-2"/>
        </w:rPr>
        <w:t>元，经过测试，公司收</w:t>
      </w:r>
      <w:r>
        <w:rPr>
          <w:spacing w:val="-48"/>
        </w:rPr>
        <w:t> </w:t>
      </w:r>
      <w:r>
        <w:rPr>
          <w:spacing w:val="-48"/>
        </w:rPr>
      </w:r>
      <w:r>
        <w:rPr/>
        <w:t>购北京瑞意恒动科技有限公司形成的商誉本期减值</w:t>
      </w:r>
      <w:r>
        <w:rPr>
          <w:rFonts w:ascii="Times New Roman" w:hAnsi="Times New Roman" w:cs="Times New Roman" w:eastAsia="Times New Roman" w:hint="default"/>
        </w:rPr>
        <w:t>26,337,220.99</w:t>
      </w:r>
      <w:r>
        <w:rPr/>
        <w:t>元。</w:t>
      </w:r>
    </w:p>
    <w:p>
      <w:pPr>
        <w:spacing w:line="240" w:lineRule="auto" w:before="12"/>
        <w:rPr>
          <w:rFonts w:ascii="宋体" w:hAnsi="宋体" w:cs="宋体" w:eastAsia="宋体" w:hint="default"/>
          <w:sz w:val="21"/>
          <w:szCs w:val="21"/>
        </w:rPr>
      </w:pPr>
    </w:p>
    <w:p>
      <w:pPr>
        <w:pStyle w:val="Heading3"/>
        <w:spacing w:line="240" w:lineRule="auto"/>
        <w:ind w:right="0"/>
        <w:jc w:val="both"/>
        <w:rPr>
          <w:b w:val="0"/>
          <w:bCs w:val="0"/>
        </w:rPr>
      </w:pPr>
      <w:bookmarkStart w:name="18、长期待摊费用" w:id="263"/>
      <w:bookmarkEnd w:id="263"/>
      <w:r>
        <w:rPr>
          <w:b w:val="0"/>
          <w:bCs w:val="0"/>
        </w:rPr>
      </w:r>
      <w:r>
        <w:rPr>
          <w:rFonts w:ascii="Times New Roman" w:hAnsi="Times New Roman" w:cs="Times New Roman" w:eastAsia="Times New Roman" w:hint="default"/>
        </w:rPr>
        <w:t>18</w:t>
      </w:r>
      <w:r>
        <w:rPr/>
        <w:t>、长期待摊费用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3,296,171.82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346,965.48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2,949,206.34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268,177.61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268,177.61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3,564,349.43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615,143.09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2,949,206.34</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19、递延所得税资产/递延所得税负债" w:id="264"/>
      <w:bookmarkEnd w:id="264"/>
      <w:r>
        <w:rPr>
          <w:b w:val="0"/>
          <w:bCs w:val="0"/>
        </w:rPr>
      </w:r>
      <w:r>
        <w:rPr>
          <w:rFonts w:ascii="Times New Roman" w:hAnsi="Times New Roman" w:cs="Times New Roman" w:eastAsia="Times New Roman" w:hint="default"/>
        </w:rPr>
        <w:t>19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5"/>
        <w:jc w:val="left"/>
        <w:rPr>
          <w:b w:val="0"/>
          <w:bCs w:val="0"/>
        </w:rPr>
      </w:pPr>
      <w:bookmarkStart w:name="（1）未经抵销的递延所得税资产" w:id="265"/>
      <w:bookmarkEnd w:id="265"/>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7"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22,888,859.08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2,729,247.89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42,603,092.48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8,330,090.11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10,741,578.20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1,167,332.79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8,264,477.65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826,447.76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74,397,659.26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9,302,669.41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5,621,040.10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562,104.01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9,548,582.02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954,858.20</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其他非流动金融资产的 公允价值变动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346,003.22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34,600.32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445,098.78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44,509.88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113,995,139.86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13,795,954.42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60,861,250.93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10,155,905.95</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2）未确认递延所得税资产明细" w:id="266"/>
      <w:bookmarkEnd w:id="266"/>
      <w:r>
        <w:rPr>
          <w:b w:val="0"/>
          <w:bCs w:val="0"/>
        </w:rPr>
      </w:r>
      <w:r>
        <w:rPr/>
        <w:t>（</w:t>
      </w:r>
      <w:r>
        <w:rPr>
          <w:rFonts w:ascii="Times New Roman" w:hAnsi="Times New Roman" w:cs="Times New Roman" w:eastAsia="Times New Roman" w:hint="default"/>
        </w:rPr>
        <w:t>2</w:t>
      </w:r>
      <w:r>
        <w:rPr/>
        <w:t>）未确认递延所得税资产明细</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79,176,004.66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16,391,248.12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189,688,983.19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136,812,954.61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268,864,987.85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153,204,202.73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15"/>
        <w:jc w:val="left"/>
        <w:rPr>
          <w:b w:val="0"/>
          <w:bCs w:val="0"/>
        </w:rPr>
      </w:pPr>
      <w:bookmarkStart w:name="（3）未确认递延所得税资产的可抵扣亏损将于以下年度到期" w:id="267"/>
      <w:bookmarkEnd w:id="267"/>
      <w:r>
        <w:rPr>
          <w:b w:val="0"/>
          <w:bCs w:val="0"/>
        </w:rPr>
      </w:r>
      <w:r>
        <w:rPr/>
        <w:t>（</w:t>
      </w:r>
      <w:r>
        <w:rPr>
          <w:rFonts w:ascii="Times New Roman" w:hAnsi="Times New Roman" w:cs="Times New Roman" w:eastAsia="Times New Roman" w:hint="default"/>
        </w:rPr>
        <w:t>3</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7,329,560.76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11,533,087.02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11,533,087.02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20,499,765.95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22,202,927.98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29,104,774.65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30,973,482.12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58,591,262.41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64,773,896.73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69,960,093.16</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189,688,983.19</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136,812,954.61</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20、短期借款" w:id="268"/>
      <w:bookmarkEnd w:id="268"/>
      <w:r>
        <w:rPr>
          <w:b w:val="0"/>
          <w:bCs w:val="0"/>
        </w:rPr>
      </w:r>
      <w:r>
        <w:rPr>
          <w:rFonts w:ascii="Times New Roman" w:hAnsi="Times New Roman" w:cs="Times New Roman" w:eastAsia="Times New Roman" w:hint="default"/>
        </w:rPr>
        <w:t>20</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5"/>
        <w:jc w:val="left"/>
        <w:rPr>
          <w:b w:val="0"/>
          <w:bCs w:val="0"/>
        </w:rPr>
      </w:pPr>
      <w:bookmarkStart w:name="（1）短期借款分类" w:id="269"/>
      <w:bookmarkEnd w:id="269"/>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115,010,527.52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135,010,527.52</w:t>
            </w:r>
          </w:p>
        </w:tc>
      </w:tr>
    </w:tbl>
    <w:p>
      <w:pPr>
        <w:pStyle w:val="BodyText"/>
        <w:spacing w:line="240" w:lineRule="auto" w:before="49"/>
        <w:ind w:right="1115"/>
        <w:jc w:val="left"/>
      </w:pPr>
      <w:r>
        <w:rPr/>
        <w:t>短期借款分类的说明：</w:t>
      </w:r>
    </w:p>
    <w:p>
      <w:pPr>
        <w:pStyle w:val="BodyText"/>
        <w:spacing w:line="300" w:lineRule="auto" w:before="117"/>
        <w:ind w:right="1115"/>
        <w:jc w:val="left"/>
      </w:pPr>
      <w:r>
        <w:rPr>
          <w:spacing w:val="-2"/>
        </w:rPr>
        <w:t>①</w:t>
      </w:r>
      <w:r>
        <w:rPr>
          <w:rFonts w:ascii="Times New Roman" w:hAnsi="Times New Roman" w:cs="Times New Roman" w:eastAsia="Times New Roman" w:hint="default"/>
          <w:spacing w:val="-2"/>
        </w:rPr>
        <w:t>2019</w:t>
      </w:r>
      <w:r>
        <w:rPr>
          <w:spacing w:val="-2"/>
        </w:rPr>
        <w:t>年度，久金保向华夏银行股份有限公司北京方庄支行银行借入保证借款，由本公司及实际控制人董泰湘、赵福君提供</w:t>
      </w:r>
      <w:r>
        <w:rPr>
          <w:spacing w:val="-61"/>
        </w:rPr>
        <w:t> </w:t>
      </w:r>
      <w:r>
        <w:rPr>
          <w:spacing w:val="-61"/>
        </w:rPr>
      </w:r>
      <w:r>
        <w:rPr/>
        <w:t>连带责任担保。截至期末，该借款余额为</w:t>
      </w:r>
      <w:r>
        <w:rPr>
          <w:rFonts w:ascii="Times New Roman" w:hAnsi="Times New Roman" w:cs="Times New Roman" w:eastAsia="Times New Roman" w:hint="default"/>
        </w:rPr>
        <w:t>50,000,000.00</w:t>
      </w:r>
      <w:r>
        <w:rPr/>
        <w:t>元。</w:t>
      </w:r>
    </w:p>
    <w:p>
      <w:pPr>
        <w:pStyle w:val="BodyText"/>
        <w:spacing w:line="240" w:lineRule="auto" w:before="13"/>
        <w:ind w:right="1115"/>
        <w:jc w:val="left"/>
      </w:pPr>
      <w:r>
        <w:rPr/>
        <w:t>②本集团不存在已到期未偿还的短期借款。</w:t>
      </w:r>
    </w:p>
    <w:p>
      <w:pPr>
        <w:spacing w:line="240" w:lineRule="auto" w:before="0"/>
        <w:rPr>
          <w:rFonts w:ascii="宋体" w:hAnsi="宋体" w:cs="宋体" w:eastAsia="宋体" w:hint="default"/>
          <w:sz w:val="18"/>
          <w:szCs w:val="18"/>
        </w:rPr>
      </w:pPr>
    </w:p>
    <w:p>
      <w:pPr>
        <w:pStyle w:val="Heading3"/>
        <w:spacing w:line="240" w:lineRule="auto" w:before="120"/>
        <w:ind w:right="1115"/>
        <w:jc w:val="left"/>
        <w:rPr>
          <w:b w:val="0"/>
          <w:bCs w:val="0"/>
        </w:rPr>
      </w:pPr>
      <w:bookmarkStart w:name="21、应付票据" w:id="270"/>
      <w:bookmarkEnd w:id="270"/>
      <w:r>
        <w:rPr>
          <w:b w:val="0"/>
          <w:bCs w:val="0"/>
        </w:rPr>
      </w:r>
      <w:r>
        <w:rPr>
          <w:rFonts w:ascii="Times New Roman" w:hAnsi="Times New Roman" w:cs="Times New Roman" w:eastAsia="Times New Roman" w:hint="default"/>
        </w:rPr>
        <w:t>21</w:t>
      </w:r>
      <w:r>
        <w:rPr/>
        <w:t>、应付票据</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r>
    </w:tbl>
    <w:p>
      <w:pPr>
        <w:pStyle w:val="BodyText"/>
        <w:spacing w:line="240" w:lineRule="auto" w:before="49"/>
        <w:ind w:right="1115"/>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3"/>
        <w:spacing w:line="240" w:lineRule="auto"/>
        <w:ind w:right="1115"/>
        <w:jc w:val="left"/>
        <w:rPr>
          <w:b w:val="0"/>
          <w:bCs w:val="0"/>
        </w:rPr>
      </w:pPr>
      <w:bookmarkStart w:name="22、应付账款" w:id="271"/>
      <w:bookmarkEnd w:id="271"/>
      <w:r>
        <w:rPr>
          <w:b w:val="0"/>
          <w:bCs w:val="0"/>
        </w:rPr>
      </w:r>
      <w:r>
        <w:rPr>
          <w:rFonts w:ascii="Times New Roman" w:hAnsi="Times New Roman" w:cs="Times New Roman" w:eastAsia="Times New Roman" w:hint="default"/>
        </w:rPr>
        <w:t>22</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5"/>
        <w:jc w:val="left"/>
        <w:rPr>
          <w:b w:val="0"/>
          <w:bCs w:val="0"/>
        </w:rPr>
      </w:pPr>
      <w:bookmarkStart w:name="（1）应付账款列示" w:id="272"/>
      <w:bookmarkEnd w:id="272"/>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338,499,384.39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181,214,912.47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1,822,668.93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1,171,179.01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190,789.80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323,900.48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269,483.98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900,973.74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340,782,327.10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183,610,965.70</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23、预收款项" w:id="273"/>
      <w:bookmarkEnd w:id="273"/>
      <w:r>
        <w:rPr>
          <w:b w:val="0"/>
          <w:bCs w:val="0"/>
        </w:rPr>
      </w:r>
      <w:r>
        <w:rPr>
          <w:rFonts w:ascii="Times New Roman" w:hAnsi="Times New Roman" w:cs="Times New Roman" w:eastAsia="Times New Roman" w:hint="default"/>
        </w:rPr>
        <w:t>23</w:t>
      </w:r>
      <w:r>
        <w:rPr/>
        <w:t>、预收款项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是否已执行新收入准则</w:t>
      </w:r>
    </w:p>
    <w:p>
      <w:pPr>
        <w:pStyle w:val="BodyText"/>
        <w:spacing w:line="240" w:lineRule="auto" w:before="115"/>
        <w:ind w:right="111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6"/>
          <w:szCs w:val="26"/>
        </w:rPr>
      </w:pPr>
    </w:p>
    <w:p>
      <w:pPr>
        <w:pStyle w:val="Heading3"/>
        <w:spacing w:line="240" w:lineRule="auto"/>
        <w:ind w:right="1115"/>
        <w:jc w:val="left"/>
        <w:rPr>
          <w:b w:val="0"/>
          <w:bCs w:val="0"/>
        </w:rPr>
      </w:pPr>
      <w:bookmarkStart w:name="（1）预收款项列示" w:id="274"/>
      <w:bookmarkEnd w:id="274"/>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47,446,316.40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58,996,882.02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2,346,115.88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4,567,106.16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3,242,929.31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2,398,156.19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2,041,032.40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2,622,287.02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55,076,393.99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68,584,431.39</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2）账龄超过1年的重要预收款项" w:id="275"/>
      <w:bookmarkEnd w:id="275"/>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1,248,000.00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517,702.06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4,545,702.06</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24、应付职工薪酬" w:id="276"/>
      <w:bookmarkEnd w:id="276"/>
      <w:r>
        <w:rPr>
          <w:b w:val="0"/>
          <w:bCs w:val="0"/>
        </w:rPr>
      </w:r>
      <w:r>
        <w:rPr>
          <w:rFonts w:ascii="Times New Roman" w:hAnsi="Times New Roman" w:cs="Times New Roman" w:eastAsia="Times New Roman" w:hint="default"/>
        </w:rPr>
        <w:t>24</w:t>
      </w:r>
      <w:r>
        <w:rPr/>
        <w:t>、应付职工薪酬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5"/>
        <w:jc w:val="left"/>
        <w:rPr>
          <w:b w:val="0"/>
          <w:bCs w:val="0"/>
        </w:rPr>
      </w:pPr>
      <w:bookmarkStart w:name="（1）应付职工薪酬列示" w:id="277"/>
      <w:bookmarkEnd w:id="277"/>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31" w:type="dxa"/>
        <w:tblLayout w:type="fixed"/>
        <w:tblCellMar>
          <w:top w:w="0" w:type="dxa"/>
          <w:left w:w="0" w:type="dxa"/>
          <w:bottom w:w="0" w:type="dxa"/>
          <w:right w:w="0" w:type="dxa"/>
        </w:tblCellMar>
        <w:tblLook w:val="01E0"/>
      </w:tblPr>
      <w:tblGrid>
        <w:gridCol w:w="3337"/>
        <w:gridCol w:w="1625"/>
        <w:gridCol w:w="1616"/>
        <w:gridCol w:w="1616"/>
        <w:gridCol w:w="1493"/>
      </w:tblGrid>
      <w:tr>
        <w:trPr>
          <w:trHeight w:val="401"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6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123,873,399.21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623,268,042.51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651,234,073.20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95,907,368.52</w:t>
            </w:r>
          </w:p>
        </w:tc>
      </w:tr>
      <w:tr>
        <w:trPr>
          <w:trHeight w:val="401"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6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1,488,631.20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62,288,917.00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61,765,218.55</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2,012,329.65</w:t>
            </w:r>
          </w:p>
        </w:tc>
      </w:tr>
      <w:tr>
        <w:trPr>
          <w:trHeight w:val="403"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625" w:type="dxa"/>
            <w:tcBorders>
              <w:top w:val="single" w:sz="4" w:space="0" w:color="000000"/>
              <w:left w:val="single" w:sz="13" w:space="0" w:color="D2D2D2"/>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1,996,427.59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1,996,427.59</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125,362,030.41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687,553,387.10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714,995,719.34</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97,919,698.17</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2）短期薪酬列示" w:id="278"/>
      <w:bookmarkEnd w:id="278"/>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3199"/>
        <w:gridCol w:w="1662"/>
        <w:gridCol w:w="1649"/>
        <w:gridCol w:w="1652"/>
        <w:gridCol w:w="1524"/>
      </w:tblGrid>
      <w:tr>
        <w:trPr>
          <w:trHeight w:val="401" w:hRule="exact"/>
        </w:trPr>
        <w:tc>
          <w:tcPr>
            <w:tcW w:w="3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3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6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120,467,923.42</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525,563,035.00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554,250,886.91</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91,780,071.51</w:t>
            </w:r>
          </w:p>
        </w:tc>
      </w:tr>
      <w:tr>
        <w:trPr>
          <w:trHeight w:val="401" w:hRule="exact"/>
        </w:trPr>
        <w:tc>
          <w:tcPr>
            <w:tcW w:w="3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662" w:type="dxa"/>
            <w:tcBorders>
              <w:top w:val="single" w:sz="4" w:space="0" w:color="000000"/>
              <w:left w:val="single" w:sz="12" w:space="0" w:color="D2D2D2"/>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14,069,930.40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14,069,930.40</w:t>
            </w: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6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834,246.48</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38,342,960.44</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37,831,537.80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1,345,669.12</w:t>
            </w:r>
          </w:p>
        </w:tc>
      </w:tr>
      <w:tr>
        <w:trPr>
          <w:trHeight w:val="401" w:hRule="exact"/>
        </w:trPr>
        <w:tc>
          <w:tcPr>
            <w:tcW w:w="3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6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750,134.30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34,600,736.91</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34,140,180.81</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1,210,690.40</w:t>
            </w:r>
          </w:p>
        </w:tc>
      </w:tr>
      <w:tr>
        <w:trPr>
          <w:trHeight w:val="403" w:hRule="exact"/>
        </w:trPr>
        <w:tc>
          <w:tcPr>
            <w:tcW w:w="3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6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22,715.01</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943,648.22</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930,673.62</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35,689.61</w:t>
            </w:r>
          </w:p>
        </w:tc>
      </w:tr>
      <w:tr>
        <w:trPr>
          <w:trHeight w:val="401" w:hRule="exact"/>
        </w:trPr>
        <w:tc>
          <w:tcPr>
            <w:tcW w:w="3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6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61,397.17</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2,798,575.31</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2,760,683.37</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99,289.11</w:t>
            </w:r>
          </w:p>
        </w:tc>
      </w:tr>
      <w:tr>
        <w:trPr>
          <w:trHeight w:val="403" w:hRule="exact"/>
        </w:trPr>
        <w:tc>
          <w:tcPr>
            <w:tcW w:w="31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278,017.24</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31,729,537.57</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31,618,196.25</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389,358.56</w:t>
            </w:r>
          </w:p>
        </w:tc>
      </w:tr>
      <w:tr>
        <w:trPr>
          <w:trHeight w:val="401" w:hRule="exact"/>
        </w:trPr>
        <w:tc>
          <w:tcPr>
            <w:tcW w:w="31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2,293,212.07</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1,795,670.60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1,696,613.34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2,392,269.33</w:t>
            </w:r>
          </w:p>
        </w:tc>
      </w:tr>
      <w:tr>
        <w:trPr>
          <w:trHeight w:val="403" w:hRule="exact"/>
        </w:trPr>
        <w:tc>
          <w:tcPr>
            <w:tcW w:w="31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、其他短期薪酬</w:t>
            </w:r>
          </w:p>
        </w:tc>
        <w:tc>
          <w:tcPr>
            <w:tcW w:w="166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11,766,908.50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11,766,908.50</w:t>
            </w: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123,873,399.21</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623,268,042.51</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651,234,073.20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95,907,368.52</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3）设定提存计划列示" w:id="279"/>
      <w:bookmarkEnd w:id="279"/>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1,430,619.33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59,678,520.80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59,188,945.75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1,920,194.38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58,011.87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2,610,396.20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2,576,272.80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92,135.27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1,488,631.20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62,288,917.00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61,765,218.55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2,012,329.65</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25、应交税费" w:id="280"/>
      <w:bookmarkEnd w:id="280"/>
      <w:r>
        <w:rPr>
          <w:b w:val="0"/>
          <w:bCs w:val="0"/>
        </w:rPr>
      </w:r>
      <w:r>
        <w:rPr>
          <w:rFonts w:ascii="Times New Roman" w:hAnsi="Times New Roman" w:cs="Times New Roman" w:eastAsia="Times New Roman" w:hint="default"/>
        </w:rPr>
        <w:t>25</w:t>
      </w:r>
      <w:r>
        <w:rPr/>
        <w:t>、应交税费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21,451,766.43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25,538,598.71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4,258,131.28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19,836,503.26</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2,042,540.03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1,441,751.64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1,393,158.51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1,308,723.39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1,087,432.87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994,141.84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76,248.98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687,495.27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30,309,278.10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49,807,214.11</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26、其他应付款" w:id="281"/>
      <w:bookmarkEnd w:id="281"/>
      <w:r>
        <w:rPr>
          <w:b w:val="0"/>
          <w:bCs w:val="0"/>
        </w:rPr>
      </w:r>
      <w:r>
        <w:rPr>
          <w:rFonts w:ascii="Times New Roman" w:hAnsi="Times New Roman" w:cs="Times New Roman" w:eastAsia="Times New Roman" w:hint="default"/>
        </w:rPr>
        <w:t>26</w:t>
      </w:r>
      <w:r>
        <w:rPr/>
        <w:t>、其他应付款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287,372,591.21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624,372,044.48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287,372,591.21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624,372,044.48</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1）应付利息" w:id="282"/>
      <w:bookmarkEnd w:id="282"/>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15"/>
        <w:jc w:val="left"/>
        <w:rPr>
          <w:b w:val="0"/>
          <w:bCs w:val="0"/>
        </w:rPr>
      </w:pPr>
      <w:bookmarkStart w:name="（2）应付股利" w:id="283"/>
      <w:bookmarkEnd w:id="283"/>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15"/>
        <w:jc w:val="left"/>
        <w:rPr>
          <w:b w:val="0"/>
          <w:bCs w:val="0"/>
        </w:rPr>
      </w:pPr>
      <w:bookmarkStart w:name="（3）其他应付款" w:id="284"/>
      <w:bookmarkEnd w:id="284"/>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5"/>
        <w:jc w:val="left"/>
        <w:rPr>
          <w:b w:val="0"/>
          <w:bCs w:val="0"/>
        </w:rPr>
      </w:pPr>
      <w:bookmarkStart w:name="1）按款项性质列示其他应付款" w:id="285"/>
      <w:bookmarkEnd w:id="285"/>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253,800,000.00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517,800,000.00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16,309,122.00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29,874,024.00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4,465,297.80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56,546,364.70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员工保险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7,053,705.02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5,216,035.99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4,176,678.11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13,409,847.91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1,567,788.28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1,525,771.88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287,372,591.21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624,372,044.48</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2）账龄超过1年的重要其他应付款" w:id="286"/>
      <w:bookmarkEnd w:id="286"/>
      <w:r>
        <w:rPr>
          <w:b w:val="0"/>
          <w:bCs w:val="0"/>
        </w:rPr>
      </w:r>
      <w:r>
        <w:rPr>
          <w:rFonts w:ascii="Times New Roman" w:hAnsi="Times New Roman" w:cs="Times New Roman" w:eastAsia="Times New Roman" w:hint="default"/>
        </w:rPr>
        <w:t>2</w:t>
      </w: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移通网络（香港）有限公司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244,800,000.00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沈栋梁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3190"/>
        <w:gridCol w:w="3204"/>
        <w:gridCol w:w="3167"/>
      </w:tblGrid>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249,800,000.00</w:t>
            </w:r>
          </w:p>
        </w:tc>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27、一年内到期的非流动负债" w:id="287"/>
      <w:bookmarkEnd w:id="287"/>
      <w:r>
        <w:rPr>
          <w:b w:val="0"/>
          <w:bCs w:val="0"/>
        </w:rPr>
      </w:r>
      <w:r>
        <w:rPr>
          <w:rFonts w:ascii="Times New Roman" w:hAnsi="Times New Roman" w:cs="Times New Roman" w:eastAsia="Times New Roman" w:hint="default"/>
        </w:rPr>
        <w:t>27</w:t>
      </w:r>
      <w:r>
        <w:rPr/>
        <w:t>、一年内到期的非流动负债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4,498,845.76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2,267,474.13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4,498,845.76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2,267,474.13</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28、其他流动负债" w:id="288"/>
      <w:bookmarkEnd w:id="288"/>
      <w:r>
        <w:rPr>
          <w:b w:val="0"/>
          <w:bCs w:val="0"/>
        </w:rPr>
      </w:r>
      <w:r>
        <w:rPr>
          <w:rFonts w:ascii="Times New Roman" w:hAnsi="Times New Roman" w:cs="Times New Roman" w:eastAsia="Times New Roman" w:hint="default"/>
        </w:rPr>
        <w:t>28</w:t>
      </w:r>
      <w:r>
        <w:rPr/>
        <w:t>、其他流动负债</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待转销项税额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1,100,282.67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1,100,282.67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15"/>
        <w:jc w:val="left"/>
      </w:pPr>
      <w:r>
        <w:rPr/>
        <w:t>短期应付债券的增减变动：无。</w:t>
      </w:r>
    </w:p>
    <w:p>
      <w:pPr>
        <w:spacing w:line="240" w:lineRule="auto" w:before="0"/>
        <w:rPr>
          <w:rFonts w:ascii="宋体" w:hAnsi="宋体" w:cs="宋体" w:eastAsia="宋体" w:hint="default"/>
          <w:sz w:val="18"/>
          <w:szCs w:val="18"/>
        </w:rPr>
      </w:pPr>
    </w:p>
    <w:p>
      <w:pPr>
        <w:pStyle w:val="Heading3"/>
        <w:spacing w:line="240" w:lineRule="auto" w:before="118"/>
        <w:ind w:right="1115"/>
        <w:jc w:val="left"/>
        <w:rPr>
          <w:b w:val="0"/>
          <w:bCs w:val="0"/>
        </w:rPr>
      </w:pPr>
      <w:bookmarkStart w:name="29、长期借款" w:id="289"/>
      <w:bookmarkEnd w:id="289"/>
      <w:r>
        <w:rPr>
          <w:b w:val="0"/>
          <w:bCs w:val="0"/>
        </w:rPr>
      </w:r>
      <w:r>
        <w:rPr>
          <w:rFonts w:ascii="Times New Roman" w:hAnsi="Times New Roman" w:cs="Times New Roman" w:eastAsia="Times New Roman" w:hint="default"/>
        </w:rPr>
        <w:t>29</w:t>
      </w:r>
      <w:r>
        <w:rPr/>
        <w:t>、长期借款</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type w:val="continuous"/>
          <w:pgSz w:w="11910" w:h="16840"/>
          <w:pgMar w:top="1060" w:bottom="1160" w:left="980" w:right="0"/>
        </w:sectPr>
      </w:pPr>
    </w:p>
    <w:p>
      <w:pPr>
        <w:pStyle w:val="Heading3"/>
        <w:spacing w:line="240" w:lineRule="auto" w:before="36"/>
        <w:ind w:right="-16"/>
        <w:jc w:val="left"/>
        <w:rPr>
          <w:b w:val="0"/>
          <w:bCs w:val="0"/>
        </w:rPr>
      </w:pPr>
      <w:bookmarkStart w:name="（1）长期借款分类" w:id="290"/>
      <w:bookmarkEnd w:id="290"/>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3"/>
          <w:szCs w:val="13"/>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49" w:space="6880"/>
            <w:col w:w="210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252,000,000.00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252,000,000.00</w:t>
            </w:r>
          </w:p>
        </w:tc>
      </w:tr>
    </w:tbl>
    <w:p>
      <w:pPr>
        <w:pStyle w:val="BodyText"/>
        <w:spacing w:line="302" w:lineRule="auto" w:before="8"/>
        <w:ind w:right="1131"/>
        <w:jc w:val="left"/>
      </w:pPr>
      <w:r>
        <w:rPr/>
        <w:t>长期借款分类的说明： </w:t>
      </w:r>
      <w:r>
        <w:rPr>
          <w:spacing w:val="-5"/>
        </w:rPr>
        <w:t>说明：</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6</w:t>
      </w:r>
      <w:r>
        <w:rPr>
          <w:spacing w:val="-5"/>
        </w:rPr>
        <w:t>月</w:t>
      </w:r>
      <w:r>
        <w:rPr>
          <w:rFonts w:ascii="Times New Roman" w:hAnsi="Times New Roman" w:cs="Times New Roman" w:eastAsia="Times New Roman" w:hint="default"/>
          <w:spacing w:val="-5"/>
        </w:rPr>
        <w:t>11</w:t>
      </w:r>
      <w:r>
        <w:rPr>
          <w:spacing w:val="-5"/>
        </w:rPr>
        <w:t>日，本公司与中国工商银行北京经济开发区支行签订合同编号为</w:t>
      </w:r>
      <w:r>
        <w:rPr>
          <w:rFonts w:ascii="Times New Roman" w:hAnsi="Times New Roman" w:cs="Times New Roman" w:eastAsia="Times New Roman" w:hint="default"/>
          <w:spacing w:val="-5"/>
        </w:rPr>
        <w:t>2018</w:t>
      </w:r>
      <w:r>
        <w:rPr>
          <w:spacing w:val="-5"/>
        </w:rPr>
        <w:t>年（亦庄）字</w:t>
      </w:r>
      <w:r>
        <w:rPr>
          <w:rFonts w:ascii="Times New Roman" w:hAnsi="Times New Roman" w:cs="Times New Roman" w:eastAsia="Times New Roman" w:hint="default"/>
          <w:spacing w:val="-5"/>
        </w:rPr>
        <w:t>00082</w:t>
      </w:r>
      <w:r>
        <w:rPr>
          <w:spacing w:val="-5"/>
        </w:rPr>
        <w:t>号并购借款合同，</w:t>
      </w:r>
      <w:r>
        <w:rPr>
          <w:spacing w:val="-46"/>
        </w:rPr>
        <w:t> </w:t>
      </w:r>
      <w:r>
        <w:rPr>
          <w:spacing w:val="-46"/>
        </w:rPr>
      </w:r>
      <w:r>
        <w:rPr/>
        <w:t>用于收购上海移通</w:t>
      </w:r>
      <w:r>
        <w:rPr>
          <w:rFonts w:ascii="Times New Roman" w:hAnsi="Times New Roman" w:cs="Times New Roman" w:eastAsia="Times New Roman" w:hint="default"/>
        </w:rPr>
        <w:t>49%</w:t>
      </w:r>
      <w:r>
        <w:rPr/>
        <w:t>的股权，合同金额为</w:t>
      </w:r>
      <w:r>
        <w:rPr>
          <w:rFonts w:ascii="Times New Roman" w:hAnsi="Times New Roman" w:cs="Times New Roman" w:eastAsia="Times New Roman" w:hint="default"/>
        </w:rPr>
        <w:t>480,000,000.00</w:t>
      </w:r>
      <w:r>
        <w:rPr/>
        <w:t>元，借款期限为</w:t>
      </w:r>
      <w:r>
        <w:rPr>
          <w:rFonts w:ascii="Times New Roman" w:hAnsi="Times New Roman" w:cs="Times New Roman" w:eastAsia="Times New Roman" w:hint="default"/>
        </w:rPr>
        <w:t>60</w:t>
      </w:r>
      <w:r>
        <w:rPr/>
        <w:t>个月，借款利率以基准利率加浮动利率确定；</w:t>
      </w:r>
      <w:r>
        <w:rPr>
          <w:spacing w:val="-22"/>
        </w:rPr>
        <w:t> </w:t>
      </w:r>
      <w:r>
        <w:rPr>
          <w:spacing w:val="-22"/>
        </w:rPr>
      </w:r>
      <w:r>
        <w:rPr/>
        <w:t>同日，本公司与中国工商银行北京经济开发区支行签订合同编号为</w:t>
      </w:r>
      <w:r>
        <w:rPr>
          <w:rFonts w:ascii="Times New Roman" w:hAnsi="Times New Roman" w:cs="Times New Roman" w:eastAsia="Times New Roman" w:hint="default"/>
        </w:rPr>
        <w:t>“201</w:t>
      </w:r>
      <w:r>
        <w:rPr>
          <w:rFonts w:ascii="Times New Roman" w:hAnsi="Times New Roman" w:cs="Times New Roman" w:eastAsia="Times New Roman" w:hint="default"/>
          <w:spacing w:val="7"/>
        </w:rPr>
        <w:t> </w:t>
      </w:r>
      <w:r>
        <w:rPr>
          <w:spacing w:val="-3"/>
        </w:rPr>
        <w:t>年亦庄（抵）</w:t>
      </w:r>
      <w:r>
        <w:rPr>
          <w:rFonts w:ascii="Times New Roman" w:hAnsi="Times New Roman" w:cs="Times New Roman" w:eastAsia="Times New Roman" w:hint="default"/>
          <w:spacing w:val="-3"/>
        </w:rPr>
        <w:t>0009</w:t>
      </w:r>
      <w:r>
        <w:rPr>
          <w:spacing w:val="-3"/>
        </w:rPr>
        <w:t>号</w:t>
      </w:r>
      <w:r>
        <w:rPr>
          <w:rFonts w:ascii="Times New Roman" w:hAnsi="Times New Roman" w:cs="Times New Roman" w:eastAsia="Times New Roman" w:hint="default"/>
          <w:spacing w:val="-3"/>
        </w:rPr>
        <w:t>”</w:t>
      </w:r>
      <w:r>
        <w:rPr>
          <w:spacing w:val="-3"/>
        </w:rPr>
        <w:t>抵押合同，抵押物为北京市西</w:t>
      </w:r>
      <w:r>
        <w:rPr/>
        <w:t> 城区国英园</w:t>
      </w:r>
      <w:r>
        <w:rPr>
          <w:rFonts w:ascii="Times New Roman" w:hAnsi="Times New Roman" w:cs="Times New Roman" w:eastAsia="Times New Roman" w:hint="default"/>
        </w:rPr>
        <w:t>1</w:t>
      </w:r>
      <w:r>
        <w:rPr/>
        <w:t>号楼</w:t>
      </w:r>
      <w:r>
        <w:rPr>
          <w:rFonts w:ascii="Times New Roman" w:hAnsi="Times New Roman" w:cs="Times New Roman" w:eastAsia="Times New Roman" w:hint="default"/>
        </w:rPr>
        <w:t>11</w:t>
      </w:r>
      <w:r>
        <w:rPr/>
        <w:t>层</w:t>
      </w:r>
      <w:r>
        <w:rPr>
          <w:rFonts w:ascii="Times New Roman" w:hAnsi="Times New Roman" w:cs="Times New Roman" w:eastAsia="Times New Roman" w:hint="default"/>
        </w:rPr>
        <w:t>1102</w:t>
      </w:r>
      <w:r>
        <w:rPr/>
        <w:t>、北京市西城区国英园</w:t>
      </w:r>
      <w:r>
        <w:rPr>
          <w:rFonts w:ascii="Times New Roman" w:hAnsi="Times New Roman" w:cs="Times New Roman" w:eastAsia="Times New Roman" w:hint="default"/>
        </w:rPr>
        <w:t>1</w:t>
      </w:r>
      <w:r>
        <w:rPr/>
        <w:t>号楼</w:t>
      </w:r>
      <w:r>
        <w:rPr>
          <w:rFonts w:ascii="Times New Roman" w:hAnsi="Times New Roman" w:cs="Times New Roman" w:eastAsia="Times New Roman" w:hint="default"/>
        </w:rPr>
        <w:t>13</w:t>
      </w:r>
      <w:r>
        <w:rPr/>
        <w:t>层</w:t>
      </w:r>
      <w:r>
        <w:rPr>
          <w:rFonts w:ascii="Times New Roman" w:hAnsi="Times New Roman" w:cs="Times New Roman" w:eastAsia="Times New Roman" w:hint="default"/>
        </w:rPr>
        <w:t>1302</w:t>
      </w:r>
      <w:r>
        <w:rPr/>
        <w:t>、北京经济技术开发区西环中路</w:t>
      </w:r>
      <w:r>
        <w:rPr>
          <w:rFonts w:ascii="Times New Roman" w:hAnsi="Times New Roman" w:cs="Times New Roman" w:eastAsia="Times New Roman" w:hint="default"/>
        </w:rPr>
        <w:t>6</w:t>
      </w:r>
      <w:r>
        <w:rPr/>
        <w:t>号、北京市经济技术开发 区</w:t>
      </w:r>
      <w:r>
        <w:rPr>
          <w:rFonts w:ascii="Times New Roman" w:hAnsi="Times New Roman" w:cs="Times New Roman" w:eastAsia="Times New Roman" w:hint="default"/>
        </w:rPr>
        <w:t>40</w:t>
      </w:r>
      <w:r>
        <w:rPr/>
        <w:t>号街区</w:t>
      </w:r>
      <w:r>
        <w:rPr>
          <w:rFonts w:ascii="Times New Roman" w:hAnsi="Times New Roman" w:cs="Times New Roman" w:eastAsia="Times New Roman" w:hint="default"/>
        </w:rPr>
        <w:t>40-5</w:t>
      </w:r>
      <w:r>
        <w:rPr/>
        <w:t>地块；并以上海移通</w:t>
      </w:r>
      <w:r>
        <w:rPr>
          <w:rFonts w:ascii="Times New Roman" w:hAnsi="Times New Roman" w:cs="Times New Roman" w:eastAsia="Times New Roman" w:hint="default"/>
        </w:rPr>
        <w:t>100%</w:t>
      </w:r>
      <w:r>
        <w:rPr/>
        <w:t>股权进行质押；赵福君、董泰湘与中国工商银行北京经济开发区支行签订合同编</w:t>
      </w:r>
      <w:r>
        <w:rPr>
          <w:spacing w:val="-38"/>
        </w:rPr>
        <w:t> </w:t>
      </w:r>
      <w:r>
        <w:rPr>
          <w:spacing w:val="-38"/>
        </w:rPr>
      </w:r>
      <w:r>
        <w:rPr/>
        <w:t>号为</w:t>
      </w:r>
      <w:r>
        <w:rPr>
          <w:rFonts w:ascii="Times New Roman" w:hAnsi="Times New Roman" w:cs="Times New Roman" w:eastAsia="Times New Roman" w:hint="default"/>
        </w:rPr>
        <w:t>“201 </w:t>
      </w:r>
      <w:r>
        <w:rPr/>
        <w:t>年（亦庄）字</w:t>
      </w:r>
      <w:r>
        <w:rPr>
          <w:rFonts w:ascii="Times New Roman" w:hAnsi="Times New Roman" w:cs="Times New Roman" w:eastAsia="Times New Roman" w:hint="default"/>
        </w:rPr>
        <w:t>00082-2</w:t>
      </w:r>
      <w:r>
        <w:rPr/>
        <w:t>号</w:t>
      </w:r>
      <w:r>
        <w:rPr>
          <w:rFonts w:ascii="Times New Roman" w:hAnsi="Times New Roman" w:cs="Times New Roman" w:eastAsia="Times New Roman" w:hint="default"/>
        </w:rPr>
        <w:t>”</w:t>
      </w:r>
      <w:r>
        <w:rPr/>
        <w:t>保证合同，为该借款提供连带责任保证。该抵押借款事项已经公司第六届董事会第二十</w:t>
      </w:r>
      <w:r>
        <w:rPr>
          <w:spacing w:val="-88"/>
        </w:rPr>
        <w:t> </w:t>
      </w:r>
      <w:r>
        <w:rPr>
          <w:spacing w:val="-88"/>
        </w:rPr>
      </w:r>
      <w:r>
        <w:rPr/>
        <w:t>五次（临时）会议审议通过。截至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日，该抵押借款余额</w:t>
      </w:r>
      <w:r>
        <w:rPr>
          <w:rFonts w:ascii="Times New Roman" w:hAnsi="Times New Roman" w:cs="Times New Roman" w:eastAsia="Times New Roman" w:hint="default"/>
        </w:rPr>
        <w:t>280,000,000.00</w:t>
      </w:r>
      <w:r>
        <w:rPr/>
        <w:t>元。</w:t>
      </w:r>
    </w:p>
    <w:p>
      <w:pPr>
        <w:spacing w:line="240" w:lineRule="auto" w:before="2"/>
        <w:rPr>
          <w:rFonts w:ascii="宋体" w:hAnsi="宋体" w:cs="宋体" w:eastAsia="宋体" w:hint="default"/>
          <w:sz w:val="22"/>
          <w:szCs w:val="22"/>
        </w:rPr>
      </w:pPr>
    </w:p>
    <w:p>
      <w:pPr>
        <w:pStyle w:val="Heading3"/>
        <w:spacing w:line="240" w:lineRule="auto"/>
        <w:ind w:right="1115"/>
        <w:jc w:val="left"/>
        <w:rPr>
          <w:b w:val="0"/>
          <w:bCs w:val="0"/>
        </w:rPr>
      </w:pPr>
      <w:bookmarkStart w:name="30、应付债券" w:id="291"/>
      <w:bookmarkEnd w:id="291"/>
      <w:r>
        <w:rPr>
          <w:b w:val="0"/>
          <w:bCs w:val="0"/>
        </w:rPr>
      </w:r>
      <w:r>
        <w:rPr>
          <w:rFonts w:ascii="Times New Roman" w:hAnsi="Times New Roman" w:cs="Times New Roman" w:eastAsia="Times New Roman" w:hint="default"/>
        </w:rPr>
        <w:t>30</w:t>
      </w:r>
      <w:r>
        <w:rPr/>
        <w:t>、应付债券</w:t>
      </w:r>
      <w:r>
        <w:rPr>
          <w:b w:val="0"/>
          <w:bCs w:val="0"/>
        </w:rPr>
      </w:r>
    </w:p>
    <w:p>
      <w:pPr>
        <w:spacing w:line="240" w:lineRule="auto" w:before="10"/>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type w:val="continuous"/>
          <w:pgSz w:w="11910" w:h="16840"/>
          <w:pgMar w:top="1060" w:bottom="1160" w:left="980" w:right="0"/>
        </w:sectPr>
      </w:pPr>
    </w:p>
    <w:p>
      <w:pPr>
        <w:pStyle w:val="Heading3"/>
        <w:spacing w:line="240" w:lineRule="auto" w:before="36"/>
        <w:ind w:right="-16"/>
        <w:jc w:val="left"/>
        <w:rPr>
          <w:b w:val="0"/>
          <w:bCs w:val="0"/>
        </w:rPr>
      </w:pPr>
      <w:bookmarkStart w:name="（1）应付债券" w:id="292"/>
      <w:bookmarkEnd w:id="292"/>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3"/>
          <w:szCs w:val="13"/>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527" w:space="7303"/>
            <w:col w:w="210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693,941,430.14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659,725,709.42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-4,498,845.76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689,442,584.38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659,725,709.42</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2）应付债券的增减变动（不包括划分为金融负债的优先股、永续债等其他金融工具）" w:id="293"/>
      <w:bookmarkEnd w:id="293"/>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788"/>
        <w:gridCol w:w="797"/>
        <w:gridCol w:w="799"/>
        <w:gridCol w:w="797"/>
        <w:gridCol w:w="799"/>
        <w:gridCol w:w="797"/>
        <w:gridCol w:w="800"/>
        <w:gridCol w:w="797"/>
        <w:gridCol w:w="799"/>
        <w:gridCol w:w="797"/>
        <w:gridCol w:w="799"/>
        <w:gridCol w:w="797"/>
      </w:tblGrid>
      <w:tr>
        <w:trPr>
          <w:trHeight w:val="161" w:hRule="exact"/>
        </w:trPr>
        <w:tc>
          <w:tcPr>
            <w:tcW w:w="78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04"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本期转股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1" w:hRule="exact"/>
        </w:trPr>
        <w:tc>
          <w:tcPr>
            <w:tcW w:w="7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r>
      <w:tr>
        <w:trPr>
          <w:trHeight w:val="161" w:hRule="exact"/>
        </w:trPr>
        <w:tc>
          <w:tcPr>
            <w:tcW w:w="78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319" w:hRule="exact"/>
        </w:trPr>
        <w:tc>
          <w:tcPr>
            <w:tcW w:w="78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780,000,0</w:t>
            </w:r>
          </w:p>
          <w:p>
            <w:pPr>
              <w:pStyle w:val="TableParagraph"/>
              <w:spacing w:line="240" w:lineRule="auto" w:before="103"/>
              <w:ind w:left="352" w:right="0"/>
              <w:jc w:val="left"/>
              <w:rPr>
                <w:rFonts w:ascii="Times New Roman" w:hAnsi="Times New Roman" w:cs="Times New Roman" w:eastAsia="Times New Roman" w:hint="default"/>
                <w:sz w:val="18"/>
                <w:szCs w:val="18"/>
              </w:rPr>
            </w:pPr>
            <w:r>
              <w:rPr>
                <w:rFonts w:ascii="Times New Roman"/>
                <w:sz w:val="18"/>
              </w:rPr>
              <w:t>00.00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780,000,0</w:t>
            </w:r>
          </w:p>
          <w:p>
            <w:pPr>
              <w:pStyle w:val="TableParagraph"/>
              <w:spacing w:line="240" w:lineRule="auto" w:before="103"/>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659,725,7</w:t>
            </w:r>
          </w:p>
          <w:p>
            <w:pPr>
              <w:pStyle w:val="TableParagraph"/>
              <w:spacing w:line="240" w:lineRule="auto" w:before="103"/>
              <w:ind w:left="359" w:right="0"/>
              <w:jc w:val="left"/>
              <w:rPr>
                <w:rFonts w:ascii="Times New Roman" w:hAnsi="Times New Roman" w:cs="Times New Roman" w:eastAsia="Times New Roman" w:hint="default"/>
                <w:sz w:val="18"/>
                <w:szCs w:val="18"/>
              </w:rPr>
            </w:pPr>
            <w:r>
              <w:rPr>
                <w:rFonts w:ascii="Times New Roman"/>
                <w:sz w:val="18"/>
              </w:rPr>
              <w:t>09.42</w:t>
            </w: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4,498,845</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.76</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29,983,17</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4.56</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266,299.6</w:t>
            </w:r>
          </w:p>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z w:val="18"/>
              </w:rPr>
              <w:t>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693,941,4</w:t>
            </w:r>
          </w:p>
          <w:p>
            <w:pPr>
              <w:pStyle w:val="TableParagraph"/>
              <w:spacing w:line="240" w:lineRule="auto" w:before="103"/>
              <w:ind w:left="359" w:right="0"/>
              <w:jc w:val="left"/>
              <w:rPr>
                <w:rFonts w:ascii="Times New Roman" w:hAnsi="Times New Roman" w:cs="Times New Roman" w:eastAsia="Times New Roman" w:hint="default"/>
                <w:sz w:val="18"/>
                <w:szCs w:val="18"/>
              </w:rPr>
            </w:pPr>
            <w:r>
              <w:rPr>
                <w:rFonts w:ascii="Times New Roman"/>
                <w:sz w:val="18"/>
              </w:rPr>
              <w:t>30.14</w:t>
            </w:r>
          </w:p>
        </w:tc>
      </w:tr>
      <w:tr>
        <w:trPr>
          <w:trHeight w:val="392" w:hRule="exact"/>
        </w:trPr>
        <w:tc>
          <w:tcPr>
            <w:tcW w:w="7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2"/>
              <w:jc w:val="center"/>
              <w:rPr>
                <w:rFonts w:ascii="宋体" w:hAnsi="宋体" w:cs="宋体" w:eastAsia="宋体" w:hint="default"/>
                <w:sz w:val="18"/>
                <w:szCs w:val="18"/>
              </w:rPr>
            </w:pPr>
            <w:r>
              <w:rPr>
                <w:rFonts w:ascii="宋体" w:hAnsi="宋体" w:cs="宋体" w:eastAsia="宋体" w:hint="default"/>
                <w:sz w:val="18"/>
                <w:szCs w:val="18"/>
              </w:rPr>
              <w:t>久其转债</w:t>
            </w:r>
          </w:p>
        </w:tc>
        <w:tc>
          <w:tcPr>
            <w:tcW w:w="797" w:type="dxa"/>
            <w:vMerge/>
            <w:tcBorders>
              <w:left w:val="single" w:sz="10" w:space="0" w:color="D2D2D2"/>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17" w:hRule="exact"/>
        </w:trPr>
        <w:tc>
          <w:tcPr>
            <w:tcW w:w="78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10" w:space="0" w:color="D2D2D2"/>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61" w:hRule="exact"/>
        </w:trPr>
        <w:tc>
          <w:tcPr>
            <w:tcW w:w="78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vMerge w:val="restart"/>
            <w:tcBorders>
              <w:top w:val="single" w:sz="4" w:space="0" w:color="000000"/>
              <w:left w:val="single" w:sz="9" w:space="0" w:color="D2D2D2"/>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780,000,0</w:t>
            </w:r>
          </w:p>
          <w:p>
            <w:pPr>
              <w:pStyle w:val="TableParagraph"/>
              <w:spacing w:line="240" w:lineRule="auto" w:before="105"/>
              <w:ind w:left="353" w:right="0"/>
              <w:jc w:val="left"/>
              <w:rPr>
                <w:rFonts w:ascii="Times New Roman" w:hAnsi="Times New Roman" w:cs="Times New Roman" w:eastAsia="Times New Roman" w:hint="default"/>
                <w:sz w:val="18"/>
                <w:szCs w:val="18"/>
              </w:rPr>
            </w:pPr>
            <w:r>
              <w:rPr>
                <w:rFonts w:ascii="Times New Roman"/>
                <w:sz w:val="18"/>
              </w:rPr>
              <w:t>00.00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659,725,7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09.42</w:t>
            </w: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4,498,845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.76</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29,983,17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4.56</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266,299.6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693,941,4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30.14</w:t>
            </w:r>
          </w:p>
        </w:tc>
      </w:tr>
      <w:tr>
        <w:trPr>
          <w:trHeight w:val="391" w:hRule="exact"/>
        </w:trPr>
        <w:tc>
          <w:tcPr>
            <w:tcW w:w="7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3" w:hRule="exact"/>
        </w:trPr>
        <w:tc>
          <w:tcPr>
            <w:tcW w:w="78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both"/>
        <w:rPr>
          <w:b w:val="0"/>
          <w:bCs w:val="0"/>
        </w:rPr>
      </w:pPr>
      <w:bookmarkStart w:name="（3）可转换公司债券的转股条件、转股时间说明" w:id="294"/>
      <w:bookmarkEnd w:id="294"/>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128"/>
        <w:jc w:val="both"/>
      </w:pPr>
      <w:r>
        <w:rPr>
          <w:spacing w:val="-1"/>
        </w:rPr>
        <w:t>①根据中国证券监督管理委员会证监许可</w:t>
      </w:r>
      <w:r>
        <w:rPr>
          <w:rFonts w:ascii="Times New Roman" w:hAnsi="Times New Roman" w:cs="Times New Roman" w:eastAsia="Times New Roman" w:hint="default"/>
          <w:spacing w:val="-1"/>
        </w:rPr>
        <w:t>[2017]392</w:t>
      </w:r>
      <w:r>
        <w:rPr>
          <w:spacing w:val="-1"/>
        </w:rPr>
        <w:t>号文核准，本公司于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8</w:t>
      </w:r>
      <w:r>
        <w:rPr>
          <w:spacing w:val="-1"/>
        </w:rPr>
        <w:t>日向社会公开发售</w:t>
      </w:r>
      <w:r>
        <w:rPr>
          <w:rFonts w:ascii="Times New Roman" w:hAnsi="Times New Roman" w:cs="Times New Roman" w:eastAsia="Times New Roman" w:hint="default"/>
          <w:spacing w:val="-1"/>
        </w:rPr>
        <w:t>780</w:t>
      </w:r>
      <w:r>
        <w:rPr>
          <w:spacing w:val="-1"/>
        </w:rPr>
        <w:t>万张可转换公司债</w:t>
      </w:r>
      <w:r>
        <w:rPr>
          <w:spacing w:val="-55"/>
        </w:rPr>
        <w:t> </w:t>
      </w:r>
      <w:r>
        <w:rPr>
          <w:spacing w:val="-55"/>
        </w:rPr>
      </w:r>
      <w:r>
        <w:rPr/>
        <w:t>券，每张面值为</w:t>
      </w:r>
      <w:r>
        <w:rPr>
          <w:rFonts w:ascii="Times New Roman" w:hAnsi="Times New Roman" w:cs="Times New Roman" w:eastAsia="Times New Roman" w:hint="default"/>
        </w:rPr>
        <w:t>100.00</w:t>
      </w:r>
      <w:r>
        <w:rPr/>
        <w:t>元，发行总额为</w:t>
      </w:r>
      <w:r>
        <w:rPr>
          <w:rFonts w:ascii="Times New Roman" w:hAnsi="Times New Roman" w:cs="Times New Roman" w:eastAsia="Times New Roman" w:hint="default"/>
        </w:rPr>
        <w:t>780,000,000</w:t>
      </w:r>
      <w:r>
        <w:rPr/>
        <w:t>元，债券期限为</w:t>
      </w:r>
      <w:r>
        <w:rPr>
          <w:rFonts w:ascii="Times New Roman" w:hAnsi="Times New Roman" w:cs="Times New Roman" w:eastAsia="Times New Roman" w:hint="default"/>
        </w:rPr>
        <w:t>6</w:t>
      </w:r>
      <w:r>
        <w:rPr/>
        <w:t>年。</w:t>
      </w:r>
    </w:p>
    <w:p>
      <w:pPr>
        <w:pStyle w:val="BodyText"/>
        <w:spacing w:line="300" w:lineRule="auto" w:before="13"/>
        <w:ind w:right="1131"/>
        <w:jc w:val="both"/>
      </w:pPr>
      <w:r>
        <w:rPr>
          <w:spacing w:val="-4"/>
        </w:rPr>
        <w:t>②本次债券票面利率预设区间为</w:t>
      </w:r>
      <w:r>
        <w:rPr>
          <w:rFonts w:ascii="Times New Roman" w:hAnsi="Times New Roman" w:cs="Times New Roman" w:eastAsia="Times New Roman" w:hint="default"/>
          <w:spacing w:val="-4"/>
        </w:rPr>
        <w:t>0.3%-1.8%</w:t>
      </w:r>
      <w:r>
        <w:rPr>
          <w:spacing w:val="-4"/>
        </w:rPr>
        <w:t>，第一年为</w:t>
      </w:r>
      <w:r>
        <w:rPr>
          <w:rFonts w:ascii="Times New Roman" w:hAnsi="Times New Roman" w:cs="Times New Roman" w:eastAsia="Times New Roman" w:hint="default"/>
          <w:spacing w:val="-4"/>
        </w:rPr>
        <w:t>0.3%</w:t>
      </w:r>
      <w:r>
        <w:rPr>
          <w:spacing w:val="-4"/>
        </w:rPr>
        <w:t>，第二年为</w:t>
      </w:r>
      <w:r>
        <w:rPr>
          <w:rFonts w:ascii="Times New Roman" w:hAnsi="Times New Roman" w:cs="Times New Roman" w:eastAsia="Times New Roman" w:hint="default"/>
          <w:spacing w:val="-4"/>
        </w:rPr>
        <w:t>0.5%</w:t>
      </w:r>
      <w:r>
        <w:rPr>
          <w:spacing w:val="-4"/>
        </w:rPr>
        <w:t>，第三年为</w:t>
      </w:r>
      <w:r>
        <w:rPr>
          <w:rFonts w:ascii="Times New Roman" w:hAnsi="Times New Roman" w:cs="Times New Roman" w:eastAsia="Times New Roman" w:hint="default"/>
          <w:spacing w:val="-4"/>
        </w:rPr>
        <w:t>1.0%</w:t>
      </w:r>
      <w:r>
        <w:rPr>
          <w:spacing w:val="-4"/>
        </w:rPr>
        <w:t>，第四年为</w:t>
      </w:r>
      <w:r>
        <w:rPr>
          <w:rFonts w:ascii="Times New Roman" w:hAnsi="Times New Roman" w:cs="Times New Roman" w:eastAsia="Times New Roman" w:hint="default"/>
          <w:spacing w:val="-4"/>
        </w:rPr>
        <w:t>1.3%</w:t>
      </w:r>
      <w:r>
        <w:rPr>
          <w:spacing w:val="-4"/>
        </w:rPr>
        <w:t>，第五年为</w:t>
      </w:r>
      <w:r>
        <w:rPr>
          <w:rFonts w:ascii="Times New Roman" w:hAnsi="Times New Roman" w:cs="Times New Roman" w:eastAsia="Times New Roman" w:hint="default"/>
          <w:spacing w:val="-4"/>
        </w:rPr>
        <w:t>1.5%</w:t>
      </w:r>
      <w:r>
        <w:rPr>
          <w:spacing w:val="-4"/>
        </w:rPr>
        <w:t>，</w:t>
      </w:r>
      <w:r>
        <w:rPr>
          <w:spacing w:val="-71"/>
        </w:rPr>
        <w:t> </w:t>
      </w:r>
      <w:r>
        <w:rPr/>
        <w:t>第六年为</w:t>
      </w:r>
      <w:r>
        <w:rPr>
          <w:rFonts w:ascii="Times New Roman" w:hAnsi="Times New Roman" w:cs="Times New Roman" w:eastAsia="Times New Roman" w:hint="default"/>
        </w:rPr>
        <w:t>1.8%</w:t>
      </w:r>
      <w:r>
        <w:rPr/>
        <w:t>。</w:t>
      </w:r>
    </w:p>
    <w:p>
      <w:pPr>
        <w:pStyle w:val="BodyText"/>
        <w:spacing w:line="307" w:lineRule="auto" w:before="13"/>
        <w:ind w:right="1130"/>
        <w:jc w:val="both"/>
      </w:pPr>
      <w:r>
        <w:rPr>
          <w:spacing w:val="-2"/>
        </w:rPr>
        <w:t>③根据相关法规和《北京久其软件股份有限公司公开发行可转换公司债券募集说明书》的规定，本次发行的可转换公司债券</w:t>
      </w:r>
      <w:r>
        <w:rPr>
          <w:spacing w:val="-63"/>
        </w:rPr>
        <w:t> </w:t>
      </w:r>
      <w:r>
        <w:rPr>
          <w:spacing w:val="-63"/>
        </w:rPr>
      </w:r>
      <w:r>
        <w:rPr>
          <w:spacing w:val="-2"/>
        </w:rPr>
        <w:t>转股期限自发行结束之日起满六个月后的第一个交易日起至可转换公司债券到期日止，本次发行的可转债的初始转股价格为</w:t>
      </w:r>
      <w:r>
        <w:rPr>
          <w:spacing w:val="-63"/>
        </w:rPr>
        <w:t> </w:t>
      </w:r>
      <w:r>
        <w:rPr>
          <w:spacing w:val="-63"/>
        </w:rPr>
      </w:r>
      <w:r>
        <w:rPr>
          <w:rFonts w:ascii="Times New Roman" w:hAnsi="Times New Roman" w:cs="Times New Roman" w:eastAsia="Times New Roman" w:hint="default"/>
          <w:spacing w:val="-1"/>
        </w:rPr>
        <w:t>12.97</w:t>
      </w:r>
      <w:r>
        <w:rPr>
          <w:spacing w:val="-1"/>
        </w:rPr>
        <w:t>元</w:t>
      </w:r>
      <w:r>
        <w:rPr>
          <w:rFonts w:ascii="Times New Roman" w:hAnsi="Times New Roman" w:cs="Times New Roman" w:eastAsia="Times New Roman" w:hint="default"/>
          <w:spacing w:val="-1"/>
        </w:rPr>
        <w:t>/</w:t>
      </w:r>
      <w:r>
        <w:rPr>
          <w:spacing w:val="-1"/>
        </w:rPr>
        <w:t>股，由于公司实施股权激励限制性股票首次授予而新增的</w:t>
      </w:r>
      <w:r>
        <w:rPr>
          <w:rFonts w:ascii="Times New Roman" w:hAnsi="Times New Roman" w:cs="Times New Roman" w:eastAsia="Times New Roman" w:hint="default"/>
          <w:spacing w:val="-1"/>
        </w:rPr>
        <w:t>707.08</w:t>
      </w:r>
      <w:r>
        <w:rPr>
          <w:spacing w:val="-1"/>
        </w:rPr>
        <w:t>万股股份上市流通日期为</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27</w:t>
      </w:r>
      <w:r>
        <w:rPr>
          <w:spacing w:val="-1"/>
        </w:rPr>
        <w:t>日，久其转债</w:t>
      </w:r>
      <w:r>
        <w:rPr>
          <w:spacing w:val="-75"/>
        </w:rPr>
        <w:t> </w:t>
      </w:r>
      <w:r>
        <w:rPr>
          <w:spacing w:val="-75"/>
        </w:rPr>
      </w:r>
      <w:r>
        <w:rPr/>
        <w:t>的转股价格于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日由初始的</w:t>
      </w:r>
      <w:r>
        <w:rPr>
          <w:rFonts w:ascii="Times New Roman" w:hAnsi="Times New Roman" w:cs="Times New Roman" w:eastAsia="Times New Roman" w:hint="default"/>
        </w:rPr>
        <w:t>12.97</w:t>
      </w:r>
      <w:r>
        <w:rPr/>
        <w:t>元</w:t>
      </w:r>
      <w:r>
        <w:rPr>
          <w:rFonts w:ascii="Times New Roman" w:hAnsi="Times New Roman" w:cs="Times New Roman" w:eastAsia="Times New Roman" w:hint="default"/>
        </w:rPr>
        <w:t>/</w:t>
      </w:r>
      <w:r>
        <w:rPr/>
        <w:t>股调整至</w:t>
      </w:r>
      <w:r>
        <w:rPr>
          <w:rFonts w:ascii="Times New Roman" w:hAnsi="Times New Roman" w:cs="Times New Roman" w:eastAsia="Times New Roman" w:hint="default"/>
        </w:rPr>
        <w:t>12.90</w:t>
      </w:r>
      <w:r>
        <w:rPr/>
        <w:t>元</w:t>
      </w:r>
      <w:r>
        <w:rPr>
          <w:rFonts w:ascii="Times New Roman" w:hAnsi="Times New Roman" w:cs="Times New Roman" w:eastAsia="Times New Roman" w:hint="default"/>
        </w:rPr>
        <w:t>/</w:t>
      </w:r>
      <w:r>
        <w:rPr/>
        <w:t>股。公司实施</w:t>
      </w:r>
      <w:r>
        <w:rPr>
          <w:rFonts w:ascii="Times New Roman" w:hAnsi="Times New Roman" w:cs="Times New Roman" w:eastAsia="Times New Roman" w:hint="default"/>
        </w:rPr>
        <w:t>2017</w:t>
      </w:r>
      <w:r>
        <w:rPr/>
        <w:t>年年度权益分派方案，以权益分派股权登 </w:t>
      </w:r>
      <w:r>
        <w:rPr>
          <w:spacing w:val="-1"/>
        </w:rPr>
        <w:t>记日（即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3</w:t>
      </w:r>
      <w:r>
        <w:rPr>
          <w:spacing w:val="-1"/>
        </w:rPr>
        <w:t>日）的总股本为基数向全体股东每</w:t>
      </w:r>
      <w:r>
        <w:rPr>
          <w:rFonts w:ascii="Times New Roman" w:hAnsi="Times New Roman" w:cs="Times New Roman" w:eastAsia="Times New Roman" w:hint="default"/>
          <w:spacing w:val="-1"/>
        </w:rPr>
        <w:t>10</w:t>
      </w:r>
      <w:r>
        <w:rPr>
          <w:spacing w:val="-1"/>
        </w:rPr>
        <w:t>股派发</w:t>
      </w:r>
      <w:r>
        <w:rPr>
          <w:rFonts w:ascii="Times New Roman" w:hAnsi="Times New Roman" w:cs="Times New Roman" w:eastAsia="Times New Roman" w:hint="default"/>
          <w:spacing w:val="-1"/>
        </w:rPr>
        <w:t>0.30</w:t>
      </w:r>
      <w:r>
        <w:rPr>
          <w:spacing w:val="-1"/>
        </w:rPr>
        <w:t>元（含税）现金股利。此外，公司不送红股，不以资本</w:t>
      </w:r>
      <w:r>
        <w:rPr>
          <w:spacing w:val="-75"/>
        </w:rPr>
        <w:t> </w:t>
      </w:r>
      <w:r>
        <w:rPr>
          <w:spacing w:val="-75"/>
        </w:rPr>
      </w:r>
      <w:r>
        <w:rPr/>
        <w:t>公积金转增股本，除息日（即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4</w:t>
      </w:r>
      <w:r>
        <w:rPr/>
        <w:t>日）久其转债转股价格由</w:t>
      </w:r>
      <w:r>
        <w:rPr>
          <w:rFonts w:ascii="Times New Roman" w:hAnsi="Times New Roman" w:cs="Times New Roman" w:eastAsia="Times New Roman" w:hint="default"/>
        </w:rPr>
        <w:t>12.90</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12.87</w:t>
      </w:r>
      <w:r>
        <w:rPr/>
        <w:t>元</w:t>
      </w:r>
      <w:r>
        <w:rPr>
          <w:rFonts w:ascii="Times New Roman" w:hAnsi="Times New Roman" w:cs="Times New Roman" w:eastAsia="Times New Roman" w:hint="default"/>
        </w:rPr>
        <w:t>/</w:t>
      </w:r>
      <w:r>
        <w:rPr/>
        <w:t>股，调整后的价格于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 </w:t>
      </w:r>
      <w:r>
        <w:rPr>
          <w:rFonts w:ascii="Times New Roman" w:hAnsi="Times New Roman" w:cs="Times New Roman" w:eastAsia="Times New Roman" w:hint="default"/>
          <w:spacing w:val="2"/>
        </w:rPr>
        <w:t>4</w:t>
      </w:r>
      <w:r>
        <w:rPr>
          <w:spacing w:val="2"/>
        </w:rPr>
        <w:t>日起生效。公司股权激励计划预留限制性股票完成登记并于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7</w:t>
      </w:r>
      <w:r>
        <w:rPr>
          <w:spacing w:val="2"/>
        </w:rPr>
        <w:t>日上市，久其转债转股价格由</w:t>
      </w:r>
      <w:r>
        <w:rPr>
          <w:rFonts w:ascii="Times New Roman" w:hAnsi="Times New Roman" w:cs="Times New Roman" w:eastAsia="Times New Roman" w:hint="default"/>
          <w:spacing w:val="2"/>
        </w:rPr>
        <w:t>12.87</w:t>
      </w:r>
      <w:r>
        <w:rPr>
          <w:spacing w:val="2"/>
        </w:rPr>
        <w:t>元</w:t>
      </w:r>
      <w:r>
        <w:rPr>
          <w:rFonts w:ascii="Times New Roman" w:hAnsi="Times New Roman" w:cs="Times New Roman" w:eastAsia="Times New Roman" w:hint="default"/>
          <w:spacing w:val="2"/>
        </w:rPr>
        <w:t>/</w:t>
      </w:r>
      <w:r>
        <w:rPr>
          <w:spacing w:val="2"/>
        </w:rPr>
        <w:t>股调整为</w:t>
      </w:r>
    </w:p>
    <w:p>
      <w:pPr>
        <w:pStyle w:val="BodyText"/>
        <w:spacing w:line="300" w:lineRule="auto" w:before="7"/>
        <w:ind w:right="1128"/>
        <w:jc w:val="both"/>
      </w:pPr>
      <w:r>
        <w:rPr>
          <w:rFonts w:ascii="Times New Roman" w:hAnsi="Times New Roman" w:cs="Times New Roman" w:eastAsia="Times New Roman" w:hint="default"/>
          <w:spacing w:val="-1"/>
        </w:rPr>
        <w:t>12.86</w:t>
      </w:r>
      <w:r>
        <w:rPr>
          <w:spacing w:val="-1"/>
        </w:rPr>
        <w:t>元</w:t>
      </w:r>
      <w:r>
        <w:rPr>
          <w:rFonts w:ascii="Times New Roman" w:hAnsi="Times New Roman" w:cs="Times New Roman" w:eastAsia="Times New Roman" w:hint="default"/>
          <w:spacing w:val="-1"/>
        </w:rPr>
        <w:t>/</w:t>
      </w:r>
      <w:r>
        <w:rPr>
          <w:spacing w:val="-1"/>
        </w:rPr>
        <w:t>股，调整后的价格已于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7</w:t>
      </w:r>
      <w:r>
        <w:rPr>
          <w:spacing w:val="-1"/>
        </w:rPr>
        <w:t>日起生效。</w:t>
      </w:r>
      <w:r>
        <w:rPr>
          <w:rFonts w:ascii="Times New Roman" w:hAnsi="Times New Roman" w:cs="Times New Roman" w:eastAsia="Times New Roman" w:hint="default"/>
          <w:spacing w:val="-1"/>
        </w:rPr>
        <w:t>2019</w:t>
      </w:r>
      <w:r>
        <w:rPr>
          <w:spacing w:val="-1"/>
        </w:rPr>
        <w:t>年度，久其转债转股价格由</w:t>
      </w:r>
      <w:r>
        <w:rPr>
          <w:rFonts w:ascii="Times New Roman" w:hAnsi="Times New Roman" w:cs="Times New Roman" w:eastAsia="Times New Roman" w:hint="default"/>
          <w:spacing w:val="-1"/>
        </w:rPr>
        <w:t>12.86</w:t>
      </w:r>
      <w:r>
        <w:rPr>
          <w:spacing w:val="-1"/>
        </w:rPr>
        <w:t>元</w:t>
      </w:r>
      <w:r>
        <w:rPr>
          <w:rFonts w:ascii="Times New Roman" w:hAnsi="Times New Roman" w:cs="Times New Roman" w:eastAsia="Times New Roman" w:hint="default"/>
          <w:spacing w:val="-1"/>
        </w:rPr>
        <w:t>/</w:t>
      </w:r>
      <w:r>
        <w:rPr>
          <w:spacing w:val="-1"/>
        </w:rPr>
        <w:t>股向下修正为</w:t>
      </w:r>
      <w:r>
        <w:rPr>
          <w:rFonts w:ascii="Times New Roman" w:hAnsi="Times New Roman" w:cs="Times New Roman" w:eastAsia="Times New Roman" w:hint="default"/>
          <w:spacing w:val="-1"/>
        </w:rPr>
        <w:t>9.48</w:t>
      </w:r>
      <w:r>
        <w:rPr>
          <w:spacing w:val="-1"/>
        </w:rPr>
        <w:t>元</w:t>
      </w:r>
      <w:r>
        <w:rPr>
          <w:rFonts w:ascii="Times New Roman" w:hAnsi="Times New Roman" w:cs="Times New Roman" w:eastAsia="Times New Roman" w:hint="default"/>
          <w:spacing w:val="-1"/>
        </w:rPr>
        <w:t>/</w:t>
      </w:r>
      <w:r>
        <w:rPr>
          <w:spacing w:val="-1"/>
        </w:rPr>
        <w:t>股，调</w:t>
      </w:r>
      <w:r>
        <w:rPr>
          <w:spacing w:val="-36"/>
        </w:rPr>
        <w:t> </w:t>
      </w:r>
      <w:r>
        <w:rPr>
          <w:spacing w:val="-36"/>
        </w:rPr>
      </w:r>
      <w:r>
        <w:rPr/>
        <w:t>整后的价格已于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日起生效。</w:t>
      </w:r>
    </w:p>
    <w:p>
      <w:pPr>
        <w:pStyle w:val="BodyText"/>
        <w:spacing w:line="300" w:lineRule="auto" w:before="13"/>
        <w:ind w:right="1131"/>
        <w:jc w:val="both"/>
      </w:pPr>
      <w:r>
        <w:rPr>
          <w:spacing w:val="-3"/>
        </w:rPr>
        <w:t>④本公司对发行的可转债中的负债成份和权益成分进行了分拆，在考虑发行费用后，计入负债部分公允价值为</w:t>
      </w:r>
      <w:r>
        <w:rPr>
          <w:rFonts w:ascii="Times New Roman" w:hAnsi="Times New Roman" w:cs="Times New Roman" w:eastAsia="Times New Roman" w:hint="default"/>
          <w:spacing w:val="-3"/>
        </w:rPr>
        <w:t>611,192,859.76</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t>元，计入权益部分公允价值为</w:t>
      </w:r>
      <w:r>
        <w:rPr>
          <w:rFonts w:ascii="Times New Roman" w:hAnsi="Times New Roman" w:cs="Times New Roman" w:eastAsia="Times New Roman" w:hint="default"/>
        </w:rPr>
        <w:t>154,607,993.81</w:t>
      </w:r>
      <w:r>
        <w:rPr/>
        <w:t>元，合计</w:t>
      </w:r>
      <w:r>
        <w:rPr>
          <w:rFonts w:ascii="Times New Roman" w:hAnsi="Times New Roman" w:cs="Times New Roman" w:eastAsia="Times New Roman" w:hint="default"/>
        </w:rPr>
        <w:t>765,800,853.57</w:t>
      </w:r>
      <w:r>
        <w:rPr/>
        <w:t>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日，可转债计入负债部分的公允 </w:t>
      </w:r>
      <w:r>
        <w:rPr>
          <w:spacing w:val="-2"/>
        </w:rPr>
        <w:t>价值为</w:t>
      </w:r>
      <w:r>
        <w:rPr>
          <w:rFonts w:ascii="Times New Roman" w:hAnsi="Times New Roman" w:cs="Times New Roman" w:eastAsia="Times New Roman" w:hint="default"/>
          <w:spacing w:val="-2"/>
        </w:rPr>
        <w:t>693,941,430.14</w:t>
      </w:r>
      <w:r>
        <w:rPr>
          <w:spacing w:val="-2"/>
        </w:rPr>
        <w:t>元，其中按面值计提的利息</w:t>
      </w:r>
      <w:r>
        <w:rPr>
          <w:rFonts w:ascii="Times New Roman" w:hAnsi="Times New Roman" w:cs="Times New Roman" w:eastAsia="Times New Roman" w:hint="default"/>
          <w:spacing w:val="-2"/>
        </w:rPr>
        <w:t>4,498,845.76</w:t>
      </w:r>
      <w:r>
        <w:rPr>
          <w:spacing w:val="-2"/>
        </w:rPr>
        <w:t>元计入</w:t>
      </w:r>
      <w:r>
        <w:rPr>
          <w:rFonts w:ascii="Times New Roman" w:hAnsi="Times New Roman" w:cs="Times New Roman" w:eastAsia="Times New Roman" w:hint="default"/>
          <w:spacing w:val="-2"/>
        </w:rPr>
        <w:t>1</w:t>
      </w:r>
      <w:r>
        <w:rPr>
          <w:spacing w:val="-2"/>
        </w:rPr>
        <w:t>年内到期的应付债券（详见本节“七、合并财务报表项</w:t>
      </w:r>
      <w:r>
        <w:rPr>
          <w:spacing w:val="-44"/>
        </w:rPr>
        <w:t> </w:t>
      </w:r>
      <w:r>
        <w:rPr>
          <w:spacing w:val="-44"/>
        </w:rPr>
      </w:r>
      <w:r>
        <w:rPr/>
        <w:t>目注释 </w:t>
      </w:r>
      <w:r>
        <w:rPr>
          <w:rFonts w:ascii="Times New Roman" w:hAnsi="Times New Roman" w:cs="Times New Roman" w:eastAsia="Times New Roman" w:hint="default"/>
        </w:rPr>
        <w:t>27</w:t>
      </w:r>
      <w:r>
        <w:rPr/>
        <w:t>、一年内到期的非流动负债”）。可转债计入权益部分的情况详见本节“七、合并财务报表项目注释</w:t>
      </w:r>
      <w:r>
        <w:rPr>
          <w:spacing w:val="-66"/>
        </w:rPr>
        <w:t> </w:t>
      </w:r>
      <w:r>
        <w:rPr>
          <w:rFonts w:ascii="Times New Roman" w:hAnsi="Times New Roman" w:cs="Times New Roman" w:eastAsia="Times New Roman" w:hint="default"/>
          <w:spacing w:val="-3"/>
        </w:rPr>
        <w:t>33</w:t>
      </w:r>
      <w:r>
        <w:rPr>
          <w:spacing w:val="-3"/>
        </w:rPr>
        <w:t>、其他权</w:t>
      </w:r>
      <w:r>
        <w:rPr/>
        <w:t> 益工具”。</w:t>
      </w:r>
    </w:p>
    <w:p>
      <w:pPr>
        <w:pStyle w:val="BodyText"/>
        <w:spacing w:line="300" w:lineRule="auto" w:before="31"/>
        <w:ind w:right="1131"/>
        <w:jc w:val="both"/>
      </w:pPr>
      <w:r>
        <w:rPr>
          <w:spacing w:val="2"/>
        </w:rPr>
        <w:t>⑤截至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日，久其转债因转股累计减少</w:t>
      </w:r>
      <w:r>
        <w:rPr>
          <w:rFonts w:ascii="Times New Roman" w:hAnsi="Times New Roman" w:cs="Times New Roman" w:eastAsia="Times New Roman" w:hint="default"/>
          <w:spacing w:val="2"/>
        </w:rPr>
        <w:t>132,800.00</w:t>
      </w:r>
      <w:r>
        <w:rPr>
          <w:spacing w:val="2"/>
        </w:rPr>
        <w:t>元（</w:t>
      </w:r>
      <w:r>
        <w:rPr>
          <w:rFonts w:ascii="Times New Roman" w:hAnsi="Times New Roman" w:cs="Times New Roman" w:eastAsia="Times New Roman" w:hint="default"/>
          <w:spacing w:val="2"/>
        </w:rPr>
        <w:t>1,328</w:t>
      </w:r>
      <w:r>
        <w:rPr>
          <w:spacing w:val="2"/>
        </w:rPr>
        <w:t>张），转股数量</w:t>
      </w:r>
      <w:r>
        <w:rPr>
          <w:rFonts w:ascii="Times New Roman" w:hAnsi="Times New Roman" w:cs="Times New Roman" w:eastAsia="Times New Roman" w:hint="default"/>
          <w:spacing w:val="2"/>
        </w:rPr>
        <w:t>10,290</w:t>
      </w:r>
      <w:r>
        <w:rPr>
          <w:spacing w:val="2"/>
        </w:rPr>
        <w:t>股；剩余可转债的面值余额</w:t>
      </w:r>
      <w:r>
        <w:rPr>
          <w:spacing w:val="-70"/>
        </w:rPr>
        <w:t> </w:t>
      </w:r>
      <w:r>
        <w:rPr>
          <w:spacing w:val="-70"/>
        </w:rPr>
      </w:r>
      <w:r>
        <w:rPr>
          <w:rFonts w:ascii="Times New Roman" w:hAnsi="Times New Roman" w:cs="Times New Roman" w:eastAsia="Times New Roman" w:hint="default"/>
        </w:rPr>
        <w:t>779,867,200</w:t>
      </w:r>
      <w:r>
        <w:rPr/>
        <w:t>元（</w:t>
      </w:r>
      <w:r>
        <w:rPr>
          <w:rFonts w:ascii="Times New Roman" w:hAnsi="Times New Roman" w:cs="Times New Roman" w:eastAsia="Times New Roman" w:hint="default"/>
        </w:rPr>
        <w:t>7,798,672</w:t>
      </w:r>
      <w:r>
        <w:rPr/>
        <w:t>张）。</w:t>
      </w:r>
      <w:r>
        <w:rPr>
          <w:rFonts w:ascii="Times New Roman" w:hAnsi="Times New Roman" w:cs="Times New Roman" w:eastAsia="Times New Roman" w:hint="default"/>
        </w:rPr>
        <w:t>2019</w:t>
      </w:r>
      <w:r>
        <w:rPr/>
        <w:t>年度，久其转债因转股减少</w:t>
      </w:r>
      <w:r>
        <w:rPr>
          <w:rFonts w:ascii="Times New Roman" w:hAnsi="Times New Roman" w:cs="Times New Roman" w:eastAsia="Times New Roman" w:hint="default"/>
        </w:rPr>
        <w:t>279,500</w:t>
      </w:r>
      <w:r>
        <w:rPr/>
        <w:t>元（</w:t>
      </w:r>
      <w:r>
        <w:rPr>
          <w:rFonts w:ascii="Times New Roman" w:hAnsi="Times New Roman" w:cs="Times New Roman" w:eastAsia="Times New Roman" w:hint="default"/>
        </w:rPr>
        <w:t>2,795</w:t>
      </w:r>
      <w:r>
        <w:rPr/>
        <w:t>张），转股数量</w:t>
      </w:r>
      <w:r>
        <w:rPr>
          <w:rFonts w:ascii="Times New Roman" w:hAnsi="Times New Roman" w:cs="Times New Roman" w:eastAsia="Times New Roman" w:hint="default"/>
        </w:rPr>
        <w:t>27,164</w:t>
      </w:r>
      <w:r>
        <w:rPr/>
        <w:t>股。截至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16"/>
        </w:rPr>
        <w:t> </w:t>
      </w:r>
      <w:r>
        <w:rPr/>
        <w:t>月</w:t>
      </w:r>
      <w:r>
        <w:rPr>
          <w:rFonts w:ascii="Times New Roman" w:hAnsi="Times New Roman" w:cs="Times New Roman" w:eastAsia="Times New Roman" w:hint="default"/>
        </w:rPr>
        <w:t>31</w:t>
      </w:r>
      <w:r>
        <w:rPr/>
        <w:t>日，剩余可转债的面值余额</w:t>
      </w:r>
      <w:r>
        <w:rPr>
          <w:rFonts w:ascii="Times New Roman" w:hAnsi="Times New Roman" w:cs="Times New Roman" w:eastAsia="Times New Roman" w:hint="default"/>
        </w:rPr>
        <w:t>779,587,700.00</w:t>
      </w:r>
      <w:r>
        <w:rPr/>
        <w:t>元（</w:t>
      </w:r>
      <w:r>
        <w:rPr>
          <w:rFonts w:ascii="Times New Roman" w:hAnsi="Times New Roman" w:cs="Times New Roman" w:eastAsia="Times New Roman" w:hint="default"/>
        </w:rPr>
        <w:t>7,795,877</w:t>
      </w:r>
      <w:r>
        <w:rPr/>
        <w:t>张）。</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bookmarkStart w:name="31、递延收益" w:id="295"/>
      <w:bookmarkEnd w:id="295"/>
      <w:r>
        <w:rPr>
          <w:b w:val="0"/>
          <w:bCs w:val="0"/>
        </w:rPr>
      </w:r>
      <w:r>
        <w:rPr>
          <w:rFonts w:ascii="Times New Roman" w:hAnsi="Times New Roman" w:cs="Times New Roman" w:eastAsia="Times New Roman" w:hint="default"/>
        </w:rPr>
        <w:t>31</w:t>
      </w:r>
      <w:r>
        <w:rPr/>
        <w:t>、递延收益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31" w:type="dxa"/>
        <w:tblLayout w:type="fixed"/>
        <w:tblCellMar>
          <w:top w:w="0" w:type="dxa"/>
          <w:left w:w="0" w:type="dxa"/>
          <w:bottom w:w="0" w:type="dxa"/>
          <w:right w:w="0" w:type="dxa"/>
        </w:tblCellMar>
        <w:tblLook w:val="01E0"/>
      </w:tblPr>
      <w:tblGrid>
        <w:gridCol w:w="1061"/>
        <w:gridCol w:w="1406"/>
        <w:gridCol w:w="1083"/>
        <w:gridCol w:w="1397"/>
        <w:gridCol w:w="1395"/>
        <w:gridCol w:w="3344"/>
      </w:tblGrid>
      <w:tr>
        <w:trPr>
          <w:trHeight w:val="401"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4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9,548,582.02</w:t>
            </w:r>
          </w:p>
        </w:tc>
        <w:tc>
          <w:tcPr>
            <w:tcW w:w="108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3,927,541.92</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5,621,040.10</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与资产相关的补助未摊销完毕</w:t>
            </w:r>
          </w:p>
        </w:tc>
      </w:tr>
      <w:tr>
        <w:trPr>
          <w:trHeight w:val="403"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9,548,582.02</w:t>
            </w:r>
          </w:p>
        </w:tc>
        <w:tc>
          <w:tcPr>
            <w:tcW w:w="108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3,927,541.92</w:t>
            </w:r>
          </w:p>
        </w:tc>
        <w:tc>
          <w:tcPr>
            <w:tcW w:w="1395"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5,621,040.10</w:t>
            </w:r>
          </w:p>
        </w:tc>
        <w:tc>
          <w:tcPr>
            <w:tcW w:w="3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15"/>
        <w:jc w:val="left"/>
      </w:pPr>
      <w:r>
        <w:rPr/>
        <w:t>涉及政府补助的项目：</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455"/>
        <w:gridCol w:w="1010"/>
        <w:gridCol w:w="893"/>
        <w:gridCol w:w="1171"/>
        <w:gridCol w:w="1455"/>
        <w:gridCol w:w="1078"/>
        <w:gridCol w:w="518"/>
        <w:gridCol w:w="1011"/>
        <w:gridCol w:w="1106"/>
      </w:tblGrid>
      <w:tr>
        <w:trPr>
          <w:trHeight w:val="713"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1" w:right="80"/>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31" w:right="38" w:hanging="92"/>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53" w:right="89" w:hanging="360"/>
              <w:jc w:val="left"/>
              <w:rPr>
                <w:rFonts w:ascii="宋体" w:hAnsi="宋体" w:cs="宋体" w:eastAsia="宋体" w:hint="default"/>
                <w:sz w:val="18"/>
                <w:szCs w:val="18"/>
              </w:rPr>
            </w:pPr>
            <w:r>
              <w:rPr>
                <w:rFonts w:ascii="宋体" w:hAnsi="宋体" w:cs="宋体" w:eastAsia="宋体" w:hint="default"/>
                <w:sz w:val="18"/>
                <w:szCs w:val="18"/>
              </w:rPr>
              <w:t>本期计入其他收 益金额</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4" w:right="83"/>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6" w:right="71"/>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98" w:right="72"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5"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久其智慧物流公 共服务平台项目</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3,596,539.99</w:t>
            </w:r>
          </w:p>
        </w:tc>
        <w:tc>
          <w:tcPr>
            <w:tcW w:w="893"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1,489,129.68</w:t>
            </w:r>
          </w:p>
        </w:tc>
        <w:tc>
          <w:tcPr>
            <w:tcW w:w="107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2,107,410.31</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工程实验室</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5,952,042.03</w:t>
            </w:r>
          </w:p>
        </w:tc>
        <w:tc>
          <w:tcPr>
            <w:tcW w:w="893"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2,438,412.24</w:t>
            </w:r>
          </w:p>
        </w:tc>
        <w:tc>
          <w:tcPr>
            <w:tcW w:w="107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3,513,629.79</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32、股本" w:id="296"/>
      <w:bookmarkEnd w:id="296"/>
      <w:r>
        <w:rPr>
          <w:b w:val="0"/>
          <w:bCs w:val="0"/>
        </w:rPr>
      </w:r>
      <w:r>
        <w:rPr>
          <w:rFonts w:ascii="Times New Roman" w:hAnsi="Times New Roman" w:cs="Times New Roman" w:eastAsia="Times New Roman" w:hint="default"/>
        </w:rPr>
        <w:t>32</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1210"/>
        <w:gridCol w:w="1184"/>
        <w:gridCol w:w="1195"/>
        <w:gridCol w:w="1198"/>
        <w:gridCol w:w="1195"/>
        <w:gridCol w:w="1185"/>
        <w:gridCol w:w="1208"/>
      </w:tblGrid>
      <w:tr>
        <w:trPr>
          <w:trHeight w:val="204" w:hRule="exact"/>
        </w:trPr>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7"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711,226,578.00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3" w:right="0"/>
              <w:jc w:val="left"/>
              <w:rPr>
                <w:rFonts w:ascii="Times New Roman" w:hAnsi="Times New Roman" w:cs="Times New Roman" w:eastAsia="Times New Roman" w:hint="default"/>
                <w:sz w:val="18"/>
                <w:szCs w:val="18"/>
              </w:rPr>
            </w:pPr>
            <w:r>
              <w:rPr>
                <w:rFonts w:ascii="Times New Roman"/>
                <w:sz w:val="18"/>
              </w:rPr>
              <w:t>27,164.00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3" w:right="0"/>
              <w:jc w:val="left"/>
              <w:rPr>
                <w:rFonts w:ascii="Times New Roman" w:hAnsi="Times New Roman" w:cs="Times New Roman" w:eastAsia="Times New Roman" w:hint="default"/>
                <w:sz w:val="18"/>
                <w:szCs w:val="18"/>
              </w:rPr>
            </w:pPr>
            <w:r>
              <w:rPr>
                <w:rFonts w:ascii="Times New Roman"/>
                <w:sz w:val="18"/>
              </w:rPr>
              <w:t>27,164.00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711,253,742.00</w:t>
            </w:r>
          </w:p>
        </w:tc>
      </w:tr>
    </w:tbl>
    <w:p>
      <w:pPr>
        <w:pStyle w:val="BodyText"/>
        <w:spacing w:line="240" w:lineRule="auto" w:before="49"/>
        <w:ind w:right="1115"/>
        <w:jc w:val="left"/>
      </w:pPr>
      <w:r>
        <w:rPr/>
        <w:t>其他说明：</w:t>
      </w: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t>年度，久其转债发生转股减少</w:t>
      </w:r>
      <w:r>
        <w:rPr>
          <w:spacing w:val="-47"/>
        </w:rPr>
        <w:t> </w:t>
      </w:r>
      <w:r>
        <w:rPr>
          <w:rFonts w:ascii="Times New Roman" w:hAnsi="Times New Roman" w:cs="Times New Roman" w:eastAsia="Times New Roman" w:hint="default"/>
        </w:rPr>
        <w:t>279,500</w:t>
      </w:r>
      <w:r>
        <w:rPr>
          <w:rFonts w:ascii="Times New Roman" w:hAnsi="Times New Roman" w:cs="Times New Roman" w:eastAsia="Times New Roman" w:hint="default"/>
          <w:spacing w:val="-10"/>
        </w:rPr>
        <w:t> </w:t>
      </w:r>
      <w:r>
        <w:rPr/>
        <w:t>元（</w:t>
      </w:r>
      <w:r>
        <w:rPr>
          <w:rFonts w:ascii="Times New Roman" w:hAnsi="Times New Roman" w:cs="Times New Roman" w:eastAsia="Times New Roman" w:hint="default"/>
        </w:rPr>
        <w:t>2,795</w:t>
      </w:r>
      <w:r>
        <w:rPr>
          <w:rFonts w:ascii="Times New Roman" w:hAnsi="Times New Roman" w:cs="Times New Roman" w:eastAsia="Times New Roman" w:hint="default"/>
          <w:spacing w:val="-10"/>
        </w:rPr>
        <w:t> </w:t>
      </w:r>
      <w:r>
        <w:rPr/>
        <w:t>张），转股数量</w:t>
      </w:r>
      <w:r>
        <w:rPr>
          <w:spacing w:val="-48"/>
        </w:rPr>
        <w:t> </w:t>
      </w:r>
      <w:r>
        <w:rPr>
          <w:rFonts w:ascii="Times New Roman" w:hAnsi="Times New Roman" w:cs="Times New Roman" w:eastAsia="Times New Roman" w:hint="default"/>
        </w:rPr>
        <w:t>27,164</w:t>
      </w:r>
      <w:r>
        <w:rPr>
          <w:rFonts w:ascii="Times New Roman" w:hAnsi="Times New Roman" w:cs="Times New Roman" w:eastAsia="Times New Roman" w:hint="default"/>
          <w:spacing w:val="-10"/>
        </w:rPr>
        <w:t> </w:t>
      </w:r>
      <w:r>
        <w:rPr>
          <w:spacing w:val="-3"/>
        </w:rPr>
        <w:t>股。</w:t>
      </w:r>
      <w:r>
        <w:rPr/>
      </w:r>
    </w:p>
    <w:p>
      <w:pPr>
        <w:spacing w:line="240" w:lineRule="auto" w:before="2"/>
        <w:rPr>
          <w:rFonts w:ascii="宋体" w:hAnsi="宋体" w:cs="宋体" w:eastAsia="宋体" w:hint="default"/>
          <w:sz w:val="26"/>
          <w:szCs w:val="26"/>
        </w:rPr>
      </w:pPr>
    </w:p>
    <w:p>
      <w:pPr>
        <w:pStyle w:val="Heading3"/>
        <w:spacing w:line="240" w:lineRule="auto"/>
        <w:ind w:right="1115"/>
        <w:jc w:val="left"/>
        <w:rPr>
          <w:b w:val="0"/>
          <w:bCs w:val="0"/>
        </w:rPr>
      </w:pPr>
      <w:bookmarkStart w:name="33、其他权益工具" w:id="297"/>
      <w:bookmarkEnd w:id="297"/>
      <w:r>
        <w:rPr>
          <w:b w:val="0"/>
          <w:bCs w:val="0"/>
        </w:rPr>
      </w:r>
      <w:r>
        <w:rPr>
          <w:rFonts w:ascii="Times New Roman" w:hAnsi="Times New Roman" w:cs="Times New Roman" w:eastAsia="Times New Roman" w:hint="default"/>
        </w:rPr>
        <w:t>33</w:t>
      </w:r>
      <w:r>
        <w:rPr/>
        <w:t>、其他权益工具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5"/>
        <w:jc w:val="left"/>
        <w:rPr>
          <w:b w:val="0"/>
          <w:bCs w:val="0"/>
        </w:rPr>
      </w:pPr>
      <w:bookmarkStart w:name="（1）期末发行在外的优先股、永续债等金融工具变动情况表" w:id="298"/>
      <w:bookmarkEnd w:id="298"/>
      <w:r>
        <w:rPr>
          <w:b w:val="0"/>
          <w:bCs w:val="0"/>
        </w:rPr>
      </w:r>
      <w:r>
        <w:rPr/>
        <w:t>（</w:t>
      </w:r>
      <w:r>
        <w:rPr>
          <w:rFonts w:ascii="Times New Roman" w:hAnsi="Times New Roman" w:cs="Times New Roman" w:eastAsia="Times New Roman" w:hint="default"/>
        </w:rPr>
        <w:t>1</w:t>
      </w:r>
      <w:r>
        <w:rPr/>
        <w:t>）期末发行在外的优先股、永续债等金融工具变动情况表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028"/>
        <w:gridCol w:w="939"/>
        <w:gridCol w:w="1428"/>
        <w:gridCol w:w="504"/>
        <w:gridCol w:w="939"/>
        <w:gridCol w:w="554"/>
        <w:gridCol w:w="938"/>
        <w:gridCol w:w="939"/>
        <w:gridCol w:w="1428"/>
      </w:tblGrid>
      <w:tr>
        <w:trPr>
          <w:trHeight w:val="401" w:hRule="exact"/>
        </w:trPr>
        <w:tc>
          <w:tcPr>
            <w:tcW w:w="20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发行在外的金融工具</w:t>
            </w:r>
          </w:p>
        </w:tc>
        <w:tc>
          <w:tcPr>
            <w:tcW w:w="23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44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3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3" w:hRule="exact"/>
        </w:trPr>
        <w:tc>
          <w:tcPr>
            <w:tcW w:w="2028" w:type="dxa"/>
            <w:vMerge/>
            <w:tcBorders>
              <w:left w:val="single" w:sz="4" w:space="0" w:color="000000"/>
              <w:bottom w:val="single" w:sz="4" w:space="0" w:color="000000"/>
              <w:right w:val="single" w:sz="4" w:space="0" w:color="000000"/>
            </w:tcBorders>
            <w:shd w:val="clear" w:color="auto" w:fill="D2D2D2"/>
          </w:tcPr>
          <w:p>
            <w:pPr/>
          </w:p>
        </w:tc>
        <w:tc>
          <w:tcPr>
            <w:tcW w:w="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可转债权益部分</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7,798,672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154,587,824.25</w:t>
            </w:r>
          </w:p>
        </w:tc>
        <w:tc>
          <w:tcPr>
            <w:tcW w:w="504"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2,795</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55,389.38</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7,795,877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154,532,434.87</w:t>
            </w:r>
          </w:p>
        </w:tc>
      </w:tr>
      <w:tr>
        <w:trPr>
          <w:trHeight w:val="403" w:hRule="exact"/>
        </w:trPr>
        <w:tc>
          <w:tcPr>
            <w:tcW w:w="2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7,798,672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154,587,824.25</w:t>
            </w:r>
          </w:p>
        </w:tc>
        <w:tc>
          <w:tcPr>
            <w:tcW w:w="504"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2,795</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55,389.38</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7,795,877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154,532,434.87</w:t>
            </w:r>
          </w:p>
        </w:tc>
      </w:tr>
    </w:tbl>
    <w:p>
      <w:pPr>
        <w:pStyle w:val="BodyText"/>
        <w:spacing w:line="240" w:lineRule="auto" w:before="49"/>
        <w:ind w:right="0"/>
        <w:jc w:val="both"/>
      </w:pPr>
      <w:r>
        <w:rPr/>
        <w:t>其他权益工具本期增减变动情况、变动原因说明，以及相关会计处理的依据：</w:t>
      </w:r>
    </w:p>
    <w:p>
      <w:pPr>
        <w:pStyle w:val="BodyText"/>
        <w:spacing w:line="240" w:lineRule="auto" w:before="115"/>
        <w:ind w:right="0"/>
        <w:jc w:val="both"/>
      </w:pPr>
      <w:r>
        <w:rPr/>
        <w:t>本公司于</w:t>
      </w:r>
      <w:r>
        <w:rPr>
          <w:spacing w:val="-4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年第六届董事会第七次（临时）会议通过了关于公司公开发行可转换公司债券上市的议案，经中国证券监督</w:t>
      </w:r>
    </w:p>
    <w:p>
      <w:pPr>
        <w:pStyle w:val="BodyText"/>
        <w:spacing w:line="240" w:lineRule="auto" w:before="63"/>
        <w:ind w:right="0"/>
        <w:jc w:val="both"/>
      </w:pPr>
      <w:r>
        <w:rPr/>
        <w:t>管理委员会“证监许可</w:t>
      </w:r>
      <w:r>
        <w:rPr>
          <w:rFonts w:ascii="Times New Roman" w:hAnsi="Times New Roman" w:cs="Times New Roman" w:eastAsia="Times New Roman" w:hint="default"/>
        </w:rPr>
        <w:t>[2017]392  </w:t>
      </w:r>
      <w:r>
        <w:rPr/>
        <w:t>号”文核准，公司于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8 </w:t>
      </w:r>
      <w:r>
        <w:rPr/>
        <w:t>日公开发行了 </w:t>
      </w:r>
      <w:r>
        <w:rPr>
          <w:rFonts w:ascii="Times New Roman" w:hAnsi="Times New Roman" w:cs="Times New Roman" w:eastAsia="Times New Roman" w:hint="default"/>
        </w:rPr>
        <w:t>780</w:t>
      </w:r>
      <w:r>
        <w:rPr>
          <w:rFonts w:ascii="Times New Roman" w:hAnsi="Times New Roman" w:cs="Times New Roman" w:eastAsia="Times New Roman" w:hint="default"/>
          <w:spacing w:val="19"/>
        </w:rPr>
        <w:t> </w:t>
      </w:r>
      <w:r>
        <w:rPr/>
        <w:t>万张可转换公司债券，每张面值</w:t>
      </w:r>
    </w:p>
    <w:p>
      <w:pPr>
        <w:pStyle w:val="BodyText"/>
        <w:spacing w:line="300" w:lineRule="auto" w:before="63"/>
        <w:ind w:right="1126"/>
        <w:jc w:val="both"/>
      </w:pPr>
      <w:r>
        <w:rPr>
          <w:rFonts w:ascii="Times New Roman" w:hAnsi="Times New Roman" w:cs="Times New Roman" w:eastAsia="Times New Roman" w:hint="default"/>
        </w:rPr>
        <w:t>100</w:t>
      </w:r>
      <w:r>
        <w:rPr>
          <w:rFonts w:ascii="Times New Roman" w:hAnsi="Times New Roman" w:cs="Times New Roman" w:eastAsia="Times New Roman" w:hint="default"/>
          <w:spacing w:val="43"/>
        </w:rPr>
        <w:t> </w:t>
      </w:r>
      <w:r>
        <w:rPr/>
        <w:t>元，发行总额</w:t>
      </w:r>
      <w:r>
        <w:rPr>
          <w:spacing w:val="-46"/>
        </w:rPr>
        <w:t> </w:t>
      </w:r>
      <w:r>
        <w:rPr>
          <w:rFonts w:ascii="Times New Roman" w:hAnsi="Times New Roman" w:cs="Times New Roman" w:eastAsia="Times New Roman" w:hint="default"/>
        </w:rPr>
        <w:t>78,000 </w:t>
      </w:r>
      <w:r>
        <w:rPr/>
        <w:t>万元，自</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15 </w:t>
      </w:r>
      <w:r>
        <w:rPr/>
        <w:t>日起可转换为公司股份。截至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日，久其转债因转股累 计减少</w:t>
      </w:r>
      <w:r>
        <w:rPr>
          <w:spacing w:val="-41"/>
        </w:rPr>
        <w:t> </w:t>
      </w:r>
      <w:r>
        <w:rPr>
          <w:rFonts w:ascii="Times New Roman" w:hAnsi="Times New Roman" w:cs="Times New Roman" w:eastAsia="Times New Roman" w:hint="default"/>
        </w:rPr>
        <w:t>132,800.00</w:t>
      </w:r>
      <w:r>
        <w:rPr>
          <w:rFonts w:ascii="Times New Roman" w:hAnsi="Times New Roman" w:cs="Times New Roman" w:eastAsia="Times New Roman" w:hint="default"/>
          <w:spacing w:val="5"/>
        </w:rPr>
        <w:t> </w:t>
      </w:r>
      <w:r>
        <w:rPr>
          <w:spacing w:val="-1"/>
        </w:rPr>
        <w:t>元（</w:t>
      </w:r>
      <w:r>
        <w:rPr>
          <w:rFonts w:ascii="Times New Roman" w:hAnsi="Times New Roman" w:cs="Times New Roman" w:eastAsia="Times New Roman" w:hint="default"/>
          <w:spacing w:val="-1"/>
        </w:rPr>
        <w:t>1,328</w:t>
      </w:r>
      <w:r>
        <w:rPr>
          <w:rFonts w:ascii="Times New Roman" w:hAnsi="Times New Roman" w:cs="Times New Roman" w:eastAsia="Times New Roman" w:hint="default"/>
          <w:spacing w:val="5"/>
        </w:rPr>
        <w:t> </w:t>
      </w:r>
      <w:r>
        <w:rPr>
          <w:spacing w:val="-8"/>
        </w:rPr>
        <w:t>张），剩余可转债的面值余额</w:t>
      </w:r>
      <w:r>
        <w:rPr>
          <w:spacing w:val="-41"/>
        </w:rPr>
        <w:t> </w:t>
      </w:r>
      <w:r>
        <w:rPr>
          <w:rFonts w:ascii="Times New Roman" w:hAnsi="Times New Roman" w:cs="Times New Roman" w:eastAsia="Times New Roman" w:hint="default"/>
        </w:rPr>
        <w:t>779,867,200</w:t>
      </w:r>
      <w:r>
        <w:rPr>
          <w:rFonts w:ascii="Times New Roman" w:hAnsi="Times New Roman" w:cs="Times New Roman" w:eastAsia="Times New Roman" w:hint="default"/>
          <w:spacing w:val="6"/>
        </w:rPr>
        <w:t> </w:t>
      </w:r>
      <w:r>
        <w:rPr>
          <w:spacing w:val="-1"/>
        </w:rPr>
        <w:t>元（</w:t>
      </w:r>
      <w:r>
        <w:rPr>
          <w:rFonts w:ascii="Times New Roman" w:hAnsi="Times New Roman" w:cs="Times New Roman" w:eastAsia="Times New Roman" w:hint="default"/>
          <w:spacing w:val="-1"/>
        </w:rPr>
        <w:t>7,798,672</w:t>
      </w:r>
      <w:r>
        <w:rPr>
          <w:rFonts w:ascii="Times New Roman" w:hAnsi="Times New Roman" w:cs="Times New Roman" w:eastAsia="Times New Roman" w:hint="default"/>
          <w:spacing w:val="5"/>
        </w:rPr>
        <w:t> </w:t>
      </w:r>
      <w:r>
        <w:rPr>
          <w:spacing w:val="-14"/>
        </w:rPr>
        <w:t>张）。</w:t>
      </w:r>
      <w:r>
        <w:rPr>
          <w:rFonts w:ascii="Times New Roman" w:hAnsi="Times New Roman" w:cs="Times New Roman" w:eastAsia="Times New Roman" w:hint="default"/>
          <w:spacing w:val="-14"/>
        </w:rPr>
        <w:t>2019</w:t>
      </w:r>
      <w:r>
        <w:rPr>
          <w:rFonts w:ascii="Times New Roman" w:hAnsi="Times New Roman" w:cs="Times New Roman" w:eastAsia="Times New Roman" w:hint="default"/>
          <w:spacing w:val="5"/>
        </w:rPr>
        <w:t> </w:t>
      </w:r>
      <w:r>
        <w:rPr/>
        <w:t>年第一季度，久其转债因转 股减少</w:t>
      </w:r>
      <w:r>
        <w:rPr>
          <w:spacing w:val="-41"/>
        </w:rPr>
        <w:t> </w:t>
      </w:r>
      <w:r>
        <w:rPr>
          <w:rFonts w:ascii="Times New Roman" w:hAnsi="Times New Roman" w:cs="Times New Roman" w:eastAsia="Times New Roman" w:hint="default"/>
        </w:rPr>
        <w:t>83,200</w:t>
      </w:r>
      <w:r>
        <w:rPr>
          <w:rFonts w:ascii="Times New Roman" w:hAnsi="Times New Roman" w:cs="Times New Roman" w:eastAsia="Times New Roman" w:hint="default"/>
          <w:spacing w:val="5"/>
        </w:rPr>
        <w:t> </w:t>
      </w:r>
      <w:r>
        <w:rPr>
          <w:spacing w:val="-1"/>
        </w:rPr>
        <w:t>元（</w:t>
      </w:r>
      <w:r>
        <w:rPr>
          <w:rFonts w:ascii="Times New Roman" w:hAnsi="Times New Roman" w:cs="Times New Roman" w:eastAsia="Times New Roman" w:hint="default"/>
          <w:spacing w:val="-1"/>
        </w:rPr>
        <w:t>832</w:t>
      </w:r>
      <w:r>
        <w:rPr>
          <w:rFonts w:ascii="Times New Roman" w:hAnsi="Times New Roman" w:cs="Times New Roman" w:eastAsia="Times New Roman" w:hint="default"/>
          <w:spacing w:val="4"/>
        </w:rPr>
        <w:t> </w:t>
      </w:r>
      <w:r>
        <w:rPr>
          <w:spacing w:val="-14"/>
        </w:rPr>
        <w:t>张）；</w:t>
      </w:r>
      <w:r>
        <w:rPr>
          <w:rFonts w:ascii="Times New Roman" w:hAnsi="Times New Roman" w:cs="Times New Roman" w:eastAsia="Times New Roman" w:hint="default"/>
          <w:spacing w:val="-14"/>
        </w:rPr>
        <w:t>2019</w:t>
      </w:r>
      <w:r>
        <w:rPr>
          <w:rFonts w:ascii="Times New Roman" w:hAnsi="Times New Roman" w:cs="Times New Roman" w:eastAsia="Times New Roman" w:hint="default"/>
          <w:spacing w:val="5"/>
        </w:rPr>
        <w:t> </w:t>
      </w:r>
      <w:r>
        <w:rPr>
          <w:spacing w:val="-1"/>
        </w:rPr>
        <w:t>年第二季度，久其转债因转股减少</w:t>
      </w:r>
      <w:r>
        <w:rPr>
          <w:spacing w:val="-43"/>
        </w:rPr>
        <w:t> </w:t>
      </w:r>
      <w:r>
        <w:rPr>
          <w:rFonts w:ascii="Times New Roman" w:hAnsi="Times New Roman" w:cs="Times New Roman" w:eastAsia="Times New Roman" w:hint="default"/>
        </w:rPr>
        <w:t>3,300</w:t>
      </w:r>
      <w:r>
        <w:rPr>
          <w:rFonts w:ascii="Times New Roman" w:hAnsi="Times New Roman" w:cs="Times New Roman" w:eastAsia="Times New Roman" w:hint="default"/>
          <w:spacing w:val="5"/>
        </w:rPr>
        <w:t> </w:t>
      </w:r>
      <w:r>
        <w:rPr>
          <w:spacing w:val="-1"/>
        </w:rPr>
        <w:t>元（</w:t>
      </w:r>
      <w:r>
        <w:rPr>
          <w:rFonts w:ascii="Times New Roman" w:hAnsi="Times New Roman" w:cs="Times New Roman" w:eastAsia="Times New Roman" w:hint="default"/>
          <w:spacing w:val="-1"/>
        </w:rPr>
        <w:t>33</w:t>
      </w:r>
      <w:r>
        <w:rPr>
          <w:rFonts w:ascii="Times New Roman" w:hAnsi="Times New Roman" w:cs="Times New Roman" w:eastAsia="Times New Roman" w:hint="default"/>
          <w:spacing w:val="4"/>
        </w:rPr>
        <w:t> </w:t>
      </w:r>
      <w:r>
        <w:rPr>
          <w:spacing w:val="-14"/>
        </w:rPr>
        <w:t>张）；</w:t>
      </w:r>
      <w:r>
        <w:rPr>
          <w:rFonts w:ascii="Times New Roman" w:hAnsi="Times New Roman" w:cs="Times New Roman" w:eastAsia="Times New Roman" w:hint="default"/>
          <w:spacing w:val="-14"/>
        </w:rPr>
        <w:t>2019</w:t>
      </w:r>
      <w:r>
        <w:rPr>
          <w:rFonts w:ascii="Times New Roman" w:hAnsi="Times New Roman" w:cs="Times New Roman" w:eastAsia="Times New Roman" w:hint="default"/>
          <w:spacing w:val="5"/>
        </w:rPr>
        <w:t> </w:t>
      </w:r>
      <w:r>
        <w:rPr/>
        <w:t>年第三季度，没有久其转债转 换为公司股份；</w:t>
      </w:r>
      <w:r>
        <w:rPr>
          <w:rFonts w:ascii="Times New Roman" w:hAnsi="Times New Roman" w:cs="Times New Roman" w:eastAsia="Times New Roman" w:hint="default"/>
        </w:rPr>
        <w:t>2019 </w:t>
      </w:r>
      <w:r>
        <w:rPr>
          <w:spacing w:val="-1"/>
        </w:rPr>
        <w:t>年第四季度，因转股减少</w:t>
      </w:r>
      <w:r>
        <w:rPr/>
        <w:t> </w:t>
      </w:r>
      <w:r>
        <w:rPr>
          <w:rFonts w:ascii="Times New Roman" w:hAnsi="Times New Roman" w:cs="Times New Roman" w:eastAsia="Times New Roman" w:hint="default"/>
          <w:spacing w:val="-1"/>
        </w:rPr>
        <w:t>193,000</w:t>
      </w:r>
      <w:r>
        <w:rPr>
          <w:rFonts w:ascii="Times New Roman" w:hAnsi="Times New Roman" w:cs="Times New Roman" w:eastAsia="Times New Roman" w:hint="default"/>
        </w:rPr>
        <w:t> </w:t>
      </w:r>
      <w:r>
        <w:rPr>
          <w:spacing w:val="-1"/>
        </w:rPr>
        <w:t>元（</w:t>
      </w:r>
      <w:r>
        <w:rPr>
          <w:rFonts w:ascii="Times New Roman" w:hAnsi="Times New Roman" w:cs="Times New Roman" w:eastAsia="Times New Roman" w:hint="default"/>
          <w:spacing w:val="-1"/>
        </w:rPr>
        <w:t>1,930</w:t>
      </w:r>
      <w:r>
        <w:rPr>
          <w:rFonts w:ascii="Times New Roman" w:hAnsi="Times New Roman" w:cs="Times New Roman" w:eastAsia="Times New Roman" w:hint="default"/>
        </w:rPr>
        <w:t> </w:t>
      </w:r>
      <w:r>
        <w:rPr>
          <w:spacing w:val="-19"/>
        </w:rPr>
        <w:t>张）。截至</w:t>
      </w:r>
      <w:r>
        <w:rPr/>
        <w:t>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spacing w:val="-1"/>
        </w:rPr>
        <w:t>12</w:t>
      </w:r>
      <w:r>
        <w:rPr>
          <w:rFonts w:ascii="Times New Roman" w:hAnsi="Times New Roman" w:cs="Times New Roman" w:eastAsia="Times New Roman" w:hint="default"/>
        </w:rPr>
        <w:t>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30"/>
        </w:rPr>
        <w:t> </w:t>
      </w:r>
      <w:r>
        <w:rPr/>
        <w:t>日，剩余可转债的面值余额</w:t>
      </w:r>
    </w:p>
    <w:p>
      <w:pPr>
        <w:pStyle w:val="BodyText"/>
        <w:spacing w:line="240" w:lineRule="auto" w:before="13"/>
        <w:ind w:right="0"/>
        <w:jc w:val="both"/>
      </w:pPr>
      <w:r>
        <w:rPr>
          <w:rFonts w:ascii="Times New Roman" w:hAnsi="Times New Roman" w:cs="Times New Roman" w:eastAsia="Times New Roman" w:hint="default"/>
          <w:spacing w:val="1"/>
        </w:rPr>
        <w:t>77</w:t>
      </w:r>
      <w:r>
        <w:rPr>
          <w:rFonts w:ascii="Times New Roman" w:hAnsi="Times New Roman" w:cs="Times New Roman" w:eastAsia="Times New Roman" w:hint="default"/>
          <w:spacing w:val="-2"/>
        </w:rPr>
        <w:t>9</w:t>
      </w:r>
      <w:r>
        <w:rPr>
          <w:rFonts w:ascii="Times New Roman" w:hAnsi="Times New Roman" w:cs="Times New Roman" w:eastAsia="Times New Roman" w:hint="default"/>
        </w:rPr>
        <w:t>,</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
        </w:rPr>
        <w:t>87</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元</w:t>
      </w:r>
      <w:r>
        <w:rPr>
          <w:spacing w:val="-3"/>
        </w:rPr>
        <w:t>（</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5</w:t>
      </w:r>
      <w:r>
        <w:rPr>
          <w:rFonts w:ascii="Times New Roman" w:hAnsi="Times New Roman" w:cs="Times New Roman" w:eastAsia="Times New Roman" w:hint="default"/>
        </w:rPr>
        <w:t>,</w:t>
      </w:r>
      <w:r>
        <w:rPr>
          <w:rFonts w:ascii="Times New Roman" w:hAnsi="Times New Roman" w:cs="Times New Roman" w:eastAsia="Times New Roman" w:hint="default"/>
          <w:spacing w:val="-2"/>
        </w:rPr>
        <w:t>87</w:t>
      </w:r>
      <w:r>
        <w:rPr>
          <w:rFonts w:ascii="Times New Roman" w:hAnsi="Times New Roman" w:cs="Times New Roman" w:eastAsia="Times New Roman" w:hint="default"/>
        </w:rPr>
        <w:t>7 </w:t>
      </w:r>
      <w:r>
        <w:rPr/>
        <w:t>张</w:t>
      </w:r>
      <w:r>
        <w:rPr>
          <w:spacing w:val="-92"/>
        </w:rPr>
        <w:t>）</w:t>
      </w:r>
      <w:r>
        <w:rPr/>
        <w:t>。</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bookmarkStart w:name="34、资本公积" w:id="299"/>
      <w:bookmarkEnd w:id="299"/>
      <w:r>
        <w:rPr>
          <w:b w:val="0"/>
          <w:bCs w:val="0"/>
        </w:rPr>
      </w:r>
      <w:r>
        <w:rPr>
          <w:rFonts w:ascii="Times New Roman" w:hAnsi="Times New Roman" w:cs="Times New Roman" w:eastAsia="Times New Roman" w:hint="default"/>
        </w:rPr>
        <w:t>34</w:t>
      </w:r>
      <w:r>
        <w:rPr/>
        <w:t>、资本公积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207,556,932.31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14,258,210.32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221,815,142.63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51,430,250.43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11,766,908.50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13,962,293.80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49,234,865.13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258,987,182.74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26,025,118.82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13,962,293.80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271,050,007.76</w:t>
            </w:r>
          </w:p>
        </w:tc>
      </w:tr>
    </w:tbl>
    <w:p>
      <w:pPr>
        <w:pStyle w:val="BodyText"/>
        <w:spacing w:line="240" w:lineRule="auto" w:before="49"/>
        <w:ind w:right="1115"/>
        <w:jc w:val="left"/>
      </w:pPr>
      <w:r>
        <w:rPr/>
        <w:t>其他说明，包括本期增减变动情况、变动原因说明：</w:t>
      </w:r>
    </w:p>
    <w:p>
      <w:pPr>
        <w:pStyle w:val="BodyText"/>
        <w:spacing w:line="300" w:lineRule="auto" w:before="115"/>
        <w:ind w:right="1115"/>
        <w:jc w:val="left"/>
      </w:pPr>
      <w:r>
        <w:rPr>
          <w:spacing w:val="-1"/>
        </w:rPr>
        <w:t>（</w:t>
      </w:r>
      <w:r>
        <w:rPr>
          <w:rFonts w:ascii="Times New Roman" w:hAnsi="Times New Roman" w:cs="Times New Roman" w:eastAsia="Times New Roman" w:hint="default"/>
          <w:spacing w:val="-1"/>
        </w:rPr>
        <w:t>1</w:t>
      </w:r>
      <w:r>
        <w:rPr>
          <w:spacing w:val="-1"/>
        </w:rPr>
        <w:t>）本期可转债转股增加股本溢价</w:t>
      </w:r>
      <w:r>
        <w:rPr>
          <w:rFonts w:ascii="Times New Roman" w:hAnsi="Times New Roman" w:cs="Times New Roman" w:eastAsia="Times New Roman" w:hint="default"/>
          <w:spacing w:val="-1"/>
        </w:rPr>
        <w:t>295,916.52</w:t>
      </w:r>
      <w:r>
        <w:rPr>
          <w:spacing w:val="-1"/>
        </w:rPr>
        <w:t>元；限制性股票本期解锁对应的上期确认的其他资本公积</w:t>
      </w:r>
      <w:r>
        <w:rPr>
          <w:rFonts w:ascii="Times New Roman" w:hAnsi="Times New Roman" w:cs="Times New Roman" w:eastAsia="Times New Roman" w:hint="default"/>
          <w:spacing w:val="-1"/>
        </w:rPr>
        <w:t>13,962,293.80</w:t>
      </w:r>
      <w:r>
        <w:rPr>
          <w:spacing w:val="-1"/>
        </w:rPr>
        <w:t>元转入</w:t>
      </w:r>
      <w:r>
        <w:rPr>
          <w:spacing w:val="-69"/>
        </w:rPr>
        <w:t> </w:t>
      </w:r>
      <w:r>
        <w:rPr>
          <w:spacing w:val="-69"/>
        </w:rPr>
      </w:r>
      <w:r>
        <w:rPr/>
        <w:t>股本溢价。</w:t>
      </w:r>
    </w:p>
    <w:p>
      <w:pPr>
        <w:pStyle w:val="BodyText"/>
        <w:spacing w:line="300" w:lineRule="auto" w:before="31"/>
        <w:ind w:right="1115"/>
        <w:jc w:val="left"/>
      </w:pPr>
      <w:r>
        <w:rPr/>
        <w:t>（</w:t>
      </w:r>
      <w:r>
        <w:rPr>
          <w:rFonts w:ascii="Times New Roman" w:hAnsi="Times New Roman" w:cs="Times New Roman" w:eastAsia="Times New Roman" w:hint="default"/>
        </w:rPr>
        <w:t>2</w:t>
      </w:r>
      <w:r>
        <w:rPr/>
        <w:t>）其他资本公积本年增加系确认</w:t>
      </w:r>
      <w:r>
        <w:rPr>
          <w:rFonts w:ascii="Times New Roman" w:hAnsi="Times New Roman" w:cs="Times New Roman" w:eastAsia="Times New Roman" w:hint="default"/>
        </w:rPr>
        <w:t>11,766,908.50</w:t>
      </w:r>
      <w:r>
        <w:rPr/>
        <w:t>元限制性股票激励费用；减少系限制性股票本期解锁对应的上期确认的其</w:t>
      </w:r>
      <w:r>
        <w:rPr>
          <w:spacing w:val="-48"/>
        </w:rPr>
        <w:t> </w:t>
      </w:r>
      <w:r>
        <w:rPr>
          <w:spacing w:val="-48"/>
        </w:rPr>
      </w:r>
      <w:r>
        <w:rPr/>
        <w:t>他资本公积</w:t>
      </w:r>
      <w:r>
        <w:rPr>
          <w:rFonts w:ascii="Times New Roman" w:hAnsi="Times New Roman" w:cs="Times New Roman" w:eastAsia="Times New Roman" w:hint="default"/>
        </w:rPr>
        <w:t>13,962,293.80</w:t>
      </w:r>
      <w:r>
        <w:rPr/>
        <w:t>元转入股本溢价。</w:t>
      </w:r>
    </w:p>
    <w:p>
      <w:pPr>
        <w:spacing w:line="240" w:lineRule="auto" w:before="4"/>
        <w:rPr>
          <w:rFonts w:ascii="宋体" w:hAnsi="宋体" w:cs="宋体" w:eastAsia="宋体" w:hint="default"/>
          <w:sz w:val="22"/>
          <w:szCs w:val="22"/>
        </w:rPr>
      </w:pPr>
    </w:p>
    <w:p>
      <w:pPr>
        <w:pStyle w:val="Heading3"/>
        <w:spacing w:line="240" w:lineRule="auto"/>
        <w:ind w:right="1115"/>
        <w:jc w:val="left"/>
        <w:rPr>
          <w:b w:val="0"/>
          <w:bCs w:val="0"/>
        </w:rPr>
      </w:pPr>
      <w:bookmarkStart w:name="35、库存股" w:id="300"/>
      <w:bookmarkEnd w:id="300"/>
      <w:r>
        <w:rPr>
          <w:b w:val="0"/>
          <w:bCs w:val="0"/>
        </w:rPr>
      </w:r>
      <w:r>
        <w:rPr>
          <w:rFonts w:ascii="Times New Roman" w:hAnsi="Times New Roman" w:cs="Times New Roman" w:eastAsia="Times New Roman" w:hint="default"/>
        </w:rPr>
        <w:t>35</w:t>
      </w:r>
      <w:r>
        <w:rPr/>
        <w:t>、库存股</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29,874,024.00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13,564,902.00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16,309,122.00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股份回购计划</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48,002,514.61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48,002,514.61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29,874,024.00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48,002,514.61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13,564,902.00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64,311,636.61</w:t>
            </w:r>
          </w:p>
        </w:tc>
      </w:tr>
    </w:tbl>
    <w:p>
      <w:pPr>
        <w:pStyle w:val="BodyText"/>
        <w:spacing w:line="240" w:lineRule="auto" w:before="49"/>
        <w:ind w:right="0"/>
        <w:jc w:val="both"/>
      </w:pPr>
      <w:r>
        <w:rPr/>
        <w:t>其他说明，包括本期增减变动情况、变动原因说明：</w:t>
      </w:r>
    </w:p>
    <w:p>
      <w:pPr>
        <w:pStyle w:val="BodyText"/>
        <w:spacing w:line="307" w:lineRule="auto" w:before="115"/>
        <w:ind w:right="1131"/>
        <w:jc w:val="both"/>
      </w:pPr>
      <w:r>
        <w:rPr/>
        <w:t>（</w:t>
      </w:r>
      <w:r>
        <w:rPr>
          <w:rFonts w:ascii="Times New Roman" w:hAnsi="Times New Roman" w:cs="Times New Roman" w:eastAsia="Times New Roman" w:hint="default"/>
        </w:rPr>
        <w:t>1</w:t>
      </w:r>
      <w:r>
        <w:rPr/>
        <w:t>）本期库存股增加系通过深圳证券交易所以集中竞价方式累计回购本公司</w:t>
      </w:r>
      <w:r>
        <w:rPr>
          <w:rFonts w:ascii="Times New Roman" w:hAnsi="Times New Roman" w:cs="Times New Roman" w:eastAsia="Times New Roman" w:hint="default"/>
        </w:rPr>
        <w:t>A</w:t>
      </w:r>
      <w:r>
        <w:rPr/>
        <w:t>股股票所致。</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日，公司第六届董</w:t>
      </w:r>
      <w:r>
        <w:rPr>
          <w:spacing w:val="-39"/>
        </w:rPr>
        <w:t> </w:t>
      </w:r>
      <w:r>
        <w:rPr>
          <w:spacing w:val="-39"/>
        </w:rPr>
      </w:r>
      <w:r>
        <w:rPr>
          <w:spacing w:val="-2"/>
        </w:rPr>
        <w:t>事会第三十三次（临时）会议审议通过了《关于回购公司股份的预案》，公司拟使用自有或自筹资金以集中竞价交易方式回</w:t>
      </w:r>
      <w:r>
        <w:rPr>
          <w:spacing w:val="-67"/>
        </w:rPr>
        <w:t> </w:t>
      </w:r>
      <w:r>
        <w:rPr>
          <w:spacing w:val="-67"/>
        </w:rPr>
      </w:r>
      <w:r>
        <w:rPr>
          <w:spacing w:val="-1"/>
        </w:rPr>
        <w:t>购公司</w:t>
      </w:r>
      <w:r>
        <w:rPr>
          <w:rFonts w:ascii="Times New Roman" w:hAnsi="Times New Roman" w:cs="Times New Roman" w:eastAsia="Times New Roman" w:hint="default"/>
          <w:spacing w:val="-1"/>
        </w:rPr>
        <w:t>A</w:t>
      </w:r>
      <w:r>
        <w:rPr>
          <w:spacing w:val="-1"/>
        </w:rPr>
        <w:t>股股份，用于后续员工持股计划或者股权激励计划。截至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日，公司以集中竞价交易方式累计回购股份</w:t>
      </w:r>
      <w:r>
        <w:rPr>
          <w:spacing w:val="-70"/>
        </w:rPr>
        <w:t> </w:t>
      </w:r>
      <w:r>
        <w:rPr>
          <w:spacing w:val="-70"/>
        </w:rPr>
      </w:r>
      <w:r>
        <w:rPr/>
        <w:t>数量为</w:t>
      </w:r>
      <w:r>
        <w:rPr>
          <w:rFonts w:ascii="Times New Roman" w:hAnsi="Times New Roman" w:cs="Times New Roman" w:eastAsia="Times New Roman" w:hint="default"/>
        </w:rPr>
        <w:t>6,566,733</w:t>
      </w:r>
      <w:r>
        <w:rPr/>
        <w:t>股，成交总金额为</w:t>
      </w:r>
      <w:r>
        <w:rPr>
          <w:rFonts w:ascii="Times New Roman" w:hAnsi="Times New Roman" w:cs="Times New Roman" w:eastAsia="Times New Roman" w:hint="default"/>
        </w:rPr>
        <w:t>47,993,683.04</w:t>
      </w:r>
      <w:r>
        <w:rPr/>
        <w:t>元（不含交易费用）。</w:t>
      </w:r>
    </w:p>
    <w:p>
      <w:pPr>
        <w:pStyle w:val="BodyText"/>
        <w:spacing w:line="300" w:lineRule="auto" w:before="7"/>
        <w:ind w:right="1133"/>
        <w:jc w:val="both"/>
      </w:pPr>
      <w:r>
        <w:rPr/>
        <w:t>（</w:t>
      </w:r>
      <w:r>
        <w:rPr>
          <w:rFonts w:ascii="Times New Roman" w:hAnsi="Times New Roman" w:cs="Times New Roman" w:eastAsia="Times New Roman" w:hint="default"/>
        </w:rPr>
        <w:t>2</w:t>
      </w:r>
      <w:r>
        <w:rPr/>
        <w:t>）本期库存股减少系根据《上市公司股权激励管理办法》及公司激励计划的相关规定，办理限制性股票激励计划授予股</w:t>
      </w:r>
      <w:r>
        <w:rPr>
          <w:spacing w:val="-84"/>
        </w:rPr>
        <w:t> </w:t>
      </w:r>
      <w:r>
        <w:rPr>
          <w:spacing w:val="-84"/>
        </w:rPr>
      </w:r>
      <w:r>
        <w:rPr/>
        <w:t>份中符合解除限售条件的限制性股票解除限售所致。</w:t>
      </w:r>
    </w:p>
    <w:p>
      <w:pPr>
        <w:spacing w:line="240" w:lineRule="auto" w:before="10"/>
        <w:rPr>
          <w:rFonts w:ascii="宋体" w:hAnsi="宋体" w:cs="宋体" w:eastAsia="宋体" w:hint="default"/>
          <w:sz w:val="23"/>
          <w:szCs w:val="23"/>
        </w:rPr>
      </w:pPr>
    </w:p>
    <w:p>
      <w:pPr>
        <w:pStyle w:val="Heading3"/>
        <w:spacing w:line="240" w:lineRule="auto"/>
        <w:ind w:right="0"/>
        <w:jc w:val="both"/>
        <w:rPr>
          <w:b w:val="0"/>
          <w:bCs w:val="0"/>
        </w:rPr>
      </w:pPr>
      <w:bookmarkStart w:name="36、其他综合收益" w:id="301"/>
      <w:bookmarkEnd w:id="301"/>
      <w:r>
        <w:rPr>
          <w:b w:val="0"/>
          <w:bCs w:val="0"/>
        </w:rPr>
      </w:r>
      <w:r>
        <w:rPr>
          <w:rFonts w:ascii="Times New Roman" w:hAnsi="Times New Roman" w:cs="Times New Roman" w:eastAsia="Times New Roman" w:hint="default"/>
        </w:rPr>
        <w:t>36</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02"/>
        <w:gridCol w:w="877"/>
        <w:gridCol w:w="1217"/>
        <w:gridCol w:w="1339"/>
        <w:gridCol w:w="1457"/>
        <w:gridCol w:w="703"/>
        <w:gridCol w:w="1162"/>
        <w:gridCol w:w="696"/>
        <w:gridCol w:w="1003"/>
      </w:tblGrid>
      <w:tr>
        <w:trPr>
          <w:trHeight w:val="397" w:hRule="exact"/>
        </w:trPr>
        <w:tc>
          <w:tcPr>
            <w:tcW w:w="1202" w:type="dxa"/>
            <w:vMerge w:val="restart"/>
            <w:tcBorders>
              <w:top w:val="single" w:sz="4" w:space="0" w:color="000000"/>
              <w:left w:val="single" w:sz="4" w:space="0" w:color="000000"/>
              <w:right w:val="single" w:sz="4" w:space="0" w:color="000000"/>
            </w:tcBorders>
            <w:shd w:val="clear" w:color="auto" w:fill="D2D2D2"/>
          </w:tcPr>
          <w:p>
            <w:pPr/>
          </w:p>
        </w:tc>
        <w:tc>
          <w:tcPr>
            <w:tcW w:w="877" w:type="dxa"/>
            <w:vMerge w:val="restart"/>
            <w:tcBorders>
              <w:top w:val="single" w:sz="4" w:space="0" w:color="000000"/>
              <w:left w:val="single" w:sz="4" w:space="0" w:color="000000"/>
              <w:right w:val="single" w:sz="4" w:space="0" w:color="000000"/>
            </w:tcBorders>
            <w:shd w:val="clear" w:color="auto" w:fill="D2D2D2"/>
          </w:tcPr>
          <w:p>
            <w:pPr/>
          </w:p>
        </w:tc>
        <w:tc>
          <w:tcPr>
            <w:tcW w:w="657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003" w:type="dxa"/>
            <w:vMerge w:val="restart"/>
            <w:tcBorders>
              <w:top w:val="single" w:sz="4" w:space="0" w:color="000000"/>
              <w:left w:val="single" w:sz="4" w:space="0" w:color="000000"/>
              <w:right w:val="single" w:sz="4" w:space="0" w:color="000000"/>
            </w:tcBorders>
            <w:shd w:val="clear" w:color="auto" w:fill="D2D2D2"/>
          </w:tcPr>
          <w:p>
            <w:pPr/>
          </w:p>
        </w:tc>
      </w:tr>
      <w:tr>
        <w:trPr>
          <w:trHeight w:val="120" w:hRule="exact"/>
        </w:trPr>
        <w:tc>
          <w:tcPr>
            <w:tcW w:w="1202" w:type="dxa"/>
            <w:vMerge/>
            <w:tcBorders>
              <w:left w:val="single" w:sz="4" w:space="0" w:color="000000"/>
              <w:bottom w:val="nil" w:sz="6" w:space="0" w:color="auto"/>
              <w:right w:val="single" w:sz="4" w:space="0" w:color="000000"/>
            </w:tcBorders>
            <w:shd w:val="clear" w:color="auto" w:fill="D2D2D2"/>
          </w:tcPr>
          <w:p>
            <w:pPr/>
          </w:p>
        </w:tc>
        <w:tc>
          <w:tcPr>
            <w:tcW w:w="877" w:type="dxa"/>
            <w:vMerge/>
            <w:tcBorders>
              <w:left w:val="single" w:sz="4" w:space="0" w:color="000000"/>
              <w:bottom w:val="nil" w:sz="6" w:space="0" w:color="auto"/>
              <w:right w:val="single" w:sz="4" w:space="0" w:color="000000"/>
            </w:tcBorders>
            <w:shd w:val="clear" w:color="auto" w:fill="D2D2D2"/>
          </w:tcPr>
          <w:p>
            <w:pPr/>
          </w:p>
        </w:tc>
        <w:tc>
          <w:tcPr>
            <w:tcW w:w="12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6" w:right="31"/>
              <w:jc w:val="center"/>
              <w:rPr>
                <w:rFonts w:ascii="宋体" w:hAnsi="宋体" w:cs="宋体" w:eastAsia="宋体" w:hint="default"/>
                <w:sz w:val="18"/>
                <w:szCs w:val="18"/>
              </w:rPr>
            </w:pPr>
            <w:r>
              <w:rPr>
                <w:rFonts w:ascii="宋体" w:hAnsi="宋体" w:cs="宋体" w:eastAsia="宋体" w:hint="default"/>
                <w:sz w:val="18"/>
                <w:szCs w:val="18"/>
              </w:rPr>
              <w:t>减：前期计入其 他综合收益当期 转入损益</w:t>
            </w:r>
          </w:p>
        </w:tc>
        <w:tc>
          <w:tcPr>
            <w:tcW w:w="145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3" w:right="22"/>
              <w:jc w:val="center"/>
              <w:rPr>
                <w:rFonts w:ascii="宋体" w:hAnsi="宋体" w:cs="宋体" w:eastAsia="宋体" w:hint="default"/>
                <w:sz w:val="18"/>
                <w:szCs w:val="18"/>
              </w:rPr>
            </w:pPr>
            <w:r>
              <w:rPr>
                <w:rFonts w:ascii="宋体" w:hAnsi="宋体" w:cs="宋体" w:eastAsia="宋体" w:hint="default"/>
                <w:spacing w:val="-6"/>
                <w:sz w:val="18"/>
                <w:szCs w:val="18"/>
              </w:rPr>
              <w:t>减：前期计入其他</w:t>
            </w:r>
            <w:r>
              <w:rPr>
                <w:rFonts w:ascii="宋体" w:hAnsi="宋体" w:cs="宋体" w:eastAsia="宋体" w:hint="default"/>
                <w:sz w:val="18"/>
                <w:szCs w:val="18"/>
              </w:rPr>
              <w:t> 综合收益当期转 入留存收益</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74" w:right="71"/>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1003" w:type="dxa"/>
            <w:vMerge/>
            <w:tcBorders>
              <w:left w:val="single" w:sz="4" w:space="0" w:color="000000"/>
              <w:bottom w:val="nil" w:sz="6" w:space="0" w:color="auto"/>
              <w:right w:val="single" w:sz="4" w:space="0" w:color="000000"/>
            </w:tcBorders>
            <w:shd w:val="clear" w:color="auto" w:fill="D2D2D2"/>
          </w:tcPr>
          <w:p>
            <w:pPr/>
          </w:p>
        </w:tc>
      </w:tr>
      <w:tr>
        <w:trPr>
          <w:trHeight w:val="371" w:hRule="exact"/>
        </w:trPr>
        <w:tc>
          <w:tcPr>
            <w:tcW w:w="12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21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94"/>
              <w:ind w:left="333" w:right="62" w:hanging="269"/>
              <w:jc w:val="left"/>
              <w:rPr>
                <w:rFonts w:ascii="宋体" w:hAnsi="宋体" w:cs="宋体" w:eastAsia="宋体" w:hint="default"/>
                <w:sz w:val="18"/>
                <w:szCs w:val="18"/>
              </w:rPr>
            </w:pPr>
            <w:r>
              <w:rPr>
                <w:rFonts w:ascii="宋体" w:hAnsi="宋体" w:cs="宋体" w:eastAsia="宋体" w:hint="default"/>
                <w:sz w:val="18"/>
                <w:szCs w:val="18"/>
              </w:rPr>
              <w:t>本期所得税前 发生额</w:t>
            </w:r>
          </w:p>
        </w:tc>
        <w:tc>
          <w:tcPr>
            <w:tcW w:w="1339" w:type="dxa"/>
            <w:vMerge/>
            <w:tcBorders>
              <w:left w:val="single" w:sz="4" w:space="0" w:color="000000"/>
              <w:right w:val="single" w:sz="4" w:space="0" w:color="000000"/>
            </w:tcBorders>
            <w:shd w:val="clear" w:color="auto" w:fill="D2D2D2"/>
          </w:tcPr>
          <w:p>
            <w:pPr/>
          </w:p>
        </w:tc>
        <w:tc>
          <w:tcPr>
            <w:tcW w:w="1457" w:type="dxa"/>
            <w:vMerge/>
            <w:tcBorders>
              <w:left w:val="single" w:sz="4" w:space="0" w:color="000000"/>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76" w:right="19" w:hanging="53"/>
              <w:jc w:val="left"/>
              <w:rPr>
                <w:rFonts w:ascii="宋体" w:hAnsi="宋体" w:cs="宋体" w:eastAsia="宋体" w:hint="default"/>
                <w:sz w:val="18"/>
                <w:szCs w:val="18"/>
              </w:rPr>
            </w:pPr>
            <w:r>
              <w:rPr>
                <w:rFonts w:ascii="宋体" w:hAnsi="宋体" w:cs="宋体" w:eastAsia="宋体" w:hint="default"/>
                <w:spacing w:val="-18"/>
                <w:sz w:val="18"/>
                <w:szCs w:val="18"/>
              </w:rPr>
              <w:t>减：所得</w:t>
            </w:r>
            <w:r>
              <w:rPr>
                <w:rFonts w:ascii="宋体" w:hAnsi="宋体" w:cs="宋体" w:eastAsia="宋体" w:hint="default"/>
                <w:sz w:val="18"/>
                <w:szCs w:val="18"/>
              </w:rPr>
              <w:t> 税费用</w:t>
            </w:r>
          </w:p>
        </w:tc>
        <w:tc>
          <w:tcPr>
            <w:tcW w:w="11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395" w:right="34" w:hanging="360"/>
              <w:jc w:val="left"/>
              <w:rPr>
                <w:rFonts w:ascii="宋体" w:hAnsi="宋体" w:cs="宋体" w:eastAsia="宋体" w:hint="default"/>
                <w:sz w:val="18"/>
                <w:szCs w:val="18"/>
              </w:rPr>
            </w:pPr>
            <w:r>
              <w:rPr>
                <w:rFonts w:ascii="宋体" w:hAnsi="宋体" w:cs="宋体" w:eastAsia="宋体" w:hint="default"/>
                <w:sz w:val="18"/>
                <w:szCs w:val="18"/>
              </w:rPr>
              <w:t>税后归属于母 公司</w:t>
            </w:r>
          </w:p>
        </w:tc>
        <w:tc>
          <w:tcPr>
            <w:tcW w:w="696" w:type="dxa"/>
            <w:vMerge/>
            <w:tcBorders>
              <w:left w:val="single" w:sz="4" w:space="0" w:color="000000"/>
              <w:right w:val="single" w:sz="4" w:space="0" w:color="000000"/>
            </w:tcBorders>
            <w:shd w:val="clear" w:color="auto" w:fill="D2D2D2"/>
          </w:tcPr>
          <w:p>
            <w:pPr/>
          </w:p>
        </w:tc>
        <w:tc>
          <w:tcPr>
            <w:tcW w:w="10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5" w:hRule="exact"/>
        </w:trPr>
        <w:tc>
          <w:tcPr>
            <w:tcW w:w="1202" w:type="dxa"/>
            <w:vMerge w:val="restart"/>
            <w:tcBorders>
              <w:top w:val="nil" w:sz="6" w:space="0" w:color="auto"/>
              <w:left w:val="single" w:sz="4" w:space="0" w:color="000000"/>
              <w:right w:val="single" w:sz="4" w:space="0" w:color="000000"/>
            </w:tcBorders>
            <w:shd w:val="clear" w:color="auto" w:fill="D2D2D2"/>
          </w:tcPr>
          <w:p>
            <w:pPr/>
          </w:p>
        </w:tc>
        <w:tc>
          <w:tcPr>
            <w:tcW w:w="877" w:type="dxa"/>
            <w:vMerge w:val="restart"/>
            <w:tcBorders>
              <w:top w:val="nil" w:sz="6" w:space="0" w:color="auto"/>
              <w:left w:val="single" w:sz="4" w:space="0" w:color="000000"/>
              <w:right w:val="single" w:sz="4" w:space="0" w:color="000000"/>
            </w:tcBorders>
            <w:shd w:val="clear" w:color="auto" w:fill="D2D2D2"/>
          </w:tcPr>
          <w:p>
            <w:pPr/>
          </w:p>
        </w:tc>
        <w:tc>
          <w:tcPr>
            <w:tcW w:w="1217" w:type="dxa"/>
            <w:vMerge/>
            <w:tcBorders>
              <w:left w:val="single" w:sz="4" w:space="0" w:color="000000"/>
              <w:bottom w:val="nil" w:sz="6" w:space="0" w:color="auto"/>
              <w:right w:val="single" w:sz="4" w:space="0" w:color="000000"/>
            </w:tcBorders>
            <w:shd w:val="clear" w:color="auto" w:fill="D2D2D2"/>
          </w:tcPr>
          <w:p>
            <w:pPr/>
          </w:p>
        </w:tc>
        <w:tc>
          <w:tcPr>
            <w:tcW w:w="1339" w:type="dxa"/>
            <w:vMerge/>
            <w:tcBorders>
              <w:left w:val="single" w:sz="4" w:space="0" w:color="000000"/>
              <w:right w:val="single" w:sz="4" w:space="0" w:color="000000"/>
            </w:tcBorders>
            <w:shd w:val="clear" w:color="auto" w:fill="D2D2D2"/>
          </w:tcPr>
          <w:p>
            <w:pPr/>
          </w:p>
        </w:tc>
        <w:tc>
          <w:tcPr>
            <w:tcW w:w="1457" w:type="dxa"/>
            <w:vMerge/>
            <w:tcBorders>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1162" w:type="dxa"/>
            <w:vMerge/>
            <w:tcBorders>
              <w:left w:val="single" w:sz="4" w:space="0" w:color="000000"/>
              <w:bottom w:val="nil" w:sz="6" w:space="0" w:color="auto"/>
              <w:right w:val="single" w:sz="4" w:space="0" w:color="000000"/>
            </w:tcBorders>
            <w:shd w:val="clear" w:color="auto" w:fill="D2D2D2"/>
          </w:tcPr>
          <w:p>
            <w:pPr/>
          </w:p>
        </w:tc>
        <w:tc>
          <w:tcPr>
            <w:tcW w:w="696" w:type="dxa"/>
            <w:vMerge/>
            <w:tcBorders>
              <w:left w:val="single" w:sz="4" w:space="0" w:color="000000"/>
              <w:right w:val="single" w:sz="4" w:space="0" w:color="000000"/>
            </w:tcBorders>
            <w:shd w:val="clear" w:color="auto" w:fill="D2D2D2"/>
          </w:tcPr>
          <w:p>
            <w:pPr/>
          </w:p>
        </w:tc>
        <w:tc>
          <w:tcPr>
            <w:tcW w:w="100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202" w:type="dxa"/>
            <w:vMerge/>
            <w:tcBorders>
              <w:left w:val="single" w:sz="4" w:space="0" w:color="000000"/>
              <w:bottom w:val="single" w:sz="4" w:space="0" w:color="000000"/>
              <w:right w:val="single" w:sz="4" w:space="0" w:color="000000"/>
            </w:tcBorders>
            <w:shd w:val="clear" w:color="auto" w:fill="D2D2D2"/>
          </w:tcPr>
          <w:p>
            <w:pPr/>
          </w:p>
        </w:tc>
        <w:tc>
          <w:tcPr>
            <w:tcW w:w="877" w:type="dxa"/>
            <w:vMerge/>
            <w:tcBorders>
              <w:left w:val="single" w:sz="4" w:space="0" w:color="000000"/>
              <w:bottom w:val="single" w:sz="4" w:space="0" w:color="000000"/>
              <w:right w:val="single" w:sz="4" w:space="0" w:color="000000"/>
            </w:tcBorders>
            <w:shd w:val="clear" w:color="auto" w:fill="D2D2D2"/>
          </w:tcPr>
          <w:p>
            <w:pPr/>
          </w:p>
        </w:tc>
        <w:tc>
          <w:tcPr>
            <w:tcW w:w="12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9" w:type="dxa"/>
            <w:vMerge/>
            <w:tcBorders>
              <w:left w:val="single" w:sz="4" w:space="0" w:color="000000"/>
              <w:bottom w:val="single" w:sz="4" w:space="0" w:color="000000"/>
              <w:right w:val="single" w:sz="4" w:space="0" w:color="000000"/>
            </w:tcBorders>
            <w:shd w:val="clear" w:color="auto" w:fill="D2D2D2"/>
          </w:tcPr>
          <w:p>
            <w:pPr/>
          </w:p>
        </w:tc>
        <w:tc>
          <w:tcPr>
            <w:tcW w:w="1457"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6"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9"/>
              <w:jc w:val="both"/>
              <w:rPr>
                <w:rFonts w:ascii="宋体" w:hAnsi="宋体" w:cs="宋体" w:eastAsia="宋体" w:hint="default"/>
                <w:sz w:val="18"/>
                <w:szCs w:val="18"/>
              </w:rPr>
            </w:pPr>
            <w:r>
              <w:rPr>
                <w:rFonts w:ascii="宋体" w:hAnsi="宋体" w:cs="宋体" w:eastAsia="宋体" w:hint="default"/>
                <w:sz w:val="18"/>
                <w:szCs w:val="18"/>
              </w:rPr>
              <w:t>二、将重分类 进损益的其他 综合收益</w:t>
            </w:r>
          </w:p>
        </w:tc>
        <w:tc>
          <w:tcPr>
            <w:tcW w:w="87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791,865.03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1,680,629.20</w:t>
            </w:r>
          </w:p>
        </w:tc>
        <w:tc>
          <w:tcPr>
            <w:tcW w:w="1339"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1,680,629.20</w:t>
            </w:r>
          </w:p>
        </w:tc>
        <w:tc>
          <w:tcPr>
            <w:tcW w:w="69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2,472,494.23</w:t>
            </w:r>
          </w:p>
        </w:tc>
      </w:tr>
      <w:tr>
        <w:trPr>
          <w:trHeight w:val="713"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7" w:firstLine="360"/>
              <w:jc w:val="left"/>
              <w:rPr>
                <w:rFonts w:ascii="宋体" w:hAnsi="宋体" w:cs="宋体" w:eastAsia="宋体" w:hint="default"/>
                <w:sz w:val="18"/>
                <w:szCs w:val="18"/>
              </w:rPr>
            </w:pPr>
            <w:r>
              <w:rPr>
                <w:rFonts w:ascii="宋体" w:hAnsi="宋体" w:cs="宋体" w:eastAsia="宋体" w:hint="default"/>
                <w:sz w:val="18"/>
                <w:szCs w:val="18"/>
              </w:rPr>
              <w:t>外币财务 报表折算差额</w:t>
            </w:r>
          </w:p>
        </w:tc>
        <w:tc>
          <w:tcPr>
            <w:tcW w:w="87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791,865.03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1,680,629.20</w:t>
            </w:r>
          </w:p>
        </w:tc>
        <w:tc>
          <w:tcPr>
            <w:tcW w:w="1339"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1,680,629.20</w:t>
            </w:r>
          </w:p>
        </w:tc>
        <w:tc>
          <w:tcPr>
            <w:tcW w:w="69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2,472,494.23</w:t>
            </w:r>
          </w:p>
        </w:tc>
      </w:tr>
      <w:tr>
        <w:trPr>
          <w:trHeight w:val="715"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9"/>
              <w:jc w:val="left"/>
              <w:rPr>
                <w:rFonts w:ascii="宋体" w:hAnsi="宋体" w:cs="宋体" w:eastAsia="宋体" w:hint="default"/>
                <w:sz w:val="18"/>
                <w:szCs w:val="18"/>
              </w:rPr>
            </w:pPr>
            <w:r>
              <w:rPr>
                <w:rFonts w:ascii="宋体" w:hAnsi="宋体" w:cs="宋体" w:eastAsia="宋体" w:hint="default"/>
                <w:sz w:val="18"/>
                <w:szCs w:val="18"/>
              </w:rPr>
              <w:t>其他综合收益 合计</w:t>
            </w:r>
          </w:p>
        </w:tc>
        <w:tc>
          <w:tcPr>
            <w:tcW w:w="87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791,865.03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1,680,629.20</w:t>
            </w:r>
          </w:p>
        </w:tc>
        <w:tc>
          <w:tcPr>
            <w:tcW w:w="1339"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1,680,629.20</w:t>
            </w:r>
          </w:p>
        </w:tc>
        <w:tc>
          <w:tcPr>
            <w:tcW w:w="69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2,472,494.23</w:t>
            </w:r>
          </w:p>
        </w:tc>
      </w:tr>
    </w:tbl>
    <w:p>
      <w:pPr>
        <w:pStyle w:val="BodyText"/>
        <w:spacing w:line="240" w:lineRule="auto" w:before="49"/>
        <w:ind w:right="1115"/>
        <w:jc w:val="left"/>
      </w:pPr>
      <w:r>
        <w:rPr/>
        <w:t>其他说明，包括对现金流量套期损益的有效部分转为被套期项目初始确认金额调整：</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1115"/>
        <w:jc w:val="left"/>
      </w:pPr>
      <w:r>
        <w:rPr/>
        <w:t>其他综合收益的税后净额本期发生额为</w:t>
      </w:r>
      <w:r>
        <w:rPr>
          <w:rFonts w:ascii="Times New Roman" w:hAnsi="Times New Roman" w:cs="Times New Roman" w:eastAsia="Times New Roman" w:hint="default"/>
        </w:rPr>
        <w:t>1,680,629.20</w:t>
      </w:r>
      <w:r>
        <w:rPr/>
        <w:t>元。其中，归属于母公司股东的其他综合收益的税后净额本期发生额为</w:t>
      </w:r>
    </w:p>
    <w:p>
      <w:pPr>
        <w:pStyle w:val="BodyText"/>
        <w:spacing w:line="240" w:lineRule="auto" w:before="63"/>
        <w:ind w:right="1115"/>
        <w:jc w:val="left"/>
      </w:pPr>
      <w:r>
        <w:rPr>
          <w:rFonts w:ascii="Times New Roman" w:hAnsi="Times New Roman" w:cs="Times New Roman" w:eastAsia="Times New Roman" w:hint="default"/>
        </w:rPr>
        <w:t>1,680,629.20</w:t>
      </w:r>
      <w:r>
        <w:rPr/>
        <w:t>元。</w:t>
      </w: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0" w:top="1100" w:bottom="1160" w:left="980" w:right="0"/>
        </w:sectPr>
      </w:pPr>
    </w:p>
    <w:p>
      <w:pPr>
        <w:pStyle w:val="Heading3"/>
        <w:spacing w:line="240" w:lineRule="auto" w:before="36"/>
        <w:ind w:right="-12"/>
        <w:jc w:val="left"/>
        <w:rPr>
          <w:b w:val="0"/>
          <w:bCs w:val="0"/>
        </w:rPr>
      </w:pPr>
      <w:bookmarkStart w:name="37、盈余公积" w:id="302"/>
      <w:bookmarkEnd w:id="302"/>
      <w:r>
        <w:rPr>
          <w:b w:val="0"/>
          <w:bCs w:val="0"/>
        </w:rPr>
      </w:r>
      <w:r>
        <w:rPr>
          <w:rFonts w:ascii="Times New Roman" w:hAnsi="Times New Roman" w:cs="Times New Roman" w:eastAsia="Times New Roman" w:hint="default"/>
          <w:spacing w:val="-1"/>
        </w:rPr>
        <w:t>37</w:t>
      </w:r>
      <w:r>
        <w:rPr>
          <w:spacing w:val="-1"/>
        </w:rPr>
        <w:t>、盈余公积</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3"/>
          <w:szCs w:val="13"/>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419" w:space="7411"/>
            <w:col w:w="2100"/>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72,495,704.44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72,495,704.44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72,495,704.44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72,495,704.44</w:t>
            </w:r>
          </w:p>
        </w:tc>
      </w:tr>
    </w:tbl>
    <w:p>
      <w:pPr>
        <w:spacing w:line="240" w:lineRule="auto" w:before="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60" w:bottom="1160" w:left="980" w:right="0"/>
        </w:sectPr>
      </w:pPr>
    </w:p>
    <w:p>
      <w:pPr>
        <w:pStyle w:val="Heading3"/>
        <w:spacing w:line="240" w:lineRule="auto" w:before="36"/>
        <w:ind w:right="-10"/>
        <w:jc w:val="left"/>
        <w:rPr>
          <w:b w:val="0"/>
          <w:bCs w:val="0"/>
        </w:rPr>
      </w:pPr>
      <w:bookmarkStart w:name="38、未分配利润" w:id="303"/>
      <w:bookmarkEnd w:id="303"/>
      <w:r>
        <w:rPr>
          <w:b w:val="0"/>
          <w:bCs w:val="0"/>
        </w:rPr>
      </w:r>
      <w:r>
        <w:rPr>
          <w:rFonts w:ascii="Times New Roman" w:hAnsi="Times New Roman" w:cs="Times New Roman" w:eastAsia="Times New Roman" w:hint="default"/>
          <w:spacing w:val="-1"/>
        </w:rPr>
        <w:t>38</w:t>
      </w:r>
      <w:r>
        <w:rPr>
          <w:spacing w:val="-1"/>
        </w:rPr>
        <w:t>、未分配利润</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3"/>
          <w:szCs w:val="13"/>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630" w:space="7199"/>
            <w:col w:w="210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4"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-34,386,587.17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828,390,827.75</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-2,955,611.87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-37,342,199.04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828,390,827.75</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52,264,905.34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-841,464,317.58</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21,313,097.34</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14,922,706.30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-34,386,587.17</w:t>
            </w:r>
          </w:p>
        </w:tc>
      </w:tr>
    </w:tbl>
    <w:p>
      <w:pPr>
        <w:pStyle w:val="BodyText"/>
        <w:spacing w:line="240" w:lineRule="auto" w:before="49"/>
        <w:ind w:right="1115"/>
        <w:jc w:val="left"/>
      </w:pPr>
      <w:r>
        <w:rPr/>
        <w:t>调整期初未分配利润明细：</w:t>
      </w:r>
    </w:p>
    <w:p>
      <w:pPr>
        <w:pStyle w:val="BodyText"/>
        <w:spacing w:line="240" w:lineRule="auto" w:before="115"/>
        <w:ind w:right="1115"/>
        <w:jc w:val="left"/>
      </w:pPr>
      <w:r>
        <w:rPr/>
        <w:t>（</w:t>
      </w:r>
      <w:r>
        <w:rPr>
          <w:rFonts w:ascii="Times New Roman" w:hAnsi="Times New Roman" w:cs="Times New Roman" w:eastAsia="Times New Roman" w:hint="default"/>
        </w:rPr>
        <w:t>1</w:t>
      </w:r>
      <w:r>
        <w:rPr/>
        <w:t>）由于《企业会计准则》及其相关新规定进行追溯调整，影响期初未分配利润</w:t>
      </w:r>
      <w:r>
        <w:rPr>
          <w:rFonts w:ascii="Times New Roman" w:hAnsi="Times New Roman" w:cs="Times New Roman" w:eastAsia="Times New Roman" w:hint="default"/>
        </w:rPr>
        <w:t>-2,955,611.87</w:t>
      </w:r>
      <w:r>
        <w:rPr>
          <w:rFonts w:ascii="Times New Roman" w:hAnsi="Times New Roman" w:cs="Times New Roman" w:eastAsia="Times New Roman" w:hint="default"/>
          <w:spacing w:val="-6"/>
        </w:rPr>
        <w:t> </w:t>
      </w:r>
      <w:r>
        <w:rPr/>
        <w:t>元。</w:t>
      </w:r>
    </w:p>
    <w:p>
      <w:pPr>
        <w:pStyle w:val="BodyText"/>
        <w:spacing w:line="240" w:lineRule="auto" w:before="104"/>
        <w:ind w:right="1115"/>
        <w:jc w:val="left"/>
      </w:pPr>
      <w:r>
        <w:rPr/>
        <w:t>（</w:t>
      </w: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1115"/>
        <w:jc w:val="left"/>
      </w:pPr>
      <w:r>
        <w:rPr/>
        <w:t>（</w:t>
      </w: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1"/>
        <w:ind w:right="1115"/>
        <w:jc w:val="left"/>
      </w:pPr>
      <w:r>
        <w:rPr/>
        <w:t>（</w:t>
      </w: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1115"/>
        <w:jc w:val="left"/>
      </w:pPr>
      <w:r>
        <w:rPr/>
        <w:t>（</w:t>
      </w: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2"/>
        <w:rPr>
          <w:rFonts w:ascii="宋体" w:hAnsi="宋体" w:cs="宋体" w:eastAsia="宋体" w:hint="default"/>
          <w:sz w:val="26"/>
          <w:szCs w:val="26"/>
        </w:rPr>
      </w:pPr>
    </w:p>
    <w:p>
      <w:pPr>
        <w:pStyle w:val="Heading3"/>
        <w:spacing w:line="240" w:lineRule="auto"/>
        <w:ind w:right="1115"/>
        <w:jc w:val="left"/>
        <w:rPr>
          <w:b w:val="0"/>
          <w:bCs w:val="0"/>
        </w:rPr>
      </w:pPr>
      <w:bookmarkStart w:name="39、营业收入和营业成本" w:id="304"/>
      <w:bookmarkEnd w:id="304"/>
      <w:r>
        <w:rPr>
          <w:b w:val="0"/>
          <w:bCs w:val="0"/>
        </w:rPr>
      </w:r>
      <w:r>
        <w:rPr>
          <w:rFonts w:ascii="Times New Roman" w:hAnsi="Times New Roman" w:cs="Times New Roman" w:eastAsia="Times New Roman" w:hint="default"/>
        </w:rPr>
        <w:t>39</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3,092,030,120.20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2,098,546,747.31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2,711,815,939.77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1,559,480,504.34</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9,620,075.98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933,280.92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8,419,629.62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942,876.64</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3,101,650,196.18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2,099,480,028.23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2,720,235,569.39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1,560,423,380.98</w:t>
            </w:r>
          </w:p>
        </w:tc>
      </w:tr>
    </w:tbl>
    <w:p>
      <w:pPr>
        <w:pStyle w:val="BodyText"/>
        <w:spacing w:line="240" w:lineRule="auto" w:before="49"/>
        <w:ind w:right="1115"/>
        <w:jc w:val="left"/>
      </w:pPr>
      <w:r>
        <w:rPr/>
        <w:t>是否已执行新收入准则</w:t>
      </w:r>
    </w:p>
    <w:p>
      <w:pPr>
        <w:pStyle w:val="BodyText"/>
        <w:spacing w:line="240" w:lineRule="auto" w:before="115"/>
        <w:ind w:right="111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type w:val="continuous"/>
          <w:pgSz w:w="11910" w:h="16840"/>
          <w:pgMar w:top="106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15"/>
        <w:jc w:val="left"/>
        <w:rPr>
          <w:b w:val="0"/>
          <w:bCs w:val="0"/>
        </w:rPr>
      </w:pPr>
      <w:bookmarkStart w:name="40、税金及附加" w:id="305"/>
      <w:bookmarkEnd w:id="305"/>
      <w:r>
        <w:rPr>
          <w:b w:val="0"/>
          <w:bCs w:val="0"/>
        </w:rPr>
      </w:r>
      <w:r>
        <w:rPr>
          <w:rFonts w:ascii="Times New Roman" w:hAnsi="Times New Roman" w:cs="Times New Roman" w:eastAsia="Times New Roman" w:hint="default"/>
        </w:rPr>
        <w:t>40</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4,791,734.88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5,294,262.74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3,607,553.62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3,881,755.38</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2,781,301.07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2,533,613.15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914,312.15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1,474,356.93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残疾人就业保证金</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5,194,368.97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819,930.74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1,701,462.32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18,109,201.43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14,885,450.52</w:t>
            </w:r>
          </w:p>
        </w:tc>
      </w:tr>
    </w:tbl>
    <w:p>
      <w:pPr>
        <w:pStyle w:val="BodyText"/>
        <w:spacing w:line="240" w:lineRule="auto" w:before="49"/>
        <w:ind w:right="1115"/>
        <w:jc w:val="left"/>
      </w:pPr>
      <w:r>
        <w:rPr/>
        <w:t>其他说明：各项税金及附加的计缴标准详见本节“六、税项”。残疾人就业保证金本期增加系因上年已计入管理费用。</w:t>
      </w:r>
    </w:p>
    <w:p>
      <w:pPr>
        <w:spacing w:line="240" w:lineRule="auto" w:before="0"/>
        <w:rPr>
          <w:rFonts w:ascii="宋体" w:hAnsi="宋体" w:cs="宋体" w:eastAsia="宋体" w:hint="default"/>
          <w:sz w:val="18"/>
          <w:szCs w:val="18"/>
        </w:rPr>
      </w:pPr>
    </w:p>
    <w:p>
      <w:pPr>
        <w:pStyle w:val="Heading3"/>
        <w:spacing w:line="240" w:lineRule="auto" w:before="120"/>
        <w:ind w:right="1115"/>
        <w:jc w:val="left"/>
        <w:rPr>
          <w:b w:val="0"/>
          <w:bCs w:val="0"/>
        </w:rPr>
      </w:pPr>
      <w:bookmarkStart w:name="41、销售费用" w:id="306"/>
      <w:bookmarkEnd w:id="306"/>
      <w:r>
        <w:rPr>
          <w:b w:val="0"/>
          <w:bCs w:val="0"/>
        </w:rPr>
      </w:r>
      <w:r>
        <w:rPr>
          <w:rFonts w:ascii="Times New Roman" w:hAnsi="Times New Roman" w:cs="Times New Roman" w:eastAsia="Times New Roman" w:hint="default"/>
        </w:rPr>
        <w:t>41</w:t>
      </w:r>
      <w:r>
        <w:rPr/>
        <w:t>、销售费用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63,289,015.06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68,949,986.26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12,051,552.98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12,069,463.66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9,813,830.67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11,150,184.83</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3,703,686.08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8,661,109.64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1,645,209.28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1,093,194.08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8,545,090.04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9,204,558.24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99,048,384.11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111,128,496.71</w:t>
            </w:r>
          </w:p>
        </w:tc>
      </w:tr>
    </w:tbl>
    <w:p>
      <w:pPr>
        <w:spacing w:line="240" w:lineRule="auto" w:before="6"/>
        <w:rPr>
          <w:rFonts w:ascii="宋体" w:hAnsi="宋体" w:cs="宋体" w:eastAsia="宋体" w:hint="default"/>
          <w:sz w:val="5"/>
          <w:szCs w:val="5"/>
        </w:rPr>
      </w:pPr>
    </w:p>
    <w:p>
      <w:pPr>
        <w:spacing w:after="0" w:line="240" w:lineRule="auto"/>
        <w:rPr>
          <w:rFonts w:ascii="宋体" w:hAnsi="宋体" w:cs="宋体" w:eastAsia="宋体" w:hint="default"/>
          <w:sz w:val="5"/>
          <w:szCs w:val="5"/>
        </w:rPr>
        <w:sectPr>
          <w:pgSz w:w="11910" w:h="16840"/>
          <w:pgMar w:header="877" w:footer="980" w:top="1100" w:bottom="1160" w:left="980" w:right="0"/>
        </w:sectPr>
      </w:pPr>
    </w:p>
    <w:p>
      <w:pPr>
        <w:pStyle w:val="Heading3"/>
        <w:spacing w:line="240" w:lineRule="auto" w:before="36"/>
        <w:ind w:right="-12"/>
        <w:jc w:val="left"/>
        <w:rPr>
          <w:b w:val="0"/>
          <w:bCs w:val="0"/>
        </w:rPr>
      </w:pPr>
      <w:bookmarkStart w:name="42、管理费用" w:id="307"/>
      <w:bookmarkEnd w:id="307"/>
      <w:r>
        <w:rPr>
          <w:b w:val="0"/>
          <w:bCs w:val="0"/>
        </w:rPr>
      </w:r>
      <w:r>
        <w:rPr>
          <w:rFonts w:ascii="Times New Roman" w:hAnsi="Times New Roman" w:cs="Times New Roman" w:eastAsia="Times New Roman" w:hint="default"/>
          <w:spacing w:val="-1"/>
        </w:rPr>
        <w:t>42</w:t>
      </w:r>
      <w:r>
        <w:rPr>
          <w:spacing w:val="-1"/>
        </w:rPr>
        <w:t>、管理费用</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3"/>
          <w:szCs w:val="13"/>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419" w:space="7411"/>
            <w:col w:w="210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303,039,343.95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286,233,571.49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15,808,363.15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10,506,946.80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14,240,553.20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11,584,073.31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股份支付费用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11,766,908.50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25,190,584.50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聘请中介机构费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10,218,858.80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9,258,455.39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10,031,306.02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9,252,923.62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9,699,169.80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12,978,758.38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5,974,716.15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4,577,069.44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能源费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3,736,312.23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3,748,851.83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3,688,163.50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3,187,420.36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25,002,618.81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25,759,916.80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413,206,314.11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402,278,571.92</w:t>
            </w:r>
          </w:p>
        </w:tc>
      </w:tr>
    </w:tbl>
    <w:p>
      <w:pPr>
        <w:spacing w:line="240" w:lineRule="auto" w:before="8"/>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77" w:footer="980" w:top="1100" w:bottom="1160" w:left="980" w:right="0"/>
        </w:sectPr>
      </w:pPr>
    </w:p>
    <w:p>
      <w:pPr>
        <w:pStyle w:val="Heading3"/>
        <w:spacing w:line="240" w:lineRule="auto" w:before="36"/>
        <w:ind w:right="-12"/>
        <w:jc w:val="left"/>
        <w:rPr>
          <w:b w:val="0"/>
          <w:bCs w:val="0"/>
        </w:rPr>
      </w:pPr>
      <w:bookmarkStart w:name="43、研发费用" w:id="308"/>
      <w:bookmarkEnd w:id="308"/>
      <w:r>
        <w:rPr>
          <w:b w:val="0"/>
          <w:bCs w:val="0"/>
        </w:rPr>
      </w:r>
      <w:r>
        <w:rPr>
          <w:rFonts w:ascii="Times New Roman" w:hAnsi="Times New Roman" w:cs="Times New Roman" w:eastAsia="Times New Roman" w:hint="default"/>
          <w:spacing w:val="-1"/>
        </w:rPr>
        <w:t>43</w:t>
      </w:r>
      <w:r>
        <w:rPr>
          <w:spacing w:val="-1"/>
        </w:rPr>
        <w:t>、研发费用</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3"/>
          <w:szCs w:val="13"/>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419" w:space="7411"/>
            <w:col w:w="210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289,227,469.42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222,096,718.95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22,634,942.17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18,547,176.63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6,476,437.50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5,694,509.38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1,121,385.54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1,023,242.33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1,060,742.82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1,011,731.86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邮电通讯费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378,713.89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20,063,329.45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2,715,418.61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4,183,228.95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323,615,109.95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272,619,937.55</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44、财务费用" w:id="309"/>
      <w:bookmarkEnd w:id="309"/>
      <w:r>
        <w:rPr>
          <w:b w:val="0"/>
          <w:bCs w:val="0"/>
        </w:rPr>
      </w:r>
      <w:r>
        <w:rPr>
          <w:rFonts w:ascii="Times New Roman" w:hAnsi="Times New Roman" w:cs="Times New Roman" w:eastAsia="Times New Roman" w:hint="default"/>
        </w:rPr>
        <w:t>44</w:t>
      </w:r>
      <w:r>
        <w:rPr/>
        <w:t>、财务费用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55,544,952.54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52,699,346.43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3,483,131.72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5,481,810.56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683,509.30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-6,630,300.52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303,841.59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203,935.63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53,049,171.71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40,791,170.98</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45、其他收益" w:id="310"/>
      <w:bookmarkEnd w:id="310"/>
      <w:r>
        <w:rPr>
          <w:b w:val="0"/>
          <w:bCs w:val="0"/>
        </w:rPr>
      </w:r>
      <w:r>
        <w:rPr>
          <w:rFonts w:ascii="Times New Roman" w:hAnsi="Times New Roman" w:cs="Times New Roman" w:eastAsia="Times New Roman" w:hint="default"/>
        </w:rPr>
        <w:t>45</w:t>
      </w:r>
      <w:r>
        <w:rPr/>
        <w:t>、其他收益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12,900,428.09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24,206,453.93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工程实验室</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2,438,412.24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2,438,412.24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进项税加计扣除</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2,993,861.28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久其智慧物流公共服务平台项目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1,489,129.68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1,489,129.68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196,626.54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833,580.96</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基于新一代开发平台的集团管控软件的 升级改造</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265,013.52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华夏电通数字媒体综合控制系统生产项 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120,221.33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20,018,457.83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29,352,811.66</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46、投资收益" w:id="311"/>
      <w:bookmarkEnd w:id="311"/>
      <w:r>
        <w:rPr>
          <w:b w:val="0"/>
          <w:bCs w:val="0"/>
        </w:rPr>
      </w:r>
      <w:r>
        <w:rPr>
          <w:rFonts w:ascii="Times New Roman" w:hAnsi="Times New Roman" w:cs="Times New Roman" w:eastAsia="Times New Roman" w:hint="default"/>
        </w:rPr>
        <w:t>46</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-176,195.75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1,374,034.36</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-1,286,034.29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-694,885.83</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交易性金融资产在持有期间的投资收益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12,597,703.69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2"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23,212,289.03</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11,135,473.65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23,891,437.56</w:t>
            </w:r>
          </w:p>
        </w:tc>
      </w:tr>
    </w:tbl>
    <w:p>
      <w:pPr>
        <w:spacing w:line="240" w:lineRule="auto" w:before="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980" w:top="1100" w:bottom="1160" w:left="980" w:right="0"/>
        </w:sectPr>
      </w:pPr>
    </w:p>
    <w:p>
      <w:pPr>
        <w:pStyle w:val="Heading3"/>
        <w:spacing w:line="240" w:lineRule="auto" w:before="36"/>
        <w:ind w:right="-6"/>
        <w:jc w:val="left"/>
        <w:rPr>
          <w:b w:val="0"/>
          <w:bCs w:val="0"/>
        </w:rPr>
      </w:pPr>
      <w:bookmarkStart w:name="47、公允价值变动收益" w:id="312"/>
      <w:bookmarkEnd w:id="312"/>
      <w:r>
        <w:rPr>
          <w:b w:val="0"/>
          <w:bCs w:val="0"/>
        </w:rPr>
      </w:r>
      <w:r>
        <w:rPr>
          <w:rFonts w:ascii="Times New Roman" w:hAnsi="Times New Roman" w:cs="Times New Roman" w:eastAsia="Times New Roman" w:hint="default"/>
          <w:spacing w:val="-1"/>
        </w:rPr>
        <w:t>47</w:t>
      </w:r>
      <w:r>
        <w:rPr>
          <w:spacing w:val="-1"/>
        </w:rPr>
        <w:t>、公允价值变动收益</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3"/>
          <w:szCs w:val="13"/>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263" w:space="656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-132,317.99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-132,317.99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48、信用减值损失" w:id="313"/>
      <w:bookmarkEnd w:id="313"/>
      <w:r>
        <w:rPr>
          <w:b w:val="0"/>
          <w:bCs w:val="0"/>
        </w:rPr>
      </w:r>
      <w:r>
        <w:rPr>
          <w:rFonts w:ascii="Times New Roman" w:hAnsi="Times New Roman" w:cs="Times New Roman" w:eastAsia="Times New Roman" w:hint="default"/>
        </w:rPr>
        <w:t>48</w:t>
      </w:r>
      <w:r>
        <w:rPr/>
        <w:t>、信用减值损失</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0"/>
        <w:gridCol w:w="3201"/>
        <w:gridCol w:w="3190"/>
      </w:tblGrid>
      <w:tr>
        <w:trPr>
          <w:trHeight w:val="401"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-1,104,059.28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-3,306,300.14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应收保理款坏账损失</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-45,908,908.47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-50,319,267.89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49、资产减值损失" w:id="314"/>
      <w:bookmarkEnd w:id="314"/>
      <w:r>
        <w:rPr>
          <w:b w:val="0"/>
          <w:bCs w:val="0"/>
        </w:rPr>
      </w:r>
      <w:r>
        <w:rPr>
          <w:rFonts w:ascii="Times New Roman" w:hAnsi="Times New Roman" w:cs="Times New Roman" w:eastAsia="Times New Roman" w:hint="default"/>
        </w:rPr>
        <w:t>49</w:t>
      </w:r>
      <w:r>
        <w:rPr/>
        <w:t>、资产减值损失</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-77,747,457.47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-5,527.81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-5,832,901.09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-16,139,800.00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-26,337,220.99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-1,077,394,931.22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-96,113.21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-2,052,713.89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-26,433,334.20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-1,179,173,331.48</w:t>
            </w:r>
          </w:p>
        </w:tc>
      </w:tr>
    </w:tbl>
    <w:p>
      <w:pPr>
        <w:spacing w:line="240" w:lineRule="auto" w:before="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980" w:top="1100" w:bottom="1160" w:left="980" w:right="0"/>
        </w:sectPr>
      </w:pPr>
    </w:p>
    <w:p>
      <w:pPr>
        <w:pStyle w:val="Heading3"/>
        <w:spacing w:line="240" w:lineRule="auto" w:before="36"/>
        <w:ind w:right="-9"/>
        <w:jc w:val="left"/>
        <w:rPr>
          <w:b w:val="0"/>
          <w:bCs w:val="0"/>
        </w:rPr>
      </w:pPr>
      <w:bookmarkStart w:name="50、资产处置收益" w:id="315"/>
      <w:bookmarkEnd w:id="315"/>
      <w:r>
        <w:rPr>
          <w:b w:val="0"/>
          <w:bCs w:val="0"/>
        </w:rPr>
      </w:r>
      <w:r>
        <w:rPr>
          <w:rFonts w:ascii="Times New Roman" w:hAnsi="Times New Roman" w:cs="Times New Roman" w:eastAsia="Times New Roman" w:hint="default"/>
          <w:spacing w:val="-1"/>
        </w:rPr>
        <w:t>50</w:t>
      </w:r>
      <w:r>
        <w:rPr>
          <w:spacing w:val="-1"/>
        </w:rPr>
        <w:t>、资产处置收益</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3"/>
          <w:szCs w:val="13"/>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841" w:space="6988"/>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固定资产处置利得（损失以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-83,654.88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13,694.33</w:t>
            </w:r>
          </w:p>
        </w:tc>
      </w:tr>
    </w:tbl>
    <w:p>
      <w:pPr>
        <w:spacing w:line="240" w:lineRule="auto" w:before="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60" w:bottom="1160" w:left="980" w:right="0"/>
        </w:sectPr>
      </w:pPr>
    </w:p>
    <w:p>
      <w:pPr>
        <w:pStyle w:val="Heading3"/>
        <w:spacing w:line="240" w:lineRule="auto" w:before="36"/>
        <w:ind w:right="-10"/>
        <w:jc w:val="left"/>
        <w:rPr>
          <w:b w:val="0"/>
          <w:bCs w:val="0"/>
        </w:rPr>
      </w:pPr>
      <w:bookmarkStart w:name="51、营业外收入" w:id="316"/>
      <w:bookmarkEnd w:id="316"/>
      <w:r>
        <w:rPr>
          <w:b w:val="0"/>
          <w:bCs w:val="0"/>
        </w:rPr>
      </w:r>
      <w:r>
        <w:rPr>
          <w:rFonts w:ascii="Times New Roman" w:hAnsi="Times New Roman" w:cs="Times New Roman" w:eastAsia="Times New Roman" w:hint="default"/>
          <w:spacing w:val="-1"/>
        </w:rPr>
        <w:t>51</w:t>
      </w:r>
      <w:r>
        <w:rPr>
          <w:spacing w:val="-1"/>
        </w:rPr>
        <w:t>、营业外收入</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3"/>
          <w:szCs w:val="13"/>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630" w:space="7199"/>
            <w:col w:w="2101"/>
          </w:cols>
        </w:sectPr>
      </w:pPr>
    </w:p>
    <w:p>
      <w:pPr>
        <w:spacing w:line="240" w:lineRule="auto" w:before="3"/>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406"/>
        <w:gridCol w:w="1976"/>
        <w:gridCol w:w="1976"/>
        <w:gridCol w:w="4340"/>
      </w:tblGrid>
      <w:tr>
        <w:trPr>
          <w:trHeight w:val="402" w:hRule="exact"/>
        </w:trPr>
        <w:tc>
          <w:tcPr>
            <w:tcW w:w="1406"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3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3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4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96"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1" w:hRule="exact"/>
        </w:trPr>
        <w:tc>
          <w:tcPr>
            <w:tcW w:w="14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1,747,650.29</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11,111,859.28</w:t>
            </w:r>
          </w:p>
        </w:tc>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1,747,650.29</w:t>
            </w:r>
          </w:p>
        </w:tc>
      </w:tr>
      <w:tr>
        <w:trPr>
          <w:trHeight w:val="403" w:hRule="exact"/>
        </w:trPr>
        <w:tc>
          <w:tcPr>
            <w:tcW w:w="14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8,689,036.39</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2,365,222.17</w:t>
            </w:r>
          </w:p>
        </w:tc>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8,689,036.39</w:t>
            </w:r>
          </w:p>
        </w:tc>
      </w:tr>
      <w:tr>
        <w:trPr>
          <w:trHeight w:val="403" w:hRule="exact"/>
        </w:trPr>
        <w:tc>
          <w:tcPr>
            <w:tcW w:w="14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10,436,686.68</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13,477,081.45</w:t>
            </w:r>
          </w:p>
        </w:tc>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10,436,686.68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338" w:lineRule="auto" w:before="49"/>
        <w:ind w:right="-11"/>
        <w:jc w:val="left"/>
      </w:pPr>
      <w:r>
        <w:rPr/>
        <w:t>说明：其他主要系本集团</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年度收到子公司原股东应收账款补偿款</w:t>
      </w:r>
      <w:r>
        <w:rPr>
          <w:spacing w:val="-46"/>
        </w:rPr>
        <w:t> </w:t>
      </w:r>
      <w:r>
        <w:rPr>
          <w:rFonts w:ascii="Times New Roman" w:hAnsi="Times New Roman" w:cs="Times New Roman" w:eastAsia="Times New Roman" w:hint="default"/>
        </w:rPr>
        <w:t>7,965,330.58</w:t>
      </w:r>
      <w:r>
        <w:rPr>
          <w:rFonts w:ascii="Times New Roman" w:hAnsi="Times New Roman" w:cs="Times New Roman" w:eastAsia="Times New Roman" w:hint="default"/>
          <w:spacing w:val="1"/>
        </w:rPr>
        <w:t> </w:t>
      </w:r>
      <w:r>
        <w:rPr/>
        <w:t>元。 计入当期损益的政府补助：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7043" w:space="178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118"/>
        <w:gridCol w:w="622"/>
        <w:gridCol w:w="1877"/>
        <w:gridCol w:w="836"/>
        <w:gridCol w:w="598"/>
        <w:gridCol w:w="1027"/>
        <w:gridCol w:w="1496"/>
        <w:gridCol w:w="828"/>
      </w:tblGrid>
      <w:tr>
        <w:trPr>
          <w:trHeight w:val="1027"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9"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4"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5" w:right="34" w:hanging="180"/>
              <w:jc w:val="left"/>
              <w:rPr>
                <w:rFonts w:ascii="宋体" w:hAnsi="宋体" w:cs="宋体" w:eastAsia="宋体" w:hint="default"/>
                <w:sz w:val="18"/>
                <w:szCs w:val="18"/>
              </w:rPr>
            </w:pPr>
            <w:r>
              <w:rPr>
                <w:rFonts w:ascii="宋体" w:hAnsi="宋体" w:cs="宋体" w:eastAsia="宋体" w:hint="default"/>
                <w:sz w:val="18"/>
                <w:szCs w:val="18"/>
              </w:rPr>
              <w:t>发放原 因</w:t>
            </w:r>
          </w:p>
        </w:tc>
        <w:tc>
          <w:tcPr>
            <w:tcW w:w="1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73"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5" w:right="48"/>
              <w:jc w:val="center"/>
              <w:rPr>
                <w:rFonts w:ascii="宋体" w:hAnsi="宋体" w:cs="宋体" w:eastAsia="宋体" w:hint="default"/>
                <w:sz w:val="18"/>
                <w:szCs w:val="18"/>
              </w:rPr>
            </w:pPr>
            <w:r>
              <w:rPr>
                <w:rFonts w:ascii="宋体" w:hAnsi="宋体" w:cs="宋体" w:eastAsia="宋体" w:hint="default"/>
                <w:sz w:val="18"/>
                <w:szCs w:val="18"/>
              </w:rPr>
              <w:t>补贴是否 影响当年 盈亏</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7" w:right="59"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03"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3" w:right="23" w:hanging="3"/>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03"/>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年海淀区 重点培育企业 奖励</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both"/>
              <w:rPr>
                <w:rFonts w:ascii="宋体" w:hAnsi="宋体" w:cs="宋体" w:eastAsia="宋体" w:hint="default"/>
                <w:sz w:val="18"/>
                <w:szCs w:val="18"/>
              </w:rPr>
            </w:pPr>
            <w:r>
              <w:rPr>
                <w:rFonts w:ascii="宋体" w:hAnsi="宋体" w:cs="宋体" w:eastAsia="宋体" w:hint="default"/>
                <w:sz w:val="18"/>
                <w:szCs w:val="18"/>
              </w:rPr>
              <w:t>中关村科技 园区海淀园 管理委员会</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因研究开发、技术更新 及改造等获得的补助</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1,240,000.00</w:t>
            </w:r>
          </w:p>
        </w:tc>
        <w:tc>
          <w:tcPr>
            <w:tcW w:w="149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2"/>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9"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82"/>
              <w:jc w:val="left"/>
              <w:rPr>
                <w:rFonts w:ascii="宋体" w:hAnsi="宋体" w:cs="宋体" w:eastAsia="宋体" w:hint="default"/>
                <w:sz w:val="18"/>
                <w:szCs w:val="18"/>
              </w:rPr>
            </w:pPr>
            <w:r>
              <w:rPr>
                <w:rFonts w:ascii="宋体" w:hAnsi="宋体" w:cs="宋体" w:eastAsia="宋体" w:hint="default"/>
                <w:sz w:val="18"/>
                <w:szCs w:val="18"/>
              </w:rPr>
              <w:t>社会保险基 金管理中心</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因从事国家鼓励和扶持 特定行业、产业而获得 的补助（按国家级政策 规定依法取得）</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123,188.56</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72,079.78</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72"/>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53"/>
              <w:jc w:val="both"/>
              <w:rPr>
                <w:rFonts w:ascii="宋体" w:hAnsi="宋体" w:cs="宋体" w:eastAsia="宋体" w:hint="default"/>
                <w:sz w:val="18"/>
                <w:szCs w:val="18"/>
              </w:rPr>
            </w:pPr>
            <w:r>
              <w:rPr>
                <w:rFonts w:ascii="宋体" w:hAnsi="宋体" w:cs="宋体" w:eastAsia="宋体" w:hint="default"/>
                <w:sz w:val="18"/>
                <w:szCs w:val="18"/>
              </w:rPr>
              <w:t>海南省互联网 产业发展专项 资金社保补贴</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82"/>
              <w:jc w:val="both"/>
              <w:rPr>
                <w:rFonts w:ascii="宋体" w:hAnsi="宋体" w:cs="宋体" w:eastAsia="宋体" w:hint="default"/>
                <w:sz w:val="18"/>
                <w:szCs w:val="18"/>
              </w:rPr>
            </w:pPr>
            <w:r>
              <w:rPr>
                <w:rFonts w:ascii="宋体" w:hAnsi="宋体" w:cs="宋体" w:eastAsia="宋体" w:hint="default"/>
                <w:sz w:val="18"/>
                <w:szCs w:val="18"/>
              </w:rPr>
              <w:t>海南省澄迈 县工业和信 息化局</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因从事国家鼓励和扶持 特定行业、产业而获得 的补助（按国家级政策 规定依法取得）</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179,578.73</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200,632.5</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72"/>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9"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中关村示范区 科技型小微企 业研发费用支 持资金</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82"/>
              <w:jc w:val="both"/>
              <w:rPr>
                <w:rFonts w:ascii="宋体" w:hAnsi="宋体" w:cs="宋体" w:eastAsia="宋体" w:hint="default"/>
                <w:sz w:val="18"/>
                <w:szCs w:val="18"/>
              </w:rPr>
            </w:pPr>
            <w:r>
              <w:rPr>
                <w:rFonts w:ascii="宋体" w:hAnsi="宋体" w:cs="宋体" w:eastAsia="宋体" w:hint="default"/>
                <w:sz w:val="18"/>
                <w:szCs w:val="18"/>
              </w:rPr>
              <w:t>中关村科技 园区管理委 员会</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因从事国家鼓励和扶持 特定行业、产业而获得 的补助（按国家级政策 规定依法取得）</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86,583.00</w:t>
            </w:r>
            <w:r>
              <w:rPr>
                <w:rFonts w:ascii="Times New Roman"/>
                <w:sz w:val="18"/>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143,692.00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72"/>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268"/>
        <w:gridCol w:w="1118"/>
        <w:gridCol w:w="622"/>
        <w:gridCol w:w="1877"/>
        <w:gridCol w:w="836"/>
        <w:gridCol w:w="598"/>
        <w:gridCol w:w="1027"/>
        <w:gridCol w:w="1496"/>
        <w:gridCol w:w="828"/>
      </w:tblGrid>
      <w:tr>
        <w:trPr>
          <w:trHeight w:val="1025"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9"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94"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15" w:right="34" w:hanging="180"/>
              <w:jc w:val="left"/>
              <w:rPr>
                <w:rFonts w:ascii="宋体" w:hAnsi="宋体" w:cs="宋体" w:eastAsia="宋体" w:hint="default"/>
                <w:sz w:val="18"/>
                <w:szCs w:val="18"/>
              </w:rPr>
            </w:pPr>
            <w:r>
              <w:rPr>
                <w:rFonts w:ascii="宋体" w:hAnsi="宋体" w:cs="宋体" w:eastAsia="宋体" w:hint="default"/>
                <w:sz w:val="18"/>
                <w:szCs w:val="18"/>
              </w:rPr>
              <w:t>发放原 因</w:t>
            </w:r>
          </w:p>
        </w:tc>
        <w:tc>
          <w:tcPr>
            <w:tcW w:w="1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573"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5" w:right="48"/>
              <w:jc w:val="center"/>
              <w:rPr>
                <w:rFonts w:ascii="宋体" w:hAnsi="宋体" w:cs="宋体" w:eastAsia="宋体" w:hint="default"/>
                <w:sz w:val="18"/>
                <w:szCs w:val="18"/>
              </w:rPr>
            </w:pPr>
            <w:r>
              <w:rPr>
                <w:rFonts w:ascii="宋体" w:hAnsi="宋体" w:cs="宋体" w:eastAsia="宋体" w:hint="default"/>
                <w:sz w:val="18"/>
                <w:szCs w:val="18"/>
              </w:rPr>
              <w:t>补贴是否 影响当年 盈亏</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417" w:right="59"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03"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3" w:right="23" w:hanging="3"/>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1339"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4" w:right="153"/>
              <w:jc w:val="left"/>
              <w:rPr>
                <w:rFonts w:ascii="宋体" w:hAnsi="宋体" w:cs="宋体" w:eastAsia="宋体" w:hint="default"/>
                <w:sz w:val="18"/>
                <w:szCs w:val="18"/>
              </w:rPr>
            </w:pPr>
            <w:r>
              <w:rPr>
                <w:rFonts w:ascii="宋体" w:hAnsi="宋体" w:cs="宋体" w:eastAsia="宋体" w:hint="default"/>
                <w:sz w:val="18"/>
                <w:szCs w:val="18"/>
              </w:rPr>
              <w:t>百家优秀企业 表彰奖励</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82"/>
              <w:jc w:val="left"/>
              <w:rPr>
                <w:rFonts w:ascii="宋体" w:hAnsi="宋体" w:cs="宋体" w:eastAsia="宋体" w:hint="default"/>
                <w:sz w:val="18"/>
                <w:szCs w:val="18"/>
              </w:rPr>
            </w:pPr>
            <w:r>
              <w:rPr>
                <w:rFonts w:ascii="宋体" w:hAnsi="宋体" w:cs="宋体" w:eastAsia="宋体" w:hint="default"/>
                <w:sz w:val="18"/>
                <w:szCs w:val="18"/>
              </w:rPr>
              <w:t>上海市静安 区财政局</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1"/>
              <w:jc w:val="both"/>
              <w:rPr>
                <w:rFonts w:ascii="宋体" w:hAnsi="宋体" w:cs="宋体" w:eastAsia="宋体" w:hint="default"/>
                <w:sz w:val="18"/>
                <w:szCs w:val="18"/>
              </w:rPr>
            </w:pPr>
            <w:r>
              <w:rPr>
                <w:rFonts w:ascii="宋体" w:hAnsi="宋体" w:cs="宋体" w:eastAsia="宋体" w:hint="default"/>
                <w:sz w:val="18"/>
                <w:szCs w:val="18"/>
              </w:rPr>
              <w:t>因从事国家鼓励和扶持 特定行业、产业而获得 的补助（按国家级政策 规定依法取得）</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60,000.00</w:t>
            </w:r>
          </w:p>
        </w:tc>
        <w:tc>
          <w:tcPr>
            <w:tcW w:w="149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72"/>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53"/>
              <w:jc w:val="left"/>
              <w:rPr>
                <w:rFonts w:ascii="宋体" w:hAnsi="宋体" w:cs="宋体" w:eastAsia="宋体" w:hint="default"/>
                <w:sz w:val="18"/>
                <w:szCs w:val="18"/>
              </w:rPr>
            </w:pPr>
            <w:r>
              <w:rPr>
                <w:rFonts w:ascii="宋体" w:hAnsi="宋体" w:cs="宋体" w:eastAsia="宋体" w:hint="default"/>
                <w:sz w:val="18"/>
                <w:szCs w:val="18"/>
              </w:rPr>
              <w:t>高新技术企业 补助</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82"/>
              <w:jc w:val="left"/>
              <w:rPr>
                <w:rFonts w:ascii="宋体" w:hAnsi="宋体" w:cs="宋体" w:eastAsia="宋体" w:hint="default"/>
                <w:sz w:val="18"/>
                <w:szCs w:val="18"/>
              </w:rPr>
            </w:pPr>
            <w:r>
              <w:rPr>
                <w:rFonts w:ascii="宋体" w:hAnsi="宋体" w:cs="宋体" w:eastAsia="宋体" w:hint="default"/>
                <w:sz w:val="18"/>
                <w:szCs w:val="18"/>
              </w:rPr>
              <w:t>陕西省科学 技术厅</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因从事国家鼓励和扶持 特定行业、产业而获得 的补助（按国家级政策 规定依法取得）</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72"/>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97" w:lineRule="auto"/>
              <w:ind w:left="24" w:right="10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年北京市 专利资助金</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82"/>
              <w:jc w:val="both"/>
              <w:rPr>
                <w:rFonts w:ascii="宋体" w:hAnsi="宋体" w:cs="宋体" w:eastAsia="宋体" w:hint="default"/>
                <w:sz w:val="18"/>
                <w:szCs w:val="18"/>
              </w:rPr>
            </w:pPr>
            <w:r>
              <w:rPr>
                <w:rFonts w:ascii="宋体" w:hAnsi="宋体" w:cs="宋体" w:eastAsia="宋体" w:hint="default"/>
                <w:sz w:val="18"/>
                <w:szCs w:val="18"/>
              </w:rPr>
              <w:t>国家知识产 权局专利局 北京代办处</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因研究开发、技术更新 及改造等获得的补助</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6,500.00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6,500.00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3" w:right="72"/>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53"/>
              <w:jc w:val="left"/>
              <w:rPr>
                <w:rFonts w:ascii="宋体" w:hAnsi="宋体" w:cs="宋体" w:eastAsia="宋体" w:hint="default"/>
                <w:sz w:val="18"/>
                <w:szCs w:val="18"/>
              </w:rPr>
            </w:pPr>
            <w:r>
              <w:rPr>
                <w:rFonts w:ascii="宋体" w:hAnsi="宋体" w:cs="宋体" w:eastAsia="宋体" w:hint="default"/>
                <w:sz w:val="18"/>
                <w:szCs w:val="18"/>
              </w:rPr>
              <w:t>董秘资格培训 费用补贴</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both"/>
              <w:rPr>
                <w:rFonts w:ascii="宋体" w:hAnsi="宋体" w:cs="宋体" w:eastAsia="宋体" w:hint="default"/>
                <w:sz w:val="18"/>
                <w:szCs w:val="18"/>
              </w:rPr>
            </w:pPr>
            <w:r>
              <w:rPr>
                <w:rFonts w:ascii="宋体" w:hAnsi="宋体" w:cs="宋体" w:eastAsia="宋体" w:hint="default"/>
                <w:sz w:val="18"/>
                <w:szCs w:val="18"/>
              </w:rPr>
              <w:t>北京市海淀 区人民政府 办公室</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奖励上市而给予的政府 补助</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1,800.00</w:t>
            </w:r>
          </w:p>
        </w:tc>
        <w:tc>
          <w:tcPr>
            <w:tcW w:w="149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2"/>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科技成果转化 项目补助经费</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2"/>
              <w:jc w:val="left"/>
              <w:rPr>
                <w:rFonts w:ascii="宋体" w:hAnsi="宋体" w:cs="宋体" w:eastAsia="宋体" w:hint="default"/>
                <w:sz w:val="18"/>
                <w:szCs w:val="18"/>
              </w:rPr>
            </w:pPr>
            <w:r>
              <w:rPr>
                <w:rFonts w:ascii="宋体" w:hAnsi="宋体" w:cs="宋体" w:eastAsia="宋体" w:hint="default"/>
                <w:sz w:val="18"/>
                <w:szCs w:val="18"/>
              </w:rPr>
              <w:t>海南省科学 技术厅</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1"/>
              <w:jc w:val="left"/>
              <w:rPr>
                <w:rFonts w:ascii="宋体" w:hAnsi="宋体" w:cs="宋体" w:eastAsia="宋体" w:hint="default"/>
                <w:sz w:val="18"/>
                <w:szCs w:val="18"/>
              </w:rPr>
            </w:pPr>
            <w:r>
              <w:rPr>
                <w:rFonts w:ascii="宋体" w:hAnsi="宋体" w:cs="宋体" w:eastAsia="宋体" w:hint="default"/>
                <w:sz w:val="18"/>
                <w:szCs w:val="18"/>
              </w:rPr>
              <w:t>因研究开发、技术更新 及改造等获得的补助</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2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10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年度财政 扶持</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82"/>
              <w:jc w:val="left"/>
              <w:rPr>
                <w:rFonts w:ascii="宋体" w:hAnsi="宋体" w:cs="宋体" w:eastAsia="宋体" w:hint="default"/>
                <w:sz w:val="18"/>
                <w:szCs w:val="18"/>
              </w:rPr>
            </w:pPr>
            <w:r>
              <w:rPr>
                <w:rFonts w:ascii="宋体" w:hAnsi="宋体" w:cs="宋体" w:eastAsia="宋体" w:hint="default"/>
                <w:sz w:val="18"/>
                <w:szCs w:val="18"/>
              </w:rPr>
              <w:t>上海市静安 区财政局</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因符合地方政府招商引 资等地方性扶持政策而 获得的补助</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2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2,750,000.00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2"/>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9"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53"/>
              <w:jc w:val="both"/>
              <w:rPr>
                <w:rFonts w:ascii="宋体" w:hAnsi="宋体" w:cs="宋体" w:eastAsia="宋体" w:hint="default"/>
                <w:sz w:val="18"/>
                <w:szCs w:val="18"/>
              </w:rPr>
            </w:pPr>
            <w:r>
              <w:rPr>
                <w:rFonts w:ascii="宋体" w:hAnsi="宋体" w:cs="宋体" w:eastAsia="宋体" w:hint="default"/>
                <w:sz w:val="18"/>
                <w:szCs w:val="18"/>
              </w:rPr>
              <w:t>北京市海淀区 人民政府办公 室</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82"/>
              <w:jc w:val="both"/>
              <w:rPr>
                <w:rFonts w:ascii="宋体" w:hAnsi="宋体" w:cs="宋体" w:eastAsia="宋体" w:hint="default"/>
                <w:sz w:val="18"/>
                <w:szCs w:val="18"/>
              </w:rPr>
            </w:pPr>
            <w:r>
              <w:rPr>
                <w:rFonts w:ascii="宋体" w:hAnsi="宋体" w:cs="宋体" w:eastAsia="宋体" w:hint="default"/>
                <w:sz w:val="18"/>
                <w:szCs w:val="18"/>
              </w:rPr>
              <w:t>中关村科技 园区海淀园 管理委员会</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1"/>
              <w:jc w:val="both"/>
              <w:rPr>
                <w:rFonts w:ascii="宋体" w:hAnsi="宋体" w:cs="宋体" w:eastAsia="宋体" w:hint="default"/>
                <w:sz w:val="18"/>
                <w:szCs w:val="18"/>
              </w:rPr>
            </w:pPr>
            <w:r>
              <w:rPr>
                <w:rFonts w:ascii="宋体" w:hAnsi="宋体" w:cs="宋体" w:eastAsia="宋体" w:hint="default"/>
                <w:sz w:val="18"/>
                <w:szCs w:val="18"/>
              </w:rPr>
              <w:t>因从事国家鼓励和扶持 特定行业、产业而获得 的补助（按国家级政策 规定依法取得）</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2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1,784,800.00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72"/>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上海市静安区 产业专项资金 扶持</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82"/>
              <w:jc w:val="left"/>
              <w:rPr>
                <w:rFonts w:ascii="宋体" w:hAnsi="宋体" w:cs="宋体" w:eastAsia="宋体" w:hint="default"/>
                <w:sz w:val="18"/>
                <w:szCs w:val="18"/>
              </w:rPr>
            </w:pPr>
            <w:r>
              <w:rPr>
                <w:rFonts w:ascii="宋体" w:hAnsi="宋体" w:cs="宋体" w:eastAsia="宋体" w:hint="default"/>
                <w:sz w:val="18"/>
                <w:szCs w:val="18"/>
              </w:rPr>
              <w:t>上海市静安 区财政局</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因符合地方政府招商引 资等地方性扶持政策而 获得的补助</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2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850,500.00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2"/>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153"/>
              <w:jc w:val="left"/>
              <w:rPr>
                <w:rFonts w:ascii="宋体" w:hAnsi="宋体" w:cs="宋体" w:eastAsia="宋体" w:hint="default"/>
                <w:sz w:val="18"/>
                <w:szCs w:val="18"/>
              </w:rPr>
            </w:pPr>
            <w:r>
              <w:rPr>
                <w:rFonts w:ascii="宋体" w:hAnsi="宋体" w:cs="宋体" w:eastAsia="宋体" w:hint="default"/>
                <w:sz w:val="18"/>
                <w:szCs w:val="18"/>
              </w:rPr>
              <w:t>人才扶持奖励 资金</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2"/>
              <w:jc w:val="both"/>
              <w:rPr>
                <w:rFonts w:ascii="宋体" w:hAnsi="宋体" w:cs="宋体" w:eastAsia="宋体" w:hint="default"/>
                <w:sz w:val="18"/>
                <w:szCs w:val="18"/>
              </w:rPr>
            </w:pPr>
            <w:r>
              <w:rPr>
                <w:rFonts w:ascii="宋体" w:hAnsi="宋体" w:cs="宋体" w:eastAsia="宋体" w:hint="default"/>
                <w:sz w:val="18"/>
                <w:szCs w:val="18"/>
              </w:rPr>
              <w:t>北京经济技 术开发区财 政局</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1"/>
              <w:jc w:val="both"/>
              <w:rPr>
                <w:rFonts w:ascii="宋体" w:hAnsi="宋体" w:cs="宋体" w:eastAsia="宋体" w:hint="default"/>
                <w:sz w:val="18"/>
                <w:szCs w:val="18"/>
              </w:rPr>
            </w:pPr>
            <w:r>
              <w:rPr>
                <w:rFonts w:ascii="宋体" w:hAnsi="宋体" w:cs="宋体" w:eastAsia="宋体" w:hint="default"/>
                <w:sz w:val="18"/>
                <w:szCs w:val="18"/>
              </w:rPr>
              <w:t>因符合地方政府招商引 资等地方性扶持政策而 获得的补助</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2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459,000.00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72"/>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4"/>
              <w:ind w:left="24" w:right="10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年区品牌 建设补贴</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82"/>
              <w:jc w:val="left"/>
              <w:rPr>
                <w:rFonts w:ascii="宋体" w:hAnsi="宋体" w:cs="宋体" w:eastAsia="宋体" w:hint="default"/>
                <w:sz w:val="18"/>
                <w:szCs w:val="18"/>
              </w:rPr>
            </w:pPr>
            <w:r>
              <w:rPr>
                <w:rFonts w:ascii="宋体" w:hAnsi="宋体" w:cs="宋体" w:eastAsia="宋体" w:hint="default"/>
                <w:sz w:val="18"/>
                <w:szCs w:val="18"/>
              </w:rPr>
              <w:t>上海市静安 区财政局</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因从事国家鼓励和扶持 特定行业、产业而获得 的补助（按国家级政策 规定依法取得）</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2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434,000.00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72"/>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9"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4" w:right="153"/>
              <w:jc w:val="left"/>
              <w:rPr>
                <w:rFonts w:ascii="宋体" w:hAnsi="宋体" w:cs="宋体" w:eastAsia="宋体" w:hint="default"/>
                <w:sz w:val="18"/>
                <w:szCs w:val="18"/>
              </w:rPr>
            </w:pPr>
            <w:r>
              <w:rPr>
                <w:rFonts w:ascii="宋体" w:hAnsi="宋体" w:cs="宋体" w:eastAsia="宋体" w:hint="default"/>
                <w:sz w:val="18"/>
                <w:szCs w:val="18"/>
              </w:rPr>
              <w:t>天津国税高企 项目费</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天津市财政 </w:t>
            </w:r>
            <w:r>
              <w:rPr>
                <w:rFonts w:ascii="宋体" w:hAnsi="宋体" w:cs="宋体" w:eastAsia="宋体" w:hint="default"/>
                <w:spacing w:val="-3"/>
                <w:sz w:val="18"/>
                <w:szCs w:val="18"/>
              </w:rPr>
              <w:t>局、天津市武</w:t>
            </w:r>
            <w:r>
              <w:rPr>
                <w:rFonts w:ascii="宋体" w:hAnsi="宋体" w:cs="宋体" w:eastAsia="宋体" w:hint="default"/>
                <w:sz w:val="18"/>
                <w:szCs w:val="18"/>
              </w:rPr>
              <w:t> 清区财政局</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1"/>
              <w:jc w:val="both"/>
              <w:rPr>
                <w:rFonts w:ascii="宋体" w:hAnsi="宋体" w:cs="宋体" w:eastAsia="宋体" w:hint="default"/>
                <w:sz w:val="18"/>
                <w:szCs w:val="18"/>
              </w:rPr>
            </w:pPr>
            <w:r>
              <w:rPr>
                <w:rFonts w:ascii="宋体" w:hAnsi="宋体" w:cs="宋体" w:eastAsia="宋体" w:hint="default"/>
                <w:sz w:val="18"/>
                <w:szCs w:val="18"/>
              </w:rPr>
              <w:t>因从事国家鼓励和扶持 特定行业、产业而获得 的补助（按国家级政策 规定依法取得）</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2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72"/>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4"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268"/>
        <w:gridCol w:w="1118"/>
        <w:gridCol w:w="622"/>
        <w:gridCol w:w="1877"/>
        <w:gridCol w:w="836"/>
        <w:gridCol w:w="598"/>
        <w:gridCol w:w="1027"/>
        <w:gridCol w:w="1496"/>
        <w:gridCol w:w="828"/>
      </w:tblGrid>
      <w:tr>
        <w:trPr>
          <w:trHeight w:val="1025"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9"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94"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15" w:right="34" w:hanging="180"/>
              <w:jc w:val="left"/>
              <w:rPr>
                <w:rFonts w:ascii="宋体" w:hAnsi="宋体" w:cs="宋体" w:eastAsia="宋体" w:hint="default"/>
                <w:sz w:val="18"/>
                <w:szCs w:val="18"/>
              </w:rPr>
            </w:pPr>
            <w:r>
              <w:rPr>
                <w:rFonts w:ascii="宋体" w:hAnsi="宋体" w:cs="宋体" w:eastAsia="宋体" w:hint="default"/>
                <w:sz w:val="18"/>
                <w:szCs w:val="18"/>
              </w:rPr>
              <w:t>发放原 因</w:t>
            </w:r>
          </w:p>
        </w:tc>
        <w:tc>
          <w:tcPr>
            <w:tcW w:w="1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573"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5" w:right="48"/>
              <w:jc w:val="center"/>
              <w:rPr>
                <w:rFonts w:ascii="宋体" w:hAnsi="宋体" w:cs="宋体" w:eastAsia="宋体" w:hint="default"/>
                <w:sz w:val="18"/>
                <w:szCs w:val="18"/>
              </w:rPr>
            </w:pPr>
            <w:r>
              <w:rPr>
                <w:rFonts w:ascii="宋体" w:hAnsi="宋体" w:cs="宋体" w:eastAsia="宋体" w:hint="default"/>
                <w:sz w:val="18"/>
                <w:szCs w:val="18"/>
              </w:rPr>
              <w:t>补贴是否 影响当年 盈亏</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417" w:right="59"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03"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3" w:right="23" w:hanging="3"/>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153"/>
              <w:jc w:val="left"/>
              <w:rPr>
                <w:rFonts w:ascii="宋体" w:hAnsi="宋体" w:cs="宋体" w:eastAsia="宋体" w:hint="default"/>
                <w:sz w:val="18"/>
                <w:szCs w:val="18"/>
              </w:rPr>
            </w:pPr>
            <w:r>
              <w:rPr>
                <w:rFonts w:ascii="宋体" w:hAnsi="宋体" w:cs="宋体" w:eastAsia="宋体" w:hint="default"/>
                <w:sz w:val="18"/>
                <w:szCs w:val="18"/>
              </w:rPr>
              <w:t>天津政府扶持 资金</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182"/>
              <w:jc w:val="left"/>
              <w:rPr>
                <w:rFonts w:ascii="宋体" w:hAnsi="宋体" w:cs="宋体" w:eastAsia="宋体" w:hint="default"/>
                <w:sz w:val="18"/>
                <w:szCs w:val="18"/>
              </w:rPr>
            </w:pPr>
            <w:r>
              <w:rPr>
                <w:rFonts w:ascii="宋体" w:hAnsi="宋体" w:cs="宋体" w:eastAsia="宋体" w:hint="default"/>
                <w:sz w:val="18"/>
                <w:szCs w:val="18"/>
              </w:rPr>
              <w:t>天津京滨工 业园</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1"/>
              <w:jc w:val="both"/>
              <w:rPr>
                <w:rFonts w:ascii="宋体" w:hAnsi="宋体" w:cs="宋体" w:eastAsia="宋体" w:hint="default"/>
                <w:sz w:val="18"/>
                <w:szCs w:val="18"/>
              </w:rPr>
            </w:pPr>
            <w:r>
              <w:rPr>
                <w:rFonts w:ascii="宋体" w:hAnsi="宋体" w:cs="宋体" w:eastAsia="宋体" w:hint="default"/>
                <w:sz w:val="18"/>
                <w:szCs w:val="18"/>
              </w:rPr>
              <w:t>因符合地方政府招商引 资等地方性扶持政策而 获得的补助</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2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347,455.00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72"/>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57"/>
              <w:jc w:val="left"/>
              <w:rPr>
                <w:rFonts w:ascii="宋体" w:hAnsi="宋体" w:cs="宋体" w:eastAsia="宋体" w:hint="default"/>
                <w:sz w:val="18"/>
                <w:szCs w:val="18"/>
              </w:rPr>
            </w:pPr>
            <w:r>
              <w:rPr>
                <w:rFonts w:ascii="宋体" w:hAnsi="宋体" w:cs="宋体" w:eastAsia="宋体" w:hint="default"/>
                <w:sz w:val="18"/>
                <w:szCs w:val="18"/>
              </w:rPr>
              <w:t>海南省科技厅 关于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高新技术产业 发展专项资金</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82"/>
              <w:jc w:val="left"/>
              <w:rPr>
                <w:rFonts w:ascii="宋体" w:hAnsi="宋体" w:cs="宋体" w:eastAsia="宋体" w:hint="default"/>
                <w:sz w:val="18"/>
                <w:szCs w:val="18"/>
              </w:rPr>
            </w:pPr>
            <w:r>
              <w:rPr>
                <w:rFonts w:ascii="宋体" w:hAnsi="宋体" w:cs="宋体" w:eastAsia="宋体" w:hint="default"/>
                <w:sz w:val="18"/>
                <w:szCs w:val="18"/>
              </w:rPr>
              <w:t>海南省科技 厅</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41"/>
              <w:jc w:val="left"/>
              <w:rPr>
                <w:rFonts w:ascii="宋体" w:hAnsi="宋体" w:cs="宋体" w:eastAsia="宋体" w:hint="default"/>
                <w:sz w:val="18"/>
                <w:szCs w:val="18"/>
              </w:rPr>
            </w:pPr>
            <w:r>
              <w:rPr>
                <w:rFonts w:ascii="宋体" w:hAnsi="宋体" w:cs="宋体" w:eastAsia="宋体" w:hint="default"/>
                <w:sz w:val="18"/>
                <w:szCs w:val="18"/>
              </w:rPr>
              <w:t>因研究开发、技术更新 及改造等获得的补助</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2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72"/>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名牌补贴</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82"/>
              <w:jc w:val="left"/>
              <w:rPr>
                <w:rFonts w:ascii="宋体" w:hAnsi="宋体" w:cs="宋体" w:eastAsia="宋体" w:hint="default"/>
                <w:sz w:val="18"/>
                <w:szCs w:val="18"/>
              </w:rPr>
            </w:pPr>
            <w:r>
              <w:rPr>
                <w:rFonts w:ascii="宋体" w:hAnsi="宋体" w:cs="宋体" w:eastAsia="宋体" w:hint="default"/>
                <w:sz w:val="18"/>
                <w:szCs w:val="18"/>
              </w:rPr>
              <w:t>上海市静安 区商务委</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1"/>
              <w:jc w:val="both"/>
              <w:rPr>
                <w:rFonts w:ascii="宋体" w:hAnsi="宋体" w:cs="宋体" w:eastAsia="宋体" w:hint="default"/>
                <w:sz w:val="18"/>
                <w:szCs w:val="18"/>
              </w:rPr>
            </w:pPr>
            <w:r>
              <w:rPr>
                <w:rFonts w:ascii="宋体" w:hAnsi="宋体" w:cs="宋体" w:eastAsia="宋体" w:hint="default"/>
                <w:sz w:val="18"/>
                <w:szCs w:val="18"/>
              </w:rPr>
              <w:t>因符合地方政府招商引 资等地方性扶持政策而 获得的补助</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2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72"/>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9" w:lineRule="auto"/>
              <w:ind w:left="24" w:right="98"/>
              <w:jc w:val="both"/>
              <w:rPr>
                <w:rFonts w:ascii="宋体" w:hAnsi="宋体" w:cs="宋体" w:eastAsia="宋体" w:hint="default"/>
                <w:sz w:val="18"/>
                <w:szCs w:val="18"/>
              </w:rPr>
            </w:pPr>
            <w:r>
              <w:rPr>
                <w:rFonts w:ascii="宋体" w:hAnsi="宋体" w:cs="宋体" w:eastAsia="宋体" w:hint="default"/>
                <w:sz w:val="18"/>
                <w:szCs w:val="18"/>
              </w:rPr>
              <w:t>北京市商务委 员会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CMMI </w:t>
            </w:r>
            <w:r>
              <w:rPr>
                <w:rFonts w:ascii="宋体" w:hAnsi="宋体" w:cs="宋体" w:eastAsia="宋体" w:hint="default"/>
                <w:sz w:val="18"/>
                <w:szCs w:val="18"/>
              </w:rPr>
              <w:t>认 证补贴</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82"/>
              <w:jc w:val="left"/>
              <w:rPr>
                <w:rFonts w:ascii="宋体" w:hAnsi="宋体" w:cs="宋体" w:eastAsia="宋体" w:hint="default"/>
                <w:sz w:val="18"/>
                <w:szCs w:val="18"/>
              </w:rPr>
            </w:pPr>
            <w:r>
              <w:rPr>
                <w:rFonts w:ascii="宋体" w:hAnsi="宋体" w:cs="宋体" w:eastAsia="宋体" w:hint="default"/>
                <w:sz w:val="18"/>
                <w:szCs w:val="18"/>
              </w:rPr>
              <w:t>北京市商务 委员会</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因从事国家鼓励和扶持 特定行业、产业而获得 的补助（按国家级政策 规定依法取得）</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2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70,000.00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72"/>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9"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97" w:lineRule="auto" w:before="156"/>
              <w:ind w:left="24" w:right="144"/>
              <w:jc w:val="left"/>
              <w:rPr>
                <w:rFonts w:ascii="宋体" w:hAnsi="宋体" w:cs="宋体" w:eastAsia="宋体" w:hint="default"/>
                <w:sz w:val="18"/>
                <w:szCs w:val="18"/>
              </w:rPr>
            </w:pPr>
            <w:r>
              <w:rPr>
                <w:rFonts w:ascii="Times New Roman" w:hAnsi="Times New Roman" w:cs="Times New Roman" w:eastAsia="Times New Roman" w:hint="default"/>
                <w:sz w:val="18"/>
                <w:szCs w:val="18"/>
              </w:rPr>
              <w:t>CMMI </w:t>
            </w:r>
            <w:r>
              <w:rPr>
                <w:rFonts w:ascii="宋体" w:hAnsi="宋体" w:cs="宋体" w:eastAsia="宋体" w:hint="default"/>
                <w:sz w:val="18"/>
                <w:szCs w:val="18"/>
              </w:rPr>
              <w:t>认证补 贴</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82"/>
              <w:jc w:val="left"/>
              <w:rPr>
                <w:rFonts w:ascii="宋体" w:hAnsi="宋体" w:cs="宋体" w:eastAsia="宋体" w:hint="default"/>
                <w:sz w:val="18"/>
                <w:szCs w:val="18"/>
              </w:rPr>
            </w:pPr>
            <w:r>
              <w:rPr>
                <w:rFonts w:ascii="宋体" w:hAnsi="宋体" w:cs="宋体" w:eastAsia="宋体" w:hint="default"/>
                <w:sz w:val="18"/>
                <w:szCs w:val="18"/>
              </w:rPr>
              <w:t>北京市商务 委员会</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1"/>
              <w:jc w:val="both"/>
              <w:rPr>
                <w:rFonts w:ascii="宋体" w:hAnsi="宋体" w:cs="宋体" w:eastAsia="宋体" w:hint="default"/>
                <w:sz w:val="18"/>
                <w:szCs w:val="18"/>
              </w:rPr>
            </w:pPr>
            <w:r>
              <w:rPr>
                <w:rFonts w:ascii="宋体" w:hAnsi="宋体" w:cs="宋体" w:eastAsia="宋体" w:hint="default"/>
                <w:sz w:val="18"/>
                <w:szCs w:val="18"/>
              </w:rPr>
              <w:t>因从事国家鼓励和扶持 特定行业、产业而获得 的补助（按国家级政策 规定依法取得）</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2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72"/>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北京中关村企 业信用促进会 专利代理费中 介服务补贴</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82"/>
              <w:jc w:val="left"/>
              <w:rPr>
                <w:rFonts w:ascii="宋体" w:hAnsi="宋体" w:cs="宋体" w:eastAsia="宋体" w:hint="default"/>
                <w:sz w:val="18"/>
                <w:szCs w:val="18"/>
              </w:rPr>
            </w:pPr>
            <w:r>
              <w:rPr>
                <w:rFonts w:ascii="宋体" w:hAnsi="宋体" w:cs="宋体" w:eastAsia="宋体" w:hint="default"/>
                <w:sz w:val="18"/>
                <w:szCs w:val="18"/>
              </w:rPr>
              <w:t>中关村企业 信用促进会</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因从事国家鼓励和扶持 特定行业、产业而获得 的补助（按国家级政策 规定依法取得）</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2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26,200.00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72"/>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9"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北京中关村企 业信用促进会 信用评级中介 资金补贴款</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82"/>
              <w:jc w:val="left"/>
              <w:rPr>
                <w:rFonts w:ascii="宋体" w:hAnsi="宋体" w:cs="宋体" w:eastAsia="宋体" w:hint="default"/>
                <w:sz w:val="18"/>
                <w:szCs w:val="18"/>
              </w:rPr>
            </w:pPr>
            <w:r>
              <w:rPr>
                <w:rFonts w:ascii="宋体" w:hAnsi="宋体" w:cs="宋体" w:eastAsia="宋体" w:hint="default"/>
                <w:sz w:val="18"/>
                <w:szCs w:val="18"/>
              </w:rPr>
              <w:t>中关村企业 信用促进会</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1"/>
              <w:jc w:val="both"/>
              <w:rPr>
                <w:rFonts w:ascii="宋体" w:hAnsi="宋体" w:cs="宋体" w:eastAsia="宋体" w:hint="default"/>
                <w:sz w:val="18"/>
                <w:szCs w:val="18"/>
              </w:rPr>
            </w:pPr>
            <w:r>
              <w:rPr>
                <w:rFonts w:ascii="宋体" w:hAnsi="宋体" w:cs="宋体" w:eastAsia="宋体" w:hint="default"/>
                <w:sz w:val="18"/>
                <w:szCs w:val="18"/>
              </w:rPr>
              <w:t>因从事国家鼓励和扶持 特定行业、产业而获得 的补助（按国家级政策 规定依法取得）</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2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w w:val="95"/>
                <w:sz w:val="18"/>
              </w:rPr>
              <w:t>6,000.00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72"/>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40"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53"/>
              <w:jc w:val="both"/>
              <w:rPr>
                <w:rFonts w:ascii="宋体" w:hAnsi="宋体" w:cs="宋体" w:eastAsia="宋体" w:hint="default"/>
                <w:sz w:val="18"/>
                <w:szCs w:val="18"/>
              </w:rPr>
            </w:pPr>
            <w:r>
              <w:rPr>
                <w:rFonts w:ascii="宋体" w:hAnsi="宋体" w:cs="宋体" w:eastAsia="宋体" w:hint="default"/>
                <w:sz w:val="18"/>
                <w:szCs w:val="18"/>
              </w:rPr>
              <w:t>上海市静安区 中小企业服务 中心</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82"/>
              <w:jc w:val="both"/>
              <w:rPr>
                <w:rFonts w:ascii="宋体" w:hAnsi="宋体" w:cs="宋体" w:eastAsia="宋体" w:hint="default"/>
                <w:sz w:val="18"/>
                <w:szCs w:val="18"/>
              </w:rPr>
            </w:pPr>
            <w:r>
              <w:rPr>
                <w:rFonts w:ascii="宋体" w:hAnsi="宋体" w:cs="宋体" w:eastAsia="宋体" w:hint="default"/>
                <w:sz w:val="18"/>
                <w:szCs w:val="18"/>
              </w:rPr>
              <w:t>上海市静安 区中小企业 服务中心</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因从事国家鼓励和扶持 特定行业、产业而获得 的补助（按国家级政策 规定依法取得）</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2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w w:val="95"/>
                <w:sz w:val="18"/>
              </w:rPr>
              <w:t>1,000.00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72"/>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pStyle w:val="BodyText"/>
        <w:spacing w:line="240" w:lineRule="auto" w:before="49"/>
        <w:ind w:right="1115"/>
        <w:jc w:val="left"/>
      </w:pPr>
      <w:r>
        <w:rPr/>
        <w:t>其他说明：其他主要系本集团</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年度收到子公司原股东应收账款补偿款</w:t>
      </w:r>
      <w:r>
        <w:rPr>
          <w:spacing w:val="-47"/>
        </w:rPr>
        <w:t> </w:t>
      </w:r>
      <w:r>
        <w:rPr>
          <w:rFonts w:ascii="Times New Roman" w:hAnsi="Times New Roman" w:cs="Times New Roman" w:eastAsia="Times New Roman" w:hint="default"/>
        </w:rPr>
        <w:t>7,965,330.58</w:t>
      </w:r>
      <w:r>
        <w:rPr>
          <w:rFonts w:ascii="Times New Roman" w:hAnsi="Times New Roman" w:cs="Times New Roman" w:eastAsia="Times New Roman" w:hint="default"/>
          <w:spacing w:val="-9"/>
        </w:rPr>
        <w:t> </w:t>
      </w:r>
      <w:r>
        <w:rPr>
          <w:spacing w:val="-3"/>
        </w:rPr>
        <w:t>元。</w:t>
      </w:r>
      <w:r>
        <w:rPr/>
      </w: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0" w:top="1100" w:bottom="1160" w:left="980" w:right="0"/>
        </w:sectPr>
      </w:pPr>
    </w:p>
    <w:p>
      <w:pPr>
        <w:pStyle w:val="Heading3"/>
        <w:spacing w:line="240" w:lineRule="auto" w:before="36"/>
        <w:ind w:right="-10"/>
        <w:jc w:val="left"/>
        <w:rPr>
          <w:b w:val="0"/>
          <w:bCs w:val="0"/>
        </w:rPr>
      </w:pPr>
      <w:bookmarkStart w:name="52、营业外支出" w:id="317"/>
      <w:bookmarkEnd w:id="317"/>
      <w:r>
        <w:rPr>
          <w:b w:val="0"/>
          <w:bCs w:val="0"/>
        </w:rPr>
      </w:r>
      <w:r>
        <w:rPr>
          <w:rFonts w:ascii="Times New Roman" w:hAnsi="Times New Roman" w:cs="Times New Roman" w:eastAsia="Times New Roman" w:hint="default"/>
          <w:spacing w:val="-1"/>
        </w:rPr>
        <w:t>52</w:t>
      </w:r>
      <w:r>
        <w:rPr>
          <w:spacing w:val="-1"/>
        </w:rPr>
        <w:t>、营业外支出</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2"/>
        <w:rPr>
          <w:rFonts w:ascii="宋体" w:hAnsi="宋体" w:cs="宋体" w:eastAsia="宋体" w:hint="default"/>
          <w:b/>
          <w:bCs/>
          <w:sz w:val="13"/>
          <w:szCs w:val="13"/>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630" w:space="7199"/>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81"/>
      </w:tblGrid>
      <w:tr>
        <w:trPr>
          <w:trHeight w:val="71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02" w:right="99"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公益性捐赠支出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22,458.90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22,458.90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罚款及违约金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128,198.39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1,000,664.24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128,198.39</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230,939.85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293,478.71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230,939.85</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1,947,704.95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283,973.99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1,947,704.95</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2,329,302.09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1,618,116.94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2,329,302.09</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53、所得税费用" w:id="318"/>
      <w:bookmarkEnd w:id="318"/>
      <w:r>
        <w:rPr>
          <w:b w:val="0"/>
          <w:bCs w:val="0"/>
        </w:rPr>
      </w:r>
      <w:r>
        <w:rPr>
          <w:rFonts w:ascii="Times New Roman" w:hAnsi="Times New Roman" w:cs="Times New Roman" w:eastAsia="Times New Roman" w:hint="default"/>
        </w:rPr>
        <w:t>53</w:t>
      </w:r>
      <w:r>
        <w:rPr/>
        <w:t>、所得税费用</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7" w:footer="980" w:top="1100" w:bottom="1160" w:left="980" w:right="0"/>
        </w:sectPr>
      </w:pPr>
    </w:p>
    <w:p>
      <w:pPr>
        <w:pStyle w:val="Heading3"/>
        <w:spacing w:line="240" w:lineRule="auto" w:before="36"/>
        <w:ind w:right="-16"/>
        <w:jc w:val="left"/>
        <w:rPr>
          <w:b w:val="0"/>
          <w:bCs w:val="0"/>
        </w:rPr>
      </w:pPr>
      <w:bookmarkStart w:name="（1）所得税费用表" w:id="319"/>
      <w:bookmarkEnd w:id="319"/>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3"/>
          <w:szCs w:val="13"/>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49" w:space="6880"/>
            <w:col w:w="210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8,272,301.48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40,221,963.22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-3,640,048.47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-9,020,293.86</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4,632,253.01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31,201,669.36</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2）会计利润与所得税费用调整过程" w:id="320"/>
      <w:bookmarkEnd w:id="320"/>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6324"/>
        <w:gridCol w:w="3235"/>
      </w:tblGrid>
      <w:tr>
        <w:trPr>
          <w:trHeight w:val="402" w:hRule="exact"/>
        </w:trPr>
        <w:tc>
          <w:tcPr>
            <w:tcW w:w="6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6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2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57,434,727.75</w:t>
            </w:r>
          </w:p>
        </w:tc>
      </w:tr>
      <w:tr>
        <w:trPr>
          <w:trHeight w:val="402" w:hRule="exact"/>
        </w:trPr>
        <w:tc>
          <w:tcPr>
            <w:tcW w:w="6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32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5,743,472.78</w:t>
            </w:r>
          </w:p>
        </w:tc>
      </w:tr>
      <w:tr>
        <w:trPr>
          <w:trHeight w:val="402" w:hRule="exact"/>
        </w:trPr>
        <w:tc>
          <w:tcPr>
            <w:tcW w:w="6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32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-10,161,061.80</w:t>
            </w:r>
          </w:p>
        </w:tc>
      </w:tr>
      <w:tr>
        <w:trPr>
          <w:trHeight w:val="402" w:hRule="exact"/>
        </w:trPr>
        <w:tc>
          <w:tcPr>
            <w:tcW w:w="6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32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14,706.71</w:t>
            </w:r>
          </w:p>
        </w:tc>
      </w:tr>
      <w:tr>
        <w:trPr>
          <w:trHeight w:val="402" w:hRule="exact"/>
        </w:trPr>
        <w:tc>
          <w:tcPr>
            <w:tcW w:w="6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32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-6,982,267.91</w:t>
            </w:r>
          </w:p>
        </w:tc>
      </w:tr>
      <w:tr>
        <w:trPr>
          <w:trHeight w:val="402" w:hRule="exact"/>
        </w:trPr>
        <w:tc>
          <w:tcPr>
            <w:tcW w:w="6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32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5,326,497.88</w:t>
            </w:r>
          </w:p>
        </w:tc>
      </w:tr>
      <w:tr>
        <w:trPr>
          <w:trHeight w:val="402" w:hRule="exact"/>
        </w:trPr>
        <w:tc>
          <w:tcPr>
            <w:tcW w:w="6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32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-2,233,811.07</w:t>
            </w:r>
          </w:p>
        </w:tc>
      </w:tr>
      <w:tr>
        <w:trPr>
          <w:trHeight w:val="402" w:hRule="exact"/>
        </w:trPr>
        <w:tc>
          <w:tcPr>
            <w:tcW w:w="6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32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32,662,255.41</w:t>
            </w:r>
          </w:p>
        </w:tc>
      </w:tr>
      <w:tr>
        <w:trPr>
          <w:trHeight w:val="402" w:hRule="exact"/>
        </w:trPr>
        <w:tc>
          <w:tcPr>
            <w:tcW w:w="63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权益法核算的合营企业和联营企业损益</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43,472.16</w:t>
            </w:r>
          </w:p>
        </w:tc>
      </w:tr>
      <w:tr>
        <w:trPr>
          <w:trHeight w:val="402" w:hRule="exact"/>
        </w:trPr>
        <w:tc>
          <w:tcPr>
            <w:tcW w:w="63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税率变动对期初递延所得税余额的影响</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23,144.54</w:t>
            </w:r>
          </w:p>
        </w:tc>
      </w:tr>
      <w:tr>
        <w:trPr>
          <w:trHeight w:val="402" w:hRule="exact"/>
        </w:trPr>
        <w:tc>
          <w:tcPr>
            <w:tcW w:w="63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研究开发费加成扣除的纳税影响</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-19,804,155.69</w:t>
            </w:r>
          </w:p>
        </w:tc>
      </w:tr>
      <w:tr>
        <w:trPr>
          <w:trHeight w:val="403" w:hRule="exact"/>
        </w:trPr>
        <w:tc>
          <w:tcPr>
            <w:tcW w:w="6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4,632,253.01</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54、其他综合收益" w:id="321"/>
      <w:bookmarkEnd w:id="321"/>
      <w:r>
        <w:rPr>
          <w:b w:val="0"/>
          <w:bCs w:val="0"/>
        </w:rPr>
      </w:r>
      <w:r>
        <w:rPr>
          <w:rFonts w:ascii="Times New Roman" w:hAnsi="Times New Roman" w:cs="Times New Roman" w:eastAsia="Times New Roman" w:hint="default"/>
        </w:rPr>
        <w:t>54</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详见</w:t>
      </w:r>
      <w:r>
        <w:rPr>
          <w:rFonts w:ascii="Times New Roman" w:hAnsi="Times New Roman" w:cs="Times New Roman" w:eastAsia="Times New Roman" w:hint="default"/>
        </w:rPr>
        <w:t>“3</w:t>
      </w:r>
      <w:r>
        <w:rPr>
          <w:rFonts w:ascii="Times New Roman" w:hAnsi="Times New Roman" w:cs="Times New Roman" w:eastAsia="Times New Roman" w:hint="default"/>
        </w:rPr>
        <w:t>6</w:t>
      </w:r>
      <w:r>
        <w:rPr/>
        <w:t>、其他综合收益</w:t>
      </w:r>
      <w:r>
        <w:rPr>
          <w:rFonts w:ascii="Times New Roman" w:hAnsi="Times New Roman" w:cs="Times New Roman" w:eastAsia="Times New Roman" w:hint="default"/>
        </w:rPr>
        <w:t>”</w:t>
      </w:r>
      <w:r>
        <w:rPr/>
        <w:t>。</w:t>
      </w:r>
    </w:p>
    <w:p>
      <w:pPr>
        <w:spacing w:after="0" w:line="240" w:lineRule="auto"/>
        <w:jc w:val="left"/>
        <w:sectPr>
          <w:type w:val="continuous"/>
          <w:pgSz w:w="11910" w:h="16840"/>
          <w:pgMar w:top="106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15"/>
        <w:jc w:val="left"/>
        <w:rPr>
          <w:b w:val="0"/>
          <w:bCs w:val="0"/>
        </w:rPr>
      </w:pPr>
      <w:bookmarkStart w:name="55、现金流量表项目" w:id="322"/>
      <w:bookmarkEnd w:id="322"/>
      <w:r>
        <w:rPr>
          <w:b w:val="0"/>
          <w:bCs w:val="0"/>
        </w:rPr>
      </w:r>
      <w:r>
        <w:rPr>
          <w:rFonts w:ascii="Times New Roman" w:hAnsi="Times New Roman" w:cs="Times New Roman" w:eastAsia="Times New Roman" w:hint="default"/>
        </w:rPr>
        <w:t>55</w:t>
      </w:r>
      <w:r>
        <w:rPr/>
        <w:t>、现金流量表项目</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7" w:footer="980" w:top="1100" w:bottom="1160" w:left="980" w:right="0"/>
        </w:sectPr>
      </w:pPr>
    </w:p>
    <w:p>
      <w:pPr>
        <w:pStyle w:val="Heading3"/>
        <w:spacing w:line="240" w:lineRule="auto" w:before="36"/>
        <w:ind w:right="0"/>
        <w:jc w:val="left"/>
        <w:rPr>
          <w:b w:val="0"/>
          <w:bCs w:val="0"/>
        </w:rPr>
      </w:pPr>
      <w:bookmarkStart w:name="（1）收到的其他与经营活动有关的现金" w:id="323"/>
      <w:bookmarkEnd w:id="323"/>
      <w:r>
        <w:rPr>
          <w:b w:val="0"/>
          <w:bCs w:val="0"/>
        </w:rPr>
      </w:r>
      <w:r>
        <w:rPr>
          <w:spacing w:val="-1"/>
        </w:rPr>
        <w:t>（</w:t>
      </w:r>
      <w:r>
        <w:rPr>
          <w:rFonts w:ascii="Times New Roman" w:hAnsi="Times New Roman" w:cs="Times New Roman" w:eastAsia="Times New Roman" w:hint="default"/>
          <w:spacing w:val="-1"/>
        </w:rPr>
        <w:t>1</w:t>
      </w:r>
      <w:r>
        <w:rPr>
          <w:spacing w:val="-1"/>
        </w:rPr>
        <w:t>）收到的其他与经营活动有关的现金</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3"/>
          <w:szCs w:val="13"/>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845" w:space="4984"/>
            <w:col w:w="2101"/>
          </w:cols>
        </w:sectPr>
      </w:pP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4563"/>
        <w:gridCol w:w="2571"/>
        <w:gridCol w:w="2564"/>
      </w:tblGrid>
      <w:tr>
        <w:trPr>
          <w:trHeight w:val="401" w:hRule="exact"/>
        </w:trPr>
        <w:tc>
          <w:tcPr>
            <w:tcW w:w="4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收到利息收入</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3,484,986.39</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5,481,810.56</w:t>
            </w:r>
          </w:p>
        </w:tc>
      </w:tr>
      <w:tr>
        <w:trPr>
          <w:trHeight w:val="401" w:hRule="exact"/>
        </w:trPr>
        <w:tc>
          <w:tcPr>
            <w:tcW w:w="4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收到政府补助款</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1,747,650.29</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11,945,441.30</w:t>
            </w:r>
          </w:p>
        </w:tc>
      </w:tr>
      <w:tr>
        <w:trPr>
          <w:trHeight w:val="403" w:hRule="exact"/>
        </w:trPr>
        <w:tc>
          <w:tcPr>
            <w:tcW w:w="4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收到往来款</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21,349,308.74</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46,129,465.50</w:t>
            </w:r>
          </w:p>
        </w:tc>
      </w:tr>
      <w:tr>
        <w:trPr>
          <w:trHeight w:val="403" w:hRule="exact"/>
        </w:trPr>
        <w:tc>
          <w:tcPr>
            <w:tcW w:w="4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26,581,945.42</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63,556,717.36</w:t>
            </w:r>
          </w:p>
        </w:tc>
      </w:tr>
    </w:tbl>
    <w:p>
      <w:pPr>
        <w:spacing w:line="240" w:lineRule="auto" w:before="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60" w:bottom="1160" w:left="980" w:right="0"/>
        </w:sectPr>
      </w:pPr>
    </w:p>
    <w:p>
      <w:pPr>
        <w:pStyle w:val="Heading3"/>
        <w:spacing w:line="240" w:lineRule="auto" w:before="36"/>
        <w:ind w:right="0"/>
        <w:jc w:val="left"/>
        <w:rPr>
          <w:b w:val="0"/>
          <w:bCs w:val="0"/>
        </w:rPr>
      </w:pPr>
      <w:bookmarkStart w:name="（2）支付的其他与经营活动有关的现金" w:id="324"/>
      <w:bookmarkEnd w:id="324"/>
      <w:r>
        <w:rPr>
          <w:b w:val="0"/>
          <w:bCs w:val="0"/>
        </w:rPr>
      </w:r>
      <w:r>
        <w:rPr>
          <w:spacing w:val="-1"/>
        </w:rPr>
        <w:t>（</w:t>
      </w:r>
      <w:r>
        <w:rPr>
          <w:rFonts w:ascii="Times New Roman" w:hAnsi="Times New Roman" w:cs="Times New Roman" w:eastAsia="Times New Roman" w:hint="default"/>
          <w:spacing w:val="-1"/>
        </w:rPr>
        <w:t>2</w:t>
      </w:r>
      <w:r>
        <w:rPr>
          <w:spacing w:val="-1"/>
        </w:rPr>
        <w:t>）支付的其他与经营活动有关的现金</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5"/>
        <w:rPr>
          <w:rFonts w:ascii="宋体" w:hAnsi="宋体" w:cs="宋体" w:eastAsia="宋体" w:hint="default"/>
          <w:b/>
          <w:bCs/>
          <w:sz w:val="13"/>
          <w:szCs w:val="13"/>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845" w:space="4984"/>
            <w:col w:w="2101"/>
          </w:cols>
        </w:sectPr>
      </w:pP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4563"/>
        <w:gridCol w:w="2571"/>
        <w:gridCol w:w="2564"/>
      </w:tblGrid>
      <w:tr>
        <w:trPr>
          <w:trHeight w:val="401" w:hRule="exact"/>
        </w:trPr>
        <w:tc>
          <w:tcPr>
            <w:tcW w:w="4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支付期间费用</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124,761,610.66</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168,918,196.32</w:t>
            </w:r>
          </w:p>
        </w:tc>
      </w:tr>
      <w:tr>
        <w:trPr>
          <w:trHeight w:val="401" w:hRule="exact"/>
        </w:trPr>
        <w:tc>
          <w:tcPr>
            <w:tcW w:w="4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支付往来款</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38,444,122.37</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22,000,000.00</w:t>
            </w:r>
          </w:p>
        </w:tc>
      </w:tr>
      <w:tr>
        <w:trPr>
          <w:trHeight w:val="403" w:hRule="exact"/>
        </w:trPr>
        <w:tc>
          <w:tcPr>
            <w:tcW w:w="4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163,205,733.03</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190,918,196.32</w:t>
            </w:r>
          </w:p>
        </w:tc>
      </w:tr>
    </w:tbl>
    <w:p>
      <w:pPr>
        <w:spacing w:line="240" w:lineRule="auto" w:before="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60" w:bottom="1160" w:left="980" w:right="0"/>
        </w:sectPr>
      </w:pPr>
    </w:p>
    <w:p>
      <w:pPr>
        <w:pStyle w:val="Heading3"/>
        <w:spacing w:line="240" w:lineRule="auto" w:before="36"/>
        <w:ind w:right="0"/>
        <w:jc w:val="left"/>
        <w:rPr>
          <w:b w:val="0"/>
          <w:bCs w:val="0"/>
        </w:rPr>
      </w:pPr>
      <w:bookmarkStart w:name="（3）收到的其他与投资活动有关的现金" w:id="325"/>
      <w:bookmarkEnd w:id="325"/>
      <w:r>
        <w:rPr>
          <w:b w:val="0"/>
          <w:bCs w:val="0"/>
        </w:rPr>
      </w:r>
      <w:r>
        <w:rPr>
          <w:spacing w:val="-1"/>
        </w:rPr>
        <w:t>（</w:t>
      </w:r>
      <w:r>
        <w:rPr>
          <w:rFonts w:ascii="Times New Roman" w:hAnsi="Times New Roman" w:cs="Times New Roman" w:eastAsia="Times New Roman" w:hint="default"/>
          <w:spacing w:val="-1"/>
        </w:rPr>
        <w:t>3</w:t>
      </w:r>
      <w:r>
        <w:rPr>
          <w:spacing w:val="-1"/>
        </w:rPr>
        <w:t>）收到的其他与投资活动有关的现金</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3"/>
          <w:szCs w:val="13"/>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845" w:space="4984"/>
            <w:col w:w="2101"/>
          </w:cols>
        </w:sectPr>
      </w:pPr>
    </w:p>
    <w:p>
      <w:pPr>
        <w:spacing w:line="240" w:lineRule="auto" w:before="3"/>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4563"/>
        <w:gridCol w:w="2566"/>
        <w:gridCol w:w="2569"/>
      </w:tblGrid>
      <w:tr>
        <w:trPr>
          <w:trHeight w:val="402" w:hRule="exact"/>
        </w:trPr>
        <w:tc>
          <w:tcPr>
            <w:tcW w:w="4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收到子公司原股东的承诺补偿及应收账款转让款</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20,725,084.46</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1,923,957.29</w:t>
            </w:r>
          </w:p>
        </w:tc>
      </w:tr>
      <w:tr>
        <w:trPr>
          <w:trHeight w:val="403" w:hRule="exact"/>
        </w:trPr>
        <w:tc>
          <w:tcPr>
            <w:tcW w:w="4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20,725,084.46</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1,923,957.29</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4）收到的其他与筹资活动有关的现金" w:id="326"/>
      <w:bookmarkEnd w:id="326"/>
      <w:r>
        <w:rPr>
          <w:b w:val="0"/>
          <w:bCs w:val="0"/>
        </w:rPr>
      </w:r>
      <w:r>
        <w:rPr/>
        <w:t>（</w:t>
      </w:r>
      <w:r>
        <w:rPr>
          <w:rFonts w:ascii="Times New Roman" w:hAnsi="Times New Roman" w:cs="Times New Roman" w:eastAsia="Times New Roman" w:hint="default"/>
        </w:rPr>
        <w:t>4</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收到母公司借款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96,560,000.00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收到子公司原股东资金拆借</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96,560,000.00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5）支付的其他与筹资活动有关的现金" w:id="327"/>
      <w:bookmarkEnd w:id="327"/>
      <w:r>
        <w:rPr>
          <w:b w:val="0"/>
          <w:bCs w:val="0"/>
        </w:rPr>
      </w:r>
      <w:r>
        <w:rPr/>
        <w:t>（</w:t>
      </w:r>
      <w:r>
        <w:rPr>
          <w:rFonts w:ascii="Times New Roman" w:hAnsi="Times New Roman" w:cs="Times New Roman" w:eastAsia="Times New Roman" w:hint="default"/>
        </w:rPr>
        <w:t>5</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归还母公司借款及利息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98,157,755.00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支付股票回购款项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48,002,514.61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支付瑞意恒动原股东后续对价</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41,000,000.00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部分股权激励限制性股票回购注销</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707,601.00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支付上海移通原股东后续对价</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244,800,000.00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182,160,269.61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286,507,601.00</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56、现金流量表补充资料" w:id="328"/>
      <w:bookmarkEnd w:id="328"/>
      <w:r>
        <w:rPr>
          <w:b w:val="0"/>
          <w:bCs w:val="0"/>
        </w:rPr>
      </w:r>
      <w:r>
        <w:rPr>
          <w:rFonts w:ascii="Times New Roman" w:hAnsi="Times New Roman" w:cs="Times New Roman" w:eastAsia="Times New Roman" w:hint="default"/>
        </w:rPr>
        <w:t>56</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5"/>
        <w:jc w:val="left"/>
        <w:rPr>
          <w:b w:val="0"/>
          <w:bCs w:val="0"/>
        </w:rPr>
      </w:pPr>
      <w:bookmarkStart w:name="（1）现金流量表补充资料" w:id="329"/>
      <w:bookmarkEnd w:id="329"/>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6886"/>
        <w:gridCol w:w="1365"/>
        <w:gridCol w:w="1435"/>
      </w:tblGrid>
      <w:tr>
        <w:trPr>
          <w:trHeight w:val="402" w:hRule="exact"/>
        </w:trPr>
        <w:tc>
          <w:tcPr>
            <w:tcW w:w="6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52"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6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6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52,802,474.74</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-827,149,532.05</w:t>
            </w:r>
          </w:p>
        </w:tc>
      </w:tr>
      <w:tr>
        <w:trPr>
          <w:trHeight w:val="402" w:hRule="exact"/>
        </w:trPr>
        <w:tc>
          <w:tcPr>
            <w:tcW w:w="6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36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26,433,334.20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1,179,173,331.48</w:t>
            </w:r>
          </w:p>
        </w:tc>
      </w:tr>
      <w:tr>
        <w:trPr>
          <w:trHeight w:val="402" w:hRule="exact"/>
        </w:trPr>
        <w:tc>
          <w:tcPr>
            <w:tcW w:w="6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36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50,319,267.89</w:t>
            </w:r>
          </w:p>
        </w:tc>
        <w:tc>
          <w:tcPr>
            <w:tcW w:w="14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固定资产折旧、投资性房地产折旧</w:t>
            </w:r>
          </w:p>
        </w:tc>
        <w:tc>
          <w:tcPr>
            <w:tcW w:w="136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18,248,549.35</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20,205,420.43</w:t>
            </w:r>
          </w:p>
        </w:tc>
      </w:tr>
      <w:tr>
        <w:trPr>
          <w:trHeight w:val="402" w:hRule="exact"/>
        </w:trPr>
        <w:tc>
          <w:tcPr>
            <w:tcW w:w="6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36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23,171,954.84</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20,157,540.37</w:t>
            </w:r>
          </w:p>
        </w:tc>
      </w:tr>
      <w:tr>
        <w:trPr>
          <w:trHeight w:val="402" w:hRule="exact"/>
        </w:trPr>
        <w:tc>
          <w:tcPr>
            <w:tcW w:w="6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36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615,143.09</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1,379,058.03</w:t>
            </w:r>
          </w:p>
        </w:tc>
      </w:tr>
      <w:tr>
        <w:trPr>
          <w:trHeight w:val="402" w:hRule="exact"/>
        </w:trPr>
        <w:tc>
          <w:tcPr>
            <w:tcW w:w="6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6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83,654.88</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274,851.03</w:t>
            </w:r>
          </w:p>
        </w:tc>
      </w:tr>
      <w:tr>
        <w:trPr>
          <w:trHeight w:val="402" w:hRule="exact"/>
        </w:trPr>
        <w:tc>
          <w:tcPr>
            <w:tcW w:w="6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6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230,939.85</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23,622.45</w:t>
            </w:r>
          </w:p>
        </w:tc>
      </w:tr>
      <w:tr>
        <w:trPr>
          <w:trHeight w:val="402" w:hRule="exact"/>
        </w:trPr>
        <w:tc>
          <w:tcPr>
            <w:tcW w:w="6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6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132,317.99</w:t>
            </w:r>
          </w:p>
        </w:tc>
        <w:tc>
          <w:tcPr>
            <w:tcW w:w="14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6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54,919,662.30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53,190,019.41</w:t>
            </w:r>
          </w:p>
        </w:tc>
      </w:tr>
      <w:tr>
        <w:trPr>
          <w:trHeight w:val="402" w:hRule="exact"/>
        </w:trPr>
        <w:tc>
          <w:tcPr>
            <w:tcW w:w="6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6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-11,135,473.65</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-23,891,437.56</w:t>
            </w:r>
          </w:p>
        </w:tc>
      </w:tr>
      <w:tr>
        <w:trPr>
          <w:trHeight w:val="402" w:hRule="exact"/>
        </w:trPr>
        <w:tc>
          <w:tcPr>
            <w:tcW w:w="6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6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-3,640,048.47</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-6,251,858.57</w:t>
            </w:r>
          </w:p>
        </w:tc>
      </w:tr>
      <w:tr>
        <w:trPr>
          <w:trHeight w:val="402" w:hRule="exact"/>
        </w:trPr>
        <w:tc>
          <w:tcPr>
            <w:tcW w:w="6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65" w:type="dxa"/>
            <w:tcBorders>
              <w:top w:val="single" w:sz="4" w:space="0" w:color="000000"/>
              <w:left w:val="single" w:sz="12" w:space="0" w:color="D2D2D2"/>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-2,730,030.00</w:t>
            </w:r>
          </w:p>
        </w:tc>
      </w:tr>
      <w:tr>
        <w:trPr>
          <w:trHeight w:val="402" w:hRule="exact"/>
        </w:trPr>
        <w:tc>
          <w:tcPr>
            <w:tcW w:w="6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6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2,213,297.34</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32,667,057.40</w:t>
            </w:r>
          </w:p>
        </w:tc>
      </w:tr>
      <w:tr>
        <w:trPr>
          <w:trHeight w:val="402" w:hRule="exact"/>
        </w:trPr>
        <w:tc>
          <w:tcPr>
            <w:tcW w:w="6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6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-284,781,272.33</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-308,344,219.58</w:t>
            </w:r>
          </w:p>
        </w:tc>
      </w:tr>
      <w:tr>
        <w:trPr>
          <w:trHeight w:val="402" w:hRule="exact"/>
        </w:trPr>
        <w:tc>
          <w:tcPr>
            <w:tcW w:w="6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6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226,630,911.63</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278,392,057.92</w:t>
            </w:r>
          </w:p>
        </w:tc>
      </w:tr>
      <w:tr>
        <w:trPr>
          <w:trHeight w:val="402" w:hRule="exact"/>
        </w:trPr>
        <w:tc>
          <w:tcPr>
            <w:tcW w:w="6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11,766,908.50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25,190,584.50</w:t>
            </w:r>
          </w:p>
        </w:tc>
      </w:tr>
      <w:tr>
        <w:trPr>
          <w:trHeight w:val="403" w:hRule="exact"/>
        </w:trPr>
        <w:tc>
          <w:tcPr>
            <w:tcW w:w="6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36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168,011,622.15</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442,286,465.26</w:t>
            </w:r>
          </w:p>
        </w:tc>
      </w:tr>
      <w:tr>
        <w:trPr>
          <w:trHeight w:val="402" w:hRule="exact"/>
        </w:trPr>
        <w:tc>
          <w:tcPr>
            <w:tcW w:w="6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6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6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36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713,811,456.57</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771,946,600.93</w:t>
            </w:r>
          </w:p>
        </w:tc>
      </w:tr>
      <w:tr>
        <w:trPr>
          <w:trHeight w:val="402" w:hRule="exact"/>
        </w:trPr>
        <w:tc>
          <w:tcPr>
            <w:tcW w:w="6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36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771,946,600.93</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909,580,073.82</w:t>
            </w:r>
          </w:p>
        </w:tc>
      </w:tr>
      <w:tr>
        <w:trPr>
          <w:trHeight w:val="402" w:hRule="exact"/>
        </w:trPr>
        <w:tc>
          <w:tcPr>
            <w:tcW w:w="6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36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-58,135,144.36</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-137,633,472.89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15"/>
        <w:jc w:val="left"/>
        <w:rPr>
          <w:b w:val="0"/>
          <w:bCs w:val="0"/>
        </w:rPr>
      </w:pPr>
      <w:bookmarkStart w:name="（2）本期收到的处置子公司的现金净额" w:id="330"/>
      <w:bookmarkEnd w:id="330"/>
      <w:r>
        <w:rPr>
          <w:b w:val="0"/>
          <w:bCs w:val="0"/>
        </w:rPr>
      </w:r>
      <w:r>
        <w:rPr/>
        <w:t>（</w:t>
      </w:r>
      <w:r>
        <w:rPr>
          <w:rFonts w:ascii="Times New Roman" w:hAnsi="Times New Roman" w:cs="Times New Roman" w:eastAsia="Times New Roman" w:hint="default"/>
        </w:rPr>
        <w:t>2</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303,000,000.00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上海移通网络有限公司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303,000,000.00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62,733,151.15</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上海移通网络有限公司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62,733,151.15</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240,266,848.85</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3）现金和现金等价物的构成" w:id="331"/>
      <w:bookmarkEnd w:id="331"/>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713,811,456.57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771,946,600.93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437,530.87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397,302.61</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709,497,912.95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771,097,197.90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3,876,012.75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452,100.42</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713,811,456.57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771,946,600.93</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57、所有权或使用权受到限制的资产" w:id="332"/>
      <w:bookmarkEnd w:id="332"/>
      <w:r>
        <w:rPr>
          <w:b w:val="0"/>
          <w:bCs w:val="0"/>
        </w:rPr>
      </w:r>
      <w:r>
        <w:rPr>
          <w:rFonts w:ascii="Times New Roman" w:hAnsi="Times New Roman" w:cs="Times New Roman" w:eastAsia="Times New Roman" w:hint="default"/>
        </w:rPr>
        <w:t>57</w:t>
      </w:r>
      <w:r>
        <w:rPr/>
        <w:t>、所有权或使用权受到限制的资产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34,802,084.83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65,003,502.67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借款担保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2,466,972.00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借款担保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102,272,559.50</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58、外币货币性项目" w:id="333"/>
      <w:bookmarkEnd w:id="333"/>
      <w:r>
        <w:rPr>
          <w:b w:val="0"/>
          <w:bCs w:val="0"/>
        </w:rPr>
      </w:r>
      <w:r>
        <w:rPr>
          <w:rFonts w:ascii="Times New Roman" w:hAnsi="Times New Roman" w:cs="Times New Roman" w:eastAsia="Times New Roman" w:hint="default"/>
        </w:rPr>
        <w:t>58</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5"/>
        <w:jc w:val="left"/>
        <w:rPr>
          <w:b w:val="0"/>
          <w:bCs w:val="0"/>
        </w:rPr>
      </w:pPr>
      <w:bookmarkStart w:name="（1）外币货币性项目" w:id="334"/>
      <w:bookmarkEnd w:id="334"/>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2020"/>
        <w:gridCol w:w="2497"/>
        <w:gridCol w:w="2331"/>
        <w:gridCol w:w="2837"/>
      </w:tblGrid>
      <w:tr>
        <w:trPr>
          <w:trHeight w:val="402" w:hRule="exact"/>
        </w:trPr>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6"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2010"/>
        <w:gridCol w:w="2507"/>
        <w:gridCol w:w="2331"/>
        <w:gridCol w:w="2849"/>
      </w:tblGrid>
      <w:tr>
        <w:trPr>
          <w:trHeight w:val="402"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6"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w:t>
            </w:r>
          </w:p>
        </w:tc>
        <w:tc>
          <w:tcPr>
            <w:tcW w:w="2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w:t>
            </w:r>
          </w:p>
        </w:tc>
        <w:tc>
          <w:tcPr>
            <w:tcW w:w="284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125,581,766.37</w:t>
            </w:r>
          </w:p>
        </w:tc>
      </w:tr>
      <w:tr>
        <w:trPr>
          <w:trHeight w:val="401"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5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17,863,521.83</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6.9762</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124,619,500.99</w:t>
            </w:r>
          </w:p>
        </w:tc>
      </w:tr>
      <w:tr>
        <w:trPr>
          <w:trHeight w:val="403" w:hRule="exact"/>
        </w:trPr>
        <w:tc>
          <w:tcPr>
            <w:tcW w:w="20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299.17</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7.8155</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2,338.16</w:t>
            </w:r>
          </w:p>
        </w:tc>
      </w:tr>
      <w:tr>
        <w:trPr>
          <w:trHeight w:val="401" w:hRule="exact"/>
        </w:trPr>
        <w:tc>
          <w:tcPr>
            <w:tcW w:w="20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1,068,892.42</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0.8958</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957,513.83</w:t>
            </w:r>
          </w:p>
        </w:tc>
      </w:tr>
      <w:tr>
        <w:trPr>
          <w:trHeight w:val="403" w:hRule="exact"/>
        </w:trPr>
        <w:tc>
          <w:tcPr>
            <w:tcW w:w="20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388.03</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4.8843</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1,895.25</w:t>
            </w:r>
          </w:p>
        </w:tc>
      </w:tr>
      <w:tr>
        <w:trPr>
          <w:trHeight w:val="401" w:hRule="exact"/>
        </w:trPr>
        <w:tc>
          <w:tcPr>
            <w:tcW w:w="20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7,461.07</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0.0641</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478.15</w:t>
            </w:r>
          </w:p>
        </w:tc>
      </w:tr>
      <w:tr>
        <w:trPr>
          <w:trHeight w:val="403" w:hRule="exact"/>
        </w:trPr>
        <w:tc>
          <w:tcPr>
            <w:tcW w:w="20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4.37</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9.1501</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39.99</w:t>
            </w:r>
          </w:p>
        </w:tc>
      </w:tr>
      <w:tr>
        <w:trPr>
          <w:trHeight w:val="401"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w:t>
            </w:r>
          </w:p>
        </w:tc>
        <w:tc>
          <w:tcPr>
            <w:tcW w:w="2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c>
          <w:tcPr>
            <w:tcW w:w="284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274,079,463.14</w:t>
            </w:r>
          </w:p>
        </w:tc>
      </w:tr>
      <w:tr>
        <w:trPr>
          <w:trHeight w:val="404"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507" w:type="dxa"/>
            <w:tcBorders>
              <w:top w:val="single" w:sz="4" w:space="0" w:color="000000"/>
              <w:left w:val="single" w:sz="10" w:space="0" w:color="D2D2D2"/>
              <w:bottom w:val="single" w:sz="4" w:space="0" w:color="000000"/>
              <w:right w:val="single" w:sz="4" w:space="0" w:color="000000"/>
            </w:tcBorders>
          </w:tcPr>
          <w:p>
            <w:pPr/>
          </w:p>
        </w:tc>
        <w:tc>
          <w:tcPr>
            <w:tcW w:w="2331" w:type="dxa"/>
            <w:tcBorders>
              <w:top w:val="single" w:sz="4" w:space="0" w:color="000000"/>
              <w:left w:val="single" w:sz="4" w:space="0" w:color="000000"/>
              <w:bottom w:val="single" w:sz="4" w:space="0" w:color="000000"/>
              <w:right w:val="single" w:sz="4" w:space="0" w:color="000000"/>
            </w:tcBorders>
          </w:tcPr>
          <w:p>
            <w:pPr/>
          </w:p>
        </w:tc>
        <w:tc>
          <w:tcPr>
            <w:tcW w:w="28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507" w:type="dxa"/>
            <w:tcBorders>
              <w:top w:val="single" w:sz="4" w:space="0" w:color="000000"/>
              <w:left w:val="single" w:sz="10" w:space="0" w:color="D2D2D2"/>
              <w:bottom w:val="single" w:sz="4" w:space="0" w:color="000000"/>
              <w:right w:val="single" w:sz="4" w:space="0" w:color="000000"/>
            </w:tcBorders>
          </w:tcPr>
          <w:p>
            <w:pPr/>
          </w:p>
        </w:tc>
        <w:tc>
          <w:tcPr>
            <w:tcW w:w="2331" w:type="dxa"/>
            <w:tcBorders>
              <w:top w:val="single" w:sz="4" w:space="0" w:color="000000"/>
              <w:left w:val="single" w:sz="4" w:space="0" w:color="000000"/>
              <w:bottom w:val="single" w:sz="4" w:space="0" w:color="000000"/>
              <w:right w:val="single" w:sz="4" w:space="0" w:color="000000"/>
            </w:tcBorders>
          </w:tcPr>
          <w:p>
            <w:pPr/>
          </w:p>
        </w:tc>
        <w:tc>
          <w:tcPr>
            <w:tcW w:w="28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5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305,960,552.73</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0.8958</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274,079,463.14</w:t>
            </w:r>
          </w:p>
        </w:tc>
      </w:tr>
      <w:tr>
        <w:trPr>
          <w:trHeight w:val="401"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w:t>
            </w:r>
          </w:p>
        </w:tc>
        <w:tc>
          <w:tcPr>
            <w:tcW w:w="2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c>
          <w:tcPr>
            <w:tcW w:w="2849"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507" w:type="dxa"/>
            <w:tcBorders>
              <w:top w:val="single" w:sz="4" w:space="0" w:color="000000"/>
              <w:left w:val="single" w:sz="10" w:space="0" w:color="D2D2D2"/>
              <w:bottom w:val="single" w:sz="4" w:space="0" w:color="000000"/>
              <w:right w:val="single" w:sz="4" w:space="0" w:color="000000"/>
            </w:tcBorders>
          </w:tcPr>
          <w:p>
            <w:pPr/>
          </w:p>
        </w:tc>
        <w:tc>
          <w:tcPr>
            <w:tcW w:w="2331" w:type="dxa"/>
            <w:tcBorders>
              <w:top w:val="single" w:sz="4" w:space="0" w:color="000000"/>
              <w:left w:val="single" w:sz="4" w:space="0" w:color="000000"/>
              <w:bottom w:val="single" w:sz="4" w:space="0" w:color="000000"/>
              <w:right w:val="single" w:sz="4" w:space="0" w:color="000000"/>
            </w:tcBorders>
          </w:tcPr>
          <w:p>
            <w:pPr/>
          </w:p>
        </w:tc>
        <w:tc>
          <w:tcPr>
            <w:tcW w:w="28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507" w:type="dxa"/>
            <w:tcBorders>
              <w:top w:val="single" w:sz="4" w:space="0" w:color="000000"/>
              <w:left w:val="single" w:sz="10" w:space="0" w:color="D2D2D2"/>
              <w:bottom w:val="single" w:sz="4" w:space="0" w:color="000000"/>
              <w:right w:val="single" w:sz="4" w:space="0" w:color="000000"/>
            </w:tcBorders>
          </w:tcPr>
          <w:p>
            <w:pPr/>
          </w:p>
        </w:tc>
        <w:tc>
          <w:tcPr>
            <w:tcW w:w="2331" w:type="dxa"/>
            <w:tcBorders>
              <w:top w:val="single" w:sz="4" w:space="0" w:color="000000"/>
              <w:left w:val="single" w:sz="4" w:space="0" w:color="000000"/>
              <w:bottom w:val="single" w:sz="4" w:space="0" w:color="000000"/>
              <w:right w:val="single" w:sz="4" w:space="0" w:color="000000"/>
            </w:tcBorders>
          </w:tcPr>
          <w:p>
            <w:pPr/>
          </w:p>
        </w:tc>
        <w:tc>
          <w:tcPr>
            <w:tcW w:w="28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507" w:type="dxa"/>
            <w:tcBorders>
              <w:top w:val="single" w:sz="4" w:space="0" w:color="000000"/>
              <w:left w:val="single" w:sz="10" w:space="0" w:color="D2D2D2"/>
              <w:bottom w:val="single" w:sz="4" w:space="0" w:color="000000"/>
              <w:right w:val="single" w:sz="4" w:space="0" w:color="000000"/>
            </w:tcBorders>
          </w:tcPr>
          <w:p>
            <w:pPr/>
          </w:p>
        </w:tc>
        <w:tc>
          <w:tcPr>
            <w:tcW w:w="2331" w:type="dxa"/>
            <w:tcBorders>
              <w:top w:val="single" w:sz="4" w:space="0" w:color="000000"/>
              <w:left w:val="single" w:sz="4" w:space="0" w:color="000000"/>
              <w:bottom w:val="single" w:sz="4" w:space="0" w:color="000000"/>
              <w:right w:val="single" w:sz="4" w:space="0" w:color="000000"/>
            </w:tcBorders>
          </w:tcPr>
          <w:p>
            <w:pPr/>
          </w:p>
        </w:tc>
        <w:tc>
          <w:tcPr>
            <w:tcW w:w="28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07" w:type="dxa"/>
            <w:tcBorders>
              <w:top w:val="single" w:sz="4" w:space="0" w:color="000000"/>
              <w:left w:val="single" w:sz="4" w:space="0" w:color="000000"/>
              <w:bottom w:val="single" w:sz="4" w:space="0" w:color="000000"/>
              <w:right w:val="single" w:sz="4" w:space="0" w:color="000000"/>
            </w:tcBorders>
          </w:tcPr>
          <w:p>
            <w:pPr/>
          </w:p>
        </w:tc>
        <w:tc>
          <w:tcPr>
            <w:tcW w:w="2331" w:type="dxa"/>
            <w:tcBorders>
              <w:top w:val="single" w:sz="4" w:space="0" w:color="000000"/>
              <w:left w:val="single" w:sz="4" w:space="0" w:color="000000"/>
              <w:bottom w:val="single" w:sz="4" w:space="0" w:color="000000"/>
              <w:right w:val="single" w:sz="4" w:space="0" w:color="000000"/>
            </w:tcBorders>
          </w:tcPr>
          <w:p>
            <w:pP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4,533,274.15</w:t>
            </w:r>
          </w:p>
        </w:tc>
      </w:tr>
      <w:tr>
        <w:trPr>
          <w:trHeight w:val="403" w:hRule="exact"/>
        </w:trPr>
        <w:tc>
          <w:tcPr>
            <w:tcW w:w="20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5,060,587.35</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0.8958</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4,533,274.15</w:t>
            </w:r>
          </w:p>
        </w:tc>
      </w:tr>
      <w:tr>
        <w:trPr>
          <w:trHeight w:val="401" w:hRule="exact"/>
        </w:trPr>
        <w:tc>
          <w:tcPr>
            <w:tcW w:w="20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507" w:type="dxa"/>
            <w:tcBorders>
              <w:top w:val="single" w:sz="4" w:space="0" w:color="000000"/>
              <w:left w:val="single" w:sz="4" w:space="0" w:color="000000"/>
              <w:bottom w:val="single" w:sz="4" w:space="0" w:color="000000"/>
              <w:right w:val="single" w:sz="4" w:space="0" w:color="000000"/>
            </w:tcBorders>
          </w:tcPr>
          <w:p>
            <w:pPr/>
          </w:p>
        </w:tc>
        <w:tc>
          <w:tcPr>
            <w:tcW w:w="2331" w:type="dxa"/>
            <w:tcBorders>
              <w:top w:val="single" w:sz="4" w:space="0" w:color="000000"/>
              <w:left w:val="single" w:sz="4" w:space="0" w:color="000000"/>
              <w:bottom w:val="single" w:sz="4" w:space="0" w:color="000000"/>
              <w:right w:val="single" w:sz="4" w:space="0" w:color="000000"/>
            </w:tcBorders>
          </w:tcPr>
          <w:p>
            <w:pP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275,163,246.73</w:t>
            </w:r>
          </w:p>
        </w:tc>
      </w:tr>
      <w:tr>
        <w:trPr>
          <w:trHeight w:val="403" w:hRule="exact"/>
        </w:trPr>
        <w:tc>
          <w:tcPr>
            <w:tcW w:w="20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307,170,402.69</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0.8958</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275,163,246.73</w:t>
            </w:r>
          </w:p>
        </w:tc>
      </w:tr>
      <w:tr>
        <w:trPr>
          <w:trHeight w:val="401" w:hRule="exact"/>
        </w:trPr>
        <w:tc>
          <w:tcPr>
            <w:tcW w:w="20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07" w:type="dxa"/>
            <w:tcBorders>
              <w:top w:val="single" w:sz="4" w:space="0" w:color="000000"/>
              <w:left w:val="single" w:sz="4" w:space="0" w:color="000000"/>
              <w:bottom w:val="single" w:sz="4" w:space="0" w:color="000000"/>
              <w:right w:val="single" w:sz="4" w:space="0" w:color="000000"/>
            </w:tcBorders>
          </w:tcPr>
          <w:p>
            <w:pPr/>
          </w:p>
        </w:tc>
        <w:tc>
          <w:tcPr>
            <w:tcW w:w="2331" w:type="dxa"/>
            <w:tcBorders>
              <w:top w:val="single" w:sz="4" w:space="0" w:color="000000"/>
              <w:left w:val="single" w:sz="4" w:space="0" w:color="000000"/>
              <w:bottom w:val="single" w:sz="4" w:space="0" w:color="000000"/>
              <w:right w:val="single" w:sz="4" w:space="0" w:color="000000"/>
            </w:tcBorders>
          </w:tcPr>
          <w:p>
            <w:pP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5,542,562.91</w:t>
            </w:r>
          </w:p>
        </w:tc>
      </w:tr>
      <w:tr>
        <w:trPr>
          <w:trHeight w:val="403" w:hRule="exact"/>
        </w:trPr>
        <w:tc>
          <w:tcPr>
            <w:tcW w:w="20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6,187,277.19</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0.8958</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5,542,562.91</w:t>
            </w:r>
          </w:p>
        </w:tc>
      </w:tr>
    </w:tbl>
    <w:p>
      <w:pPr>
        <w:spacing w:line="240" w:lineRule="auto" w:before="3"/>
        <w:rPr>
          <w:rFonts w:ascii="宋体" w:hAnsi="宋体" w:cs="宋体" w:eastAsia="宋体" w:hint="default"/>
          <w:sz w:val="19"/>
          <w:szCs w:val="19"/>
        </w:rPr>
      </w:pPr>
    </w:p>
    <w:p>
      <w:pPr>
        <w:pStyle w:val="Heading3"/>
        <w:spacing w:line="259" w:lineRule="auto" w:before="36"/>
        <w:ind w:right="1115"/>
        <w:jc w:val="left"/>
        <w:rPr>
          <w:b w:val="0"/>
          <w:bCs w:val="0"/>
        </w:rPr>
      </w:pPr>
      <w:bookmarkStart w:name="（2）境外经营实体说明，包括对于重要的境外经营实体，应披露其境外主要经营地、记账" w:id="335"/>
      <w:bookmarkEnd w:id="335"/>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1"/>
        <w:rPr>
          <w:rFonts w:ascii="宋体" w:hAnsi="宋体" w:cs="宋体" w:eastAsia="宋体" w:hint="default"/>
          <w:b/>
          <w:bCs/>
          <w:sz w:val="26"/>
          <w:szCs w:val="26"/>
        </w:rPr>
      </w:pPr>
    </w:p>
    <w:p>
      <w:pPr>
        <w:pStyle w:val="BodyText"/>
        <w:spacing w:line="328"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公司四级子公司久其数字传播（香港）有限公司及五级子公司丰骏科技有限公司于香港注册经营，港币为其经营所处的主要</w:t>
      </w:r>
      <w:r>
        <w:rPr>
          <w:spacing w:val="-66"/>
        </w:rPr>
        <w:t> </w:t>
      </w:r>
      <w:r>
        <w:rPr>
          <w:spacing w:val="-66"/>
        </w:rPr>
      </w:r>
      <w:r>
        <w:rPr/>
        <w:t>经济环境中的货币，故以港币作为其记账本位币。</w:t>
      </w:r>
    </w:p>
    <w:p>
      <w:pPr>
        <w:spacing w:line="240" w:lineRule="auto" w:before="2"/>
        <w:rPr>
          <w:rFonts w:ascii="宋体" w:hAnsi="宋体" w:cs="宋体" w:eastAsia="宋体" w:hint="default"/>
          <w:sz w:val="22"/>
          <w:szCs w:val="22"/>
        </w:rPr>
      </w:pPr>
    </w:p>
    <w:p>
      <w:pPr>
        <w:pStyle w:val="Heading3"/>
        <w:spacing w:line="240" w:lineRule="auto"/>
        <w:ind w:right="1115"/>
        <w:jc w:val="left"/>
        <w:rPr>
          <w:b w:val="0"/>
          <w:bCs w:val="0"/>
        </w:rPr>
      </w:pPr>
      <w:bookmarkStart w:name="59、政府补助" w:id="336"/>
      <w:bookmarkEnd w:id="336"/>
      <w:r>
        <w:rPr>
          <w:b w:val="0"/>
          <w:bCs w:val="0"/>
        </w:rPr>
      </w:r>
      <w:r>
        <w:rPr>
          <w:rFonts w:ascii="Times New Roman" w:hAnsi="Times New Roman" w:cs="Times New Roman" w:eastAsia="Times New Roman" w:hint="default"/>
        </w:rPr>
        <w:t>59</w:t>
      </w:r>
      <w:r>
        <w:rPr/>
        <w:t>、政府补助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5"/>
        <w:jc w:val="left"/>
        <w:rPr>
          <w:b w:val="0"/>
          <w:bCs w:val="0"/>
        </w:rPr>
      </w:pPr>
      <w:bookmarkStart w:name="（1）政府补助基本情况" w:id="337"/>
      <w:bookmarkEnd w:id="337"/>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①计入递延收益的政府补助，后续采用总额法计量</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403"/>
        <w:gridCol w:w="1133"/>
        <w:gridCol w:w="992"/>
        <w:gridCol w:w="852"/>
        <w:gridCol w:w="1236"/>
        <w:gridCol w:w="466"/>
        <w:gridCol w:w="982"/>
        <w:gridCol w:w="1417"/>
        <w:gridCol w:w="1169"/>
      </w:tblGrid>
      <w:tr>
        <w:trPr>
          <w:trHeight w:val="653" w:hRule="exact"/>
        </w:trPr>
        <w:tc>
          <w:tcPr>
            <w:tcW w:w="14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377"/>
              <w:jc w:val="right"/>
              <w:rPr>
                <w:rFonts w:ascii="宋体" w:hAnsi="宋体" w:cs="宋体" w:eastAsia="宋体" w:hint="default"/>
                <w:sz w:val="18"/>
                <w:szCs w:val="18"/>
              </w:rPr>
            </w:pPr>
            <w:r>
              <w:rPr>
                <w:rFonts w:ascii="宋体" w:hAnsi="宋体" w:cs="宋体" w:eastAsia="宋体" w:hint="default"/>
                <w:sz w:val="18"/>
                <w:szCs w:val="18"/>
              </w:rPr>
              <w:t>种类</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p>
            <w:pPr>
              <w:pStyle w:val="TableParagraph"/>
              <w:spacing w:line="240" w:lineRule="auto" w:before="62"/>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7"/>
              <w:ind w:left="62" w:right="59"/>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2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7"/>
              <w:ind w:left="165" w:right="70" w:hanging="92"/>
              <w:jc w:val="left"/>
              <w:rPr>
                <w:rFonts w:ascii="宋体" w:hAnsi="宋体" w:cs="宋体" w:eastAsia="宋体" w:hint="default"/>
                <w:sz w:val="18"/>
                <w:szCs w:val="18"/>
              </w:rPr>
            </w:pPr>
            <w:r>
              <w:rPr>
                <w:rFonts w:ascii="宋体" w:hAnsi="宋体" w:cs="宋体" w:eastAsia="宋体" w:hint="default"/>
                <w:sz w:val="18"/>
                <w:szCs w:val="18"/>
              </w:rPr>
              <w:t>本期结转计入 损益的金额</w:t>
            </w:r>
          </w:p>
        </w:tc>
        <w:tc>
          <w:tcPr>
            <w:tcW w:w="4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7"/>
              <w:ind w:left="47" w:right="47"/>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9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7"/>
              <w:ind w:left="163" w:right="74" w:hanging="92"/>
              <w:jc w:val="left"/>
              <w:rPr>
                <w:rFonts w:ascii="宋体" w:hAnsi="宋体" w:cs="宋体" w:eastAsia="宋体" w:hint="default"/>
                <w:sz w:val="18"/>
                <w:szCs w:val="18"/>
              </w:rPr>
            </w:pPr>
            <w:r>
              <w:rPr>
                <w:rFonts w:ascii="宋体" w:hAnsi="宋体" w:cs="宋体" w:eastAsia="宋体" w:hint="default"/>
                <w:sz w:val="18"/>
                <w:szCs w:val="18"/>
              </w:rPr>
              <w:t>本期结转计入损 益的列报项目</w:t>
            </w:r>
          </w:p>
        </w:tc>
        <w:tc>
          <w:tcPr>
            <w:tcW w:w="11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17"/>
              <w:ind w:left="218" w:right="12" w:hanging="20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 收益相关</w:t>
            </w:r>
          </w:p>
        </w:tc>
      </w:tr>
      <w:tr>
        <w:trPr>
          <w:trHeight w:val="343"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19"/>
              <w:jc w:val="center"/>
              <w:rPr>
                <w:rFonts w:ascii="宋体" w:hAnsi="宋体" w:cs="宋体" w:eastAsia="宋体" w:hint="default"/>
                <w:sz w:val="18"/>
                <w:szCs w:val="18"/>
              </w:rPr>
            </w:pPr>
            <w:r>
              <w:rPr>
                <w:rFonts w:ascii="宋体" w:hAnsi="宋体" w:cs="宋体" w:eastAsia="宋体" w:hint="default"/>
                <w:sz w:val="18"/>
                <w:szCs w:val="18"/>
              </w:rPr>
              <w:t>久其智慧物流公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95"/>
              <w:jc w:val="right"/>
              <w:rPr>
                <w:rFonts w:ascii="宋体" w:hAnsi="宋体" w:cs="宋体" w:eastAsia="宋体" w:hint="default"/>
                <w:sz w:val="18"/>
                <w:szCs w:val="18"/>
              </w:rPr>
            </w:pPr>
            <w:r>
              <w:rPr>
                <w:rFonts w:ascii="宋体" w:hAnsi="宋体" w:cs="宋体" w:eastAsia="宋体" w:hint="default"/>
                <w:sz w:val="18"/>
                <w:szCs w:val="18"/>
              </w:rPr>
              <w:t>财政拨款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3" w:right="0"/>
              <w:jc w:val="left"/>
              <w:rPr>
                <w:rFonts w:ascii="Times New Roman" w:hAnsi="Times New Roman" w:cs="Times New Roman" w:eastAsia="Times New Roman" w:hint="default"/>
                <w:sz w:val="18"/>
                <w:szCs w:val="18"/>
              </w:rPr>
            </w:pPr>
            <w:r>
              <w:rPr>
                <w:rFonts w:ascii="Times New Roman"/>
                <w:sz w:val="18"/>
              </w:rPr>
              <w:t>3,596,539.99</w:t>
            </w:r>
          </w:p>
        </w:tc>
        <w:tc>
          <w:tcPr>
            <w:tcW w:w="852"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78" w:right="0"/>
              <w:jc w:val="left"/>
              <w:rPr>
                <w:rFonts w:ascii="Times New Roman" w:hAnsi="Times New Roman" w:cs="Times New Roman" w:eastAsia="Times New Roman" w:hint="default"/>
                <w:sz w:val="18"/>
                <w:szCs w:val="18"/>
              </w:rPr>
            </w:pPr>
            <w:r>
              <w:rPr>
                <w:rFonts w:ascii="Times New Roman"/>
                <w:sz w:val="18"/>
              </w:rPr>
              <w:t>1,489,129.68</w:t>
            </w:r>
          </w:p>
        </w:tc>
        <w:tc>
          <w:tcPr>
            <w:tcW w:w="466"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9" w:right="0"/>
              <w:jc w:val="left"/>
              <w:rPr>
                <w:rFonts w:ascii="Times New Roman" w:hAnsi="Times New Roman" w:cs="Times New Roman" w:eastAsia="Times New Roman" w:hint="default"/>
                <w:sz w:val="18"/>
                <w:szCs w:val="18"/>
              </w:rPr>
            </w:pPr>
            <w:r>
              <w:rPr>
                <w:rFonts w:ascii="Times New Roman"/>
                <w:sz w:val="18"/>
              </w:rPr>
              <w:t>2,107,410.31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9"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404"/>
        <w:gridCol w:w="1133"/>
        <w:gridCol w:w="992"/>
        <w:gridCol w:w="852"/>
        <w:gridCol w:w="1236"/>
        <w:gridCol w:w="466"/>
        <w:gridCol w:w="982"/>
        <w:gridCol w:w="1417"/>
        <w:gridCol w:w="1169"/>
      </w:tblGrid>
      <w:tr>
        <w:trPr>
          <w:trHeight w:val="34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共服务平台项目</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工程实验室</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0" w:right="0"/>
              <w:jc w:val="center"/>
              <w:rPr>
                <w:rFonts w:ascii="Times New Roman" w:hAnsi="Times New Roman" w:cs="Times New Roman" w:eastAsia="Times New Roman" w:hint="default"/>
                <w:sz w:val="18"/>
                <w:szCs w:val="18"/>
              </w:rPr>
            </w:pPr>
            <w:r>
              <w:rPr>
                <w:rFonts w:ascii="Times New Roman"/>
                <w:sz w:val="18"/>
              </w:rPr>
              <w:t>5,952,042.03</w:t>
            </w:r>
          </w:p>
        </w:tc>
        <w:tc>
          <w:tcPr>
            <w:tcW w:w="852"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2,438,412.24</w:t>
            </w:r>
          </w:p>
        </w:tc>
        <w:tc>
          <w:tcPr>
            <w:tcW w:w="466"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2" w:right="0"/>
              <w:jc w:val="center"/>
              <w:rPr>
                <w:rFonts w:ascii="Times New Roman" w:hAnsi="Times New Roman" w:cs="Times New Roman" w:eastAsia="Times New Roman" w:hint="default"/>
                <w:sz w:val="18"/>
                <w:szCs w:val="18"/>
              </w:rPr>
            </w:pPr>
            <w:r>
              <w:rPr>
                <w:rFonts w:ascii="Times New Roman"/>
                <w:sz w:val="18"/>
              </w:rPr>
              <w:t>3,513,629.79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9"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37" w:hRule="exact"/>
        </w:trPr>
        <w:tc>
          <w:tcPr>
            <w:tcW w:w="14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0"/>
              <w:ind w:left="30" w:right="0"/>
              <w:jc w:val="center"/>
              <w:rPr>
                <w:rFonts w:ascii="Times New Roman" w:hAnsi="Times New Roman" w:cs="Times New Roman" w:eastAsia="Times New Roman" w:hint="default"/>
                <w:sz w:val="18"/>
                <w:szCs w:val="18"/>
              </w:rPr>
            </w:pPr>
            <w:r>
              <w:rPr>
                <w:rFonts w:ascii="Times New Roman"/>
                <w:sz w:val="18"/>
              </w:rPr>
              <w:t>9,548,582.02</w:t>
            </w:r>
          </w:p>
        </w:tc>
        <w:tc>
          <w:tcPr>
            <w:tcW w:w="8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3,927,541.92</w:t>
            </w:r>
          </w:p>
        </w:tc>
        <w:tc>
          <w:tcPr>
            <w:tcW w:w="4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0"/>
              <w:ind w:left="12" w:right="0"/>
              <w:jc w:val="center"/>
              <w:rPr>
                <w:rFonts w:ascii="Times New Roman" w:hAnsi="Times New Roman" w:cs="Times New Roman" w:eastAsia="Times New Roman" w:hint="default"/>
                <w:sz w:val="18"/>
                <w:szCs w:val="18"/>
              </w:rPr>
            </w:pPr>
            <w:r>
              <w:rPr>
                <w:rFonts w:ascii="Times New Roman"/>
                <w:sz w:val="18"/>
              </w:rPr>
              <w:t>5,621,040.10</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169" w:type="dxa"/>
            <w:tcBorders>
              <w:top w:val="single" w:sz="4" w:space="0" w:color="000000"/>
              <w:left w:val="single" w:sz="4" w:space="0" w:color="000000"/>
              <w:bottom w:val="single" w:sz="4" w:space="0" w:color="000000"/>
              <w:right w:val="single" w:sz="4" w:space="0" w:color="000000"/>
            </w:tcBorders>
            <w:shd w:val="clear" w:color="auto" w:fill="D9D9D9"/>
          </w:tcPr>
          <w:p>
            <w:pPr/>
          </w:p>
        </w:tc>
      </w:tr>
    </w:tbl>
    <w:p>
      <w:pPr>
        <w:spacing w:line="240" w:lineRule="auto" w:before="7"/>
        <w:rPr>
          <w:rFonts w:ascii="宋体" w:hAnsi="宋体" w:cs="宋体" w:eastAsia="宋体" w:hint="default"/>
          <w:sz w:val="21"/>
          <w:szCs w:val="21"/>
        </w:rPr>
      </w:pPr>
    </w:p>
    <w:p>
      <w:pPr>
        <w:pStyle w:val="BodyText"/>
        <w:spacing w:line="240" w:lineRule="auto" w:before="44"/>
        <w:ind w:right="1115"/>
        <w:jc w:val="left"/>
      </w:pPr>
      <w:r>
        <w:rPr/>
        <w:t>②采用总额法计入当期损益的政府补助情况</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4340"/>
        <w:gridCol w:w="742"/>
        <w:gridCol w:w="1100"/>
        <w:gridCol w:w="1099"/>
        <w:gridCol w:w="922"/>
        <w:gridCol w:w="970"/>
      </w:tblGrid>
      <w:tr>
        <w:trPr>
          <w:trHeight w:val="653" w:hRule="exact"/>
        </w:trPr>
        <w:tc>
          <w:tcPr>
            <w:tcW w:w="43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7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1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7"/>
              <w:ind w:left="273" w:right="3" w:hanging="270"/>
              <w:jc w:val="left"/>
              <w:rPr>
                <w:rFonts w:ascii="宋体" w:hAnsi="宋体" w:cs="宋体" w:eastAsia="宋体" w:hint="default"/>
                <w:sz w:val="18"/>
                <w:szCs w:val="18"/>
              </w:rPr>
            </w:pPr>
            <w:r>
              <w:rPr>
                <w:rFonts w:ascii="宋体" w:hAnsi="宋体" w:cs="宋体" w:eastAsia="宋体" w:hint="default"/>
                <w:sz w:val="18"/>
                <w:szCs w:val="18"/>
              </w:rPr>
              <w:t>上期计入损益 的金额</w:t>
            </w: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7"/>
              <w:ind w:left="276" w:right="0" w:hanging="269"/>
              <w:jc w:val="left"/>
              <w:rPr>
                <w:rFonts w:ascii="宋体" w:hAnsi="宋体" w:cs="宋体" w:eastAsia="宋体" w:hint="default"/>
                <w:sz w:val="18"/>
                <w:szCs w:val="18"/>
              </w:rPr>
            </w:pPr>
            <w:r>
              <w:rPr>
                <w:rFonts w:ascii="宋体" w:hAnsi="宋体" w:cs="宋体" w:eastAsia="宋体" w:hint="default"/>
                <w:sz w:val="18"/>
                <w:szCs w:val="18"/>
              </w:rPr>
              <w:t>本期计入损益 的金额</w:t>
            </w:r>
          </w:p>
        </w:tc>
        <w:tc>
          <w:tcPr>
            <w:tcW w:w="9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7"/>
              <w:ind w:left="95" w:right="3" w:hanging="89"/>
              <w:jc w:val="left"/>
              <w:rPr>
                <w:rFonts w:ascii="宋体" w:hAnsi="宋体" w:cs="宋体" w:eastAsia="宋体" w:hint="default"/>
                <w:sz w:val="18"/>
                <w:szCs w:val="18"/>
              </w:rPr>
            </w:pPr>
            <w:r>
              <w:rPr>
                <w:rFonts w:ascii="宋体" w:hAnsi="宋体" w:cs="宋体" w:eastAsia="宋体" w:hint="default"/>
                <w:sz w:val="18"/>
                <w:szCs w:val="18"/>
              </w:rPr>
              <w:t>计入损益的 列报项目</w:t>
            </w:r>
          </w:p>
        </w:tc>
        <w:tc>
          <w:tcPr>
            <w:tcW w:w="9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17"/>
              <w:ind w:left="28" w:right="3"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343"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24,206,453.93</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12,900,428.09</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1"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进项税加计扣除</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2,993,861.28</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3"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个税返还</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833,580.96</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196,626.54</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1"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基于新一代开发平台的集团管控软件的升级改造</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265,013.52</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44"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华夏电通数字媒体综合控制系统生产项目</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120,221.33</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8"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41"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年海淀区重点培育企业奖励</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1,240,000.00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3"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72,079.78</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123,188.56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1"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互联网专项扶持（社保类）</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200,632.5</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179,578.73</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3"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中关村示范区科技型小微企业研发费用支持资金</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143,692.00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86,583</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1"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百家优秀企业表彰奖励</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60,000.00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3"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高新技术企业补助</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150,000.00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50,000.00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1"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年北京市专利资助金</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6,500.00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6,500.00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3"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董秘资格培训费用补贴</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1,800.00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1"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科技成果转化项目补助经费</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3,000,000.00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3"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年度财政扶持</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2,750,000.00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1"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北京市海淀区人民政府办公室</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1,784,800.00</w:t>
            </w:r>
          </w:p>
        </w:tc>
        <w:tc>
          <w:tcPr>
            <w:tcW w:w="1099"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3"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上海市静安区产业专项资金扶持</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850,500.00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1"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人才扶持奖励资金</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459,000.00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3"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年区品牌建设补贴</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434,000.00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1"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天津国税高企项目费</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400,000.00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3"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天津政府扶持资金</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347,455.00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1"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海南省科技厅关于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年度高新技术产业发展专项资金</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200,000.00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3"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名牌补贴</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150,000.00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1"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北京市商务委员会</w:t>
            </w:r>
            <w:r>
              <w:rPr>
                <w:rFonts w:ascii="Times New Roman" w:hAnsi="Times New Roman" w:cs="Times New Roman" w:eastAsia="Times New Roman" w:hint="default"/>
                <w:sz w:val="18"/>
                <w:szCs w:val="18"/>
              </w:rPr>
              <w:t>CMMI</w:t>
            </w:r>
            <w:r>
              <w:rPr>
                <w:rFonts w:ascii="宋体" w:hAnsi="宋体" w:cs="宋体" w:eastAsia="宋体" w:hint="default"/>
                <w:sz w:val="18"/>
                <w:szCs w:val="18"/>
              </w:rPr>
              <w:t>认证补贴</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70,000.00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3"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CMMI</w:t>
            </w:r>
            <w:r>
              <w:rPr>
                <w:rFonts w:ascii="宋体" w:hAnsi="宋体" w:cs="宋体" w:eastAsia="宋体" w:hint="default"/>
                <w:sz w:val="18"/>
                <w:szCs w:val="18"/>
              </w:rPr>
              <w:t>认证补贴</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60,000.00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1"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北京中关村企业信用促进会专利代理费中介服务补贴</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26,200.00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3"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北京中关村企业信用促进会信用评级中介资金补贴款</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6,000.00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1"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上海市静安区中小企业服务中心</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1,000.00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3" w:hRule="exact"/>
        </w:trPr>
        <w:tc>
          <w:tcPr>
            <w:tcW w:w="43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42"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1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36,537,129.02</w:t>
            </w:r>
          </w:p>
        </w:tc>
        <w:tc>
          <w:tcPr>
            <w:tcW w:w="10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17,838,566.20</w:t>
            </w:r>
          </w:p>
        </w:tc>
        <w:tc>
          <w:tcPr>
            <w:tcW w:w="922"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970" w:type="dxa"/>
            <w:tcBorders>
              <w:top w:val="single" w:sz="4" w:space="0" w:color="000000"/>
              <w:left w:val="single" w:sz="4" w:space="0" w:color="000000"/>
              <w:bottom w:val="single" w:sz="4" w:space="0" w:color="000000"/>
              <w:right w:val="single" w:sz="4" w:space="0" w:color="000000"/>
            </w:tcBorders>
            <w:shd w:val="clear" w:color="auto" w:fill="D9D9D9"/>
          </w:tcPr>
          <w:p>
            <w:pP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2）政府补助退回情况" w:id="338"/>
      <w:bookmarkEnd w:id="338"/>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left="292" w:right="1124"/>
        <w:jc w:val="left"/>
        <w:rPr>
          <w:b w:val="0"/>
          <w:bCs w:val="0"/>
        </w:rPr>
      </w:pPr>
      <w:bookmarkStart w:name="八、合并范围的变更" w:id="339"/>
      <w:bookmarkEnd w:id="339"/>
      <w:r>
        <w:rPr>
          <w:b w:val="0"/>
          <w:bCs w:val="0"/>
        </w:rPr>
      </w: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292" w:right="1124"/>
        <w:jc w:val="left"/>
        <w:rPr>
          <w:b w:val="0"/>
          <w:bCs w:val="0"/>
        </w:rPr>
      </w:pPr>
      <w:bookmarkStart w:name="1、处置子公司" w:id="340"/>
      <w:bookmarkEnd w:id="340"/>
      <w:r>
        <w:rPr>
          <w:b w:val="0"/>
          <w:bCs w:val="0"/>
        </w:rPr>
      </w:r>
      <w:r>
        <w:rPr>
          <w:rFonts w:ascii="Times New Roman" w:hAnsi="Times New Roman" w:cs="Times New Roman" w:eastAsia="Times New Roman" w:hint="default"/>
        </w:rPr>
        <w:t>1</w:t>
      </w:r>
      <w:r>
        <w:rPr/>
        <w:t>、处置子公司</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840" w:right="0"/>
        </w:sectPr>
      </w:pPr>
    </w:p>
    <w:p>
      <w:pPr>
        <w:pStyle w:val="BodyText"/>
        <w:spacing w:line="240" w:lineRule="auto" w:before="44"/>
        <w:ind w:left="292" w:right="-20"/>
        <w:jc w:val="left"/>
      </w:pPr>
      <w:r>
        <w:rPr/>
        <w:t>是否存在单次处置对子公司投资即丧失控制权的情形</w:t>
      </w:r>
    </w:p>
    <w:p>
      <w:pPr>
        <w:pStyle w:val="BodyText"/>
        <w:spacing w:line="240" w:lineRule="auto" w:before="117"/>
        <w:ind w:left="292"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292" w:right="0"/>
        <w:jc w:val="left"/>
      </w:pPr>
      <w:r>
        <w:rPr/>
        <w:t>单位：</w:t>
      </w:r>
      <w:r>
        <w:rPr>
          <w:spacing w:val="1"/>
        </w:rPr>
        <w:t> </w:t>
      </w:r>
      <w:r>
        <w:rPr/>
        <w:t>元</w:t>
      </w:r>
    </w:p>
    <w:p>
      <w:pPr>
        <w:spacing w:after="0" w:line="240" w:lineRule="auto"/>
        <w:jc w:val="left"/>
        <w:sectPr>
          <w:type w:val="continuous"/>
          <w:pgSz w:w="11910" w:h="16840"/>
          <w:pgMar w:top="1060" w:bottom="1160" w:left="840" w:right="0"/>
          <w:cols w:num="2" w:equalWidth="0">
            <w:col w:w="4433" w:space="4396"/>
            <w:col w:w="2241"/>
          </w:cols>
        </w:sectPr>
      </w:pP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570"/>
        <w:gridCol w:w="1181"/>
        <w:gridCol w:w="742"/>
        <w:gridCol w:w="324"/>
        <w:gridCol w:w="524"/>
        <w:gridCol w:w="427"/>
        <w:gridCol w:w="1433"/>
        <w:gridCol w:w="677"/>
        <w:gridCol w:w="984"/>
        <w:gridCol w:w="782"/>
        <w:gridCol w:w="857"/>
        <w:gridCol w:w="653"/>
        <w:gridCol w:w="689"/>
      </w:tblGrid>
      <w:tr>
        <w:trPr>
          <w:trHeight w:val="2900" w:hRule="exact"/>
        </w:trPr>
        <w:tc>
          <w:tcPr>
            <w:tcW w:w="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9" w:lineRule="auto"/>
              <w:ind w:left="99" w:right="99"/>
              <w:jc w:val="both"/>
              <w:rPr>
                <w:rFonts w:ascii="宋体" w:hAnsi="宋体" w:cs="宋体" w:eastAsia="宋体" w:hint="default"/>
                <w:sz w:val="18"/>
                <w:szCs w:val="18"/>
              </w:rPr>
            </w:pPr>
            <w:r>
              <w:rPr>
                <w:rFonts w:ascii="宋体" w:hAnsi="宋体" w:cs="宋体" w:eastAsia="宋体" w:hint="default"/>
                <w:sz w:val="18"/>
                <w:szCs w:val="18"/>
              </w:rPr>
              <w:t>子公 司名 称</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45" w:right="0"/>
              <w:jc w:val="left"/>
              <w:rPr>
                <w:rFonts w:ascii="宋体" w:hAnsi="宋体" w:cs="宋体" w:eastAsia="宋体" w:hint="default"/>
                <w:sz w:val="18"/>
                <w:szCs w:val="18"/>
              </w:rPr>
            </w:pPr>
            <w:r>
              <w:rPr>
                <w:rFonts w:ascii="宋体" w:hAnsi="宋体" w:cs="宋体" w:eastAsia="宋体" w:hint="default"/>
                <w:sz w:val="18"/>
                <w:szCs w:val="18"/>
              </w:rPr>
              <w:t>股权处置价款</w:t>
            </w:r>
          </w:p>
        </w:tc>
        <w:tc>
          <w:tcPr>
            <w:tcW w:w="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5" w:right="95"/>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67" w:right="65"/>
              <w:jc w:val="both"/>
              <w:rPr>
                <w:rFonts w:ascii="宋体" w:hAnsi="宋体" w:cs="宋体" w:eastAsia="宋体" w:hint="default"/>
                <w:sz w:val="18"/>
                <w:szCs w:val="18"/>
              </w:rPr>
            </w:pPr>
            <w:r>
              <w:rPr>
                <w:rFonts w:ascii="宋体" w:hAnsi="宋体" w:cs="宋体" w:eastAsia="宋体" w:hint="default"/>
                <w:sz w:val="18"/>
                <w:szCs w:val="18"/>
              </w:rPr>
              <w:t>股 权 处 置 方 式</w:t>
            </w:r>
          </w:p>
        </w:tc>
        <w:tc>
          <w:tcPr>
            <w:tcW w:w="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76" w:right="74"/>
              <w:jc w:val="both"/>
              <w:rPr>
                <w:rFonts w:ascii="宋体" w:hAnsi="宋体" w:cs="宋体" w:eastAsia="宋体" w:hint="default"/>
                <w:sz w:val="18"/>
                <w:szCs w:val="18"/>
              </w:rPr>
            </w:pPr>
            <w:r>
              <w:rPr>
                <w:rFonts w:ascii="宋体" w:hAnsi="宋体" w:cs="宋体" w:eastAsia="宋体" w:hint="default"/>
                <w:sz w:val="18"/>
                <w:szCs w:val="18"/>
              </w:rPr>
              <w:t>丧失 控制 权的 时点</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8" w:right="26"/>
              <w:jc w:val="both"/>
              <w:rPr>
                <w:rFonts w:ascii="宋体" w:hAnsi="宋体" w:cs="宋体" w:eastAsia="宋体" w:hint="default"/>
                <w:sz w:val="18"/>
                <w:szCs w:val="18"/>
              </w:rPr>
            </w:pPr>
            <w:r>
              <w:rPr>
                <w:rFonts w:ascii="宋体" w:hAnsi="宋体" w:cs="宋体" w:eastAsia="宋体" w:hint="default"/>
                <w:sz w:val="18"/>
                <w:szCs w:val="18"/>
              </w:rPr>
              <w:t>丧失 控制 权时 点的 确定 依据</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81" w:right="79"/>
              <w:jc w:val="both"/>
              <w:rPr>
                <w:rFonts w:ascii="宋体" w:hAnsi="宋体" w:cs="宋体" w:eastAsia="宋体" w:hint="default"/>
                <w:sz w:val="18"/>
                <w:szCs w:val="18"/>
              </w:rPr>
            </w:pPr>
            <w:r>
              <w:rPr>
                <w:rFonts w:ascii="宋体" w:hAnsi="宋体" w:cs="宋体" w:eastAsia="宋体" w:hint="default"/>
                <w:sz w:val="18"/>
                <w:szCs w:val="18"/>
              </w:rPr>
              <w:t>处置价款与处置 投资对应的合并 财务报表层面享 有该子公司净资 产份额的差额</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64" w:right="60"/>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38" w:right="35"/>
              <w:jc w:val="center"/>
              <w:rPr>
                <w:rFonts w:ascii="宋体" w:hAnsi="宋体" w:cs="宋体" w:eastAsia="宋体" w:hint="default"/>
                <w:sz w:val="18"/>
                <w:szCs w:val="18"/>
              </w:rPr>
            </w:pPr>
            <w:r>
              <w:rPr>
                <w:rFonts w:ascii="宋体" w:hAnsi="宋体" w:cs="宋体" w:eastAsia="宋体" w:hint="default"/>
                <w:sz w:val="18"/>
                <w:szCs w:val="18"/>
              </w:rPr>
              <w:t>丧失控制权 之日剩余股 权的账面价 值</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6" w:right="24"/>
              <w:jc w:val="both"/>
              <w:rPr>
                <w:rFonts w:ascii="宋体" w:hAnsi="宋体" w:cs="宋体" w:eastAsia="宋体" w:hint="default"/>
                <w:sz w:val="18"/>
                <w:szCs w:val="18"/>
              </w:rPr>
            </w:pPr>
            <w:r>
              <w:rPr>
                <w:rFonts w:ascii="宋体" w:hAnsi="宋体" w:cs="宋体" w:eastAsia="宋体" w:hint="default"/>
                <w:sz w:val="18"/>
                <w:szCs w:val="18"/>
              </w:rPr>
              <w:t>丧失控制 权之日剩 余股权的 公允价值</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64" w:right="62"/>
              <w:jc w:val="center"/>
              <w:rPr>
                <w:rFonts w:ascii="宋体" w:hAnsi="宋体" w:cs="宋体" w:eastAsia="宋体" w:hint="default"/>
                <w:sz w:val="18"/>
                <w:szCs w:val="18"/>
              </w:rPr>
            </w:pPr>
            <w:r>
              <w:rPr>
                <w:rFonts w:ascii="宋体" w:hAnsi="宋体" w:cs="宋体" w:eastAsia="宋体" w:hint="default"/>
                <w:sz w:val="18"/>
                <w:szCs w:val="18"/>
              </w:rPr>
              <w:t>按照公允 价值重新 计量剩余 股权产生 的利得或 损失</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48"/>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649" w:hRule="exact"/>
        </w:trPr>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76"/>
              <w:jc w:val="both"/>
              <w:rPr>
                <w:rFonts w:ascii="宋体" w:hAnsi="宋体" w:cs="宋体" w:eastAsia="宋体" w:hint="default"/>
                <w:sz w:val="18"/>
                <w:szCs w:val="18"/>
              </w:rPr>
            </w:pPr>
            <w:r>
              <w:rPr>
                <w:rFonts w:ascii="宋体" w:hAnsi="宋体" w:cs="宋体" w:eastAsia="宋体" w:hint="default"/>
                <w:sz w:val="18"/>
                <w:szCs w:val="18"/>
              </w:rPr>
              <w:t>上海 移通 网络 有限 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303,000,000.00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100.00%</w:t>
            </w:r>
          </w:p>
        </w:tc>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8"/>
              <w:jc w:val="both"/>
              <w:rPr>
                <w:rFonts w:ascii="宋体" w:hAnsi="宋体" w:cs="宋体" w:eastAsia="宋体" w:hint="default"/>
                <w:sz w:val="18"/>
                <w:szCs w:val="18"/>
              </w:rPr>
            </w:pPr>
            <w:r>
              <w:rPr>
                <w:rFonts w:ascii="宋体" w:hAnsi="宋体" w:cs="宋体" w:eastAsia="宋体" w:hint="default"/>
                <w:sz w:val="18"/>
                <w:szCs w:val="18"/>
              </w:rPr>
              <w:t>现 金 处 置</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3" w:right="31"/>
              <w:jc w:val="left"/>
              <w:rPr>
                <w:rFonts w:ascii="宋体" w:hAnsi="宋体" w:cs="宋体" w:eastAsia="宋体" w:hint="default"/>
                <w:sz w:val="18"/>
                <w:szCs w:val="18"/>
              </w:rPr>
            </w:pPr>
            <w:r>
              <w:rPr>
                <w:rFonts w:ascii="宋体" w:hAnsi="宋体" w:cs="宋体" w:eastAsia="宋体" w:hint="default"/>
                <w:sz w:val="18"/>
                <w:szCs w:val="18"/>
              </w:rPr>
              <w:t>双方 确认</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-653,809.65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100%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30,365.38</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30,300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-65.38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3" w:right="77"/>
              <w:jc w:val="left"/>
              <w:rPr>
                <w:rFonts w:ascii="宋体" w:hAnsi="宋体" w:cs="宋体" w:eastAsia="宋体" w:hint="default"/>
                <w:sz w:val="18"/>
                <w:szCs w:val="18"/>
              </w:rPr>
            </w:pPr>
            <w:r>
              <w:rPr>
                <w:rFonts w:ascii="宋体" w:hAnsi="宋体" w:cs="宋体" w:eastAsia="宋体" w:hint="default"/>
                <w:sz w:val="18"/>
                <w:szCs w:val="18"/>
              </w:rPr>
              <w:t>市场价 值</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left="292" w:right="0"/>
        <w:jc w:val="both"/>
      </w:pPr>
      <w:r>
        <w:rPr/>
        <w:t>其他说明：</w:t>
      </w:r>
    </w:p>
    <w:p>
      <w:pPr>
        <w:pStyle w:val="BodyText"/>
        <w:spacing w:line="300" w:lineRule="auto" w:before="117"/>
        <w:ind w:left="292" w:right="1131"/>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16</w:t>
      </w:r>
      <w:r>
        <w:rPr/>
        <w:t>日，本公司与关联方北京启顺通达科技有限公司（以下简称</w:t>
      </w:r>
      <w:r>
        <w:rPr>
          <w:rFonts w:ascii="Times New Roman" w:hAnsi="Times New Roman" w:cs="Times New Roman" w:eastAsia="Times New Roman" w:hint="default"/>
        </w:rPr>
        <w:t>“</w:t>
      </w:r>
      <w:r>
        <w:rPr/>
        <w:t>启顺通达</w:t>
      </w:r>
      <w:r>
        <w:rPr>
          <w:rFonts w:ascii="Times New Roman" w:hAnsi="Times New Roman" w:cs="Times New Roman" w:eastAsia="Times New Roman" w:hint="default"/>
        </w:rPr>
        <w:t>”</w:t>
      </w:r>
      <w:r>
        <w:rPr/>
        <w:t>）、全资子公司上海移通共同签署《北</w:t>
      </w:r>
      <w:r>
        <w:rPr>
          <w:spacing w:val="-66"/>
        </w:rPr>
        <w:t> </w:t>
      </w:r>
      <w:r>
        <w:rPr>
          <w:spacing w:val="-66"/>
        </w:rPr>
      </w:r>
      <w:r>
        <w:rPr/>
        <w:t>京久其软件股份有限公司与北京启顺通达科技有限公司关于上海移通网络有限公司的股权转让协议》（以下简称</w:t>
      </w:r>
      <w:r>
        <w:rPr>
          <w:rFonts w:ascii="Times New Roman" w:hAnsi="Times New Roman" w:cs="Times New Roman" w:eastAsia="Times New Roman" w:hint="default"/>
        </w:rPr>
        <w:t>“</w:t>
      </w:r>
      <w:r>
        <w:rPr/>
        <w:t>股权转让</w:t>
      </w:r>
      <w:r>
        <w:rPr>
          <w:spacing w:val="-73"/>
        </w:rPr>
        <w:t> </w:t>
      </w:r>
      <w:r>
        <w:rPr>
          <w:spacing w:val="-73"/>
        </w:rPr>
      </w:r>
      <w:r>
        <w:rPr>
          <w:spacing w:val="-2"/>
        </w:rPr>
        <w:t>协议</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日，本公司和启顺通达签署《交割确认函》，确认：</w:t>
      </w:r>
      <w:r>
        <w:rPr>
          <w:rFonts w:ascii="Times New Roman" w:hAnsi="Times New Roman" w:cs="Times New Roman" w:eastAsia="Times New Roman" w:hint="default"/>
          <w:spacing w:val="-2"/>
        </w:rPr>
        <w:t>“</w:t>
      </w:r>
      <w:r>
        <w:rPr>
          <w:spacing w:val="-2"/>
        </w:rPr>
        <w:t>双方已于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日完成上海移通各项工</w:t>
      </w:r>
      <w:r>
        <w:rPr>
          <w:spacing w:val="-37"/>
        </w:rPr>
        <w:t> </w:t>
      </w:r>
      <w:r>
        <w:rPr>
          <w:spacing w:val="-37"/>
        </w:rPr>
      </w:r>
      <w:r>
        <w:rPr/>
        <w:t>作的交接，上海移通自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日起不再纳入久其软件合并范围</w:t>
      </w:r>
      <w:r>
        <w:rPr>
          <w:rFonts w:ascii="Times New Roman" w:hAnsi="Times New Roman" w:cs="Times New Roman" w:eastAsia="Times New Roman" w:hint="default"/>
        </w:rPr>
        <w:t>”</w:t>
      </w:r>
      <w:r>
        <w:rPr/>
        <w:t>。详见本节“十六、其他重要事项</w:t>
      </w:r>
      <w:r>
        <w:rPr>
          <w:spacing w:val="11"/>
        </w:rPr>
        <w:t> </w:t>
      </w:r>
      <w:r>
        <w:rPr>
          <w:rFonts w:ascii="Times New Roman" w:hAnsi="Times New Roman" w:cs="Times New Roman" w:eastAsia="Times New Roman" w:hint="default"/>
        </w:rPr>
        <w:t>2</w:t>
      </w:r>
      <w:r>
        <w:rPr/>
        <w:t>、其他对投资者 决策有影响的重要交易和事项”。</w:t>
      </w:r>
    </w:p>
    <w:p>
      <w:pPr>
        <w:spacing w:line="240" w:lineRule="auto" w:before="3"/>
        <w:rPr>
          <w:rFonts w:ascii="宋体" w:hAnsi="宋体" w:cs="宋体" w:eastAsia="宋体" w:hint="default"/>
          <w:sz w:val="26"/>
          <w:szCs w:val="26"/>
        </w:rPr>
      </w:pPr>
    </w:p>
    <w:p>
      <w:pPr>
        <w:pStyle w:val="BodyText"/>
        <w:spacing w:line="240" w:lineRule="auto"/>
        <w:ind w:left="292" w:right="0"/>
        <w:jc w:val="both"/>
      </w:pPr>
      <w:r>
        <w:rPr/>
        <w:t>是否存在通过多次交易分步处置对子公司投资且在本期丧失控制权的情形</w:t>
      </w:r>
    </w:p>
    <w:p>
      <w:pPr>
        <w:pStyle w:val="BodyText"/>
        <w:spacing w:line="240" w:lineRule="auto" w:before="117"/>
        <w:ind w:left="292"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24"/>
          <w:szCs w:val="24"/>
        </w:rPr>
      </w:pPr>
    </w:p>
    <w:p>
      <w:pPr>
        <w:pStyle w:val="Heading2"/>
        <w:spacing w:line="240" w:lineRule="auto"/>
        <w:ind w:left="292" w:right="0"/>
        <w:jc w:val="both"/>
        <w:rPr>
          <w:b w:val="0"/>
          <w:bCs w:val="0"/>
        </w:rPr>
      </w:pPr>
      <w:bookmarkStart w:name="九、在其他主体中的权益" w:id="341"/>
      <w:bookmarkEnd w:id="341"/>
      <w:r>
        <w:rPr>
          <w:b w:val="0"/>
          <w:bCs w:val="0"/>
        </w:rPr>
      </w: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292" w:right="0"/>
        <w:jc w:val="both"/>
        <w:rPr>
          <w:b w:val="0"/>
          <w:bCs w:val="0"/>
        </w:rPr>
      </w:pPr>
      <w:bookmarkStart w:name="1、在子公司中的权益" w:id="342"/>
      <w:bookmarkEnd w:id="342"/>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92" w:right="0"/>
        <w:jc w:val="both"/>
        <w:rPr>
          <w:b w:val="0"/>
          <w:bCs w:val="0"/>
        </w:rPr>
      </w:pPr>
      <w:bookmarkStart w:name="（1）企业集团的构成" w:id="343"/>
      <w:bookmarkEnd w:id="343"/>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259" w:type="dxa"/>
        <w:tblLayout w:type="fixed"/>
        <w:tblCellMar>
          <w:top w:w="0" w:type="dxa"/>
          <w:left w:w="0" w:type="dxa"/>
          <w:bottom w:w="0" w:type="dxa"/>
          <w:right w:w="0" w:type="dxa"/>
        </w:tblCellMar>
        <w:tblLook w:val="01E0"/>
      </w:tblPr>
      <w:tblGrid>
        <w:gridCol w:w="4021"/>
        <w:gridCol w:w="1236"/>
        <w:gridCol w:w="998"/>
        <w:gridCol w:w="1001"/>
        <w:gridCol w:w="903"/>
        <w:gridCol w:w="538"/>
        <w:gridCol w:w="1001"/>
      </w:tblGrid>
      <w:tr>
        <w:trPr>
          <w:trHeight w:val="402" w:hRule="exact"/>
        </w:trPr>
        <w:tc>
          <w:tcPr>
            <w:tcW w:w="40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2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9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4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4021" w:type="dxa"/>
            <w:vMerge/>
            <w:tcBorders>
              <w:left w:val="single" w:sz="4" w:space="0" w:color="000000"/>
              <w:bottom w:val="single" w:sz="4" w:space="0" w:color="000000"/>
              <w:right w:val="single" w:sz="4" w:space="0" w:color="000000"/>
            </w:tcBorders>
            <w:shd w:val="clear" w:color="auto" w:fill="D2D2D2"/>
          </w:tcPr>
          <w:p>
            <w:pPr/>
          </w:p>
        </w:tc>
        <w:tc>
          <w:tcPr>
            <w:tcW w:w="1236" w:type="dxa"/>
            <w:vMerge/>
            <w:tcBorders>
              <w:left w:val="single" w:sz="4" w:space="0" w:color="000000"/>
              <w:bottom w:val="single" w:sz="4" w:space="0" w:color="000000"/>
              <w:right w:val="single" w:sz="4" w:space="0" w:color="000000"/>
            </w:tcBorders>
            <w:shd w:val="clear" w:color="auto" w:fill="D2D2D2"/>
          </w:tcPr>
          <w:p>
            <w:pPr/>
          </w:p>
        </w:tc>
        <w:tc>
          <w:tcPr>
            <w:tcW w:w="998"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66"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3"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00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西安久其软件有限公司</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5" w:right="0"/>
              <w:jc w:val="left"/>
              <w:rPr>
                <w:rFonts w:ascii="Times New Roman" w:hAnsi="Times New Roman" w:cs="Times New Roman" w:eastAsia="Times New Roman" w:hint="default"/>
                <w:sz w:val="18"/>
                <w:szCs w:val="18"/>
              </w:rPr>
            </w:pPr>
            <w:r>
              <w:rPr>
                <w:rFonts w:ascii="Times New Roman"/>
                <w:sz w:val="18"/>
              </w:rPr>
              <w:t>100.00%</w:t>
            </w:r>
          </w:p>
        </w:tc>
        <w:tc>
          <w:tcPr>
            <w:tcW w:w="53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3"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上海久其软件有限公司</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5" w:right="0"/>
              <w:jc w:val="left"/>
              <w:rPr>
                <w:rFonts w:ascii="Times New Roman" w:hAnsi="Times New Roman" w:cs="Times New Roman" w:eastAsia="Times New Roman" w:hint="default"/>
                <w:sz w:val="18"/>
                <w:szCs w:val="18"/>
              </w:rPr>
            </w:pPr>
            <w:r>
              <w:rPr>
                <w:rFonts w:ascii="Times New Roman"/>
                <w:sz w:val="18"/>
              </w:rPr>
              <w:t>100.00%</w:t>
            </w:r>
          </w:p>
        </w:tc>
        <w:tc>
          <w:tcPr>
            <w:tcW w:w="53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1"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成都久其软件有限公司</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5" w:right="0"/>
              <w:jc w:val="left"/>
              <w:rPr>
                <w:rFonts w:ascii="Times New Roman" w:hAnsi="Times New Roman" w:cs="Times New Roman" w:eastAsia="Times New Roman" w:hint="default"/>
                <w:sz w:val="18"/>
                <w:szCs w:val="18"/>
              </w:rPr>
            </w:pPr>
            <w:r>
              <w:rPr>
                <w:rFonts w:ascii="Times New Roman"/>
                <w:sz w:val="18"/>
              </w:rPr>
              <w:t>100.00%</w:t>
            </w:r>
          </w:p>
        </w:tc>
        <w:tc>
          <w:tcPr>
            <w:tcW w:w="53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type w:val="continuous"/>
          <w:pgSz w:w="11910" w:h="16840"/>
          <w:pgMar w:top="1060" w:bottom="1160" w:left="840" w:right="0"/>
        </w:sectPr>
      </w:pPr>
    </w:p>
    <w:p>
      <w:pPr>
        <w:spacing w:line="240" w:lineRule="auto" w:before="8"/>
        <w:rPr>
          <w:rFonts w:ascii="宋体" w:hAnsi="宋体" w:cs="宋体" w:eastAsia="宋体" w:hint="default"/>
          <w:b/>
          <w:bCs/>
          <w:sz w:val="24"/>
          <w:szCs w:val="24"/>
        </w:rPr>
      </w:pPr>
    </w:p>
    <w:tbl>
      <w:tblPr>
        <w:tblW w:w="0" w:type="auto"/>
        <w:jc w:val="left"/>
        <w:tblInd w:w="119" w:type="dxa"/>
        <w:tblLayout w:type="fixed"/>
        <w:tblCellMar>
          <w:top w:w="0" w:type="dxa"/>
          <w:left w:w="0" w:type="dxa"/>
          <w:bottom w:w="0" w:type="dxa"/>
          <w:right w:w="0" w:type="dxa"/>
        </w:tblCellMar>
        <w:tblLook w:val="01E0"/>
      </w:tblPr>
      <w:tblGrid>
        <w:gridCol w:w="4021"/>
        <w:gridCol w:w="1236"/>
        <w:gridCol w:w="998"/>
        <w:gridCol w:w="1001"/>
        <w:gridCol w:w="903"/>
        <w:gridCol w:w="538"/>
        <w:gridCol w:w="1001"/>
      </w:tblGrid>
      <w:tr>
        <w:trPr>
          <w:trHeight w:val="402" w:hRule="exact"/>
        </w:trPr>
        <w:tc>
          <w:tcPr>
            <w:tcW w:w="40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2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9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4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4021" w:type="dxa"/>
            <w:vMerge/>
            <w:tcBorders>
              <w:left w:val="single" w:sz="4" w:space="0" w:color="000000"/>
              <w:bottom w:val="single" w:sz="4" w:space="0" w:color="000000"/>
              <w:right w:val="single" w:sz="4" w:space="0" w:color="000000"/>
            </w:tcBorders>
            <w:shd w:val="clear" w:color="auto" w:fill="D2D2D2"/>
          </w:tcPr>
          <w:p>
            <w:pPr/>
          </w:p>
        </w:tc>
        <w:tc>
          <w:tcPr>
            <w:tcW w:w="1236" w:type="dxa"/>
            <w:vMerge/>
            <w:tcBorders>
              <w:left w:val="single" w:sz="4" w:space="0" w:color="000000"/>
              <w:bottom w:val="single" w:sz="4" w:space="0" w:color="000000"/>
              <w:right w:val="single" w:sz="4" w:space="0" w:color="000000"/>
            </w:tcBorders>
            <w:shd w:val="clear" w:color="auto" w:fill="D2D2D2"/>
          </w:tcPr>
          <w:p>
            <w:pPr/>
          </w:p>
        </w:tc>
        <w:tc>
          <w:tcPr>
            <w:tcW w:w="998"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66"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3"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00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广东久其软件有限公司</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66.67%</w:t>
            </w:r>
          </w:p>
        </w:tc>
        <w:tc>
          <w:tcPr>
            <w:tcW w:w="53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3"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北京久其政务软件股份有限公司</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99.50%</w:t>
            </w:r>
          </w:p>
        </w:tc>
        <w:tc>
          <w:tcPr>
            <w:tcW w:w="53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1"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新疆久其科技有限公司</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53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3"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重庆久其软件有限公司</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53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1"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海南久其云计算科技有限公司</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澄迈</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澄迈</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53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3"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北京久其智通数据科技有限公司</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51.00%</w:t>
            </w:r>
          </w:p>
        </w:tc>
        <w:tc>
          <w:tcPr>
            <w:tcW w:w="53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1"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北京久其互联网金融信息服务有限公司</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互联网金融</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70.00%</w:t>
            </w:r>
          </w:p>
        </w:tc>
        <w:tc>
          <w:tcPr>
            <w:tcW w:w="53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4"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北京蜂语网络科技有限公司</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51.00%</w:t>
            </w:r>
          </w:p>
        </w:tc>
        <w:tc>
          <w:tcPr>
            <w:tcW w:w="53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1"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北京亿起联科技有限公司</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互联网</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53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并购</w:t>
            </w:r>
          </w:p>
        </w:tc>
      </w:tr>
      <w:tr>
        <w:trPr>
          <w:trHeight w:val="403"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北京华夏电通科技有限公司</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53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并购</w:t>
            </w:r>
          </w:p>
        </w:tc>
      </w:tr>
      <w:tr>
        <w:trPr>
          <w:trHeight w:val="401"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北京中民颐养科技服务有限公司</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51.00%</w:t>
            </w:r>
          </w:p>
        </w:tc>
        <w:tc>
          <w:tcPr>
            <w:tcW w:w="53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3"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北京瑞意恒动科技有限公司</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互联网</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53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并购</w:t>
            </w:r>
          </w:p>
        </w:tc>
      </w:tr>
      <w:tr>
        <w:trPr>
          <w:trHeight w:val="401"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海南久其互联网产业研究院有限公司</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澄迈</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澄迈</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53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3"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深圳市久金保商业保理有限公司</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53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1"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北京久其金建科技有限公司</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51.00%</w:t>
            </w:r>
          </w:p>
        </w:tc>
        <w:tc>
          <w:tcPr>
            <w:tcW w:w="53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3"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久其数字传播有限公司</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互联网</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53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4" w:hRule="exact"/>
        </w:trPr>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雄安久其数字科技有限公司</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雄安</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雄安</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53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240" w:lineRule="auto" w:before="49"/>
        <w:ind w:right="1115"/>
        <w:jc w:val="left"/>
      </w:pPr>
      <w:r>
        <w:rPr/>
        <w:t>在子公司的持股比例不同于表决权比例的说明：无。</w:t>
      </w:r>
    </w:p>
    <w:p>
      <w:pPr>
        <w:spacing w:line="240" w:lineRule="auto" w:before="0"/>
        <w:rPr>
          <w:rFonts w:ascii="宋体" w:hAnsi="宋体" w:cs="宋体" w:eastAsia="宋体" w:hint="default"/>
          <w:sz w:val="18"/>
          <w:szCs w:val="18"/>
        </w:rPr>
      </w:pPr>
    </w:p>
    <w:p>
      <w:pPr>
        <w:pStyle w:val="Heading3"/>
        <w:spacing w:line="240" w:lineRule="auto" w:before="118"/>
        <w:ind w:right="1115"/>
        <w:jc w:val="left"/>
        <w:rPr>
          <w:b w:val="0"/>
          <w:bCs w:val="0"/>
        </w:rPr>
      </w:pPr>
      <w:bookmarkStart w:name="（2）重要的非全资子公司" w:id="344"/>
      <w:bookmarkEnd w:id="344"/>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349"/>
        <w:gridCol w:w="1537"/>
        <w:gridCol w:w="2268"/>
        <w:gridCol w:w="2643"/>
        <w:gridCol w:w="1901"/>
      </w:tblGrid>
      <w:tr>
        <w:trPr>
          <w:trHeight w:val="763" w:hRule="exact"/>
        </w:trPr>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39"/>
              <w:jc w:val="righ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本期归属于少数股东的损益</w:t>
            </w:r>
          </w:p>
        </w:tc>
        <w:tc>
          <w:tcPr>
            <w:tcW w:w="2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本期向少数股东宣告分派的股利</w:t>
            </w:r>
          </w:p>
        </w:tc>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1"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广东久其</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33.33%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73,194.56</w:t>
            </w:r>
          </w:p>
        </w:tc>
        <w:tc>
          <w:tcPr>
            <w:tcW w:w="2643"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3,125,636.91</w:t>
            </w:r>
          </w:p>
        </w:tc>
      </w:tr>
      <w:tr>
        <w:trPr>
          <w:trHeight w:val="40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久其政务</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0.50%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32,458.55</w:t>
            </w:r>
          </w:p>
        </w:tc>
        <w:tc>
          <w:tcPr>
            <w:tcW w:w="2643"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1,769,995.89</w:t>
            </w:r>
          </w:p>
        </w:tc>
      </w:tr>
      <w:tr>
        <w:trPr>
          <w:trHeight w:val="401"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久其智通</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-536,625.06</w:t>
            </w:r>
          </w:p>
        </w:tc>
        <w:tc>
          <w:tcPr>
            <w:tcW w:w="2643"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-916,297.48</w:t>
            </w:r>
          </w:p>
        </w:tc>
      </w:tr>
      <w:tr>
        <w:trPr>
          <w:trHeight w:val="40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久其互联网金融</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-1,115,245.49</w:t>
            </w:r>
          </w:p>
        </w:tc>
        <w:tc>
          <w:tcPr>
            <w:tcW w:w="2643"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326,132.78</w:t>
            </w:r>
          </w:p>
        </w:tc>
      </w:tr>
      <w:tr>
        <w:trPr>
          <w:trHeight w:val="401"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蜂语网络</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-3,034,142.09</w:t>
            </w:r>
          </w:p>
        </w:tc>
        <w:tc>
          <w:tcPr>
            <w:tcW w:w="2643"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-972,564.25</w:t>
            </w:r>
          </w:p>
        </w:tc>
      </w:tr>
      <w:tr>
        <w:trPr>
          <w:trHeight w:val="40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中民颐养</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-321,355.87</w:t>
            </w:r>
          </w:p>
        </w:tc>
        <w:tc>
          <w:tcPr>
            <w:tcW w:w="2643"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1,740,863.17</w:t>
            </w:r>
          </w:p>
        </w:tc>
      </w:tr>
      <w:tr>
        <w:trPr>
          <w:trHeight w:val="40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久其金建</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5,861,334.70</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1,960,000.00</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25,518,596.40</w:t>
            </w:r>
          </w:p>
        </w:tc>
      </w:tr>
    </w:tbl>
    <w:p>
      <w:pPr>
        <w:pStyle w:val="BodyText"/>
        <w:spacing w:line="240" w:lineRule="auto" w:before="49"/>
        <w:ind w:right="1115"/>
        <w:jc w:val="left"/>
      </w:pPr>
      <w:r>
        <w:rPr/>
        <w:t>子公司少数股东的持股比例不同于表决权比例的说明：无。</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15"/>
        <w:jc w:val="left"/>
        <w:rPr>
          <w:b w:val="0"/>
          <w:bCs w:val="0"/>
        </w:rPr>
      </w:pPr>
      <w:bookmarkStart w:name="（3）重要非全资子公司的主要财务信息" w:id="345"/>
      <w:bookmarkEnd w:id="345"/>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403"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2"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广东久 其</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9,797,43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0.64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314,079.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10,111,5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10.33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733,661.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733,661.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9,844,85</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6.79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241,540.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10,086,3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97.76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919,835.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919,835.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51</w:t>
            </w:r>
          </w:p>
        </w:tc>
      </w:tr>
      <w:tr>
        <w:trPr>
          <w:trHeight w:val="71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久其政 务</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237,891,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957.08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120,568,</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916.08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358,460,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873.16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4,461,69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4.41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4,461,69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4.41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260,532,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862.54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101,075,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821.33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361,608,</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683.87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14,005,6</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06.43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14,005,6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06.43</w:t>
            </w:r>
          </w:p>
        </w:tc>
      </w:tr>
      <w:tr>
        <w:trPr>
          <w:trHeight w:val="716"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久其智 通</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2,701,46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6.20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2,364,10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9.34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5,065,57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5.54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6,935,57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0.39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6,935,57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0.39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2,758,26</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8.09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2,893,68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6.13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5,651,95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6,426,34</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7.17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6,426,34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7.17</w:t>
            </w:r>
          </w:p>
        </w:tc>
      </w:tr>
      <w:tr>
        <w:trPr>
          <w:trHeight w:val="102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久其互 联网金 融</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2,128,82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423,943.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2,552,77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2.89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1,465,66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3.64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1,465,66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3.64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13,809,1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24.64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553,394.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14,362,5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18.64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9,556,30</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4.67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9,556,30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4.67</w:t>
            </w:r>
          </w:p>
        </w:tc>
      </w:tr>
      <w:tr>
        <w:trPr>
          <w:trHeight w:val="71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蜂语网 络</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1,982,79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4.18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59,357.6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2,042,15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1.84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4,962,20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2.10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4,962,20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2.10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5,103,05</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8.06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391,768.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5,494,82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3,033,73</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6.42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3,033,73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6.42</w:t>
            </w:r>
          </w:p>
        </w:tc>
      </w:tr>
      <w:tr>
        <w:trPr>
          <w:trHeight w:val="71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中民颐 养</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3,769,95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7.93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3,769,95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7.93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217,175.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217,175.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4,355,49</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1.68</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4,355,49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146,881.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38</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146,881.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38</w:t>
            </w:r>
          </w:p>
        </w:tc>
      </w:tr>
      <w:tr>
        <w:trPr>
          <w:trHeight w:val="71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久其金 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60,613,4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71.01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2,484,81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2.01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63,098,2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83.02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11,019,5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14.83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11,019,5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14.83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53,222,4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69.10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280,031.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53,502,5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9,376,54</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6.08</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9,376,54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6.08</w:t>
            </w:r>
          </w:p>
        </w:tc>
      </w:tr>
    </w:tbl>
    <w:p>
      <w:pPr>
        <w:pStyle w:val="BodyText"/>
        <w:spacing w:line="240" w:lineRule="auto" w:before="49"/>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40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广东久其</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4,337,490.90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211,354.92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center"/>
              <w:rPr>
                <w:rFonts w:ascii="Times New Roman" w:hAnsi="Times New Roman" w:cs="Times New Roman" w:eastAsia="Times New Roman" w:hint="default"/>
                <w:sz w:val="18"/>
                <w:szCs w:val="18"/>
              </w:rPr>
            </w:pPr>
            <w:r>
              <w:rPr>
                <w:rFonts w:ascii="Times New Roman"/>
                <w:sz w:val="18"/>
              </w:rPr>
              <w:t>211,354.92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-1,526,567.31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5,276,101.38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 w:right="0"/>
              <w:jc w:val="center"/>
              <w:rPr>
                <w:rFonts w:ascii="Times New Roman" w:hAnsi="Times New Roman" w:cs="Times New Roman" w:eastAsia="Times New Roman" w:hint="default"/>
                <w:sz w:val="18"/>
                <w:szCs w:val="18"/>
              </w:rPr>
            </w:pPr>
            <w:r>
              <w:rPr>
                <w:rFonts w:ascii="Times New Roman"/>
                <w:sz w:val="18"/>
              </w:rPr>
              <w:t>601,233.67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601,233.67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453,346.80</w:t>
            </w:r>
          </w:p>
        </w:tc>
      </w:tr>
      <w:tr>
        <w:trPr>
          <w:trHeight w:val="71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久其政务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40,105,518.5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6,491,710.34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6,491,710.34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5,528,391.93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41,893,980.3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2,996,697.59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2,996,697.59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-75,763,372.8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久其智通</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617,681.26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-1,095,153.18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-1,095,153.18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center"/>
              <w:rPr>
                <w:rFonts w:ascii="Times New Roman" w:hAnsi="Times New Roman" w:cs="Times New Roman" w:eastAsia="Times New Roman" w:hint="default"/>
                <w:sz w:val="18"/>
                <w:szCs w:val="18"/>
              </w:rPr>
            </w:pPr>
            <w:r>
              <w:rPr>
                <w:rFonts w:ascii="Times New Roman"/>
                <w:sz w:val="18"/>
              </w:rPr>
              <w:t>-434,423.65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367,167.92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-3,299,314.99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-3,299,314.99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-2,943,587.89</w:t>
            </w:r>
          </w:p>
        </w:tc>
      </w:tr>
      <w:tr>
        <w:trPr>
          <w:trHeight w:val="71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left"/>
              <w:rPr>
                <w:rFonts w:ascii="宋体" w:hAnsi="宋体" w:cs="宋体" w:eastAsia="宋体" w:hint="default"/>
                <w:sz w:val="18"/>
                <w:szCs w:val="18"/>
              </w:rPr>
            </w:pPr>
            <w:r>
              <w:rPr>
                <w:rFonts w:ascii="宋体" w:hAnsi="宋体" w:cs="宋体" w:eastAsia="宋体" w:hint="default"/>
                <w:sz w:val="18"/>
                <w:szCs w:val="18"/>
              </w:rPr>
              <w:t>久其互联网 金融</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1,849,454.74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-3,717,484.95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-3,717,484.95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-10,893,887.0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5,050,120.36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0" w:right="0"/>
              <w:jc w:val="center"/>
              <w:rPr>
                <w:rFonts w:ascii="Times New Roman" w:hAnsi="Times New Roman" w:cs="Times New Roman" w:eastAsia="Times New Roman" w:hint="default"/>
                <w:sz w:val="18"/>
                <w:szCs w:val="18"/>
              </w:rPr>
            </w:pPr>
            <w:r>
              <w:rPr>
                <w:rFonts w:ascii="Times New Roman"/>
                <w:sz w:val="18"/>
              </w:rPr>
              <w:t>-90,608.75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-90,608.75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5,887,218.51</w:t>
            </w:r>
          </w:p>
        </w:tc>
      </w:tr>
      <w:tr>
        <w:trPr>
          <w:trHeight w:val="40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蜂语网络</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7,127,737.05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-5,376,753.67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-5,376,753.67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center"/>
              <w:rPr>
                <w:rFonts w:ascii="Times New Roman" w:hAnsi="Times New Roman" w:cs="Times New Roman" w:eastAsia="Times New Roman" w:hint="default"/>
                <w:sz w:val="18"/>
                <w:szCs w:val="18"/>
              </w:rPr>
            </w:pPr>
            <w:r>
              <w:rPr>
                <w:rFonts w:ascii="Times New Roman"/>
                <w:sz w:val="18"/>
              </w:rPr>
              <w:t>-469,217.05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9,288,072.77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center"/>
              <w:rPr>
                <w:rFonts w:ascii="Times New Roman" w:hAnsi="Times New Roman" w:cs="Times New Roman" w:eastAsia="Times New Roman" w:hint="default"/>
                <w:sz w:val="18"/>
                <w:szCs w:val="18"/>
              </w:rPr>
            </w:pPr>
            <w:r>
              <w:rPr>
                <w:rFonts w:ascii="Times New Roman"/>
                <w:sz w:val="18"/>
              </w:rPr>
              <w:t>-687,130.32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-687,130.32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-1,447,859.57</w:t>
            </w:r>
          </w:p>
        </w:tc>
      </w:tr>
      <w:tr>
        <w:trPr>
          <w:trHeight w:val="401"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中民颐养</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846,796.20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-655,828.31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center"/>
              <w:rPr>
                <w:rFonts w:ascii="Times New Roman" w:hAnsi="Times New Roman" w:cs="Times New Roman" w:eastAsia="Times New Roman" w:hint="default"/>
                <w:sz w:val="18"/>
                <w:szCs w:val="18"/>
              </w:rPr>
            </w:pPr>
            <w:r>
              <w:rPr>
                <w:rFonts w:ascii="Times New Roman"/>
                <w:sz w:val="18"/>
              </w:rPr>
              <w:t>-655,828.31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center"/>
              <w:rPr>
                <w:rFonts w:ascii="Times New Roman" w:hAnsi="Times New Roman" w:cs="Times New Roman" w:eastAsia="Times New Roman" w:hint="default"/>
                <w:sz w:val="18"/>
                <w:szCs w:val="18"/>
              </w:rPr>
            </w:pPr>
            <w:r>
              <w:rPr>
                <w:rFonts w:ascii="Times New Roman"/>
                <w:sz w:val="18"/>
              </w:rPr>
              <w:t>-804,635.46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1,048,300.97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 w:right="0"/>
              <w:jc w:val="center"/>
              <w:rPr>
                <w:rFonts w:ascii="Times New Roman" w:hAnsi="Times New Roman" w:cs="Times New Roman" w:eastAsia="Times New Roman" w:hint="default"/>
                <w:sz w:val="18"/>
                <w:szCs w:val="18"/>
              </w:rPr>
            </w:pPr>
            <w:r>
              <w:rPr>
                <w:rFonts w:ascii="Times New Roman"/>
                <w:sz w:val="18"/>
              </w:rPr>
              <w:t>201,199.49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201,199.49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170,474.34</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久其金建</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63,254,769.7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11,961,907.4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11,961,907.4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8,218,729.19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44,167,664.7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11,846,069.9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11,846,069.9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12,713,343.1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15"/>
        <w:jc w:val="left"/>
        <w:rPr>
          <w:b w:val="0"/>
          <w:bCs w:val="0"/>
        </w:rPr>
      </w:pPr>
      <w:bookmarkStart w:name="2、在合营安排或联营企业中的权益" w:id="346"/>
      <w:bookmarkEnd w:id="346"/>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5"/>
        <w:jc w:val="left"/>
        <w:rPr>
          <w:b w:val="0"/>
          <w:bCs w:val="0"/>
        </w:rPr>
      </w:pPr>
      <w:bookmarkStart w:name="（1）重要的合营企业或联营企业" w:id="347"/>
      <w:bookmarkEnd w:id="347"/>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7"/>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1414"/>
        <w:gridCol w:w="1534"/>
        <w:gridCol w:w="876"/>
        <w:gridCol w:w="1844"/>
        <w:gridCol w:w="994"/>
        <w:gridCol w:w="991"/>
        <w:gridCol w:w="1978"/>
      </w:tblGrid>
      <w:tr>
        <w:trPr>
          <w:trHeight w:val="403" w:hRule="exact"/>
        </w:trPr>
        <w:tc>
          <w:tcPr>
            <w:tcW w:w="14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341" w:right="70"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5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8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9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75" w:right="83" w:hanging="92"/>
              <w:jc w:val="left"/>
              <w:rPr>
                <w:rFonts w:ascii="宋体" w:hAnsi="宋体" w:cs="宋体" w:eastAsia="宋体" w:hint="default"/>
                <w:sz w:val="18"/>
                <w:szCs w:val="18"/>
              </w:rPr>
            </w:pPr>
            <w:r>
              <w:rPr>
                <w:rFonts w:ascii="宋体" w:hAnsi="宋体" w:cs="宋体" w:eastAsia="宋体" w:hint="default"/>
                <w:sz w:val="18"/>
                <w:szCs w:val="18"/>
              </w:rPr>
              <w:t>对合营企业或联营企业 投资的会计处理方法</w:t>
            </w:r>
          </w:p>
        </w:tc>
      </w:tr>
      <w:tr>
        <w:trPr>
          <w:trHeight w:val="401" w:hRule="exact"/>
        </w:trPr>
        <w:tc>
          <w:tcPr>
            <w:tcW w:w="1414" w:type="dxa"/>
            <w:vMerge/>
            <w:tcBorders>
              <w:left w:val="single" w:sz="4" w:space="0" w:color="000000"/>
              <w:bottom w:val="single" w:sz="4" w:space="0" w:color="000000"/>
              <w:right w:val="single" w:sz="4" w:space="0" w:color="000000"/>
            </w:tcBorders>
            <w:shd w:val="clear" w:color="auto" w:fill="D2D2D2"/>
          </w:tcPr>
          <w:p>
            <w:pPr/>
          </w:p>
        </w:tc>
        <w:tc>
          <w:tcPr>
            <w:tcW w:w="1534" w:type="dxa"/>
            <w:vMerge/>
            <w:tcBorders>
              <w:left w:val="single" w:sz="4" w:space="0" w:color="000000"/>
              <w:bottom w:val="single" w:sz="4" w:space="0" w:color="000000"/>
              <w:right w:val="single" w:sz="4" w:space="0" w:color="000000"/>
            </w:tcBorders>
            <w:shd w:val="clear" w:color="auto" w:fill="D2D2D2"/>
          </w:tcPr>
          <w:p>
            <w:pPr/>
          </w:p>
        </w:tc>
        <w:tc>
          <w:tcPr>
            <w:tcW w:w="876" w:type="dxa"/>
            <w:vMerge/>
            <w:tcBorders>
              <w:left w:val="single" w:sz="4" w:space="0" w:color="000000"/>
              <w:bottom w:val="single" w:sz="4" w:space="0" w:color="000000"/>
              <w:right w:val="single" w:sz="4" w:space="0" w:color="000000"/>
            </w:tcBorders>
            <w:shd w:val="clear" w:color="auto" w:fill="D2D2D2"/>
          </w:tcPr>
          <w:p>
            <w:pPr/>
          </w:p>
        </w:tc>
        <w:tc>
          <w:tcPr>
            <w:tcW w:w="1844"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97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同望科技</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珠海</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19.99%</w:t>
            </w:r>
          </w:p>
        </w:tc>
        <w:tc>
          <w:tcPr>
            <w:tcW w:w="991" w:type="dxa"/>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401"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前海数聚</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租赁和商务服务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403"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国新久其</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科学研究和技术服务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49"/>
        <w:ind w:right="1115"/>
        <w:jc w:val="left"/>
      </w:pPr>
      <w:r>
        <w:rPr/>
        <w:t>在合营企业或联营企业的持股比例不同于表决权比例的说明：无。</w:t>
      </w:r>
    </w:p>
    <w:p>
      <w:pPr>
        <w:pStyle w:val="BodyText"/>
        <w:spacing w:line="340" w:lineRule="auto" w:before="115"/>
        <w:ind w:right="3348"/>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 公司向同望科技委派董事一名，参与同望科技重大事项的决策。</w:t>
      </w:r>
    </w:p>
    <w:p>
      <w:pPr>
        <w:spacing w:line="240" w:lineRule="auto" w:before="3"/>
        <w:rPr>
          <w:rFonts w:ascii="宋体" w:hAnsi="宋体" w:cs="宋体" w:eastAsia="宋体" w:hint="default"/>
          <w:sz w:val="21"/>
          <w:szCs w:val="21"/>
        </w:rPr>
      </w:pPr>
    </w:p>
    <w:p>
      <w:pPr>
        <w:pStyle w:val="Heading3"/>
        <w:spacing w:line="240" w:lineRule="auto"/>
        <w:ind w:right="1115"/>
        <w:jc w:val="left"/>
        <w:rPr>
          <w:b w:val="0"/>
          <w:bCs w:val="0"/>
        </w:rPr>
      </w:pPr>
      <w:bookmarkStart w:name="（2）重要联营企业的主要财务信息" w:id="348"/>
      <w:bookmarkEnd w:id="348"/>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2838"/>
        <w:gridCol w:w="1236"/>
        <w:gridCol w:w="1224"/>
        <w:gridCol w:w="1133"/>
        <w:gridCol w:w="1226"/>
        <w:gridCol w:w="1225"/>
        <w:gridCol w:w="804"/>
      </w:tblGrid>
      <w:tr>
        <w:trPr>
          <w:trHeight w:val="402"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5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2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7"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9" w:right="0"/>
              <w:jc w:val="left"/>
              <w:rPr>
                <w:rFonts w:ascii="宋体" w:hAnsi="宋体" w:cs="宋体" w:eastAsia="宋体" w:hint="default"/>
                <w:sz w:val="18"/>
                <w:szCs w:val="18"/>
              </w:rPr>
            </w:pPr>
            <w:r>
              <w:rPr>
                <w:rFonts w:ascii="宋体" w:hAnsi="宋体" w:cs="宋体" w:eastAsia="宋体" w:hint="default"/>
                <w:sz w:val="18"/>
                <w:szCs w:val="18"/>
              </w:rPr>
              <w:t>同望科技</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7" w:right="0"/>
              <w:jc w:val="left"/>
              <w:rPr>
                <w:rFonts w:ascii="宋体" w:hAnsi="宋体" w:cs="宋体" w:eastAsia="宋体" w:hint="default"/>
                <w:sz w:val="18"/>
                <w:szCs w:val="18"/>
              </w:rPr>
            </w:pPr>
            <w:r>
              <w:rPr>
                <w:rFonts w:ascii="宋体" w:hAnsi="宋体" w:cs="宋体" w:eastAsia="宋体" w:hint="default"/>
                <w:sz w:val="18"/>
                <w:szCs w:val="18"/>
              </w:rPr>
              <w:t>前海数聚</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宋体" w:hAnsi="宋体" w:cs="宋体" w:eastAsia="宋体" w:hint="default"/>
                <w:sz w:val="18"/>
                <w:szCs w:val="18"/>
              </w:rPr>
              <w:t>国新久其</w:t>
            </w:r>
          </w:p>
        </w:tc>
        <w:tc>
          <w:tcPr>
            <w:tcW w:w="1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7" w:right="0"/>
              <w:jc w:val="left"/>
              <w:rPr>
                <w:rFonts w:ascii="宋体" w:hAnsi="宋体" w:cs="宋体" w:eastAsia="宋体" w:hint="default"/>
                <w:sz w:val="18"/>
                <w:szCs w:val="18"/>
              </w:rPr>
            </w:pPr>
            <w:r>
              <w:rPr>
                <w:rFonts w:ascii="宋体" w:hAnsi="宋体" w:cs="宋体" w:eastAsia="宋体" w:hint="default"/>
                <w:sz w:val="18"/>
                <w:szCs w:val="18"/>
              </w:rPr>
              <w:t>同望科技</w:t>
            </w:r>
          </w:p>
        </w:tc>
        <w:tc>
          <w:tcPr>
            <w:tcW w:w="1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7" w:right="0"/>
              <w:jc w:val="left"/>
              <w:rPr>
                <w:rFonts w:ascii="宋体" w:hAnsi="宋体" w:cs="宋体" w:eastAsia="宋体" w:hint="default"/>
                <w:sz w:val="18"/>
                <w:szCs w:val="18"/>
              </w:rPr>
            </w:pPr>
            <w:r>
              <w:rPr>
                <w:rFonts w:ascii="宋体" w:hAnsi="宋体" w:cs="宋体" w:eastAsia="宋体" w:hint="default"/>
                <w:sz w:val="18"/>
                <w:szCs w:val="18"/>
              </w:rPr>
              <w:t>前海数聚</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国新久其</w:t>
            </w:r>
          </w:p>
        </w:tc>
      </w:tr>
      <w:tr>
        <w:trPr>
          <w:trHeight w:val="401"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2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82,219,800.81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14,774,327.61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19,699,839.99</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74,922,942.96</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14,280,852.30</w:t>
            </w:r>
          </w:p>
        </w:tc>
        <w:tc>
          <w:tcPr>
            <w:tcW w:w="8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2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92,435,445.76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126,252,029.40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467,439.86</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92,808,858.01</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126,252,029.40</w:t>
            </w:r>
          </w:p>
        </w:tc>
        <w:tc>
          <w:tcPr>
            <w:tcW w:w="80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2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174,655,246.57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141,026,357.01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20,167,279.85</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167,731,800.97</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140,532,881.70</w:t>
            </w:r>
          </w:p>
        </w:tc>
        <w:tc>
          <w:tcPr>
            <w:tcW w:w="8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2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27,009,941.78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519,015.66</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24,252,900.59</w:t>
            </w:r>
          </w:p>
        </w:tc>
        <w:tc>
          <w:tcPr>
            <w:tcW w:w="1225"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2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384,615.38</w:t>
            </w:r>
          </w:p>
        </w:tc>
        <w:tc>
          <w:tcPr>
            <w:tcW w:w="122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331,034.49</w:t>
            </w:r>
          </w:p>
        </w:tc>
        <w:tc>
          <w:tcPr>
            <w:tcW w:w="1225"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2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27,394,557.16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519,015.66</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24,583,935.08</w:t>
            </w:r>
          </w:p>
        </w:tc>
        <w:tc>
          <w:tcPr>
            <w:tcW w:w="1225"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2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655,892.03</w:t>
            </w:r>
          </w:p>
        </w:tc>
        <w:tc>
          <w:tcPr>
            <w:tcW w:w="122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292,028.72</w:t>
            </w:r>
          </w:p>
        </w:tc>
        <w:tc>
          <w:tcPr>
            <w:tcW w:w="1225"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2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146,604,797.38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139,026,357.01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19,648,264.19</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142,855,837.17</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140,532,881.70</w:t>
            </w:r>
          </w:p>
        </w:tc>
        <w:tc>
          <w:tcPr>
            <w:tcW w:w="80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12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29,306,299.00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69,513,178.51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9,627,649.45</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28,556,881.85</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70,266,440.86</w:t>
            </w:r>
          </w:p>
        </w:tc>
        <w:tc>
          <w:tcPr>
            <w:tcW w:w="8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2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30,963,179.22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30,963,179.22</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80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12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60,269,478.22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69,613,178.51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9,627,649.45</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59,520,061.07</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70,366,440.86</w:t>
            </w:r>
          </w:p>
        </w:tc>
        <w:tc>
          <w:tcPr>
            <w:tcW w:w="80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102,762,131.75</w:t>
            </w:r>
          </w:p>
        </w:tc>
        <w:tc>
          <w:tcPr>
            <w:tcW w:w="122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1,132,075.44</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95,480,833.43</w:t>
            </w:r>
          </w:p>
        </w:tc>
        <w:tc>
          <w:tcPr>
            <w:tcW w:w="1225"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2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3,764,127.91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-1,506,524.69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-351,735.81</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5,378,184.08</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193,257.87</w:t>
            </w:r>
          </w:p>
        </w:tc>
        <w:tc>
          <w:tcPr>
            <w:tcW w:w="8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2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3,764,127.91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-1,506,524.69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-351,735.81</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5,378,184.08</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193,257.87</w:t>
            </w:r>
          </w:p>
        </w:tc>
        <w:tc>
          <w:tcPr>
            <w:tcW w:w="8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1236" w:type="dxa"/>
            <w:tcBorders>
              <w:top w:val="single" w:sz="4" w:space="0" w:color="000000"/>
              <w:left w:val="single" w:sz="13" w:space="0" w:color="D2D2D2"/>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1,350,090.00</w:t>
            </w:r>
          </w:p>
        </w:tc>
        <w:tc>
          <w:tcPr>
            <w:tcW w:w="1225"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1115"/>
        <w:jc w:val="left"/>
        <w:rPr>
          <w:b w:val="0"/>
          <w:bCs w:val="0"/>
        </w:rPr>
      </w:pPr>
      <w:bookmarkStart w:name="十、与金融工具相关的风险" w:id="349"/>
      <w:bookmarkEnd w:id="349"/>
      <w:r>
        <w:rPr>
          <w:b w:val="0"/>
          <w:bCs w:val="0"/>
        </w:rPr>
      </w:r>
      <w:r>
        <w:rPr/>
        <w:t>十、与金融工具相关的风险</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15"/>
        <w:jc w:val="left"/>
      </w:pPr>
      <w:r>
        <w:rPr>
          <w:spacing w:val="-2"/>
        </w:rPr>
        <w:t>本集团的主要金融工具包括货币资金、应收票据、应收账款、其他应收款、其他流动资产、交易性金融资产、其他非流动金</w:t>
      </w:r>
      <w:r>
        <w:rPr>
          <w:spacing w:val="-67"/>
        </w:rPr>
        <w:t> </w:t>
      </w:r>
      <w:r>
        <w:rPr>
          <w:spacing w:val="-67"/>
        </w:rPr>
      </w:r>
      <w:r>
        <w:rPr>
          <w:spacing w:val="-2"/>
        </w:rPr>
        <w:t>融资产、应付票据、应付账款、其他应付款、短期借款、一年内到期的非流动负债、长期借款及应付债券。各项金融工具的</w:t>
      </w:r>
    </w:p>
    <w:p>
      <w:pPr>
        <w:spacing w:after="0" w:line="316"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4"/>
        <w:ind w:right="1034"/>
        <w:jc w:val="left"/>
      </w:pPr>
      <w:r>
        <w:rPr/>
        <w:t>详细情况已于相关附注内披露。与这些金融工具有关的风险，以及本集团为降低这些风险所采取的风险管理政策如下所述。</w:t>
      </w:r>
      <w:r>
        <w:rPr>
          <w:spacing w:val="-86"/>
        </w:rPr>
        <w:t> </w:t>
      </w:r>
      <w:r>
        <w:rPr>
          <w:spacing w:val="-86"/>
        </w:rPr>
      </w:r>
      <w:r>
        <w:rPr/>
        <w:t>本集团管理层对这些风险敞口进行管理和监控以确保将上述风险控制在限定的范围之内。</w:t>
      </w:r>
    </w:p>
    <w:p>
      <w:pPr>
        <w:pStyle w:val="BodyText"/>
        <w:spacing w:line="314" w:lineRule="auto" w:before="17"/>
        <w:ind w:right="1115"/>
        <w:jc w:val="left"/>
      </w:pPr>
      <w:r>
        <w:rPr>
          <w:rFonts w:ascii="Times New Roman" w:hAnsi="Times New Roman" w:cs="Times New Roman" w:eastAsia="Times New Roman" w:hint="default"/>
          <w:b/>
          <w:bCs/>
        </w:rPr>
        <w:t>1</w:t>
      </w:r>
      <w:r>
        <w:rPr>
          <w:rFonts w:ascii="宋体" w:hAnsi="宋体" w:cs="宋体" w:eastAsia="宋体" w:hint="default"/>
          <w:b/>
          <w:bCs/>
        </w:rPr>
        <w:t>、风险管理目标和政策</w:t>
      </w:r>
      <w:r>
        <w:rPr>
          <w:rFonts w:ascii="宋体" w:hAnsi="宋体" w:cs="宋体" w:eastAsia="宋体" w:hint="default"/>
          <w:b/>
          <w:bCs/>
          <w:w w:val="99"/>
        </w:rPr>
        <w:t> </w:t>
      </w:r>
      <w:r>
        <w:rPr/>
        <w:t>本集团的金融工具导致的主要风险是信用风险、流动性风险、市场风险（包括汇率风险、利率风险和商品价格风险）。 </w:t>
      </w:r>
      <w:r>
        <w:rPr>
          <w:spacing w:val="-2"/>
        </w:rPr>
        <w:t>公司董事会全面负责风险管理目标和政策的确定，并对风险管理目标和政策承担最终责任，但是董事会已授权公司风险管理</w:t>
      </w:r>
      <w:r>
        <w:rPr>
          <w:spacing w:val="-64"/>
        </w:rPr>
        <w:t> </w:t>
      </w:r>
      <w:r>
        <w:rPr>
          <w:spacing w:val="-64"/>
        </w:rPr>
      </w:r>
      <w:r>
        <w:rPr>
          <w:spacing w:val="-2"/>
        </w:rPr>
        <w:t>部门设计和实施能确保风险管理目标和政策得以有效执行的程序。董事会通过风险管理部门主管递交的月度报告来审查已执</w:t>
      </w:r>
      <w:r>
        <w:rPr>
          <w:spacing w:val="-64"/>
        </w:rPr>
        <w:t> </w:t>
      </w:r>
      <w:r>
        <w:rPr>
          <w:spacing w:val="-64"/>
        </w:rPr>
      </w:r>
      <w:r>
        <w:rPr>
          <w:spacing w:val="-2"/>
        </w:rPr>
        <w:t>行程序的有效性以及风险管理目标和政策的合理性。公司的内部审计师也会审计风险管理的政策和程序，并且将有关发现汇</w:t>
      </w:r>
      <w:r>
        <w:rPr>
          <w:spacing w:val="-64"/>
        </w:rPr>
        <w:t> </w:t>
      </w:r>
      <w:r>
        <w:rPr>
          <w:spacing w:val="-64"/>
        </w:rPr>
      </w:r>
      <w:r>
        <w:rPr>
          <w:spacing w:val="-2"/>
        </w:rPr>
        <w:t>报给审计委员会。本集团风险管理的总体目标是在不过度影响公司竞争力和应变力的情况下，制定尽可能降低风险的风险管</w:t>
      </w:r>
      <w:r>
        <w:rPr>
          <w:spacing w:val="-64"/>
        </w:rPr>
        <w:t> </w:t>
      </w:r>
      <w:r>
        <w:rPr>
          <w:spacing w:val="-64"/>
        </w:rPr>
      </w:r>
      <w:r>
        <w:rPr/>
        <w:t>理政策。</w:t>
      </w:r>
    </w:p>
    <w:p>
      <w:pPr>
        <w:pStyle w:val="BodyText"/>
        <w:spacing w:line="300" w:lineRule="auto" w:before="20"/>
        <w:ind w:right="4454"/>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）信用风险</w:t>
      </w:r>
      <w:r>
        <w:rPr>
          <w:rFonts w:ascii="宋体" w:hAnsi="宋体" w:cs="宋体" w:eastAsia="宋体" w:hint="default"/>
          <w:b/>
          <w:bCs/>
          <w:w w:val="99"/>
        </w:rPr>
        <w:t> </w:t>
      </w:r>
      <w:r>
        <w:rPr/>
        <w:t>信用风险，是指交易对手未能履行合同义务而导致本集团产生财务损失的风险。</w:t>
      </w:r>
    </w:p>
    <w:p>
      <w:pPr>
        <w:pStyle w:val="BodyText"/>
        <w:spacing w:line="314" w:lineRule="auto" w:before="31"/>
        <w:ind w:right="1115"/>
        <w:jc w:val="left"/>
      </w:pPr>
      <w:r>
        <w:rPr>
          <w:spacing w:val="-5"/>
        </w:rPr>
        <w:t>本集团对信用风险按组合分类进行管理。信用风险主要产生于银行存款、应收票据、应收账款、应收保理款及其他应收款等。</w:t>
      </w:r>
      <w:r>
        <w:rPr>
          <w:spacing w:val="-78"/>
        </w:rPr>
        <w:t> </w:t>
      </w:r>
      <w:r>
        <w:rPr>
          <w:spacing w:val="-78"/>
        </w:rPr>
      </w:r>
      <w:r>
        <w:rPr/>
        <w:t>本集团银行存款主要存放于国有银行和其它大中型上市银行，本集团预期银行存款不存在重大的信用风险。 </w:t>
      </w:r>
      <w:r>
        <w:rPr>
          <w:spacing w:val="-2"/>
        </w:rPr>
        <w:t>对于应收票据、应收账款、应收保理款及其他应收款，本集团设定相关政策以控制信用风险敞口。本集团主要面临赊销导致</w:t>
      </w:r>
      <w:r>
        <w:rPr>
          <w:spacing w:val="-64"/>
        </w:rPr>
        <w:t> </w:t>
      </w:r>
      <w:r>
        <w:rPr>
          <w:spacing w:val="-64"/>
        </w:rPr>
      </w:r>
      <w:r>
        <w:rPr>
          <w:spacing w:val="-2"/>
        </w:rPr>
        <w:t>的客户信用风险。在签订新合同之前，本集团会对新客户的信用风险进行评估，包括外部信用评级和在某些情况下的银行资</w:t>
      </w:r>
      <w:r>
        <w:rPr>
          <w:spacing w:val="-63"/>
        </w:rPr>
        <w:t> </w:t>
      </w:r>
      <w:r>
        <w:rPr>
          <w:spacing w:val="-63"/>
        </w:rPr>
      </w:r>
      <w:r>
        <w:rPr/>
        <w:t>信证明（当此信息可获取时）。本集团对每一客户均设置了赊销限额，该限额为无需获得额外批准的最大额度。 本集团通过对已有客户信用评级的季度监控以及应收账款账龄分析的月度审核来确保本集团的整体信用风险在可控的范围 </w:t>
      </w:r>
      <w:r>
        <w:rPr>
          <w:spacing w:val="-2"/>
        </w:rPr>
        <w:t>内。在监控客户的信用风险时，按照客户的信用特征对其分组。被评为</w:t>
      </w:r>
      <w:r>
        <w:rPr>
          <w:rFonts w:ascii="Times New Roman" w:hAnsi="Times New Roman" w:cs="Times New Roman" w:eastAsia="Times New Roman" w:hint="default"/>
          <w:spacing w:val="-2"/>
        </w:rPr>
        <w:t>“</w:t>
      </w:r>
      <w:r>
        <w:rPr>
          <w:spacing w:val="-2"/>
        </w:rPr>
        <w:t>高风险</w:t>
      </w:r>
      <w:r>
        <w:rPr>
          <w:rFonts w:ascii="Times New Roman" w:hAnsi="Times New Roman" w:cs="Times New Roman" w:eastAsia="Times New Roman" w:hint="default"/>
          <w:spacing w:val="-2"/>
        </w:rPr>
        <w:t>”</w:t>
      </w:r>
      <w:r>
        <w:rPr>
          <w:spacing w:val="-2"/>
        </w:rPr>
        <w:t>级别的客户会放在受限制客户名单里，并且</w:t>
      </w:r>
      <w:r>
        <w:rPr>
          <w:spacing w:val="-41"/>
        </w:rPr>
        <w:t> </w:t>
      </w:r>
      <w:r>
        <w:rPr>
          <w:spacing w:val="-41"/>
        </w:rPr>
      </w:r>
      <w:r>
        <w:rPr/>
        <w:t>只有在额外批准的前提下，本集团才可在未来期间内对其赊销，否则必须要求其提前支付相应款项。 </w:t>
      </w:r>
      <w:r>
        <w:rPr>
          <w:spacing w:val="-2"/>
        </w:rPr>
        <w:t>本集团所承受的最大信用风险敞口为资产负债表中每项金融资产的账面金额。本集团没有提供任何其他可能令本集团承受信</w:t>
      </w:r>
      <w:r>
        <w:rPr>
          <w:spacing w:val="-64"/>
        </w:rPr>
        <w:t> </w:t>
      </w:r>
      <w:r>
        <w:rPr>
          <w:spacing w:val="-64"/>
        </w:rPr>
      </w:r>
      <w:r>
        <w:rPr/>
        <w:t>用风险的担保。 本集团应收账款中，前五大客户的应收账款占本集团应收账款总额的</w:t>
      </w:r>
      <w:r>
        <w:rPr>
          <w:rFonts w:ascii="Times New Roman" w:hAnsi="Times New Roman" w:cs="Times New Roman" w:eastAsia="Times New Roman" w:hint="default"/>
        </w:rPr>
        <w:t>18.70%</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21.59%</w:t>
      </w:r>
      <w:r>
        <w:rPr/>
        <w:t>）；本集团其他应收款中， 欠款金额前五大公司的其他应收款占本集团其他应收款总额的</w:t>
      </w:r>
      <w:r>
        <w:rPr>
          <w:rFonts w:ascii="Times New Roman" w:hAnsi="Times New Roman" w:cs="Times New Roman" w:eastAsia="Times New Roman" w:hint="default"/>
        </w:rPr>
        <w:t>17.49%</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24.98%</w:t>
      </w:r>
      <w:r>
        <w:rPr/>
        <w:t>）。</w:t>
      </w:r>
    </w:p>
    <w:p>
      <w:pPr>
        <w:pStyle w:val="BodyText"/>
        <w:spacing w:line="300" w:lineRule="auto" w:before="1"/>
        <w:ind w:right="3194"/>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）流动性风险</w:t>
      </w:r>
      <w:r>
        <w:rPr>
          <w:rFonts w:ascii="宋体" w:hAnsi="宋体" w:cs="宋体" w:eastAsia="宋体" w:hint="default"/>
          <w:b/>
          <w:bCs/>
          <w:w w:val="99"/>
        </w:rPr>
        <w:t> </w:t>
      </w:r>
      <w:r>
        <w:rPr/>
        <w:t>流动性风险，是指本集团在履行以交付现金或其他金融资产结算的义务时遇到资金短缺的风险。</w:t>
      </w:r>
    </w:p>
    <w:p>
      <w:pPr>
        <w:pStyle w:val="BodyText"/>
        <w:spacing w:line="314" w:lineRule="auto" w:before="31"/>
        <w:ind w:right="1115"/>
        <w:jc w:val="left"/>
      </w:pPr>
      <w:r>
        <w:rPr>
          <w:spacing w:val="-2"/>
        </w:rPr>
        <w:t>管理流动风险时，本集团保持管理层认为充分的现金及现金等价物并对其进行监控，以满足本集团经营需要，并降低现金流</w:t>
      </w:r>
      <w:r>
        <w:rPr>
          <w:spacing w:val="-63"/>
        </w:rPr>
        <w:t> </w:t>
      </w:r>
      <w:r>
        <w:rPr>
          <w:spacing w:val="-63"/>
        </w:rPr>
      </w:r>
      <w:r>
        <w:rPr>
          <w:spacing w:val="-2"/>
        </w:rPr>
        <w:t>量波动的影响。本集团管理层对银行借款的使用情况进行监控并确保遵守借款协议。同时从主要金融机构获得提供足够备用</w:t>
      </w:r>
      <w:r>
        <w:rPr>
          <w:spacing w:val="-63"/>
        </w:rPr>
        <w:t> </w:t>
      </w:r>
      <w:r>
        <w:rPr>
          <w:spacing w:val="-63"/>
        </w:rPr>
      </w:r>
      <w:r>
        <w:rPr/>
        <w:t>资金的承诺，以满足短期和长期的资金需求。 </w:t>
      </w:r>
      <w:r>
        <w:rPr>
          <w:spacing w:val="-2"/>
        </w:rPr>
        <w:t>本集团通过经营业务产生的资金及银行及其他借款来筹措运营资金。于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日，本集团尚可使用的银行借款额度为</w:t>
      </w:r>
      <w:r>
        <w:rPr>
          <w:spacing w:val="-59"/>
        </w:rPr>
        <w:t> </w:t>
      </w:r>
      <w:r>
        <w:rPr>
          <w:spacing w:val="-59"/>
        </w:rPr>
      </w:r>
      <w:r>
        <w:rPr>
          <w:rFonts w:ascii="Times New Roman" w:hAnsi="Times New Roman" w:cs="Times New Roman" w:eastAsia="Times New Roman" w:hint="default"/>
        </w:rPr>
        <w:t>13,000.00</w:t>
      </w:r>
      <w:r>
        <w:rPr/>
        <w:t>万元（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日为</w:t>
      </w:r>
      <w:r>
        <w:rPr>
          <w:rFonts w:ascii="Times New Roman" w:hAnsi="Times New Roman" w:cs="Times New Roman" w:eastAsia="Times New Roman" w:hint="default"/>
        </w:rPr>
        <w:t>32,717.97</w:t>
      </w:r>
      <w:r>
        <w:rPr/>
        <w:t>万元）。</w:t>
      </w:r>
    </w:p>
    <w:p>
      <w:pPr>
        <w:pStyle w:val="BodyText"/>
        <w:spacing w:line="240" w:lineRule="auto" w:before="1"/>
        <w:ind w:right="1115"/>
        <w:jc w:val="left"/>
      </w:pPr>
      <w:r>
        <w:rPr/>
        <w:t>报告期末，本集团持有的金融资产与金融负债按未折现剩余合同现金流量的到期期限分析如下：</w:t>
      </w:r>
    </w:p>
    <w:p>
      <w:pPr>
        <w:pStyle w:val="BodyText"/>
        <w:spacing w:line="240" w:lineRule="auto" w:before="76"/>
        <w:ind w:left="0" w:right="1131"/>
        <w:jc w:val="right"/>
      </w:pPr>
      <w:r>
        <w:rPr/>
        <w:t>单位：人民币万元</w:t>
      </w:r>
    </w:p>
    <w:p>
      <w:pPr>
        <w:spacing w:line="240" w:lineRule="auto" w:before="3"/>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2600"/>
        <w:gridCol w:w="1649"/>
        <w:gridCol w:w="1244"/>
        <w:gridCol w:w="1471"/>
        <w:gridCol w:w="1282"/>
        <w:gridCol w:w="1414"/>
      </w:tblGrid>
      <w:tr>
        <w:trPr>
          <w:trHeight w:val="341" w:hRule="exact"/>
        </w:trPr>
        <w:tc>
          <w:tcPr>
            <w:tcW w:w="260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060"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3" w:hRule="exact"/>
        </w:trPr>
        <w:tc>
          <w:tcPr>
            <w:tcW w:w="2600" w:type="dxa"/>
            <w:vMerge/>
            <w:tcBorders>
              <w:left w:val="single" w:sz="4" w:space="0" w:color="000000"/>
              <w:bottom w:val="single" w:sz="4" w:space="0" w:color="000000"/>
              <w:right w:val="single" w:sz="4" w:space="0" w:color="000000"/>
            </w:tcBorders>
            <w:shd w:val="clear" w:color="auto" w:fill="D9D9D9"/>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59"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2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56" w:right="0"/>
              <w:jc w:val="left"/>
              <w:rPr>
                <w:rFonts w:ascii="宋体" w:hAnsi="宋体" w:cs="宋体" w:eastAsia="宋体" w:hint="default"/>
                <w:sz w:val="18"/>
                <w:szCs w:val="18"/>
              </w:rPr>
            </w:pPr>
            <w:r>
              <w:rPr>
                <w:rFonts w:ascii="宋体" w:hAnsi="宋体" w:cs="宋体" w:eastAsia="宋体" w:hint="default"/>
                <w:sz w:val="18"/>
                <w:szCs w:val="18"/>
              </w:rPr>
              <w:t>一至两年</w:t>
            </w:r>
          </w:p>
        </w:tc>
        <w:tc>
          <w:tcPr>
            <w:tcW w:w="14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369" w:right="0"/>
              <w:jc w:val="left"/>
              <w:rPr>
                <w:rFonts w:ascii="宋体" w:hAnsi="宋体" w:cs="宋体" w:eastAsia="宋体" w:hint="default"/>
                <w:sz w:val="18"/>
                <w:szCs w:val="18"/>
              </w:rPr>
            </w:pPr>
            <w:r>
              <w:rPr>
                <w:rFonts w:ascii="宋体" w:hAnsi="宋体" w:cs="宋体" w:eastAsia="宋体" w:hint="default"/>
                <w:sz w:val="18"/>
                <w:szCs w:val="18"/>
              </w:rPr>
              <w:t>两至三年</w:t>
            </w:r>
          </w:p>
        </w:tc>
        <w:tc>
          <w:tcPr>
            <w:tcW w:w="12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75"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4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36" w:hRule="exact"/>
        </w:trPr>
        <w:tc>
          <w:tcPr>
            <w:tcW w:w="9660" w:type="dxa"/>
            <w:gridSpan w:val="6"/>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349"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16"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
              <w:jc w:val="right"/>
              <w:rPr>
                <w:rFonts w:ascii="Times New Roman" w:hAnsi="Times New Roman" w:cs="Times New Roman" w:eastAsia="Times New Roman" w:hint="default"/>
                <w:sz w:val="18"/>
                <w:szCs w:val="18"/>
              </w:rPr>
            </w:pPr>
            <w:r>
              <w:rPr>
                <w:rFonts w:ascii="Times New Roman"/>
                <w:spacing w:val="-1"/>
                <w:sz w:val="18"/>
              </w:rPr>
              <w:t>74,861.35</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
              <w:jc w:val="right"/>
              <w:rPr>
                <w:rFonts w:ascii="Times New Roman" w:hAnsi="Times New Roman" w:cs="Times New Roman" w:eastAsia="Times New Roman" w:hint="default"/>
                <w:sz w:val="18"/>
                <w:szCs w:val="18"/>
              </w:rPr>
            </w:pPr>
            <w:r>
              <w:rPr>
                <w:rFonts w:ascii="Times New Roman"/>
                <w:spacing w:val="-1"/>
                <w:sz w:val="18"/>
              </w:rPr>
              <w:t>74,861.35</w:t>
            </w:r>
          </w:p>
        </w:tc>
      </w:tr>
      <w:tr>
        <w:trPr>
          <w:trHeight w:val="34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16"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20,700.00</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20,700.00</w:t>
            </w:r>
          </w:p>
        </w:tc>
      </w:tr>
      <w:tr>
        <w:trPr>
          <w:trHeight w:val="34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6"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466.55</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466.55</w:t>
            </w:r>
          </w:p>
        </w:tc>
      </w:tr>
      <w:tr>
        <w:trPr>
          <w:trHeight w:val="34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1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63,976.72</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63,976.72</w:t>
            </w:r>
          </w:p>
        </w:tc>
      </w:tr>
      <w:tr>
        <w:trPr>
          <w:trHeight w:val="34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6" w:right="0"/>
              <w:jc w:val="left"/>
              <w:rPr>
                <w:rFonts w:ascii="宋体" w:hAnsi="宋体" w:cs="宋体" w:eastAsia="宋体" w:hint="default"/>
                <w:sz w:val="18"/>
                <w:szCs w:val="18"/>
              </w:rPr>
            </w:pPr>
            <w:r>
              <w:rPr>
                <w:rFonts w:ascii="宋体" w:hAnsi="宋体" w:cs="宋体" w:eastAsia="宋体" w:hint="default"/>
                <w:sz w:val="18"/>
                <w:szCs w:val="18"/>
              </w:rPr>
              <w:t>应收保理款</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6,133.98</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6,133.98</w:t>
            </w:r>
          </w:p>
        </w:tc>
      </w:tr>
      <w:tr>
        <w:trPr>
          <w:trHeight w:val="34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1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6,803.67</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6,803.67</w:t>
            </w:r>
          </w:p>
        </w:tc>
      </w:tr>
      <w:tr>
        <w:trPr>
          <w:trHeight w:val="34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金融资产合计</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172,942.27</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172,942.27</w:t>
            </w:r>
          </w:p>
        </w:tc>
      </w:tr>
      <w:tr>
        <w:trPr>
          <w:trHeight w:val="337" w:hRule="exact"/>
        </w:trPr>
        <w:tc>
          <w:tcPr>
            <w:tcW w:w="9660" w:type="dxa"/>
            <w:gridSpan w:val="6"/>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金融负债：</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2600"/>
        <w:gridCol w:w="1649"/>
        <w:gridCol w:w="1244"/>
        <w:gridCol w:w="1471"/>
        <w:gridCol w:w="1282"/>
        <w:gridCol w:w="1414"/>
      </w:tblGrid>
      <w:tr>
        <w:trPr>
          <w:trHeight w:val="344" w:hRule="exact"/>
        </w:trPr>
        <w:tc>
          <w:tcPr>
            <w:tcW w:w="260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060"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1" w:hRule="exact"/>
        </w:trPr>
        <w:tc>
          <w:tcPr>
            <w:tcW w:w="2600" w:type="dxa"/>
            <w:vMerge/>
            <w:tcBorders>
              <w:left w:val="single" w:sz="4" w:space="0" w:color="000000"/>
              <w:bottom w:val="single" w:sz="4" w:space="0" w:color="000000"/>
              <w:right w:val="single" w:sz="4" w:space="0" w:color="000000"/>
            </w:tcBorders>
            <w:shd w:val="clear" w:color="auto" w:fill="D9D9D9"/>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459"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2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256" w:right="0"/>
              <w:jc w:val="left"/>
              <w:rPr>
                <w:rFonts w:ascii="宋体" w:hAnsi="宋体" w:cs="宋体" w:eastAsia="宋体" w:hint="default"/>
                <w:sz w:val="18"/>
                <w:szCs w:val="18"/>
              </w:rPr>
            </w:pPr>
            <w:r>
              <w:rPr>
                <w:rFonts w:ascii="宋体" w:hAnsi="宋体" w:cs="宋体" w:eastAsia="宋体" w:hint="default"/>
                <w:sz w:val="18"/>
                <w:szCs w:val="18"/>
              </w:rPr>
              <w:t>一至两年</w:t>
            </w:r>
          </w:p>
        </w:tc>
        <w:tc>
          <w:tcPr>
            <w:tcW w:w="14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369" w:right="0"/>
              <w:jc w:val="left"/>
              <w:rPr>
                <w:rFonts w:ascii="宋体" w:hAnsi="宋体" w:cs="宋体" w:eastAsia="宋体" w:hint="default"/>
                <w:sz w:val="18"/>
                <w:szCs w:val="18"/>
              </w:rPr>
            </w:pPr>
            <w:r>
              <w:rPr>
                <w:rFonts w:ascii="宋体" w:hAnsi="宋体" w:cs="宋体" w:eastAsia="宋体" w:hint="default"/>
                <w:sz w:val="18"/>
                <w:szCs w:val="18"/>
              </w:rPr>
              <w:t>两至三年</w:t>
            </w:r>
          </w:p>
        </w:tc>
        <w:tc>
          <w:tcPr>
            <w:tcW w:w="12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275"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4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16"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5,000.00</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5,000.00</w:t>
            </w:r>
          </w:p>
        </w:tc>
      </w:tr>
      <w:tr>
        <w:trPr>
          <w:trHeight w:val="34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1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34,078.23</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34,078.23</w:t>
            </w:r>
          </w:p>
        </w:tc>
      </w:tr>
      <w:tr>
        <w:trPr>
          <w:trHeight w:val="34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1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28,737.26</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28,737.26</w:t>
            </w:r>
          </w:p>
        </w:tc>
      </w:tr>
      <w:tr>
        <w:trPr>
          <w:trHeight w:val="34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16"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449.88</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449.88</w:t>
            </w:r>
          </w:p>
        </w:tc>
      </w:tr>
      <w:tr>
        <w:trPr>
          <w:trHeight w:val="34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00"/>
              <w:jc w:val="right"/>
              <w:rPr>
                <w:rFonts w:ascii="宋体" w:hAnsi="宋体" w:cs="宋体" w:eastAsia="宋体" w:hint="default"/>
                <w:sz w:val="18"/>
                <w:szCs w:val="18"/>
              </w:rPr>
            </w:pPr>
            <w:r>
              <w:rPr>
                <w:rFonts w:ascii="宋体" w:hAnsi="宋体" w:cs="宋体" w:eastAsia="宋体" w:hint="default"/>
                <w:sz w:val="18"/>
                <w:szCs w:val="18"/>
              </w:rPr>
              <w:t>长期借款（含</w:t>
            </w:r>
            <w:r>
              <w:rPr>
                <w:rFonts w:ascii="Times New Roman" w:hAnsi="Times New Roman" w:cs="Times New Roman" w:eastAsia="Times New Roman" w:hint="default"/>
                <w:sz w:val="18"/>
                <w:szCs w:val="18"/>
              </w:rPr>
              <w:t>1</w:t>
            </w:r>
            <w:r>
              <w:rPr>
                <w:rFonts w:ascii="宋体" w:hAnsi="宋体" w:cs="宋体" w:eastAsia="宋体" w:hint="default"/>
                <w:sz w:val="18"/>
                <w:szCs w:val="18"/>
              </w:rPr>
              <w:t>年内到期）</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6,104.00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10,948.00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10,948.00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28,000.00</w:t>
            </w:r>
          </w:p>
        </w:tc>
      </w:tr>
      <w:tr>
        <w:trPr>
          <w:trHeight w:val="34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00"/>
              <w:jc w:val="right"/>
              <w:rPr>
                <w:rFonts w:ascii="宋体" w:hAnsi="宋体" w:cs="宋体" w:eastAsia="宋体" w:hint="default"/>
                <w:sz w:val="18"/>
                <w:szCs w:val="18"/>
              </w:rPr>
            </w:pPr>
            <w:r>
              <w:rPr>
                <w:rFonts w:ascii="宋体" w:hAnsi="宋体" w:cs="宋体" w:eastAsia="宋体" w:hint="default"/>
                <w:sz w:val="18"/>
                <w:szCs w:val="18"/>
              </w:rPr>
              <w:t>应付债券（含</w:t>
            </w:r>
            <w:r>
              <w:rPr>
                <w:rFonts w:ascii="Times New Roman" w:hAnsi="Times New Roman" w:cs="Times New Roman" w:eastAsia="Times New Roman" w:hint="default"/>
                <w:sz w:val="18"/>
                <w:szCs w:val="18"/>
              </w:rPr>
              <w:t>1</w:t>
            </w:r>
            <w:r>
              <w:rPr>
                <w:rFonts w:ascii="宋体" w:hAnsi="宋体" w:cs="宋体" w:eastAsia="宋体" w:hint="default"/>
                <w:sz w:val="18"/>
                <w:szCs w:val="18"/>
              </w:rPr>
              <w:t>年内到期）</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77,958.77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77,958.77</w:t>
            </w:r>
          </w:p>
        </w:tc>
      </w:tr>
      <w:tr>
        <w:trPr>
          <w:trHeight w:val="34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金融负债和或有负债合计</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68,265.38</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6,104.00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10,948.00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88,906.77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174,224.15</w:t>
            </w:r>
          </w:p>
        </w:tc>
      </w:tr>
    </w:tbl>
    <w:p>
      <w:pPr>
        <w:pStyle w:val="BodyText"/>
        <w:spacing w:line="240" w:lineRule="auto" w:before="8"/>
        <w:ind w:right="1115"/>
        <w:jc w:val="left"/>
      </w:pPr>
      <w:r>
        <w:rPr/>
        <w:t>报告期初，本集团持有的金融资产及金融负债按未折现剩余合同现金流量的到期期限分析如下：</w:t>
      </w:r>
    </w:p>
    <w:p>
      <w:pPr>
        <w:pStyle w:val="BodyText"/>
        <w:spacing w:line="240" w:lineRule="auto" w:before="76"/>
        <w:ind w:left="0" w:right="1131"/>
        <w:jc w:val="right"/>
      </w:pPr>
      <w:r>
        <w:rPr/>
        <w:t>单位：人民币万元</w:t>
      </w:r>
    </w:p>
    <w:p>
      <w:pPr>
        <w:spacing w:line="240" w:lineRule="auto" w:before="3"/>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2556"/>
        <w:gridCol w:w="1705"/>
        <w:gridCol w:w="1280"/>
        <w:gridCol w:w="1282"/>
        <w:gridCol w:w="1421"/>
        <w:gridCol w:w="1416"/>
      </w:tblGrid>
      <w:tr>
        <w:trPr>
          <w:trHeight w:val="341" w:hRule="exact"/>
        </w:trPr>
        <w:tc>
          <w:tcPr>
            <w:tcW w:w="255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103"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3" w:hRule="exact"/>
        </w:trPr>
        <w:tc>
          <w:tcPr>
            <w:tcW w:w="2556" w:type="dxa"/>
            <w:vMerge/>
            <w:tcBorders>
              <w:left w:val="single" w:sz="4" w:space="0" w:color="000000"/>
              <w:bottom w:val="single" w:sz="4" w:space="0" w:color="000000"/>
              <w:right w:val="single" w:sz="4" w:space="0" w:color="000000"/>
            </w:tcBorders>
            <w:shd w:val="clear" w:color="auto" w:fill="D9D9D9"/>
          </w:tcPr>
          <w:p>
            <w:pPr/>
          </w:p>
        </w:tc>
        <w:tc>
          <w:tcPr>
            <w:tcW w:w="17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90"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2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73" w:right="0"/>
              <w:jc w:val="left"/>
              <w:rPr>
                <w:rFonts w:ascii="宋体" w:hAnsi="宋体" w:cs="宋体" w:eastAsia="宋体" w:hint="default"/>
                <w:sz w:val="18"/>
                <w:szCs w:val="18"/>
              </w:rPr>
            </w:pPr>
            <w:r>
              <w:rPr>
                <w:rFonts w:ascii="宋体" w:hAnsi="宋体" w:cs="宋体" w:eastAsia="宋体" w:hint="default"/>
                <w:sz w:val="18"/>
                <w:szCs w:val="18"/>
              </w:rPr>
              <w:t>一至两年</w:t>
            </w:r>
          </w:p>
        </w:tc>
        <w:tc>
          <w:tcPr>
            <w:tcW w:w="12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73" w:right="0"/>
              <w:jc w:val="left"/>
              <w:rPr>
                <w:rFonts w:ascii="宋体" w:hAnsi="宋体" w:cs="宋体" w:eastAsia="宋体" w:hint="default"/>
                <w:sz w:val="18"/>
                <w:szCs w:val="18"/>
              </w:rPr>
            </w:pPr>
            <w:r>
              <w:rPr>
                <w:rFonts w:ascii="宋体" w:hAnsi="宋体" w:cs="宋体" w:eastAsia="宋体" w:hint="default"/>
                <w:sz w:val="18"/>
                <w:szCs w:val="18"/>
              </w:rPr>
              <w:t>两至三年</w:t>
            </w:r>
          </w:p>
        </w:tc>
        <w:tc>
          <w:tcPr>
            <w:tcW w:w="14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345"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4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1" w:hRule="exact"/>
        </w:trPr>
        <w:tc>
          <w:tcPr>
            <w:tcW w:w="9660" w:type="dxa"/>
            <w:gridSpan w:val="6"/>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343"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6"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79,391.73</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79,391.73</w:t>
            </w:r>
          </w:p>
        </w:tc>
      </w:tr>
      <w:tr>
        <w:trPr>
          <w:trHeight w:val="341"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16"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1,192.80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1,192.80</w:t>
            </w:r>
          </w:p>
        </w:tc>
      </w:tr>
      <w:tr>
        <w:trPr>
          <w:trHeight w:val="343"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51,759.08</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51,759.08</w:t>
            </w:r>
          </w:p>
        </w:tc>
      </w:tr>
      <w:tr>
        <w:trPr>
          <w:trHeight w:val="341"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16" w:right="0"/>
              <w:jc w:val="left"/>
              <w:rPr>
                <w:rFonts w:ascii="宋体" w:hAnsi="宋体" w:cs="宋体" w:eastAsia="宋体" w:hint="default"/>
                <w:sz w:val="18"/>
                <w:szCs w:val="18"/>
              </w:rPr>
            </w:pPr>
            <w:r>
              <w:rPr>
                <w:rFonts w:ascii="宋体" w:hAnsi="宋体" w:cs="宋体" w:eastAsia="宋体" w:hint="default"/>
                <w:sz w:val="18"/>
                <w:szCs w:val="18"/>
              </w:rPr>
              <w:t>应收保理款</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13,012.53</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13,012.53</w:t>
            </w:r>
          </w:p>
        </w:tc>
      </w:tr>
      <w:tr>
        <w:trPr>
          <w:trHeight w:val="343"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7,915.27</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7,915.27</w:t>
            </w:r>
          </w:p>
        </w:tc>
      </w:tr>
      <w:tr>
        <w:trPr>
          <w:trHeight w:val="341"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16"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43,700.00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43,700.00</w:t>
            </w:r>
          </w:p>
        </w:tc>
      </w:tr>
      <w:tr>
        <w:trPr>
          <w:trHeight w:val="343"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金融资产合计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196,971.42</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196,971.42</w:t>
            </w:r>
          </w:p>
        </w:tc>
      </w:tr>
      <w:tr>
        <w:trPr>
          <w:trHeight w:val="341" w:hRule="exact"/>
        </w:trPr>
        <w:tc>
          <w:tcPr>
            <w:tcW w:w="9660" w:type="dxa"/>
            <w:gridSpan w:val="6"/>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金融负债：</w:t>
            </w:r>
          </w:p>
        </w:tc>
      </w:tr>
      <w:tr>
        <w:trPr>
          <w:trHeight w:val="343"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6"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13,482.03</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13,482.03</w:t>
            </w:r>
          </w:p>
        </w:tc>
      </w:tr>
      <w:tr>
        <w:trPr>
          <w:trHeight w:val="341"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16"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20.00</w:t>
            </w:r>
          </w:p>
        </w:tc>
      </w:tr>
      <w:tr>
        <w:trPr>
          <w:trHeight w:val="343"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18,361.10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18,361.10</w:t>
            </w:r>
          </w:p>
        </w:tc>
      </w:tr>
      <w:tr>
        <w:trPr>
          <w:trHeight w:val="341"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1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62,682.97</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62,682.97</w:t>
            </w:r>
          </w:p>
        </w:tc>
      </w:tr>
      <w:tr>
        <w:trPr>
          <w:trHeight w:val="343"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57"/>
              <w:jc w:val="right"/>
              <w:rPr>
                <w:rFonts w:ascii="宋体" w:hAnsi="宋体" w:cs="宋体" w:eastAsia="宋体" w:hint="default"/>
                <w:sz w:val="18"/>
                <w:szCs w:val="18"/>
              </w:rPr>
            </w:pPr>
            <w:r>
              <w:rPr>
                <w:rFonts w:ascii="宋体" w:hAnsi="宋体" w:cs="宋体" w:eastAsia="宋体" w:hint="default"/>
                <w:sz w:val="18"/>
                <w:szCs w:val="18"/>
              </w:rPr>
              <w:t>长期借款（含</w:t>
            </w:r>
            <w:r>
              <w:rPr>
                <w:rFonts w:ascii="Times New Roman" w:hAnsi="Times New Roman" w:cs="Times New Roman" w:eastAsia="Times New Roman" w:hint="default"/>
                <w:sz w:val="18"/>
                <w:szCs w:val="18"/>
              </w:rPr>
              <w:t>1</w:t>
            </w:r>
            <w:r>
              <w:rPr>
                <w:rFonts w:ascii="宋体" w:hAnsi="宋体" w:cs="宋体" w:eastAsia="宋体" w:hint="default"/>
                <w:sz w:val="18"/>
                <w:szCs w:val="18"/>
              </w:rPr>
              <w:t>年内到期）</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4,638.00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w w:val="95"/>
                <w:sz w:val="18"/>
              </w:rPr>
              <w:t>6,854.00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13,708.00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25,200.00</w:t>
            </w:r>
          </w:p>
        </w:tc>
      </w:tr>
      <w:tr>
        <w:trPr>
          <w:trHeight w:val="341"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57"/>
              <w:jc w:val="right"/>
              <w:rPr>
                <w:rFonts w:ascii="宋体" w:hAnsi="宋体" w:cs="宋体" w:eastAsia="宋体" w:hint="default"/>
                <w:sz w:val="18"/>
                <w:szCs w:val="18"/>
              </w:rPr>
            </w:pPr>
            <w:r>
              <w:rPr>
                <w:rFonts w:ascii="宋体" w:hAnsi="宋体" w:cs="宋体" w:eastAsia="宋体" w:hint="default"/>
                <w:sz w:val="18"/>
                <w:szCs w:val="18"/>
              </w:rPr>
              <w:t>应付债券（含</w:t>
            </w:r>
            <w:r>
              <w:rPr>
                <w:rFonts w:ascii="Times New Roman" w:hAnsi="Times New Roman" w:cs="Times New Roman" w:eastAsia="Times New Roman" w:hint="default"/>
                <w:sz w:val="18"/>
                <w:szCs w:val="18"/>
              </w:rPr>
              <w:t>1</w:t>
            </w:r>
            <w:r>
              <w:rPr>
                <w:rFonts w:ascii="宋体" w:hAnsi="宋体" w:cs="宋体" w:eastAsia="宋体" w:hint="default"/>
                <w:sz w:val="18"/>
                <w:szCs w:val="18"/>
              </w:rPr>
              <w:t>年内到期）</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77,986.72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77,986.72</w:t>
            </w:r>
          </w:p>
        </w:tc>
      </w:tr>
      <w:tr>
        <w:trPr>
          <w:trHeight w:val="343"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金融负债和或有负债合计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94,546.10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4,638.00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w w:val="95"/>
                <w:sz w:val="18"/>
              </w:rPr>
              <w:t>6,854.00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91,694.72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197,732.82</w:t>
            </w:r>
          </w:p>
        </w:tc>
      </w:tr>
    </w:tbl>
    <w:p>
      <w:pPr>
        <w:pStyle w:val="BodyText"/>
        <w:spacing w:line="240" w:lineRule="auto" w:before="8"/>
        <w:ind w:right="1115"/>
        <w:jc w:val="left"/>
      </w:pPr>
      <w:r>
        <w:rPr/>
        <w:t>上表中披露的金融负债金额为未经折现的合同现金流量，因而可能与资产负债表中的账面金额有所不同。</w:t>
      </w:r>
    </w:p>
    <w:p>
      <w:pPr>
        <w:pStyle w:val="BodyText"/>
        <w:spacing w:line="309" w:lineRule="auto" w:before="76"/>
        <w:ind w:right="1115"/>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）市场风险</w:t>
      </w:r>
      <w:r>
        <w:rPr>
          <w:rFonts w:ascii="宋体" w:hAnsi="宋体" w:cs="宋体" w:eastAsia="宋体" w:hint="default"/>
          <w:b/>
          <w:bCs/>
          <w:w w:val="99"/>
        </w:rPr>
        <w:t> </w:t>
      </w:r>
      <w:r>
        <w:rPr>
          <w:spacing w:val="-2"/>
        </w:rPr>
        <w:t>金融工具的市场风险，是指金融工具的公允价值或未来现金流量因市场价格变动而发生波动的风险，包括利率风险、汇率风</w:t>
      </w:r>
      <w:r>
        <w:rPr>
          <w:spacing w:val="-66"/>
        </w:rPr>
        <w:t> </w:t>
      </w:r>
      <w:r>
        <w:rPr>
          <w:spacing w:val="-66"/>
        </w:rPr>
      </w:r>
      <w:r>
        <w:rPr/>
        <w:t>险和其他价格风险。</w:t>
      </w:r>
    </w:p>
    <w:p>
      <w:pPr>
        <w:pStyle w:val="BodyText"/>
        <w:spacing w:line="316" w:lineRule="auto" w:before="24"/>
        <w:ind w:right="1115"/>
        <w:jc w:val="left"/>
      </w:pPr>
      <w:r>
        <w:rPr/>
        <w:t>①利率风险 </w:t>
      </w:r>
      <w:r>
        <w:rPr>
          <w:spacing w:val="-2"/>
        </w:rPr>
        <w:t>利率风险，是指金融工具的公允价值或未来现金流量因市场利率变动而发生波动的风险。利率风险可源于已确认的计息金融</w:t>
      </w:r>
      <w:r>
        <w:rPr>
          <w:spacing w:val="-64"/>
        </w:rPr>
        <w:t> </w:t>
      </w:r>
      <w:r>
        <w:rPr>
          <w:spacing w:val="-64"/>
        </w:rPr>
      </w:r>
      <w:r>
        <w:rPr/>
        <w:t>工具和未确认的金融工具（如某些贷款承诺）。 </w:t>
      </w:r>
      <w:r>
        <w:rPr>
          <w:spacing w:val="-2"/>
        </w:rPr>
        <w:t>本集团的利率风险主要产生于长期银行借款及应付债券等长期带息债务。浮动利率的金融负债使本集团面临现金流量利率风</w:t>
      </w:r>
      <w:r>
        <w:rPr>
          <w:spacing w:val="-64"/>
        </w:rPr>
        <w:t> </w:t>
      </w:r>
      <w:r>
        <w:rPr>
          <w:spacing w:val="-64"/>
        </w:rPr>
      </w:r>
      <w:r>
        <w:rPr>
          <w:spacing w:val="-2"/>
        </w:rPr>
        <w:t>险，固定利率的金融负债使本集团面临公允价值利率风险。本集团根据当时的市场环境来决定固定利率及浮动利率合同的相</w:t>
      </w:r>
      <w:r>
        <w:rPr>
          <w:spacing w:val="-64"/>
        </w:rPr>
        <w:t> </w:t>
      </w:r>
      <w:r>
        <w:rPr>
          <w:spacing w:val="-64"/>
        </w:rPr>
      </w:r>
      <w:r>
        <w:rPr/>
        <w:t>对比例，并通过定期审阅与监察维持适当的固定和浮动利率工具组合。 </w:t>
      </w:r>
      <w:r>
        <w:rPr>
          <w:spacing w:val="-2"/>
        </w:rPr>
        <w:t>本集团密切关注利率变动对本集团利率风险的影响。本集团目前并未采取利率对冲政策。但管理层负责监控利率风险，并将</w:t>
      </w:r>
      <w:r>
        <w:rPr>
          <w:spacing w:val="-62"/>
        </w:rPr>
        <w:t> </w:t>
      </w:r>
      <w:r>
        <w:rPr>
          <w:spacing w:val="-62"/>
        </w:rPr>
      </w:r>
      <w:r>
        <w:rPr>
          <w:spacing w:val="-2"/>
        </w:rPr>
        <w:t>于需要时考虑对冲重大利率风险。利率上升会增加新增带息债务的成本以及本集团尚未付清的以浮动利率计息的带息债务的</w:t>
      </w:r>
      <w:r>
        <w:rPr>
          <w:spacing w:val="-64"/>
        </w:rPr>
        <w:t> </w:t>
      </w:r>
      <w:r>
        <w:rPr>
          <w:spacing w:val="-64"/>
        </w:rPr>
      </w:r>
      <w:r>
        <w:rPr>
          <w:spacing w:val="-2"/>
        </w:rPr>
        <w:t>利息费用，并对本集团的财务业绩产生重大的不利影响，管理层会依据最新的市场状况及时做出调整，这些调整可能是进行</w:t>
      </w:r>
    </w:p>
    <w:p>
      <w:pPr>
        <w:spacing w:after="0" w:line="316"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980" w:top="1100" w:bottom="1160" w:left="980" w:right="0"/>
        </w:sectPr>
      </w:pPr>
    </w:p>
    <w:p>
      <w:pPr>
        <w:pStyle w:val="BodyText"/>
        <w:spacing w:line="319" w:lineRule="auto" w:before="44"/>
        <w:ind w:right="-19"/>
        <w:jc w:val="left"/>
      </w:pPr>
      <w:r>
        <w:rPr/>
        <w:t>利率互换的安排来降低利率风险。 本集团持有的计息金融工具如下：</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spacing w:line="240" w:lineRule="auto"/>
        <w:ind w:right="0"/>
        <w:jc w:val="left"/>
      </w:pPr>
      <w:r>
        <w:rPr/>
        <w:t>单位：人民币万元</w:t>
      </w:r>
    </w:p>
    <w:p>
      <w:pPr>
        <w:spacing w:after="0" w:line="240" w:lineRule="auto"/>
        <w:jc w:val="left"/>
        <w:sectPr>
          <w:type w:val="continuous"/>
          <w:pgSz w:w="11910" w:h="16840"/>
          <w:pgMar w:top="1060" w:bottom="1160" w:left="980" w:right="0"/>
          <w:cols w:num="2" w:equalWidth="0">
            <w:col w:w="2854" w:space="5347"/>
            <w:col w:w="2729"/>
          </w:cols>
        </w:sectPr>
      </w:pPr>
    </w:p>
    <w:p>
      <w:pPr>
        <w:spacing w:line="240" w:lineRule="auto" w:before="12"/>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3551"/>
        <w:gridCol w:w="3056"/>
        <w:gridCol w:w="3053"/>
      </w:tblGrid>
      <w:tr>
        <w:trPr>
          <w:trHeight w:val="331" w:hRule="exact"/>
        </w:trPr>
        <w:tc>
          <w:tcPr>
            <w:tcW w:w="35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30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43"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固定利率金融工具</w:t>
            </w:r>
          </w:p>
        </w:tc>
        <w:tc>
          <w:tcPr>
            <w:tcW w:w="3056"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74,861.35</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79,391.73</w:t>
            </w:r>
          </w:p>
        </w:tc>
      </w:tr>
      <w:tr>
        <w:trPr>
          <w:trHeight w:val="343"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其中：货币资金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74,861.35</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79,391.73</w:t>
            </w:r>
          </w:p>
        </w:tc>
      </w:tr>
      <w:tr>
        <w:trPr>
          <w:trHeight w:val="341"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77,958.77</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79,986.72</w:t>
            </w:r>
          </w:p>
        </w:tc>
      </w:tr>
      <w:tr>
        <w:trPr>
          <w:trHeight w:val="343"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其中：短期借款</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2,000.00</w:t>
            </w:r>
          </w:p>
        </w:tc>
      </w:tr>
      <w:tr>
        <w:trPr>
          <w:trHeight w:val="341"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4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77,958.77</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77,986.72</w:t>
            </w:r>
          </w:p>
        </w:tc>
      </w:tr>
      <w:tr>
        <w:trPr>
          <w:trHeight w:val="343"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浮动利率金融工具</w:t>
            </w:r>
          </w:p>
        </w:tc>
        <w:tc>
          <w:tcPr>
            <w:tcW w:w="3056"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20,700.00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43,700.00</w:t>
            </w:r>
          </w:p>
        </w:tc>
      </w:tr>
      <w:tr>
        <w:trPr>
          <w:trHeight w:val="343"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其中：交易性金融资产</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20,700.00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4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43,700.00</w:t>
            </w:r>
          </w:p>
        </w:tc>
      </w:tr>
      <w:tr>
        <w:trPr>
          <w:trHeight w:val="343"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33,000.00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25,200.00</w:t>
            </w:r>
          </w:p>
        </w:tc>
      </w:tr>
      <w:tr>
        <w:trPr>
          <w:trHeight w:val="341"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其中：短期借款</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5,000.00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28,000.00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25,200.00</w:t>
            </w:r>
          </w:p>
        </w:tc>
      </w:tr>
    </w:tbl>
    <w:p>
      <w:pPr>
        <w:pStyle w:val="BodyText"/>
        <w:spacing w:line="309" w:lineRule="auto" w:before="8"/>
        <w:ind w:right="1115"/>
        <w:jc w:val="left"/>
      </w:pPr>
      <w:r>
        <w:rPr/>
        <w:t>上表中披露的金融负债金额为未经折现的合同现金流量，因而可能与资产负债表中的账面金额有所不同。 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日，如果以浮动利率计算的借款利率上升或下降</w:t>
      </w:r>
      <w:r>
        <w:rPr>
          <w:rFonts w:ascii="Times New Roman" w:hAnsi="Times New Roman" w:cs="Times New Roman" w:eastAsia="Times New Roman" w:hint="default"/>
        </w:rPr>
        <w:t>1%</w:t>
      </w:r>
      <w:r>
        <w:rPr/>
        <w:t>，而其他因素保持不变，本集团的净利润及股东权益将</w:t>
      </w:r>
      <w:r>
        <w:rPr>
          <w:spacing w:val="-59"/>
        </w:rPr>
        <w:t> </w:t>
      </w:r>
      <w:r>
        <w:rPr>
          <w:spacing w:val="-59"/>
        </w:rPr>
      </w:r>
      <w:r>
        <w:rPr/>
        <w:t>减少或增加约</w:t>
      </w:r>
      <w:r>
        <w:rPr>
          <w:rFonts w:ascii="Times New Roman" w:hAnsi="Times New Roman" w:cs="Times New Roman" w:eastAsia="Times New Roman" w:hint="default"/>
        </w:rPr>
        <w:t>330</w:t>
      </w:r>
      <w:r>
        <w:rPr/>
        <w:t>万元（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252</w:t>
      </w:r>
      <w:r>
        <w:rPr/>
        <w:t>万元）。 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日，如果交易性金融资产的理财产品的浮动收益率上升或下降</w:t>
      </w:r>
      <w:r>
        <w:rPr>
          <w:rFonts w:ascii="Times New Roman" w:hAnsi="Times New Roman" w:cs="Times New Roman" w:eastAsia="Times New Roman" w:hint="default"/>
        </w:rPr>
        <w:t>1%</w:t>
      </w:r>
      <w:r>
        <w:rPr/>
        <w:t>，而其他因素保持不变，本集团的净利润</w:t>
      </w:r>
      <w:r>
        <w:rPr>
          <w:spacing w:val="-59"/>
        </w:rPr>
        <w:t> </w:t>
      </w:r>
      <w:r>
        <w:rPr>
          <w:spacing w:val="-59"/>
        </w:rPr>
      </w:r>
      <w:r>
        <w:rPr/>
        <w:t>及股东权益会增加或减少约</w:t>
      </w:r>
      <w:r>
        <w:rPr>
          <w:rFonts w:ascii="Times New Roman" w:hAnsi="Times New Roman" w:cs="Times New Roman" w:eastAsia="Times New Roman" w:hint="default"/>
        </w:rPr>
        <w:t>207</w:t>
      </w:r>
      <w:r>
        <w:rPr/>
        <w:t>万元（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437</w:t>
      </w:r>
      <w:r>
        <w:rPr/>
        <w:t>万元）。 </w:t>
      </w:r>
      <w:r>
        <w:rPr>
          <w:spacing w:val="-2"/>
        </w:rPr>
        <w:t>对于资产负债表日持有的、使本集团面临公允价值利率风险的金融工具，上述敏感性分析中的净利润及股东权益的影响是假</w:t>
      </w:r>
      <w:r>
        <w:rPr>
          <w:spacing w:val="-64"/>
        </w:rPr>
        <w:t> </w:t>
      </w:r>
      <w:r>
        <w:rPr>
          <w:spacing w:val="-64"/>
        </w:rPr>
      </w:r>
      <w:r>
        <w:rPr>
          <w:spacing w:val="-2"/>
        </w:rPr>
        <w:t>设在资产负债表日利率发生变动，按照新利率对上述金融工具进行重新计量后的影响。对于资产负债表日持有的、使本集团</w:t>
      </w:r>
      <w:r>
        <w:rPr>
          <w:spacing w:val="-63"/>
        </w:rPr>
        <w:t> </w:t>
      </w:r>
      <w:r>
        <w:rPr>
          <w:spacing w:val="-63"/>
        </w:rPr>
      </w:r>
      <w:r>
        <w:rPr>
          <w:spacing w:val="-2"/>
        </w:rPr>
        <w:t>面临现金流量利率风险的浮动利率非衍生工具，上述敏感性分析中的净利润及股东权益的影响是上述利率变动对按年度估算</w:t>
      </w:r>
      <w:r>
        <w:rPr>
          <w:spacing w:val="-64"/>
        </w:rPr>
        <w:t> </w:t>
      </w:r>
      <w:r>
        <w:rPr>
          <w:spacing w:val="-64"/>
        </w:rPr>
      </w:r>
      <w:r>
        <w:rPr/>
        <w:t>的利息费用或收入的影响。上一年度的分析基于同样的假设和方法。</w:t>
      </w:r>
    </w:p>
    <w:p>
      <w:pPr>
        <w:pStyle w:val="BodyText"/>
        <w:spacing w:line="316" w:lineRule="auto" w:before="24"/>
        <w:ind w:right="1115"/>
        <w:jc w:val="left"/>
      </w:pPr>
      <w:r>
        <w:rPr/>
        <w:t>②汇率风险 </w:t>
      </w:r>
      <w:r>
        <w:rPr>
          <w:spacing w:val="-2"/>
        </w:rPr>
        <w:t>汇率风险，是指金融工具的公允价值或未来现金流量因外汇汇率变动而发生波动的风险。汇率风险可源于以记账本位币之外</w:t>
      </w:r>
      <w:r>
        <w:rPr>
          <w:spacing w:val="-64"/>
        </w:rPr>
        <w:t> </w:t>
      </w:r>
      <w:r>
        <w:rPr>
          <w:spacing w:val="-64"/>
        </w:rPr>
      </w:r>
      <w:r>
        <w:rPr/>
        <w:t>的外币进行计价的金融工具。 </w:t>
      </w:r>
      <w:r>
        <w:rPr>
          <w:spacing w:val="-2"/>
        </w:rPr>
        <w:t>除了在香港设立的孙公司持有以外币为结算货币的资产外，本集团的主要经营位于中国境内，主要业务以人民币结算。本集</w:t>
      </w:r>
      <w:r>
        <w:rPr>
          <w:spacing w:val="-65"/>
        </w:rPr>
        <w:t> </w:t>
      </w:r>
      <w:r>
        <w:rPr>
          <w:spacing w:val="-65"/>
        </w:rPr>
      </w:r>
      <w:r>
        <w:rPr>
          <w:spacing w:val="-2"/>
        </w:rPr>
        <w:t>团已确认的外币资产和负债及未来的外币交易（外币资产和负债及外币交易的计价货币主要为美元、欧元、港币）依然存在</w:t>
      </w:r>
      <w:r>
        <w:rPr>
          <w:spacing w:val="-66"/>
        </w:rPr>
        <w:t> </w:t>
      </w:r>
      <w:r>
        <w:rPr>
          <w:spacing w:val="-66"/>
        </w:rPr>
      </w:r>
      <w:r>
        <w:rPr/>
        <w:t>外汇风险。</w:t>
      </w:r>
    </w:p>
    <w:p>
      <w:pPr>
        <w:pStyle w:val="BodyText"/>
        <w:spacing w:line="240" w:lineRule="auto" w:before="19"/>
        <w:ind w:right="1115"/>
        <w:jc w:val="left"/>
      </w:pP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日，本集团持有的外币金融资产和外币金融负债折算成人民币的金额列示如下：</w:t>
      </w:r>
    </w:p>
    <w:p>
      <w:pPr>
        <w:pStyle w:val="BodyText"/>
        <w:spacing w:line="240" w:lineRule="auto" w:before="63"/>
        <w:ind w:left="0" w:right="1131"/>
        <w:jc w:val="right"/>
      </w:pPr>
      <w:r>
        <w:rPr/>
        <w:t>单位：人民币万元</w:t>
      </w:r>
    </w:p>
    <w:p>
      <w:pPr>
        <w:spacing w:line="240" w:lineRule="auto" w:before="3"/>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1205"/>
        <w:gridCol w:w="2115"/>
        <w:gridCol w:w="2112"/>
        <w:gridCol w:w="2114"/>
        <w:gridCol w:w="2113"/>
      </w:tblGrid>
      <w:tr>
        <w:trPr>
          <w:trHeight w:val="343" w:hRule="exact"/>
        </w:trPr>
        <w:tc>
          <w:tcPr>
            <w:tcW w:w="120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22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434" w:right="0"/>
              <w:jc w:val="center"/>
              <w:rPr>
                <w:rFonts w:ascii="宋体" w:hAnsi="宋体" w:cs="宋体" w:eastAsia="宋体" w:hint="default"/>
                <w:sz w:val="18"/>
                <w:szCs w:val="18"/>
              </w:rPr>
            </w:pPr>
            <w:r>
              <w:rPr>
                <w:rFonts w:ascii="宋体" w:hAnsi="宋体" w:cs="宋体" w:eastAsia="宋体" w:hint="default"/>
                <w:sz w:val="18"/>
                <w:szCs w:val="18"/>
              </w:rPr>
              <w:t>外币负债</w:t>
            </w:r>
          </w:p>
        </w:tc>
        <w:tc>
          <w:tcPr>
            <w:tcW w:w="422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433" w:right="0"/>
              <w:jc w:val="center"/>
              <w:rPr>
                <w:rFonts w:ascii="宋体" w:hAnsi="宋体" w:cs="宋体" w:eastAsia="宋体" w:hint="default"/>
                <w:sz w:val="18"/>
                <w:szCs w:val="18"/>
              </w:rPr>
            </w:pPr>
            <w:r>
              <w:rPr>
                <w:rFonts w:ascii="宋体" w:hAnsi="宋体" w:cs="宋体" w:eastAsia="宋体" w:hint="default"/>
                <w:sz w:val="18"/>
                <w:szCs w:val="18"/>
              </w:rPr>
              <w:t>外币资产</w:t>
            </w:r>
          </w:p>
        </w:tc>
      </w:tr>
      <w:tr>
        <w:trPr>
          <w:trHeight w:val="341" w:hRule="exact"/>
        </w:trPr>
        <w:tc>
          <w:tcPr>
            <w:tcW w:w="1205" w:type="dxa"/>
            <w:vMerge/>
            <w:tcBorders>
              <w:left w:val="single" w:sz="4" w:space="0" w:color="000000"/>
              <w:bottom w:val="single" w:sz="4" w:space="0" w:color="000000"/>
              <w:right w:val="single" w:sz="4" w:space="0" w:color="000000"/>
            </w:tcBorders>
            <w:shd w:val="clear" w:color="auto" w:fill="D9D9D9"/>
          </w:tcPr>
          <w:p>
            <w:pPr/>
          </w:p>
        </w:tc>
        <w:tc>
          <w:tcPr>
            <w:tcW w:w="21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60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21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59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1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60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21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600"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343"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12,461.95</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6,664.52</w:t>
            </w:r>
          </w:p>
        </w:tc>
      </w:tr>
      <w:tr>
        <w:trPr>
          <w:trHeight w:val="341"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8,632.02</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0.23</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0.24</w:t>
            </w:r>
          </w:p>
        </w:tc>
      </w:tr>
      <w:tr>
        <w:trPr>
          <w:trHeight w:val="343"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28,070.58</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9,018.71</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27,957.03</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10,103.19</w:t>
            </w:r>
          </w:p>
        </w:tc>
      </w:tr>
      <w:tr>
        <w:trPr>
          <w:trHeight w:val="341"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28,070.58</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17,650.74</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40,419.21</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16,767.96</w:t>
            </w:r>
          </w:p>
        </w:tc>
      </w:tr>
    </w:tbl>
    <w:p>
      <w:pPr>
        <w:pStyle w:val="BodyText"/>
        <w:spacing w:line="316" w:lineRule="auto" w:before="8"/>
        <w:ind w:right="2654"/>
        <w:jc w:val="left"/>
      </w:pPr>
      <w:r>
        <w:rPr/>
        <w:t>本集团密切关注汇率变动对本集团汇率风险的影响。 在其他变量不变的情况下，本年外币兑人民币汇率的可能合理变动对本集团当期损益的税后影响如下：</w:t>
      </w:r>
    </w:p>
    <w:p>
      <w:pPr>
        <w:spacing w:after="0" w:line="316" w:lineRule="auto"/>
        <w:jc w:val="left"/>
        <w:sectPr>
          <w:type w:val="continuous"/>
          <w:pgSz w:w="11910" w:h="16840"/>
          <w:pgMar w:top="106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left="0" w:right="1131"/>
        <w:jc w:val="right"/>
      </w:pPr>
      <w:r>
        <w:rPr/>
        <w:t>单位：人民币万元</w:t>
      </w:r>
    </w:p>
    <w:p>
      <w:pPr>
        <w:spacing w:line="240" w:lineRule="auto" w:before="3"/>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2840"/>
        <w:gridCol w:w="1565"/>
        <w:gridCol w:w="1707"/>
        <w:gridCol w:w="1421"/>
        <w:gridCol w:w="1849"/>
      </w:tblGrid>
      <w:tr>
        <w:trPr>
          <w:trHeight w:val="341" w:hRule="exact"/>
        </w:trPr>
        <w:tc>
          <w:tcPr>
            <w:tcW w:w="28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税后利润上升（下降）</w:t>
            </w:r>
          </w:p>
        </w:tc>
        <w:tc>
          <w:tcPr>
            <w:tcW w:w="327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326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8"/>
              <w:ind w:right="1"/>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43"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美元汇率上升</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59" w:right="0"/>
              <w:jc w:val="left"/>
              <w:rPr>
                <w:rFonts w:ascii="Times New Roman" w:hAnsi="Times New Roman" w:cs="Times New Roman" w:eastAsia="Times New Roman" w:hint="default"/>
                <w:sz w:val="18"/>
                <w:szCs w:val="18"/>
              </w:rPr>
            </w:pPr>
            <w:r>
              <w:rPr>
                <w:rFonts w:ascii="Times New Roman"/>
                <w:sz w:val="18"/>
              </w:rPr>
              <w:t>1%</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124.62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66.65</w:t>
            </w:r>
          </w:p>
        </w:tc>
      </w:tr>
      <w:tr>
        <w:trPr>
          <w:trHeight w:val="341"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美元汇率下降</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28" w:right="0"/>
              <w:jc w:val="left"/>
              <w:rPr>
                <w:rFonts w:ascii="Times New Roman" w:hAnsi="Times New Roman" w:cs="Times New Roman" w:eastAsia="Times New Roman" w:hint="default"/>
                <w:sz w:val="18"/>
                <w:szCs w:val="18"/>
              </w:rPr>
            </w:pPr>
            <w:r>
              <w:rPr>
                <w:rFonts w:ascii="Times New Roman"/>
                <w:sz w:val="18"/>
              </w:rPr>
              <w:t>-1%</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-124.62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-66.65</w:t>
            </w:r>
          </w:p>
        </w:tc>
      </w:tr>
      <w:tr>
        <w:trPr>
          <w:trHeight w:val="343"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欧元汇率上升</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59" w:right="0"/>
              <w:jc w:val="left"/>
              <w:rPr>
                <w:rFonts w:ascii="Times New Roman" w:hAnsi="Times New Roman" w:cs="Times New Roman" w:eastAsia="Times New Roman" w:hint="default"/>
                <w:sz w:val="18"/>
                <w:szCs w:val="18"/>
              </w:rPr>
            </w:pPr>
            <w:r>
              <w:rPr>
                <w:rFonts w:ascii="Times New Roman"/>
                <w:sz w:val="18"/>
              </w:rPr>
              <w:t>1%</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-86.32</w:t>
            </w:r>
          </w:p>
        </w:tc>
      </w:tr>
      <w:tr>
        <w:trPr>
          <w:trHeight w:val="341"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欧元汇率下降</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28" w:right="0"/>
              <w:jc w:val="left"/>
              <w:rPr>
                <w:rFonts w:ascii="Times New Roman" w:hAnsi="Times New Roman" w:cs="Times New Roman" w:eastAsia="Times New Roman" w:hint="default"/>
                <w:sz w:val="18"/>
                <w:szCs w:val="18"/>
              </w:rPr>
            </w:pPr>
            <w:r>
              <w:rPr>
                <w:rFonts w:ascii="Times New Roman"/>
                <w:sz w:val="18"/>
              </w:rPr>
              <w:t>-1%</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86.32</w:t>
            </w:r>
          </w:p>
        </w:tc>
      </w:tr>
      <w:tr>
        <w:trPr>
          <w:trHeight w:val="343"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港币汇率上升</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59" w:right="0"/>
              <w:jc w:val="left"/>
              <w:rPr>
                <w:rFonts w:ascii="Times New Roman" w:hAnsi="Times New Roman" w:cs="Times New Roman" w:eastAsia="Times New Roman" w:hint="default"/>
                <w:sz w:val="18"/>
                <w:szCs w:val="18"/>
              </w:rPr>
            </w:pPr>
            <w:r>
              <w:rPr>
                <w:rFonts w:ascii="Times New Roman"/>
                <w:sz w:val="18"/>
              </w:rPr>
              <w:t>1%</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-1.14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10.84</w:t>
            </w:r>
          </w:p>
        </w:tc>
      </w:tr>
      <w:tr>
        <w:trPr>
          <w:trHeight w:val="343"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港币汇率下降</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28" w:right="0"/>
              <w:jc w:val="left"/>
              <w:rPr>
                <w:rFonts w:ascii="Times New Roman" w:hAnsi="Times New Roman" w:cs="Times New Roman" w:eastAsia="Times New Roman" w:hint="default"/>
                <w:sz w:val="18"/>
                <w:szCs w:val="18"/>
              </w:rPr>
            </w:pPr>
            <w:r>
              <w:rPr>
                <w:rFonts w:ascii="Times New Roman"/>
                <w:sz w:val="18"/>
              </w:rPr>
              <w:t>-1%</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1.14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-10.84</w:t>
            </w:r>
          </w:p>
        </w:tc>
      </w:tr>
    </w:tbl>
    <w:p>
      <w:pPr>
        <w:pStyle w:val="BodyText"/>
        <w:spacing w:line="314" w:lineRule="auto" w:before="8"/>
        <w:ind w:right="1115"/>
        <w:jc w:val="left"/>
        <w:rPr>
          <w:rFonts w:ascii="Times New Roman" w:hAnsi="Times New Roman" w:cs="Times New Roman" w:eastAsia="Times New Roman" w:hint="default"/>
        </w:rPr>
      </w:pPr>
      <w:r>
        <w:rPr>
          <w:rFonts w:ascii="Times New Roman" w:hAnsi="Times New Roman" w:cs="Times New Roman" w:eastAsia="Times New Roman" w:hint="default"/>
          <w:b/>
          <w:bCs/>
        </w:rPr>
        <w:t>2</w:t>
      </w:r>
      <w:r>
        <w:rPr>
          <w:rFonts w:ascii="宋体" w:hAnsi="宋体" w:cs="宋体" w:eastAsia="宋体" w:hint="default"/>
          <w:b/>
          <w:bCs/>
        </w:rPr>
        <w:t>、资本管理</w:t>
      </w:r>
      <w:r>
        <w:rPr>
          <w:rFonts w:ascii="宋体" w:hAnsi="宋体" w:cs="宋体" w:eastAsia="宋体" w:hint="default"/>
          <w:b/>
          <w:bCs/>
          <w:w w:val="99"/>
        </w:rPr>
        <w:t> </w:t>
      </w:r>
      <w:r>
        <w:rPr>
          <w:spacing w:val="-2"/>
        </w:rPr>
        <w:t>本集团资本管理政策的目标是为了保障本集团能够持续经营，从而为股东提供回报，并使其他利益相关者获益，同时维持最</w:t>
      </w:r>
      <w:r>
        <w:rPr>
          <w:spacing w:val="-66"/>
        </w:rPr>
        <w:t> </w:t>
      </w:r>
      <w:r>
        <w:rPr>
          <w:spacing w:val="-66"/>
        </w:rPr>
      </w:r>
      <w:r>
        <w:rPr/>
        <w:t>佳的资本结构以降低资本成本。 </w:t>
      </w:r>
      <w:r>
        <w:rPr>
          <w:spacing w:val="-2"/>
        </w:rPr>
        <w:t>为了维持或调整资本结构，本集团可能会调整融资方式、调整支付给股东的股利金额、向股东返还资本、发行新股与其他权</w:t>
      </w:r>
      <w:r>
        <w:rPr>
          <w:spacing w:val="-65"/>
        </w:rPr>
        <w:t> </w:t>
      </w:r>
      <w:r>
        <w:rPr>
          <w:spacing w:val="-65"/>
        </w:rPr>
      </w:r>
      <w:r>
        <w:rPr/>
        <w:t>益工具或出售资产以减低债务。 </w:t>
      </w:r>
      <w:r>
        <w:rPr>
          <w:spacing w:val="-5"/>
        </w:rPr>
        <w:t>本集团以资产负债率（即总负债除以总资产）为基础对资本结构进行监控。于</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日，本集团的资产负债率为</w:t>
      </w:r>
      <w:r>
        <w:rPr>
          <w:rFonts w:ascii="Times New Roman" w:hAnsi="Times New Roman" w:cs="Times New Roman" w:eastAsia="Times New Roman" w:hint="default"/>
          <w:spacing w:val="-5"/>
        </w:rPr>
        <w:t>60.67%</w:t>
      </w:r>
    </w:p>
    <w:p>
      <w:pPr>
        <w:pStyle w:val="BodyText"/>
        <w:spacing w:line="240" w:lineRule="auto" w:before="1"/>
        <w:ind w:right="1115"/>
        <w:jc w:val="left"/>
      </w:pP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64.40%</w:t>
      </w:r>
      <w:r>
        <w:rPr/>
        <w:t>）。</w:t>
      </w:r>
    </w:p>
    <w:p>
      <w:pPr>
        <w:spacing w:line="240" w:lineRule="auto" w:before="3"/>
        <w:rPr>
          <w:rFonts w:ascii="宋体" w:hAnsi="宋体" w:cs="宋体" w:eastAsia="宋体" w:hint="default"/>
          <w:sz w:val="24"/>
          <w:szCs w:val="24"/>
        </w:rPr>
      </w:pPr>
    </w:p>
    <w:p>
      <w:pPr>
        <w:pStyle w:val="Heading2"/>
        <w:spacing w:line="240" w:lineRule="auto"/>
        <w:ind w:right="1115"/>
        <w:jc w:val="left"/>
        <w:rPr>
          <w:b w:val="0"/>
          <w:bCs w:val="0"/>
        </w:rPr>
      </w:pPr>
      <w:bookmarkStart w:name="十一、公允价值的披露" w:id="350"/>
      <w:bookmarkEnd w:id="350"/>
      <w:r>
        <w:rPr>
          <w:b w:val="0"/>
          <w:bCs w:val="0"/>
        </w:rPr>
      </w: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5"/>
        <w:jc w:val="left"/>
        <w:rPr>
          <w:b w:val="0"/>
          <w:bCs w:val="0"/>
        </w:rPr>
      </w:pPr>
      <w:bookmarkStart w:name="1、以公允价值计量的资产和负债的期末公允价值" w:id="351"/>
      <w:bookmarkEnd w:id="351"/>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2678"/>
        <w:gridCol w:w="1930"/>
        <w:gridCol w:w="1930"/>
        <w:gridCol w:w="1928"/>
        <w:gridCol w:w="1231"/>
      </w:tblGrid>
      <w:tr>
        <w:trPr>
          <w:trHeight w:val="402" w:hRule="exact"/>
        </w:trPr>
        <w:tc>
          <w:tcPr>
            <w:tcW w:w="26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402" w:hRule="exact"/>
        </w:trPr>
        <w:tc>
          <w:tcPr>
            <w:tcW w:w="2678" w:type="dxa"/>
            <w:vMerge/>
            <w:tcBorders>
              <w:left w:val="single" w:sz="4" w:space="0" w:color="000000"/>
              <w:bottom w:val="single" w:sz="4" w:space="0" w:color="000000"/>
              <w:right w:val="single" w:sz="4" w:space="0" w:color="000000"/>
            </w:tcBorders>
            <w:shd w:val="clear" w:color="auto" w:fill="D2D2D2"/>
          </w:tcPr>
          <w:p>
            <w:pPr/>
          </w:p>
        </w:tc>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第一层次公允价值计量</w:t>
            </w:r>
          </w:p>
        </w:tc>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8"/>
              <w:jc w:val="righ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6"/>
              <w:jc w:val="righ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6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930"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207,000,000.00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207,000,000.00</w:t>
            </w:r>
          </w:p>
        </w:tc>
      </w:tr>
      <w:tr>
        <w:trPr>
          <w:trHeight w:val="403" w:hRule="exact"/>
        </w:trPr>
        <w:tc>
          <w:tcPr>
            <w:tcW w:w="26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（二）其他非流动金融资产</w:t>
            </w:r>
          </w:p>
        </w:tc>
        <w:tc>
          <w:tcPr>
            <w:tcW w:w="1930"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6,420,586.17</w:t>
            </w:r>
          </w:p>
        </w:tc>
        <w:tc>
          <w:tcPr>
            <w:tcW w:w="1928"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6,420,586.17</w:t>
            </w:r>
          </w:p>
        </w:tc>
      </w:tr>
      <w:tr>
        <w:trPr>
          <w:trHeight w:val="401" w:hRule="exact"/>
        </w:trPr>
        <w:tc>
          <w:tcPr>
            <w:tcW w:w="2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4" w:space="0" w:color="000000"/>
              <w:left w:val="single" w:sz="10" w:space="0" w:color="D2D2D2"/>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6,420,586.17</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207,000,000.00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213,420,586.17</w:t>
            </w:r>
          </w:p>
        </w:tc>
      </w:tr>
      <w:tr>
        <w:trPr>
          <w:trHeight w:val="403" w:hRule="exact"/>
        </w:trPr>
        <w:tc>
          <w:tcPr>
            <w:tcW w:w="2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二、非持续的公允价值计量</w:t>
            </w:r>
          </w:p>
        </w:tc>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2、持续和非持续第三层次公允价值计量项目，采用的估值技术和重要参数的定性及定量信" w:id="352"/>
      <w:bookmarkEnd w:id="352"/>
      <w:r>
        <w:rPr>
          <w:b w:val="0"/>
          <w:bCs w:val="0"/>
        </w:rPr>
      </w:r>
      <w:r>
        <w:rPr>
          <w:rFonts w:ascii="Times New Roman" w:hAnsi="Times New Roman" w:cs="Times New Roman" w:eastAsia="Times New Roman" w:hint="default"/>
        </w:rPr>
        <w:t>2</w:t>
      </w:r>
      <w:r>
        <w:rPr/>
        <w:t>、持续和非持续第三层次公允价值计量项目，采用的估值技术和重要参数的定性及定量信息</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30"/>
        <w:jc w:val="both"/>
      </w:pPr>
      <w:r>
        <w:rPr>
          <w:spacing w:val="-2"/>
        </w:rPr>
        <w:t>对于在活跃市场上交易的金融工具，本集团以其活跃市场报价确定其公允价值；对于不在活跃市场上交易的金融工具，本集</w:t>
      </w:r>
      <w:r>
        <w:rPr>
          <w:spacing w:val="-63"/>
        </w:rPr>
        <w:t> </w:t>
      </w:r>
      <w:r>
        <w:rPr>
          <w:spacing w:val="-63"/>
        </w:rPr>
      </w:r>
      <w:r>
        <w:rPr>
          <w:spacing w:val="-2"/>
        </w:rPr>
        <w:t>团采用估值技术确定其公允价值。所使用的估值模型主要为现金流量折现模型和市场可比公司模型等。估值技术的输入值主</w:t>
      </w:r>
      <w:r>
        <w:rPr>
          <w:spacing w:val="-64"/>
        </w:rPr>
        <w:t> </w:t>
      </w:r>
      <w:r>
        <w:rPr>
          <w:spacing w:val="-64"/>
        </w:rPr>
      </w:r>
      <w:r>
        <w:rPr/>
        <w:t>要包括无风险利率、基准利率、汇率、信用点差、流动性溢价、缺乏流动性折扣等。</w:t>
      </w:r>
    </w:p>
    <w:p>
      <w:pPr>
        <w:spacing w:line="240" w:lineRule="auto" w:before="9"/>
        <w:rPr>
          <w:rFonts w:ascii="宋体" w:hAnsi="宋体" w:cs="宋体" w:eastAsia="宋体" w:hint="default"/>
          <w:sz w:val="22"/>
          <w:szCs w:val="22"/>
        </w:rPr>
      </w:pPr>
    </w:p>
    <w:p>
      <w:pPr>
        <w:pStyle w:val="Heading3"/>
        <w:spacing w:line="240" w:lineRule="auto"/>
        <w:ind w:right="1115"/>
        <w:jc w:val="left"/>
        <w:rPr>
          <w:b w:val="0"/>
          <w:bCs w:val="0"/>
        </w:rPr>
      </w:pPr>
      <w:bookmarkStart w:name="3、不以公允价值计量的金融资产和金融负债的公允价值情况" w:id="353"/>
      <w:bookmarkEnd w:id="353"/>
      <w:r>
        <w:rPr>
          <w:b w:val="0"/>
          <w:bCs w:val="0"/>
        </w:rPr>
      </w:r>
      <w:r>
        <w:rPr>
          <w:rFonts w:ascii="Times New Roman" w:hAnsi="Times New Roman" w:cs="Times New Roman" w:eastAsia="Times New Roman" w:hint="default"/>
        </w:rPr>
        <w:t>3</w:t>
      </w:r>
      <w:r>
        <w:rPr/>
        <w:t>、不以公允价值计量的金融资产和金融负债的公允价值情况</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15"/>
        <w:jc w:val="left"/>
      </w:pPr>
      <w:r>
        <w:rPr>
          <w:spacing w:val="-2"/>
        </w:rPr>
        <w:t>本集团以摊余成本计量的金融资产和金融负债主要包括：货币资金、应收票据、应收账款、应收保理款、其他应收款、短期</w:t>
      </w:r>
      <w:r>
        <w:rPr>
          <w:spacing w:val="-68"/>
        </w:rPr>
        <w:t> </w:t>
      </w:r>
      <w:r>
        <w:rPr>
          <w:spacing w:val="-68"/>
        </w:rPr>
      </w:r>
      <w:r>
        <w:rPr/>
        <w:t>借款、应付票据、应付账款、其他应付款、一年内到期的应付债券、长期借款和应付债券等。 其他不以公允价值计量的金融资产和金融负债的账面价值与公允价值相差很小。</w:t>
      </w:r>
    </w:p>
    <w:p>
      <w:pPr>
        <w:spacing w:after="0" w:line="316" w:lineRule="auto"/>
        <w:jc w:val="left"/>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1115"/>
        <w:jc w:val="left"/>
        <w:rPr>
          <w:b w:val="0"/>
          <w:bCs w:val="0"/>
        </w:rPr>
      </w:pPr>
      <w:bookmarkStart w:name="十二、关联方及关联交易" w:id="354"/>
      <w:bookmarkEnd w:id="354"/>
      <w:r>
        <w:rPr>
          <w:b w:val="0"/>
          <w:bCs w:val="0"/>
        </w:rPr>
      </w:r>
      <w:r>
        <w:rPr/>
        <w:t>十二、关联方及关联交易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5"/>
        <w:jc w:val="left"/>
        <w:rPr>
          <w:b w:val="0"/>
          <w:bCs w:val="0"/>
        </w:rPr>
      </w:pPr>
      <w:bookmarkStart w:name="1、本企业的母公司情况" w:id="355"/>
      <w:bookmarkEnd w:id="355"/>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7"/>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2393"/>
        <w:gridCol w:w="646"/>
        <w:gridCol w:w="838"/>
        <w:gridCol w:w="840"/>
        <w:gridCol w:w="2391"/>
        <w:gridCol w:w="2590"/>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母公司对本企业的持股比例</w:t>
            </w:r>
          </w:p>
        </w:tc>
        <w:tc>
          <w:tcPr>
            <w:tcW w:w="2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母公司对本企业的表决权比例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北京久其科技投资有限公司</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0"/>
              <w:jc w:val="center"/>
              <w:rPr>
                <w:rFonts w:ascii="Times New Roman" w:hAnsi="Times New Roman" w:cs="Times New Roman" w:eastAsia="Times New Roman" w:hint="default"/>
                <w:sz w:val="18"/>
                <w:szCs w:val="18"/>
              </w:rPr>
            </w:pPr>
            <w:r>
              <w:rPr>
                <w:rFonts w:ascii="Times New Roman"/>
                <w:sz w:val="18"/>
              </w:rPr>
              <w:t>10,000.00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14.09%</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14.09%</w:t>
            </w:r>
          </w:p>
        </w:tc>
      </w:tr>
    </w:tbl>
    <w:p>
      <w:pPr>
        <w:pStyle w:val="BodyText"/>
        <w:spacing w:line="360" w:lineRule="auto" w:before="49"/>
        <w:ind w:right="8594"/>
        <w:jc w:val="left"/>
      </w:pPr>
      <w:r>
        <w:rPr/>
        <w:t>本企业的母公司情况的说明 本公司的母公司久其科技：</w:t>
      </w:r>
    </w:p>
    <w:p>
      <w:pPr>
        <w:pStyle w:val="BodyText"/>
        <w:spacing w:line="222" w:lineRule="exact"/>
        <w:ind w:right="0"/>
        <w:jc w:val="left"/>
      </w:pPr>
      <w:r>
        <w:rPr/>
        <w:t>经营范围：技术开发、技术转让、技术咨询、技术服务；投资管理。（企业依法自主选择经营项目，开展经营活动；依法须</w:t>
      </w:r>
    </w:p>
    <w:p>
      <w:pPr>
        <w:pStyle w:val="BodyText"/>
        <w:spacing w:line="360" w:lineRule="auto" w:before="76"/>
        <w:ind w:right="1214"/>
        <w:jc w:val="left"/>
      </w:pPr>
      <w:r>
        <w:rPr/>
        <w:t>经批准的项目，经相关部门批准后依批准的内容开展经营活动；不得从事本市产业政策禁止和限制类项目的经营活动。） 本企业最终控制方是董泰湘、赵福君。</w:t>
      </w:r>
    </w:p>
    <w:p>
      <w:pPr>
        <w:spacing w:line="240" w:lineRule="auto" w:before="2"/>
        <w:rPr>
          <w:rFonts w:ascii="宋体" w:hAnsi="宋体" w:cs="宋体" w:eastAsia="宋体" w:hint="default"/>
          <w:sz w:val="20"/>
          <w:szCs w:val="20"/>
        </w:rPr>
      </w:pPr>
    </w:p>
    <w:p>
      <w:pPr>
        <w:spacing w:line="544" w:lineRule="auto" w:before="0"/>
        <w:ind w:left="152" w:right="5174" w:firstLine="0"/>
        <w:jc w:val="left"/>
        <w:rPr>
          <w:rFonts w:ascii="宋体" w:hAnsi="宋体" w:cs="宋体" w:eastAsia="宋体" w:hint="default"/>
          <w:sz w:val="21"/>
          <w:szCs w:val="21"/>
        </w:rPr>
      </w:pPr>
      <w:bookmarkStart w:name="2、本企业的子公司情况" w:id="356"/>
      <w:bookmarkEnd w:id="35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pacing w:val="-4"/>
          <w:w w:val="100"/>
          <w:sz w:val="18"/>
          <w:szCs w:val="18"/>
        </w:rPr>
        <w:t>本企业子公司的情况详见本节</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九、在其他主体中的权益”。</w:t>
      </w:r>
      <w:r>
        <w:rPr>
          <w:rFonts w:ascii="宋体" w:hAnsi="宋体" w:cs="宋体" w:eastAsia="宋体" w:hint="default"/>
          <w:spacing w:val="-76"/>
          <w:w w:val="100"/>
          <w:sz w:val="18"/>
          <w:szCs w:val="18"/>
        </w:rPr>
        <w:t> </w:t>
      </w:r>
      <w:r>
        <w:rPr>
          <w:rFonts w:ascii="宋体" w:hAnsi="宋体" w:cs="宋体" w:eastAsia="宋体" w:hint="default"/>
          <w:spacing w:val="-76"/>
          <w:w w:val="100"/>
          <w:sz w:val="18"/>
          <w:szCs w:val="18"/>
        </w:rPr>
      </w:r>
      <w:bookmarkStart w:name="3、本企业合营和联营企业情况" w:id="357"/>
      <w:bookmarkEnd w:id="357"/>
      <w:r>
        <w:rPr>
          <w:rFonts w:ascii="宋体" w:hAnsi="宋体" w:cs="宋体" w:eastAsia="宋体" w:hint="default"/>
          <w:spacing w:val="-76"/>
          <w:w w:val="100"/>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40" w:lineRule="auto" w:before="49"/>
        <w:ind w:right="1934"/>
        <w:jc w:val="left"/>
      </w:pPr>
      <w:r>
        <w:rPr>
          <w:spacing w:val="-3"/>
          <w:w w:val="100"/>
        </w:rPr>
        <w:t>本企业重要的合营或联营企业详见本节</w:t>
      </w:r>
      <w:r>
        <w:rPr>
          <w:rFonts w:ascii="Times New Roman" w:hAnsi="Times New Roman" w:cs="Times New Roman" w:eastAsia="Times New Roman" w:hint="default"/>
          <w:spacing w:val="-3"/>
          <w:w w:val="100"/>
        </w:rPr>
        <w:t>“</w:t>
      </w:r>
      <w:r>
        <w:rPr>
          <w:spacing w:val="-3"/>
          <w:w w:val="100"/>
        </w:rPr>
        <w:t>九、在其他主体中的权益”。</w:t>
      </w:r>
      <w:r>
        <w:rPr/>
        <w:t> 本期与本公司发生关联方交易，或前期与本公司发生关联方交易形成余额的其他合营或联营企业情况如下：无。</w:t>
      </w:r>
    </w:p>
    <w:p>
      <w:pPr>
        <w:spacing w:line="240" w:lineRule="auto" w:before="5"/>
        <w:rPr>
          <w:rFonts w:ascii="宋体" w:hAnsi="宋体" w:cs="宋体" w:eastAsia="宋体" w:hint="default"/>
          <w:sz w:val="21"/>
          <w:szCs w:val="21"/>
        </w:rPr>
      </w:pPr>
    </w:p>
    <w:p>
      <w:pPr>
        <w:pStyle w:val="Heading3"/>
        <w:spacing w:line="240" w:lineRule="auto"/>
        <w:ind w:right="1115"/>
        <w:jc w:val="left"/>
        <w:rPr>
          <w:b w:val="0"/>
          <w:bCs w:val="0"/>
        </w:rPr>
      </w:pPr>
      <w:bookmarkStart w:name="4、其他关联方情况" w:id="358"/>
      <w:bookmarkEnd w:id="358"/>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中交信通网络科技有限公司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控股股东的联营企业且关键管理人员任职董事的公司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北京久其移动商务科技有限公司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北京启顺通达科技有限公司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同受实际控制人控制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董事、监事及高级管理人员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bl>
    <w:p>
      <w:pPr>
        <w:spacing w:line="240" w:lineRule="auto" w:before="3"/>
        <w:rPr>
          <w:rFonts w:ascii="宋体" w:hAnsi="宋体" w:cs="宋体" w:eastAsia="宋体" w:hint="default"/>
          <w:b/>
          <w:bCs/>
          <w:sz w:val="19"/>
          <w:szCs w:val="19"/>
        </w:rPr>
      </w:pPr>
    </w:p>
    <w:p>
      <w:pPr>
        <w:pStyle w:val="Heading3"/>
        <w:spacing w:line="240" w:lineRule="auto" w:before="36"/>
        <w:ind w:right="1115"/>
        <w:jc w:val="left"/>
        <w:rPr>
          <w:b w:val="0"/>
          <w:bCs w:val="0"/>
        </w:rPr>
      </w:pPr>
      <w:bookmarkStart w:name="5、关联交易情况" w:id="359"/>
      <w:bookmarkEnd w:id="359"/>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5"/>
        <w:jc w:val="left"/>
        <w:rPr>
          <w:b w:val="0"/>
          <w:bCs w:val="0"/>
        </w:rPr>
      </w:pPr>
      <w:bookmarkStart w:name="（1）购销商品、提供和接受劳务的关联交易" w:id="360"/>
      <w:bookmarkEnd w:id="360"/>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15"/>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662"/>
        <w:gridCol w:w="1364"/>
        <w:gridCol w:w="1147"/>
        <w:gridCol w:w="1580"/>
        <w:gridCol w:w="1796"/>
        <w:gridCol w:w="1150"/>
      </w:tblGrid>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6"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中交信通网络科技有限公司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14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2" w:right="0"/>
              <w:jc w:val="left"/>
              <w:rPr>
                <w:rFonts w:ascii="Times New Roman" w:hAnsi="Times New Roman" w:cs="Times New Roman" w:eastAsia="Times New Roman" w:hint="default"/>
                <w:sz w:val="18"/>
                <w:szCs w:val="18"/>
              </w:rPr>
            </w:pPr>
            <w:r>
              <w:rPr>
                <w:rFonts w:ascii="Times New Roman"/>
                <w:sz w:val="18"/>
              </w:rPr>
              <w:t>1,500,000.00</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4" w:right="0"/>
              <w:jc w:val="left"/>
              <w:rPr>
                <w:rFonts w:ascii="Times New Roman" w:hAnsi="Times New Roman" w:cs="Times New Roman" w:eastAsia="Times New Roman" w:hint="default"/>
                <w:sz w:val="18"/>
                <w:szCs w:val="18"/>
              </w:rPr>
            </w:pPr>
            <w:r>
              <w:rPr>
                <w:rFonts w:ascii="Times New Roman"/>
                <w:sz w:val="18"/>
              </w:rPr>
              <w:t>379,773.10</w:t>
            </w:r>
          </w:p>
        </w:tc>
      </w:tr>
    </w:tbl>
    <w:p>
      <w:pPr>
        <w:spacing w:line="240" w:lineRule="auto" w:before="2"/>
        <w:rPr>
          <w:rFonts w:ascii="宋体" w:hAnsi="宋体" w:cs="宋体" w:eastAsia="宋体" w:hint="default"/>
          <w:sz w:val="27"/>
          <w:szCs w:val="27"/>
        </w:rPr>
      </w:pPr>
    </w:p>
    <w:p>
      <w:pPr>
        <w:pStyle w:val="BodyText"/>
        <w:spacing w:line="240" w:lineRule="auto" w:before="44"/>
        <w:ind w:right="1115"/>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1"/>
        <w:jc w:val="right"/>
      </w:pPr>
      <w:r>
        <w:rPr/>
        <w:t>单位：</w:t>
      </w:r>
      <w:r>
        <w:rPr>
          <w:spacing w:val="1"/>
        </w:rPr>
        <w:t> </w:t>
      </w:r>
      <w:r>
        <w:rPr/>
        <w:t>元</w:t>
      </w:r>
    </w:p>
    <w:p>
      <w:pPr>
        <w:spacing w:after="0" w:line="240" w:lineRule="auto"/>
        <w:jc w:val="right"/>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4724"/>
        <w:gridCol w:w="1827"/>
        <w:gridCol w:w="1537"/>
        <w:gridCol w:w="1610"/>
      </w:tblGrid>
      <w:tr>
        <w:trPr>
          <w:trHeight w:val="401"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中交信通网络科技有限公司</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144,084.90</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1,032,628.51</w:t>
            </w:r>
          </w:p>
        </w:tc>
      </w:tr>
      <w:tr>
        <w:trPr>
          <w:trHeight w:val="403" w:hRule="exact"/>
        </w:trPr>
        <w:tc>
          <w:tcPr>
            <w:tcW w:w="4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北京久其移动商务科技有限公司</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26,415.09</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4,528.30</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2）关联租赁情况" w:id="361"/>
      <w:bookmarkEnd w:id="361"/>
      <w:r>
        <w:rPr>
          <w:b w:val="0"/>
          <w:bCs w:val="0"/>
        </w:rPr>
      </w:r>
      <w:r>
        <w:rPr/>
        <w:t>（</w:t>
      </w:r>
      <w:r>
        <w:rPr>
          <w:rFonts w:ascii="Times New Roman" w:hAnsi="Times New Roman" w:cs="Times New Roman" w:eastAsia="Times New Roman" w:hint="default"/>
        </w:rPr>
        <w:t>2</w:t>
      </w:r>
      <w:r>
        <w:rPr/>
        <w:t>）关联租赁情况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15"/>
        <w:jc w:val="left"/>
      </w:pPr>
      <w:r>
        <w:rPr/>
        <w:t>本公司作为出租方：</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中交信通网络科技有限公司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6" w:right="0"/>
              <w:jc w:val="left"/>
              <w:rPr>
                <w:rFonts w:ascii="Times New Roman" w:hAnsi="Times New Roman" w:cs="Times New Roman" w:eastAsia="Times New Roman" w:hint="default"/>
                <w:sz w:val="18"/>
                <w:szCs w:val="18"/>
              </w:rPr>
            </w:pPr>
            <w:r>
              <w:rPr>
                <w:rFonts w:ascii="Times New Roman"/>
                <w:sz w:val="18"/>
              </w:rPr>
              <w:t>3,330,869.07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6" w:right="0"/>
              <w:jc w:val="left"/>
              <w:rPr>
                <w:rFonts w:ascii="Times New Roman" w:hAnsi="Times New Roman" w:cs="Times New Roman" w:eastAsia="Times New Roman" w:hint="default"/>
                <w:sz w:val="18"/>
                <w:szCs w:val="18"/>
              </w:rPr>
            </w:pPr>
            <w:r>
              <w:rPr>
                <w:rFonts w:ascii="Times New Roman"/>
                <w:sz w:val="18"/>
              </w:rPr>
              <w:t>2,597,607.60</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3）关联担保情况" w:id="362"/>
      <w:bookmarkEnd w:id="362"/>
      <w:r>
        <w:rPr>
          <w:b w:val="0"/>
          <w:bCs w:val="0"/>
        </w:rPr>
      </w:r>
      <w:r>
        <w:rPr/>
        <w:t>（</w:t>
      </w:r>
      <w:r>
        <w:rPr>
          <w:rFonts w:ascii="Times New Roman" w:hAnsi="Times New Roman" w:cs="Times New Roman" w:eastAsia="Times New Roman" w:hint="default"/>
        </w:rPr>
        <w:t>3</w:t>
      </w:r>
      <w:r>
        <w:rPr/>
        <w:t>）关联担保情况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15"/>
        <w:jc w:val="left"/>
      </w:pPr>
      <w:r>
        <w:rPr/>
        <w:t>本公司作为被担保方</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董泰湘、赵福君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董泰湘、赵福君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4）关联方资金拆借" w:id="363"/>
      <w:bookmarkEnd w:id="363"/>
      <w:r>
        <w:rPr>
          <w:b w:val="0"/>
          <w:bCs w:val="0"/>
        </w:rPr>
      </w:r>
      <w:r>
        <w:rPr/>
        <w:t>（</w:t>
      </w:r>
      <w:r>
        <w:rPr>
          <w:rFonts w:ascii="Times New Roman" w:hAnsi="Times New Roman" w:cs="Times New Roman" w:eastAsia="Times New Roman" w:hint="default"/>
        </w:rPr>
        <w:t>4</w:t>
      </w:r>
      <w:r>
        <w:rPr/>
        <w:t>）关联方资金拆借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215"/>
        <w:gridCol w:w="1102"/>
        <w:gridCol w:w="975"/>
        <w:gridCol w:w="974"/>
        <w:gridCol w:w="5432"/>
      </w:tblGrid>
      <w:tr>
        <w:trPr>
          <w:trHeight w:val="402"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3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拆借金额</w:t>
            </w:r>
          </w:p>
        </w:tc>
        <w:tc>
          <w:tcPr>
            <w:tcW w:w="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3" w:right="0"/>
              <w:jc w:val="left"/>
              <w:rPr>
                <w:rFonts w:ascii="宋体" w:hAnsi="宋体" w:cs="宋体" w:eastAsia="宋体" w:hint="default"/>
                <w:sz w:val="18"/>
                <w:szCs w:val="18"/>
              </w:rPr>
            </w:pPr>
            <w:r>
              <w:rPr>
                <w:rFonts w:ascii="宋体" w:hAnsi="宋体" w:cs="宋体" w:eastAsia="宋体" w:hint="default"/>
                <w:sz w:val="18"/>
                <w:szCs w:val="18"/>
              </w:rPr>
              <w:t>起始日</w:t>
            </w:r>
          </w:p>
        </w:tc>
        <w:tc>
          <w:tcPr>
            <w:tcW w:w="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5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69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9"/>
              <w:jc w:val="left"/>
              <w:rPr>
                <w:rFonts w:ascii="宋体" w:hAnsi="宋体" w:cs="宋体" w:eastAsia="宋体" w:hint="default"/>
                <w:sz w:val="18"/>
                <w:szCs w:val="18"/>
              </w:rPr>
            </w:pPr>
            <w:r>
              <w:rPr>
                <w:rFonts w:ascii="宋体" w:hAnsi="宋体" w:cs="宋体" w:eastAsia="宋体" w:hint="default"/>
                <w:sz w:val="18"/>
                <w:szCs w:val="18"/>
              </w:rPr>
              <w:t>北京久其科技 投资有限公司</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96,560,000.00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43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6" w:right="89"/>
              <w:jc w:val="left"/>
              <w:rPr>
                <w:rFonts w:ascii="宋体" w:hAnsi="宋体" w:cs="宋体" w:eastAsia="宋体" w:hint="default"/>
                <w:sz w:val="18"/>
                <w:szCs w:val="18"/>
              </w:rPr>
            </w:pPr>
            <w:r>
              <w:rPr>
                <w:rFonts w:ascii="宋体" w:hAnsi="宋体" w:cs="宋体" w:eastAsia="宋体" w:hint="default"/>
                <w:sz w:val="18"/>
                <w:szCs w:val="18"/>
              </w:rPr>
              <w:t>本公司已于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日提前偿还久其科技全部借款，该借款 本期产生的利息费用共计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1,597,755.00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元（利率为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4.35%</w:t>
            </w:r>
            <w:r>
              <w:rPr>
                <w:rFonts w:ascii="宋体" w:hAnsi="宋体" w:cs="宋体" w:eastAsia="宋体" w:hint="default"/>
                <w:sz w:val="18"/>
                <w:szCs w:val="18"/>
              </w:rPr>
              <w:t>）</w:t>
            </w:r>
          </w:p>
        </w:tc>
      </w:tr>
    </w:tbl>
    <w:p>
      <w:pPr>
        <w:pStyle w:val="BodyText"/>
        <w:spacing w:line="240" w:lineRule="auto" w:before="8"/>
        <w:ind w:right="1115"/>
        <w:jc w:val="left"/>
      </w:pPr>
      <w:r>
        <w:rPr/>
        <w:t>其他说明：公司已于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r>
        <w:rPr/>
        <w:t>日提前偿还久其科技全部借款，该借款本期产生的利息费用共计</w:t>
      </w:r>
      <w:r>
        <w:rPr>
          <w:rFonts w:ascii="Times New Roman" w:hAnsi="Times New Roman" w:cs="Times New Roman" w:eastAsia="Times New Roman" w:hint="default"/>
        </w:rPr>
        <w:t>1,597,755.00</w:t>
      </w:r>
      <w:r>
        <w:rPr/>
        <w:t>元（利率为</w:t>
      </w:r>
    </w:p>
    <w:p>
      <w:pPr>
        <w:pStyle w:val="BodyText"/>
        <w:spacing w:line="240" w:lineRule="auto" w:before="63"/>
        <w:ind w:right="1115"/>
        <w:jc w:val="left"/>
      </w:pPr>
      <w:r>
        <w:rPr>
          <w:rFonts w:ascii="Times New Roman" w:hAnsi="Times New Roman" w:cs="Times New Roman" w:eastAsia="Times New Roman" w:hint="default"/>
          <w:spacing w:val="1"/>
        </w:rPr>
        <w:t>4</w:t>
      </w:r>
      <w:r>
        <w:rPr>
          <w:rFonts w:ascii="Times New Roman" w:hAnsi="Times New Roman" w:cs="Times New Roman" w:eastAsia="Times New Roman" w:hint="default"/>
        </w:rPr>
        <w:t>.</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1"/>
        </w:rPr>
        <w:t>%</w:t>
      </w:r>
      <w:r>
        <w:rPr>
          <w:spacing w:val="-92"/>
        </w:rPr>
        <w:t>）</w:t>
      </w:r>
      <w:r>
        <w:rPr/>
        <w:t>。</w:t>
      </w:r>
    </w:p>
    <w:p>
      <w:pPr>
        <w:spacing w:line="240" w:lineRule="auto" w:before="2"/>
        <w:rPr>
          <w:rFonts w:ascii="宋体" w:hAnsi="宋体" w:cs="宋体" w:eastAsia="宋体" w:hint="default"/>
          <w:sz w:val="26"/>
          <w:szCs w:val="26"/>
        </w:rPr>
      </w:pPr>
    </w:p>
    <w:p>
      <w:pPr>
        <w:pStyle w:val="Heading3"/>
        <w:spacing w:line="240" w:lineRule="auto"/>
        <w:ind w:right="1115"/>
        <w:jc w:val="left"/>
        <w:rPr>
          <w:b w:val="0"/>
          <w:bCs w:val="0"/>
        </w:rPr>
      </w:pPr>
      <w:bookmarkStart w:name="（5） 关联方股权转让" w:id="364"/>
      <w:bookmarkEnd w:id="364"/>
      <w:r>
        <w:rPr>
          <w:b w:val="0"/>
          <w:bCs w:val="0"/>
        </w:rPr>
      </w:r>
      <w:r>
        <w:rPr/>
        <w:t>（</w:t>
      </w:r>
      <w:r>
        <w:rPr>
          <w:rFonts w:ascii="Times New Roman" w:hAnsi="Times New Roman" w:cs="Times New Roman" w:eastAsia="Times New Roman" w:hint="default"/>
        </w:rPr>
        <w:t>5</w:t>
      </w:r>
      <w:r>
        <w:rPr/>
        <w:t>） 关联方股权转让</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15"/>
        <w:jc w:val="left"/>
      </w:pPr>
      <w:r>
        <w:rPr>
          <w:spacing w:val="-3"/>
        </w:rPr>
        <w:t>本公司</w:t>
      </w:r>
      <w:r>
        <w:rPr>
          <w:rFonts w:ascii="Times New Roman" w:hAnsi="Times New Roman" w:cs="Times New Roman" w:eastAsia="Times New Roman" w:hint="default"/>
          <w:spacing w:val="-3"/>
        </w:rPr>
        <w:t>2019</w:t>
      </w:r>
      <w:r>
        <w:rPr>
          <w:spacing w:val="-3"/>
        </w:rPr>
        <w:t>年度向启顺通达转让上海移通</w:t>
      </w:r>
      <w:r>
        <w:rPr>
          <w:rFonts w:ascii="Times New Roman" w:hAnsi="Times New Roman" w:cs="Times New Roman" w:eastAsia="Times New Roman" w:hint="default"/>
          <w:spacing w:val="-3"/>
        </w:rPr>
        <w:t>100.00%</w:t>
      </w:r>
      <w:r>
        <w:rPr>
          <w:spacing w:val="-3"/>
        </w:rPr>
        <w:t>的股权，转让价款</w:t>
      </w:r>
      <w:r>
        <w:rPr>
          <w:rFonts w:ascii="Times New Roman" w:hAnsi="Times New Roman" w:cs="Times New Roman" w:eastAsia="Times New Roman" w:hint="default"/>
          <w:spacing w:val="-3"/>
        </w:rPr>
        <w:t>3.03</w:t>
      </w:r>
      <w:r>
        <w:rPr>
          <w:spacing w:val="-3"/>
        </w:rPr>
        <w:t>亿元，详见本节“八、合并范围的变更”及“十六、</w:t>
      </w:r>
      <w:r>
        <w:rPr>
          <w:spacing w:val="-54"/>
        </w:rPr>
        <w:t> </w:t>
      </w:r>
      <w:r>
        <w:rPr>
          <w:spacing w:val="-54"/>
        </w:rPr>
      </w:r>
      <w:r>
        <w:rPr/>
        <w:t>其他重要事项”相关内容。</w:t>
      </w:r>
    </w:p>
    <w:p>
      <w:pPr>
        <w:spacing w:line="240" w:lineRule="auto" w:before="10"/>
        <w:rPr>
          <w:rFonts w:ascii="宋体" w:hAnsi="宋体" w:cs="宋体" w:eastAsia="宋体" w:hint="default"/>
          <w:sz w:val="23"/>
          <w:szCs w:val="23"/>
        </w:rPr>
      </w:pPr>
    </w:p>
    <w:p>
      <w:pPr>
        <w:pStyle w:val="Heading3"/>
        <w:spacing w:line="240" w:lineRule="auto"/>
        <w:ind w:right="1115"/>
        <w:jc w:val="left"/>
        <w:rPr>
          <w:b w:val="0"/>
          <w:bCs w:val="0"/>
        </w:rPr>
      </w:pPr>
      <w:bookmarkStart w:name="（6）关键管理人员报酬" w:id="365"/>
      <w:bookmarkEnd w:id="365"/>
      <w:r>
        <w:rPr>
          <w:b w:val="0"/>
          <w:bCs w:val="0"/>
        </w:rPr>
      </w:r>
      <w:r>
        <w:rPr/>
        <w:t>（</w:t>
      </w:r>
      <w:r>
        <w:rPr>
          <w:rFonts w:ascii="Times New Roman" w:hAnsi="Times New Roman" w:cs="Times New Roman" w:eastAsia="Times New Roman" w:hint="default"/>
        </w:rPr>
        <w:t>6</w:t>
      </w:r>
      <w:r>
        <w:rPr/>
        <w:t>）关键管理人员报酬</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9,894,821.21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8,091,438.51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15"/>
        <w:jc w:val="left"/>
        <w:rPr>
          <w:b w:val="0"/>
          <w:bCs w:val="0"/>
        </w:rPr>
      </w:pPr>
      <w:bookmarkStart w:name="（7）其他关联交易" w:id="366"/>
      <w:bookmarkEnd w:id="366"/>
      <w:r>
        <w:rPr>
          <w:b w:val="0"/>
          <w:bCs w:val="0"/>
        </w:rPr>
      </w:r>
      <w:r>
        <w:rPr/>
        <w:t>（</w:t>
      </w:r>
      <w:r>
        <w:rPr>
          <w:rFonts w:ascii="Times New Roman" w:hAnsi="Times New Roman" w:cs="Times New Roman" w:eastAsia="Times New Roman" w:hint="default"/>
        </w:rPr>
        <w:t>7</w:t>
      </w:r>
      <w:r>
        <w:rPr/>
        <w:t>）其他关联交易</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15"/>
        <w:jc w:val="left"/>
        <w:rPr>
          <w:b w:val="0"/>
          <w:bCs w:val="0"/>
        </w:rPr>
      </w:pPr>
      <w:bookmarkStart w:name="6、关联方应收应付款项" w:id="367"/>
      <w:bookmarkEnd w:id="367"/>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5"/>
        <w:jc w:val="left"/>
        <w:rPr>
          <w:b w:val="0"/>
          <w:bCs w:val="0"/>
        </w:rPr>
      </w:pPr>
      <w:bookmarkStart w:name="（1）应付项目" w:id="368"/>
      <w:bookmarkEnd w:id="368"/>
      <w:r>
        <w:rPr>
          <w:b w:val="0"/>
          <w:bCs w:val="0"/>
        </w:rPr>
      </w:r>
      <w:r>
        <w:rPr/>
        <w:t>（</w:t>
      </w:r>
      <w:r>
        <w:rPr>
          <w:rFonts w:ascii="Times New Roman" w:hAnsi="Times New Roman" w:cs="Times New Roman" w:eastAsia="Times New Roman" w:hint="default"/>
        </w:rPr>
        <w:t>1</w:t>
      </w:r>
      <w:r>
        <w:rPr/>
        <w:t>）应付项目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280"/>
        <w:gridCol w:w="3575"/>
        <w:gridCol w:w="1885"/>
        <w:gridCol w:w="1958"/>
      </w:tblGrid>
      <w:tr>
        <w:trPr>
          <w:trHeight w:val="403" w:hRule="exact"/>
        </w:trPr>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3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北京久其移动商务科技有限公司</w:t>
            </w:r>
          </w:p>
        </w:tc>
        <w:tc>
          <w:tcPr>
            <w:tcW w:w="1885"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11,000.00</w:t>
            </w:r>
          </w:p>
        </w:tc>
      </w:tr>
      <w:tr>
        <w:trPr>
          <w:trHeight w:val="404"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北京久其科技投资有限公司</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232,000,000.00</w:t>
            </w:r>
          </w:p>
        </w:tc>
      </w:tr>
      <w:tr>
        <w:trPr>
          <w:trHeight w:val="401"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中交信通网络科技有限公司</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247,291.00</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227,291.00</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北京久其移动商务科技有限公司</w:t>
            </w:r>
          </w:p>
        </w:tc>
        <w:tc>
          <w:tcPr>
            <w:tcW w:w="1885"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7、关联方承诺" w:id="369"/>
      <w:bookmarkEnd w:id="369"/>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2"/>
          <w:szCs w:val="22"/>
        </w:rPr>
      </w:pPr>
    </w:p>
    <w:p>
      <w:pPr>
        <w:pStyle w:val="BodyText"/>
        <w:spacing w:line="240" w:lineRule="auto"/>
        <w:ind w:right="1115"/>
        <w:jc w:val="left"/>
        <w:rPr>
          <w:rFonts w:ascii="微软雅黑" w:hAnsi="微软雅黑" w:cs="微软雅黑" w:eastAsia="微软雅黑" w:hint="default"/>
        </w:rPr>
      </w:pPr>
      <w:r>
        <w:rPr/>
        <w:t>详见本节 “十六、其他重要事项</w:t>
      </w:r>
      <w:r>
        <w:rPr>
          <w:spacing w:val="-1"/>
        </w:rPr>
        <w:t> </w:t>
      </w:r>
      <w:r>
        <w:rPr>
          <w:rFonts w:ascii="Times New Roman" w:hAnsi="Times New Roman" w:cs="Times New Roman" w:eastAsia="Times New Roman" w:hint="default"/>
        </w:rPr>
        <w:t>2</w:t>
      </w:r>
      <w:r>
        <w:rPr/>
        <w:t>、其他对投资者决策有影响的重要交易和事项”</w:t>
      </w:r>
      <w:r>
        <w:rPr>
          <w:rFonts w:ascii="微软雅黑" w:hAnsi="微软雅黑" w:cs="微软雅黑" w:eastAsia="微软雅黑" w:hint="default"/>
        </w:rPr>
        <w:t>｡</w:t>
      </w:r>
    </w:p>
    <w:p>
      <w:pPr>
        <w:spacing w:line="240" w:lineRule="auto" w:before="8"/>
        <w:rPr>
          <w:rFonts w:ascii="微软雅黑" w:hAnsi="微软雅黑" w:cs="微软雅黑" w:eastAsia="微软雅黑" w:hint="default"/>
          <w:sz w:val="17"/>
          <w:szCs w:val="17"/>
        </w:rPr>
      </w:pPr>
    </w:p>
    <w:p>
      <w:pPr>
        <w:pStyle w:val="Heading2"/>
        <w:spacing w:line="240" w:lineRule="auto"/>
        <w:ind w:right="1115"/>
        <w:jc w:val="left"/>
        <w:rPr>
          <w:b w:val="0"/>
          <w:bCs w:val="0"/>
        </w:rPr>
      </w:pPr>
      <w:bookmarkStart w:name="十三、股份支付" w:id="370"/>
      <w:bookmarkEnd w:id="370"/>
      <w:r>
        <w:rPr>
          <w:b w:val="0"/>
          <w:bCs w:val="0"/>
        </w:rPr>
      </w:r>
      <w:r>
        <w:rPr/>
        <w:t>十三、股份支付</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5"/>
        <w:jc w:val="left"/>
        <w:rPr>
          <w:b w:val="0"/>
          <w:bCs w:val="0"/>
        </w:rPr>
      </w:pPr>
      <w:bookmarkStart w:name="1、股份支付总体情况" w:id="371"/>
      <w:bookmarkEnd w:id="371"/>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653"/>
        <w:gridCol w:w="5917"/>
      </w:tblGrid>
      <w:tr>
        <w:trPr>
          <w:trHeight w:val="402" w:hRule="exact"/>
        </w:trPr>
        <w:tc>
          <w:tcPr>
            <w:tcW w:w="3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316,000.00</w:t>
            </w:r>
          </w:p>
        </w:tc>
      </w:tr>
      <w:tr>
        <w:trPr>
          <w:trHeight w:val="714" w:hRule="exact"/>
        </w:trPr>
        <w:tc>
          <w:tcPr>
            <w:tcW w:w="3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198"/>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 围和合同剩余期限</w:t>
            </w:r>
          </w:p>
        </w:tc>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首次授予部分价格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股，预留授予部分价格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股；首次授予部</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分的合同剩余期限为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0.75 </w:t>
            </w:r>
            <w:r>
              <w:rPr>
                <w:rFonts w:ascii="宋体" w:hAnsi="宋体" w:cs="宋体" w:eastAsia="宋体" w:hint="default"/>
                <w:sz w:val="18"/>
                <w:szCs w:val="18"/>
              </w:rPr>
              <w:t>年，预留授予部分的合同剩余期限为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0.75 </w:t>
            </w:r>
            <w:r>
              <w:rPr>
                <w:rFonts w:ascii="宋体" w:hAnsi="宋体" w:cs="宋体" w:eastAsia="宋体" w:hint="default"/>
                <w:sz w:val="18"/>
                <w:szCs w:val="18"/>
              </w:rPr>
              <w:t>年。</w:t>
            </w:r>
          </w:p>
        </w:tc>
      </w:tr>
    </w:tbl>
    <w:p>
      <w:pPr>
        <w:pStyle w:val="BodyText"/>
        <w:spacing w:line="240" w:lineRule="auto" w:before="49"/>
        <w:ind w:right="1115"/>
        <w:jc w:val="left"/>
      </w:pPr>
      <w:r>
        <w:rPr/>
        <w:t>其他说明</w:t>
      </w:r>
    </w:p>
    <w:p>
      <w:pPr>
        <w:pStyle w:val="BodyText"/>
        <w:spacing w:line="302" w:lineRule="auto" w:before="115"/>
        <w:ind w:right="1124"/>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）首次授予部分</w:t>
      </w:r>
      <w:r>
        <w:rPr>
          <w:rFonts w:ascii="宋体" w:hAnsi="宋体" w:cs="宋体" w:eastAsia="宋体" w:hint="default"/>
          <w:b/>
          <w:bCs/>
          <w:w w:val="99"/>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日，公司召开的第六届董事会第十四次会议审议通过了《关于向公司</w:t>
      </w:r>
      <w:r>
        <w:rPr>
          <w:rFonts w:ascii="Times New Roman" w:hAnsi="Times New Roman" w:cs="Times New Roman" w:eastAsia="Times New Roman" w:hint="default"/>
        </w:rPr>
        <w:t>2017</w:t>
      </w:r>
      <w:r>
        <w:rPr/>
        <w:t>年度限制性股票激励计划激励对象首</w:t>
      </w:r>
      <w:r>
        <w:rPr>
          <w:spacing w:val="-86"/>
        </w:rPr>
        <w:t> </w:t>
      </w:r>
      <w:r>
        <w:rPr>
          <w:spacing w:val="-86"/>
        </w:rPr>
      </w:r>
      <w:r>
        <w:rPr/>
        <w:t>次授予限制性股票的议案》，授予日为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日，授予</w:t>
      </w:r>
      <w:r>
        <w:rPr>
          <w:rFonts w:ascii="Times New Roman" w:hAnsi="Times New Roman" w:cs="Times New Roman" w:eastAsia="Times New Roman" w:hint="default"/>
        </w:rPr>
        <w:t>347</w:t>
      </w:r>
      <w:r>
        <w:rPr/>
        <w:t>名激励对象</w:t>
      </w:r>
      <w:r>
        <w:rPr>
          <w:rFonts w:ascii="Times New Roman" w:hAnsi="Times New Roman" w:cs="Times New Roman" w:eastAsia="Times New Roman" w:hint="default"/>
        </w:rPr>
        <w:t>720</w:t>
      </w:r>
      <w:r>
        <w:rPr/>
        <w:t>万股限制性股票，在资金缴纳、股份登记过</w:t>
      </w:r>
      <w:r>
        <w:rPr>
          <w:spacing w:val="-86"/>
        </w:rPr>
        <w:t> </w:t>
      </w:r>
      <w:r>
        <w:rPr>
          <w:spacing w:val="-86"/>
        </w:rPr>
      </w:r>
      <w:r>
        <w:rPr/>
        <w:t>程中，有</w:t>
      </w:r>
      <w:r>
        <w:rPr>
          <w:rFonts w:ascii="Times New Roman" w:hAnsi="Times New Roman" w:cs="Times New Roman" w:eastAsia="Times New Roman" w:hint="default"/>
        </w:rPr>
        <w:t>21</w:t>
      </w:r>
      <w:r>
        <w:rPr/>
        <w:t>名激励对象因个人原因放弃认购，因此，公司激励计划实际授予</w:t>
      </w:r>
      <w:r>
        <w:rPr>
          <w:rFonts w:ascii="Times New Roman" w:hAnsi="Times New Roman" w:cs="Times New Roman" w:eastAsia="Times New Roman" w:hint="default"/>
        </w:rPr>
        <w:t>326</w:t>
      </w:r>
      <w:r>
        <w:rPr/>
        <w:t>名激励对象共计</w:t>
      </w:r>
      <w:r>
        <w:rPr>
          <w:rFonts w:ascii="Times New Roman" w:hAnsi="Times New Roman" w:cs="Times New Roman" w:eastAsia="Times New Roman" w:hint="default"/>
        </w:rPr>
        <w:t>707.08</w:t>
      </w:r>
      <w:r>
        <w:rPr/>
        <w:t>万股限制性股票。根</w:t>
      </w:r>
      <w:r>
        <w:rPr>
          <w:spacing w:val="-43"/>
        </w:rPr>
        <w:t> </w:t>
      </w:r>
      <w:r>
        <w:rPr>
          <w:spacing w:val="-43"/>
        </w:rPr>
      </w:r>
      <w:r>
        <w:rPr>
          <w:spacing w:val="-2"/>
        </w:rPr>
        <w:t>据相关规定，本股权激励计划有效期为自限制性股票授予之日起至激励对象获授的限制性股票全部解除限售或回购注销之日</w:t>
      </w:r>
      <w:r>
        <w:rPr>
          <w:spacing w:val="-64"/>
        </w:rPr>
        <w:t> </w:t>
      </w:r>
      <w:r>
        <w:rPr>
          <w:spacing w:val="-64"/>
        </w:rPr>
      </w:r>
      <w:r>
        <w:rPr>
          <w:spacing w:val="-2"/>
        </w:rPr>
        <w:t>止，最长不超过</w:t>
      </w:r>
      <w:r>
        <w:rPr>
          <w:rFonts w:ascii="Times New Roman" w:hAnsi="Times New Roman" w:cs="Times New Roman" w:eastAsia="Times New Roman" w:hint="default"/>
          <w:spacing w:val="-2"/>
        </w:rPr>
        <w:t>48</w:t>
      </w:r>
      <w:r>
        <w:rPr>
          <w:spacing w:val="-2"/>
        </w:rPr>
        <w:t>个月。本激励计划的等待期为自激励对象获授限制性股票完成登记之日起</w:t>
      </w:r>
      <w:r>
        <w:rPr>
          <w:rFonts w:ascii="Times New Roman" w:hAnsi="Times New Roman" w:cs="Times New Roman" w:eastAsia="Times New Roman" w:hint="default"/>
          <w:spacing w:val="-2"/>
        </w:rPr>
        <w:t>12</w:t>
      </w:r>
      <w:r>
        <w:rPr>
          <w:spacing w:val="-2"/>
        </w:rPr>
        <w:t>个月，</w:t>
      </w:r>
      <w:r>
        <w:rPr>
          <w:rFonts w:ascii="Times New Roman" w:hAnsi="Times New Roman" w:cs="Times New Roman" w:eastAsia="Times New Roman" w:hint="default"/>
          <w:spacing w:val="-2"/>
        </w:rPr>
        <w:t>12</w:t>
      </w:r>
      <w:r>
        <w:rPr>
          <w:spacing w:val="-2"/>
        </w:rPr>
        <w:t>个月后将根据业绩考</w:t>
      </w:r>
      <w:r>
        <w:rPr>
          <w:spacing w:val="-62"/>
        </w:rPr>
        <w:t> </w:t>
      </w:r>
      <w:r>
        <w:rPr>
          <w:spacing w:val="-62"/>
        </w:rPr>
      </w:r>
      <w:r>
        <w:rPr/>
        <w:t>核情况（包括公司业绩及个人绩效考核结果）解除限售，其中首次授予将分三期按照</w:t>
      </w:r>
      <w:r>
        <w:rPr>
          <w:rFonts w:ascii="Times New Roman" w:hAnsi="Times New Roman" w:cs="Times New Roman" w:eastAsia="Times New Roman" w:hint="default"/>
        </w:rPr>
        <w:t>40%</w:t>
      </w:r>
      <w:r>
        <w:rPr/>
        <w:t>、</w:t>
      </w:r>
      <w:r>
        <w:rPr>
          <w:rFonts w:ascii="Times New Roman" w:hAnsi="Times New Roman" w:cs="Times New Roman" w:eastAsia="Times New Roman" w:hint="default"/>
        </w:rPr>
        <w:t>30%</w:t>
      </w:r>
      <w:r>
        <w:rPr/>
        <w:t>、</w:t>
      </w:r>
      <w:r>
        <w:rPr>
          <w:rFonts w:ascii="Times New Roman" w:hAnsi="Times New Roman" w:cs="Times New Roman" w:eastAsia="Times New Roman" w:hint="default"/>
        </w:rPr>
        <w:t>30%</w:t>
      </w:r>
      <w:r>
        <w:rPr/>
        <w:t>比例解除限售，因预</w:t>
      </w:r>
      <w:r>
        <w:rPr>
          <w:spacing w:val="-85"/>
        </w:rPr>
        <w:t> </w:t>
      </w:r>
      <w:r>
        <w:rPr/>
        <w:t>留部分未在</w:t>
      </w:r>
      <w:r>
        <w:rPr>
          <w:rFonts w:ascii="Times New Roman" w:hAnsi="Times New Roman" w:cs="Times New Roman" w:eastAsia="Times New Roman" w:hint="default"/>
        </w:rPr>
        <w:t>2017</w:t>
      </w:r>
      <w:r>
        <w:rPr/>
        <w:t>年度授出，如在</w:t>
      </w:r>
      <w:r>
        <w:rPr>
          <w:rFonts w:ascii="Times New Roman" w:hAnsi="Times New Roman" w:cs="Times New Roman" w:eastAsia="Times New Roman" w:hint="default"/>
        </w:rPr>
        <w:t>2018</w:t>
      </w:r>
      <w:r>
        <w:rPr/>
        <w:t>年授出，该部分限制性股票将按照</w:t>
      </w:r>
      <w:r>
        <w:rPr>
          <w:rFonts w:ascii="Times New Roman" w:hAnsi="Times New Roman" w:cs="Times New Roman" w:eastAsia="Times New Roman" w:hint="default"/>
        </w:rPr>
        <w:t>50%</w:t>
      </w:r>
      <w:r>
        <w:rPr/>
        <w:t>、</w:t>
      </w:r>
      <w:r>
        <w:rPr>
          <w:rFonts w:ascii="Times New Roman" w:hAnsi="Times New Roman" w:cs="Times New Roman" w:eastAsia="Times New Roman" w:hint="default"/>
        </w:rPr>
        <w:t>50%</w:t>
      </w:r>
      <w:r>
        <w:rPr/>
        <w:t>的比例解除限售。首次授予部分价格</w:t>
      </w:r>
      <w:r>
        <w:rPr>
          <w:rFonts w:ascii="Times New Roman" w:hAnsi="Times New Roman" w:cs="Times New Roman" w:eastAsia="Times New Roman" w:hint="default"/>
        </w:rPr>
        <w:t>6.10</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29"/>
        </w:rPr>
      </w:r>
      <w:r>
        <w:rPr/>
        <w:t>元</w:t>
      </w:r>
      <w:r>
        <w:rPr>
          <w:rFonts w:ascii="Times New Roman" w:hAnsi="Times New Roman" w:cs="Times New Roman" w:eastAsia="Times New Roman" w:hint="default"/>
        </w:rPr>
        <w:t>/</w:t>
      </w:r>
      <w:r>
        <w:rPr/>
        <w:t>股。 </w:t>
      </w:r>
      <w:r>
        <w:rPr>
          <w:spacing w:val="3"/>
        </w:rPr>
        <w:t>截至</w:t>
      </w:r>
      <w:r>
        <w:rPr>
          <w:rFonts w:ascii="Times New Roman" w:hAnsi="Times New Roman" w:cs="Times New Roman" w:eastAsia="Times New Roman" w:hint="default"/>
          <w:spacing w:val="3"/>
        </w:rPr>
        <w:t>2018</w:t>
      </w:r>
      <w:r>
        <w:rPr>
          <w:spacing w:val="3"/>
        </w:rPr>
        <w:t>年末，公司累计解锁的股票份额为</w:t>
      </w:r>
      <w:r>
        <w:rPr>
          <w:rFonts w:ascii="Times New Roman" w:hAnsi="Times New Roman" w:cs="Times New Roman" w:eastAsia="Times New Roman" w:hint="default"/>
          <w:spacing w:val="3"/>
        </w:rPr>
        <w:t>2,704,960</w:t>
      </w:r>
      <w:r>
        <w:rPr>
          <w:spacing w:val="3"/>
        </w:rPr>
        <w:t>股，累计失效的股票份额为</w:t>
      </w:r>
      <w:r>
        <w:rPr>
          <w:rFonts w:ascii="Times New Roman" w:hAnsi="Times New Roman" w:cs="Times New Roman" w:eastAsia="Times New Roman" w:hint="default"/>
          <w:spacing w:val="3"/>
        </w:rPr>
        <w:t>260,400</w:t>
      </w:r>
      <w:r>
        <w:rPr>
          <w:spacing w:val="3"/>
        </w:rPr>
        <w:t>股。本期新增解锁的股票份额为</w:t>
      </w:r>
      <w:r>
        <w:rPr/>
      </w:r>
    </w:p>
    <w:p>
      <w:pPr>
        <w:spacing w:after="0" w:line="302"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00" w:lineRule="auto" w:before="44"/>
        <w:ind w:right="1115"/>
        <w:jc w:val="left"/>
      </w:pPr>
      <w:r>
        <w:rPr>
          <w:rFonts w:ascii="Times New Roman" w:hAnsi="Times New Roman" w:cs="Times New Roman" w:eastAsia="Times New Roman" w:hint="default"/>
        </w:rPr>
        <w:t>1,934,820</w:t>
      </w:r>
      <w:r>
        <w:rPr/>
        <w:t>股；本期失效的股票份额为</w:t>
      </w:r>
      <w:r>
        <w:rPr>
          <w:rFonts w:ascii="Times New Roman" w:hAnsi="Times New Roman" w:cs="Times New Roman" w:eastAsia="Times New Roman" w:hint="default"/>
        </w:rPr>
        <w:t>231,000</w:t>
      </w:r>
      <w:r>
        <w:rPr/>
        <w:t>股。截至</w:t>
      </w:r>
      <w:r>
        <w:rPr>
          <w:rFonts w:ascii="Times New Roman" w:hAnsi="Times New Roman" w:cs="Times New Roman" w:eastAsia="Times New Roman" w:hint="default"/>
        </w:rPr>
        <w:t>2019</w:t>
      </w:r>
      <w:r>
        <w:rPr/>
        <w:t>年末，公司累计解锁的股票份额为</w:t>
      </w:r>
      <w:r>
        <w:rPr>
          <w:rFonts w:ascii="Times New Roman" w:hAnsi="Times New Roman" w:cs="Times New Roman" w:eastAsia="Times New Roman" w:hint="default"/>
        </w:rPr>
        <w:t>4,639,780</w:t>
      </w:r>
      <w:r>
        <w:rPr/>
        <w:t>股，累计失效的股票</w:t>
      </w:r>
      <w:r>
        <w:rPr>
          <w:spacing w:val="-53"/>
        </w:rPr>
        <w:t> </w:t>
      </w:r>
      <w:r>
        <w:rPr>
          <w:spacing w:val="-53"/>
        </w:rPr>
      </w:r>
      <w:r>
        <w:rPr/>
        <w:t>份额为</w:t>
      </w:r>
      <w:r>
        <w:rPr>
          <w:rFonts w:ascii="Times New Roman" w:hAnsi="Times New Roman" w:cs="Times New Roman" w:eastAsia="Times New Roman" w:hint="default"/>
        </w:rPr>
        <w:t>491,400</w:t>
      </w:r>
      <w:r>
        <w:rPr/>
        <w:t>股。剩余限制性股票份额为</w:t>
      </w:r>
      <w:r>
        <w:rPr>
          <w:rFonts w:ascii="Times New Roman" w:hAnsi="Times New Roman" w:cs="Times New Roman" w:eastAsia="Times New Roman" w:hint="default"/>
        </w:rPr>
        <w:t>1,939,620</w:t>
      </w:r>
      <w:r>
        <w:rPr/>
        <w:t>股，剩余期限为</w:t>
      </w:r>
      <w:r>
        <w:rPr>
          <w:rFonts w:ascii="Times New Roman" w:hAnsi="Times New Roman" w:cs="Times New Roman" w:eastAsia="Times New Roman" w:hint="default"/>
        </w:rPr>
        <w:t>0.75</w:t>
      </w:r>
      <w:r>
        <w:rPr/>
        <w:t>年。</w:t>
      </w:r>
    </w:p>
    <w:p>
      <w:pPr>
        <w:pStyle w:val="BodyText"/>
        <w:spacing w:line="300" w:lineRule="auto" w:before="13"/>
        <w:ind w:right="1124"/>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）预留授予部分</w:t>
      </w:r>
      <w:r>
        <w:rPr>
          <w:rFonts w:ascii="宋体" w:hAnsi="宋体" w:cs="宋体" w:eastAsia="宋体" w:hint="default"/>
          <w:b/>
          <w:bCs/>
          <w:w w:val="99"/>
        </w:rPr>
        <w:t> </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6</w:t>
      </w:r>
      <w:r>
        <w:rPr>
          <w:spacing w:val="-2"/>
        </w:rPr>
        <w:t>日，公司召开的第六届董事会第二十八次（临时）会议审议通过了《关于向公司</w:t>
      </w:r>
      <w:r>
        <w:rPr>
          <w:rFonts w:ascii="Times New Roman" w:hAnsi="Times New Roman" w:cs="Times New Roman" w:eastAsia="Times New Roman" w:hint="default"/>
          <w:spacing w:val="-2"/>
        </w:rPr>
        <w:t>2017</w:t>
      </w:r>
      <w:r>
        <w:rPr>
          <w:spacing w:val="-2"/>
        </w:rPr>
        <w:t>年度限制性股票激励计划激</w:t>
      </w:r>
      <w:r>
        <w:rPr>
          <w:spacing w:val="-57"/>
        </w:rPr>
        <w:t> </w:t>
      </w:r>
      <w:r>
        <w:rPr>
          <w:spacing w:val="-57"/>
        </w:rPr>
      </w:r>
      <w:r>
        <w:rPr>
          <w:spacing w:val="-2"/>
        </w:rPr>
        <w:t>励对象授予预留限制性股票的议案》，授予日为</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6</w:t>
      </w:r>
      <w:r>
        <w:rPr>
          <w:spacing w:val="-2"/>
        </w:rPr>
        <w:t>日，授予</w:t>
      </w:r>
      <w:r>
        <w:rPr>
          <w:rFonts w:ascii="Times New Roman" w:hAnsi="Times New Roman" w:cs="Times New Roman" w:eastAsia="Times New Roman" w:hint="default"/>
          <w:spacing w:val="-2"/>
        </w:rPr>
        <w:t>41</w:t>
      </w:r>
      <w:r>
        <w:rPr>
          <w:spacing w:val="-2"/>
        </w:rPr>
        <w:t>名激励对象</w:t>
      </w:r>
      <w:r>
        <w:rPr>
          <w:rFonts w:ascii="Times New Roman" w:hAnsi="Times New Roman" w:cs="Times New Roman" w:eastAsia="Times New Roman" w:hint="default"/>
          <w:spacing w:val="-2"/>
        </w:rPr>
        <w:t>80</w:t>
      </w:r>
      <w:r>
        <w:rPr>
          <w:spacing w:val="-2"/>
        </w:rPr>
        <w:t>万股限制性股票，在预留限制性股票授</w:t>
      </w:r>
      <w:r>
        <w:rPr>
          <w:spacing w:val="-56"/>
        </w:rPr>
        <w:t> </w:t>
      </w:r>
      <w:r>
        <w:rPr>
          <w:spacing w:val="-56"/>
        </w:rPr>
      </w:r>
      <w:r>
        <w:rPr/>
        <w:t>予过程中，</w:t>
      </w:r>
      <w:r>
        <w:rPr>
          <w:rFonts w:ascii="Times New Roman" w:hAnsi="Times New Roman" w:cs="Times New Roman" w:eastAsia="Times New Roman" w:hint="default"/>
        </w:rPr>
        <w:t>3</w:t>
      </w:r>
      <w:r>
        <w:rPr/>
        <w:t>名激励对象由于个人原因自愿放弃认购。因此，公司激励计划实际授予</w:t>
      </w:r>
      <w:r>
        <w:rPr>
          <w:rFonts w:ascii="Times New Roman" w:hAnsi="Times New Roman" w:cs="Times New Roman" w:eastAsia="Times New Roman" w:hint="default"/>
        </w:rPr>
        <w:t>38</w:t>
      </w:r>
      <w:r>
        <w:rPr/>
        <w:t>名激励对象共计</w:t>
      </w:r>
      <w:r>
        <w:rPr>
          <w:rFonts w:ascii="Times New Roman" w:hAnsi="Times New Roman" w:cs="Times New Roman" w:eastAsia="Times New Roman" w:hint="default"/>
        </w:rPr>
        <w:t>79</w:t>
      </w:r>
      <w:r>
        <w:rPr/>
        <w:t>万股限制性股票。</w:t>
      </w:r>
      <w:r>
        <w:rPr>
          <w:spacing w:val="-83"/>
        </w:rPr>
        <w:t> </w:t>
      </w:r>
      <w:r>
        <w:rPr/>
        <w:t>根据相关规定，该部分限制性股票将按照</w:t>
      </w:r>
      <w:r>
        <w:rPr>
          <w:rFonts w:ascii="Times New Roman" w:hAnsi="Times New Roman" w:cs="Times New Roman" w:eastAsia="Times New Roman" w:hint="default"/>
        </w:rPr>
        <w:t>50%</w:t>
      </w:r>
      <w:r>
        <w:rPr/>
        <w:t>、</w:t>
      </w:r>
      <w:r>
        <w:rPr>
          <w:rFonts w:ascii="Times New Roman" w:hAnsi="Times New Roman" w:cs="Times New Roman" w:eastAsia="Times New Roman" w:hint="default"/>
        </w:rPr>
        <w:t>50%</w:t>
      </w:r>
      <w:r>
        <w:rPr/>
        <w:t>的比例解除限售。预留授予部分价格</w:t>
      </w:r>
      <w:r>
        <w:rPr>
          <w:rFonts w:ascii="Times New Roman" w:hAnsi="Times New Roman" w:cs="Times New Roman" w:eastAsia="Times New Roman" w:hint="default"/>
        </w:rPr>
        <w:t>5.00</w:t>
      </w:r>
      <w:r>
        <w:rPr/>
        <w:t>元</w:t>
      </w:r>
      <w:r>
        <w:rPr>
          <w:rFonts w:ascii="Times New Roman" w:hAnsi="Times New Roman" w:cs="Times New Roman" w:eastAsia="Times New Roman" w:hint="default"/>
        </w:rPr>
        <w:t>/</w:t>
      </w:r>
      <w:r>
        <w:rPr/>
        <w:t>股。 本期新增解锁的制的股票份额为</w:t>
      </w:r>
      <w:r>
        <w:rPr>
          <w:rFonts w:ascii="Times New Roman" w:hAnsi="Times New Roman" w:cs="Times New Roman" w:eastAsia="Times New Roman" w:hint="default"/>
        </w:rPr>
        <w:t>352,500</w:t>
      </w:r>
      <w:r>
        <w:rPr/>
        <w:t>股；本期失效的股票份额为</w:t>
      </w:r>
      <w:r>
        <w:rPr>
          <w:rFonts w:ascii="Times New Roman" w:hAnsi="Times New Roman" w:cs="Times New Roman" w:eastAsia="Times New Roman" w:hint="default"/>
        </w:rPr>
        <w:t>85,000</w:t>
      </w:r>
      <w:r>
        <w:rPr/>
        <w:t>股。截至</w:t>
      </w:r>
      <w:r>
        <w:rPr>
          <w:rFonts w:ascii="Times New Roman" w:hAnsi="Times New Roman" w:cs="Times New Roman" w:eastAsia="Times New Roman" w:hint="default"/>
        </w:rPr>
        <w:t>2019</w:t>
      </w:r>
      <w:r>
        <w:rPr/>
        <w:t>年末，公司累计解锁的股票份额为</w:t>
      </w:r>
      <w:r>
        <w:rPr>
          <w:spacing w:val="-16"/>
        </w:rPr>
        <w:t> </w:t>
      </w:r>
      <w:r>
        <w:rPr>
          <w:spacing w:val="-16"/>
        </w:rPr>
      </w:r>
      <w:r>
        <w:rPr>
          <w:rFonts w:ascii="Times New Roman" w:hAnsi="Times New Roman" w:cs="Times New Roman" w:eastAsia="Times New Roman" w:hint="default"/>
        </w:rPr>
        <w:t>352,500</w:t>
      </w:r>
      <w:r>
        <w:rPr/>
        <w:t>股，累计失效的股票份额为</w:t>
      </w:r>
      <w:r>
        <w:rPr>
          <w:rFonts w:ascii="Times New Roman" w:hAnsi="Times New Roman" w:cs="Times New Roman" w:eastAsia="Times New Roman" w:hint="default"/>
        </w:rPr>
        <w:t>85,000</w:t>
      </w:r>
      <w:r>
        <w:rPr/>
        <w:t>股。剩余限制性股票份额为</w:t>
      </w:r>
      <w:r>
        <w:rPr>
          <w:rFonts w:ascii="Times New Roman" w:hAnsi="Times New Roman" w:cs="Times New Roman" w:eastAsia="Times New Roman" w:hint="default"/>
        </w:rPr>
        <w:t>352,500</w:t>
      </w:r>
      <w:r>
        <w:rPr/>
        <w:t>股，剩余期限为</w:t>
      </w:r>
      <w:r>
        <w:rPr>
          <w:rFonts w:ascii="Times New Roman" w:hAnsi="Times New Roman" w:cs="Times New Roman" w:eastAsia="Times New Roman" w:hint="default"/>
        </w:rPr>
        <w:t>0.75</w:t>
      </w:r>
      <w:r>
        <w:rPr/>
        <w:t>年。</w:t>
      </w:r>
    </w:p>
    <w:p>
      <w:pPr>
        <w:spacing w:line="240" w:lineRule="auto" w:before="4"/>
        <w:rPr>
          <w:rFonts w:ascii="宋体" w:hAnsi="宋体" w:cs="宋体" w:eastAsia="宋体" w:hint="default"/>
          <w:sz w:val="22"/>
          <w:szCs w:val="22"/>
        </w:rPr>
      </w:pPr>
    </w:p>
    <w:p>
      <w:pPr>
        <w:pStyle w:val="Heading3"/>
        <w:spacing w:line="240" w:lineRule="auto"/>
        <w:ind w:right="1115"/>
        <w:jc w:val="left"/>
        <w:rPr>
          <w:b w:val="0"/>
          <w:bCs w:val="0"/>
        </w:rPr>
      </w:pPr>
      <w:bookmarkStart w:name="2、以权益结算的股份支付情况" w:id="372"/>
      <w:bookmarkEnd w:id="372"/>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355"/>
        <w:gridCol w:w="4215"/>
      </w:tblGrid>
      <w:tr>
        <w:trPr>
          <w:trHeight w:val="402" w:hRule="exact"/>
        </w:trPr>
        <w:tc>
          <w:tcPr>
            <w:tcW w:w="5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授予日公司股票收盘价格</w:t>
            </w:r>
          </w:p>
        </w:tc>
      </w:tr>
      <w:tr>
        <w:trPr>
          <w:trHeight w:val="1026" w:hRule="exact"/>
        </w:trPr>
        <w:tc>
          <w:tcPr>
            <w:tcW w:w="5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39"/>
              <w:jc w:val="both"/>
              <w:rPr>
                <w:rFonts w:ascii="宋体" w:hAnsi="宋体" w:cs="宋体" w:eastAsia="宋体" w:hint="default"/>
                <w:sz w:val="18"/>
                <w:szCs w:val="18"/>
              </w:rPr>
            </w:pPr>
            <w:r>
              <w:rPr>
                <w:rFonts w:ascii="宋体" w:hAnsi="宋体" w:cs="宋体" w:eastAsia="宋体" w:hint="default"/>
                <w:sz w:val="18"/>
                <w:szCs w:val="18"/>
              </w:rPr>
              <w:t>公司在等待期内的每个资产负债表日，根据最新取得 的可行权人数变动、业绩指标完成情况等后续信息， 修正预计可行权的限制性股票数量。</w:t>
            </w:r>
          </w:p>
        </w:tc>
      </w:tr>
      <w:tr>
        <w:trPr>
          <w:trHeight w:val="402" w:hRule="exact"/>
        </w:trPr>
        <w:tc>
          <w:tcPr>
            <w:tcW w:w="5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5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44,196,224.50</w:t>
            </w:r>
          </w:p>
        </w:tc>
      </w:tr>
      <w:tr>
        <w:trPr>
          <w:trHeight w:val="403" w:hRule="exact"/>
        </w:trPr>
        <w:tc>
          <w:tcPr>
            <w:tcW w:w="5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11,766,908.50</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3、以现金结算的股份支付情况" w:id="373"/>
      <w:bookmarkEnd w:id="373"/>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15"/>
        <w:jc w:val="left"/>
        <w:rPr>
          <w:b w:val="0"/>
          <w:bCs w:val="0"/>
        </w:rPr>
      </w:pPr>
      <w:bookmarkStart w:name="十四、承诺及或有事项" w:id="374"/>
      <w:bookmarkEnd w:id="374"/>
      <w:r>
        <w:rPr>
          <w:b w:val="0"/>
          <w:bCs w:val="0"/>
        </w:rPr>
      </w:r>
      <w:r>
        <w:rPr/>
        <w:t>十四、承诺及或有事项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5"/>
        <w:jc w:val="left"/>
        <w:rPr>
          <w:b w:val="0"/>
          <w:bCs w:val="0"/>
        </w:rPr>
      </w:pPr>
      <w:bookmarkStart w:name="1、重要承诺事项" w:id="375"/>
      <w:bookmarkEnd w:id="375"/>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5534"/>
        <w:jc w:val="left"/>
      </w:pPr>
      <w:r>
        <w:rPr/>
        <w:t>资产负债表日存在的重要承诺： 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日，本集团不存在应披露的重要对外承诺事项。</w:t>
      </w:r>
    </w:p>
    <w:p>
      <w:pPr>
        <w:spacing w:line="240" w:lineRule="auto" w:before="7"/>
        <w:rPr>
          <w:rFonts w:ascii="宋体" w:hAnsi="宋体" w:cs="宋体" w:eastAsia="宋体" w:hint="default"/>
          <w:sz w:val="18"/>
          <w:szCs w:val="18"/>
        </w:rPr>
      </w:pPr>
    </w:p>
    <w:p>
      <w:pPr>
        <w:pStyle w:val="Heading3"/>
        <w:spacing w:line="240" w:lineRule="auto"/>
        <w:ind w:right="1115"/>
        <w:jc w:val="left"/>
        <w:rPr>
          <w:b w:val="0"/>
          <w:bCs w:val="0"/>
        </w:rPr>
      </w:pPr>
      <w:bookmarkStart w:name="2、或有事项" w:id="376"/>
      <w:bookmarkEnd w:id="376"/>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5"/>
        <w:jc w:val="left"/>
        <w:rPr>
          <w:b w:val="0"/>
          <w:bCs w:val="0"/>
        </w:rPr>
      </w:pPr>
      <w:bookmarkStart w:name="（1）资产负债表日存在的重要或有事项" w:id="377"/>
      <w:bookmarkEnd w:id="377"/>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4"/>
        <w:rPr>
          <w:rFonts w:ascii="宋体" w:hAnsi="宋体" w:cs="宋体" w:eastAsia="宋体" w:hint="default"/>
          <w:b/>
          <w:bCs/>
          <w:sz w:val="26"/>
          <w:szCs w:val="26"/>
        </w:rPr>
      </w:pPr>
    </w:p>
    <w:p>
      <w:pPr>
        <w:pStyle w:val="BodyText"/>
        <w:spacing w:line="304" w:lineRule="auto"/>
        <w:ind w:right="1124"/>
        <w:jc w:val="left"/>
      </w:pPr>
      <w:r>
        <w:rPr/>
        <w:t>久金保应收保理款未决诉讼事项：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日，公司之子公司久金保在北京市西城区人民法院对中新能业、华科光辉及相关担保人提起诉讼，要求偿还保</w:t>
      </w:r>
      <w:r>
        <w:rPr>
          <w:spacing w:val="-86"/>
        </w:rPr>
        <w:t> </w:t>
      </w:r>
      <w:r>
        <w:rPr>
          <w:spacing w:val="-86"/>
        </w:rPr>
      </w:r>
      <w:r>
        <w:rPr/>
        <w:t>理融资本金人民币</w:t>
      </w:r>
      <w:r>
        <w:rPr>
          <w:rFonts w:ascii="Times New Roman" w:hAnsi="Times New Roman" w:cs="Times New Roman" w:eastAsia="Times New Roman" w:hint="default"/>
        </w:rPr>
        <w:t>2,600</w:t>
      </w:r>
      <w:r>
        <w:rPr/>
        <w:t>万元及相关利息及管理费。北京市西城区人民法院于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日立案。此案正在审理过程中。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日，久金保在天津市河东区人民法院对核工业理化工程研究院、中新能业进行起诉，要求偿还保理融资本金人</w:t>
      </w:r>
      <w:r>
        <w:rPr>
          <w:spacing w:val="-86"/>
        </w:rPr>
        <w:t> </w:t>
      </w:r>
      <w:r>
        <w:rPr>
          <w:spacing w:val="-86"/>
        </w:rPr>
      </w:r>
      <w:r>
        <w:rPr>
          <w:spacing w:val="3"/>
        </w:rPr>
        <w:t>民币</w:t>
      </w:r>
      <w:r>
        <w:rPr>
          <w:rFonts w:ascii="Times New Roman" w:hAnsi="Times New Roman" w:cs="Times New Roman" w:eastAsia="Times New Roman" w:hint="default"/>
          <w:spacing w:val="3"/>
        </w:rPr>
        <w:t>900</w:t>
      </w:r>
      <w:r>
        <w:rPr>
          <w:spacing w:val="3"/>
        </w:rPr>
        <w:t>万元及相关利息及管理费共</w:t>
      </w:r>
      <w:r>
        <w:rPr>
          <w:rFonts w:ascii="Times New Roman" w:hAnsi="Times New Roman" w:cs="Times New Roman" w:eastAsia="Times New Roman" w:hint="default"/>
          <w:spacing w:val="3"/>
        </w:rPr>
        <w:t>1,246.20</w:t>
      </w:r>
      <w:r>
        <w:rPr>
          <w:spacing w:val="3"/>
        </w:rPr>
        <w:t>万元；同时，要求偿还保理融资本金人民币</w:t>
      </w:r>
      <w:r>
        <w:rPr>
          <w:rFonts w:ascii="Times New Roman" w:hAnsi="Times New Roman" w:cs="Times New Roman" w:eastAsia="Times New Roman" w:hint="default"/>
          <w:spacing w:val="3"/>
        </w:rPr>
        <w:t>1,500</w:t>
      </w:r>
      <w:r>
        <w:rPr>
          <w:spacing w:val="3"/>
        </w:rPr>
        <w:t>万元及相关利息及管理费共</w:t>
      </w:r>
      <w:r>
        <w:rPr>
          <w:spacing w:val="-71"/>
        </w:rPr>
        <w:t> </w:t>
      </w:r>
      <w:r>
        <w:rPr>
          <w:rFonts w:ascii="Times New Roman" w:hAnsi="Times New Roman" w:cs="Times New Roman" w:eastAsia="Times New Roman" w:hint="default"/>
        </w:rPr>
        <w:t>1,908.9330</w:t>
      </w:r>
      <w:r>
        <w:rPr/>
        <w:t>万元。天津市河东区人民法院于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日立案。针对案件进展的综合考虑，</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日，久金保向该法</w:t>
      </w:r>
    </w:p>
    <w:p>
      <w:pPr>
        <w:spacing w:after="0" w:line="304"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2" w:lineRule="auto" w:before="44"/>
        <w:ind w:right="1042"/>
        <w:jc w:val="left"/>
      </w:pPr>
      <w:r>
        <w:rPr/>
        <w:t>院撤诉。 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日，久金保对中新能业的应收保理款</w:t>
      </w:r>
      <w:r>
        <w:rPr>
          <w:rFonts w:ascii="Times New Roman" w:hAnsi="Times New Roman" w:cs="Times New Roman" w:eastAsia="Times New Roman" w:hint="default"/>
        </w:rPr>
        <w:t>6,000</w:t>
      </w:r>
      <w:r>
        <w:rPr/>
        <w:t>万元、对华科光辉的应收账款</w:t>
      </w:r>
      <w:r>
        <w:rPr>
          <w:rFonts w:ascii="Times New Roman" w:hAnsi="Times New Roman" w:cs="Times New Roman" w:eastAsia="Times New Roman" w:hint="default"/>
        </w:rPr>
        <w:t>4,000</w:t>
      </w:r>
      <w:r>
        <w:rPr/>
        <w:t>万元尚未收回。公司在维权 </w:t>
      </w:r>
      <w:r>
        <w:rPr>
          <w:spacing w:val="-4"/>
        </w:rPr>
        <w:t>过程中，发现逾期债务人中新能业与华科光辉存在造假嫌疑，并且据悉其实际控制人已因涉嫌多起债务纠纷被公安机关立案，</w:t>
      </w:r>
      <w:r>
        <w:rPr>
          <w:spacing w:val="-44"/>
        </w:rPr>
        <w:t> </w:t>
      </w:r>
      <w:r>
        <w:rPr>
          <w:spacing w:val="-44"/>
        </w:rPr>
      </w:r>
      <w:r>
        <w:rPr/>
        <w:t>久金保亦按要求向公安机关提交了相关证据材料。截至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日，案件正在侦查审理。</w:t>
      </w:r>
    </w:p>
    <w:p>
      <w:pPr>
        <w:spacing w:line="240" w:lineRule="auto" w:before="8"/>
        <w:rPr>
          <w:rFonts w:ascii="宋体" w:hAnsi="宋体" w:cs="宋体" w:eastAsia="宋体" w:hint="default"/>
          <w:sz w:val="21"/>
          <w:szCs w:val="21"/>
        </w:rPr>
      </w:pPr>
    </w:p>
    <w:p>
      <w:pPr>
        <w:pStyle w:val="Heading3"/>
        <w:spacing w:line="240" w:lineRule="auto"/>
        <w:ind w:right="1115"/>
        <w:jc w:val="left"/>
        <w:rPr>
          <w:b w:val="0"/>
          <w:bCs w:val="0"/>
        </w:rPr>
      </w:pPr>
      <w:bookmarkStart w:name="（2）公司没有需要披露的重要或有事项，也应予以说明" w:id="378"/>
      <w:bookmarkEnd w:id="378"/>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公司不存在需要披露的重要或有事项。</w:t>
      </w:r>
    </w:p>
    <w:p>
      <w:pPr>
        <w:spacing w:line="240" w:lineRule="auto" w:before="1"/>
        <w:rPr>
          <w:rFonts w:ascii="宋体" w:hAnsi="宋体" w:cs="宋体" w:eastAsia="宋体" w:hint="default"/>
          <w:sz w:val="25"/>
          <w:szCs w:val="25"/>
        </w:rPr>
      </w:pPr>
    </w:p>
    <w:p>
      <w:pPr>
        <w:pStyle w:val="Heading2"/>
        <w:spacing w:line="240" w:lineRule="auto"/>
        <w:ind w:right="1115"/>
        <w:jc w:val="left"/>
        <w:rPr>
          <w:b w:val="0"/>
          <w:bCs w:val="0"/>
        </w:rPr>
      </w:pPr>
      <w:bookmarkStart w:name="十五、资产负债表日后事项" w:id="379"/>
      <w:bookmarkEnd w:id="379"/>
      <w:r>
        <w:rPr>
          <w:b w:val="0"/>
          <w:bCs w:val="0"/>
        </w:rPr>
      </w:r>
      <w:r>
        <w:rPr/>
        <w:t>十五、资产负债表日后事项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5"/>
        <w:jc w:val="left"/>
        <w:rPr>
          <w:b w:val="0"/>
          <w:bCs w:val="0"/>
        </w:rPr>
      </w:pPr>
      <w:bookmarkStart w:name="1、其他资产负债表日后事项说明" w:id="380"/>
      <w:bookmarkEnd w:id="380"/>
      <w:r>
        <w:rPr>
          <w:b w:val="0"/>
          <w:bCs w:val="0"/>
        </w:rPr>
      </w:r>
      <w:r>
        <w:rPr>
          <w:rFonts w:ascii="Times New Roman" w:hAnsi="Times New Roman" w:cs="Times New Roman" w:eastAsia="Times New Roman" w:hint="default"/>
        </w:rPr>
        <w:t>1</w:t>
      </w:r>
      <w:r>
        <w:rPr/>
        <w:t>、其他资产负债表日后事项说明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5"/>
        <w:jc w:val="left"/>
        <w:rPr>
          <w:b w:val="0"/>
          <w:bCs w:val="0"/>
        </w:rPr>
      </w:pPr>
      <w:bookmarkStart w:name="（1）股份回购" w:id="381"/>
      <w:bookmarkEnd w:id="381"/>
      <w:r>
        <w:rPr>
          <w:b w:val="0"/>
          <w:bCs w:val="0"/>
        </w:rPr>
      </w:r>
      <w:r>
        <w:rPr/>
        <w:t>（</w:t>
      </w:r>
      <w:r>
        <w:rPr>
          <w:rFonts w:ascii="Times New Roman" w:hAnsi="Times New Roman" w:cs="Times New Roman" w:eastAsia="Times New Roman" w:hint="default"/>
        </w:rPr>
        <w:t>1</w:t>
      </w:r>
      <w:r>
        <w:rPr/>
        <w:t>）股份回购</w:t>
      </w:r>
      <w:r>
        <w:rPr>
          <w:b w:val="0"/>
          <w:bCs w:val="0"/>
        </w:rPr>
      </w:r>
    </w:p>
    <w:p>
      <w:pPr>
        <w:spacing w:line="240" w:lineRule="auto" w:before="2"/>
        <w:rPr>
          <w:rFonts w:ascii="宋体" w:hAnsi="宋体" w:cs="宋体" w:eastAsia="宋体" w:hint="default"/>
          <w:b/>
          <w:bCs/>
          <w:sz w:val="26"/>
          <w:szCs w:val="26"/>
        </w:rPr>
      </w:pPr>
    </w:p>
    <w:p>
      <w:pPr>
        <w:pStyle w:val="BodyText"/>
        <w:spacing w:line="302" w:lineRule="auto"/>
        <w:ind w:right="1119"/>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15</w:t>
      </w:r>
      <w:r>
        <w:rPr>
          <w:spacing w:val="-2"/>
        </w:rPr>
        <w:t>日，本公司首次实施股份回购并于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16</w:t>
      </w:r>
      <w:r>
        <w:rPr>
          <w:spacing w:val="-2"/>
        </w:rPr>
        <w:t>日披露了《关于首次回购公司股份的公告》。</w:t>
      </w:r>
      <w:r>
        <w:rPr>
          <w:rFonts w:ascii="Times New Roman" w:hAnsi="Times New Roman" w:cs="Times New Roman" w:eastAsia="Times New Roman" w:hint="default"/>
          <w:spacing w:val="-2"/>
        </w:rPr>
        <w:t>2019</w:t>
      </w:r>
      <w:r>
        <w:rPr>
          <w:spacing w:val="-2"/>
        </w:rPr>
        <w:t>年度，本公司</w:t>
      </w:r>
      <w:r>
        <w:rPr>
          <w:spacing w:val="-51"/>
        </w:rPr>
        <w:t> </w:t>
      </w:r>
      <w:r>
        <w:rPr>
          <w:spacing w:val="-51"/>
        </w:rPr>
      </w:r>
      <w:r>
        <w:rPr/>
        <w:t>累计回购股份数量及成交总金额情况参见本节“七、合并财务报表项目注释</w:t>
      </w:r>
      <w:r>
        <w:rPr>
          <w:spacing w:val="-13"/>
        </w:rPr>
        <w:t> </w:t>
      </w:r>
      <w:r>
        <w:rPr>
          <w:rFonts w:ascii="Times New Roman" w:hAnsi="Times New Roman" w:cs="Times New Roman" w:eastAsia="Times New Roman" w:hint="default"/>
          <w:spacing w:val="-3"/>
        </w:rPr>
        <w:t>35</w:t>
      </w:r>
      <w:r>
        <w:rPr>
          <w:spacing w:val="-3"/>
        </w:rPr>
        <w:t>、库存股”。</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1</w:t>
      </w:r>
      <w:r>
        <w:rPr>
          <w:spacing w:val="-3"/>
        </w:rPr>
        <w:t>月，本公司新增回购股</w:t>
      </w:r>
      <w:r>
        <w:rPr/>
        <w:t> 份数量为</w:t>
      </w:r>
      <w:r>
        <w:rPr>
          <w:rFonts w:ascii="Times New Roman" w:hAnsi="Times New Roman" w:cs="Times New Roman" w:eastAsia="Times New Roman" w:hint="default"/>
        </w:rPr>
        <w:t>1,727,700</w:t>
      </w:r>
      <w:r>
        <w:rPr/>
        <w:t>股，成交总金额</w:t>
      </w:r>
      <w:r>
        <w:rPr>
          <w:rFonts w:ascii="Times New Roman" w:hAnsi="Times New Roman" w:cs="Times New Roman" w:eastAsia="Times New Roman" w:hint="default"/>
        </w:rPr>
        <w:t>12,098,859.00</w:t>
      </w:r>
      <w:r>
        <w:rPr/>
        <w:t>元（不含交易费用）。 </w:t>
      </w:r>
      <w:r>
        <w:rPr>
          <w:spacing w:val="-2"/>
        </w:rPr>
        <w:t>截至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22</w:t>
      </w:r>
      <w:r>
        <w:rPr>
          <w:spacing w:val="-2"/>
        </w:rPr>
        <w:t>日，本公司使用自有资金以集中竞价交易方式累计回购股份数量为</w:t>
      </w:r>
      <w:r>
        <w:rPr>
          <w:rFonts w:ascii="Times New Roman" w:hAnsi="Times New Roman" w:cs="Times New Roman" w:eastAsia="Times New Roman" w:hint="default"/>
          <w:spacing w:val="-2"/>
        </w:rPr>
        <w:t>8,294,433</w:t>
      </w:r>
      <w:r>
        <w:rPr>
          <w:spacing w:val="-2"/>
        </w:rPr>
        <w:t>股，占公司总股本的</w:t>
      </w:r>
      <w:r>
        <w:rPr>
          <w:rFonts w:ascii="Times New Roman" w:hAnsi="Times New Roman" w:cs="Times New Roman" w:eastAsia="Times New Roman" w:hint="default"/>
          <w:spacing w:val="-2"/>
        </w:rPr>
        <w:t>1.1662%</w:t>
      </w:r>
      <w:r>
        <w:rPr>
          <w:spacing w:val="-2"/>
        </w:rPr>
        <w:t>，</w:t>
      </w:r>
      <w:r>
        <w:rPr>
          <w:spacing w:val="-65"/>
        </w:rPr>
        <w:t> </w:t>
      </w:r>
      <w:r>
        <w:rPr>
          <w:spacing w:val="-1"/>
        </w:rPr>
        <w:t>最高成交价为</w:t>
      </w:r>
      <w:r>
        <w:rPr>
          <w:rFonts w:ascii="Times New Roman" w:hAnsi="Times New Roman" w:cs="Times New Roman" w:eastAsia="Times New Roman" w:hint="default"/>
          <w:spacing w:val="-1"/>
        </w:rPr>
        <w:t>9.64</w:t>
      </w:r>
      <w:r>
        <w:rPr>
          <w:spacing w:val="-1"/>
        </w:rPr>
        <w:t>元</w:t>
      </w:r>
      <w:r>
        <w:rPr>
          <w:rFonts w:ascii="Times New Roman" w:hAnsi="Times New Roman" w:cs="Times New Roman" w:eastAsia="Times New Roman" w:hint="default"/>
          <w:spacing w:val="-1"/>
        </w:rPr>
        <w:t>/</w:t>
      </w:r>
      <w:r>
        <w:rPr>
          <w:spacing w:val="-1"/>
        </w:rPr>
        <w:t>股，最低成交价为</w:t>
      </w:r>
      <w:r>
        <w:rPr>
          <w:rFonts w:ascii="Times New Roman" w:hAnsi="Times New Roman" w:cs="Times New Roman" w:eastAsia="Times New Roman" w:hint="default"/>
          <w:spacing w:val="-1"/>
        </w:rPr>
        <w:t>5.56</w:t>
      </w:r>
      <w:r>
        <w:rPr>
          <w:spacing w:val="-1"/>
        </w:rPr>
        <w:t>元</w:t>
      </w:r>
      <w:r>
        <w:rPr>
          <w:rFonts w:ascii="Times New Roman" w:hAnsi="Times New Roman" w:cs="Times New Roman" w:eastAsia="Times New Roman" w:hint="default"/>
          <w:spacing w:val="-1"/>
        </w:rPr>
        <w:t>/</w:t>
      </w:r>
      <w:r>
        <w:rPr>
          <w:spacing w:val="-1"/>
        </w:rPr>
        <w:t>股，成交总金额为</w:t>
      </w:r>
      <w:r>
        <w:rPr>
          <w:rFonts w:ascii="Times New Roman" w:hAnsi="Times New Roman" w:cs="Times New Roman" w:eastAsia="Times New Roman" w:hint="default"/>
          <w:spacing w:val="-1"/>
        </w:rPr>
        <w:t>60,092,542.04</w:t>
      </w:r>
      <w:r>
        <w:rPr>
          <w:spacing w:val="-1"/>
        </w:rPr>
        <w:t>元（不含交易费用）。本次实际回购的股份数</w:t>
      </w:r>
      <w:r>
        <w:rPr>
          <w:spacing w:val="-86"/>
        </w:rPr>
        <w:t> </w:t>
      </w:r>
      <w:r>
        <w:rPr>
          <w:spacing w:val="-86"/>
        </w:rPr>
      </w:r>
      <w:r>
        <w:rPr>
          <w:spacing w:val="-2"/>
        </w:rPr>
        <w:t>量和比例、成交价格、使用资金总额、实施期限和资金来源等，均符合公司董事会审议通过的回购股份方案。本次回购股份</w:t>
      </w:r>
      <w:r>
        <w:rPr>
          <w:spacing w:val="-67"/>
        </w:rPr>
        <w:t> </w:t>
      </w:r>
      <w:r>
        <w:rPr>
          <w:spacing w:val="-67"/>
        </w:rPr>
      </w:r>
      <w:r>
        <w:rPr/>
        <w:t>方案已实施完毕，回购实施情况符合相关法律法规的要求。</w:t>
      </w:r>
    </w:p>
    <w:p>
      <w:pPr>
        <w:spacing w:line="240" w:lineRule="auto" w:before="8"/>
        <w:rPr>
          <w:rFonts w:ascii="宋体" w:hAnsi="宋体" w:cs="宋体" w:eastAsia="宋体" w:hint="default"/>
          <w:sz w:val="23"/>
          <w:szCs w:val="23"/>
        </w:rPr>
      </w:pPr>
    </w:p>
    <w:p>
      <w:pPr>
        <w:pStyle w:val="Heading3"/>
        <w:spacing w:line="240" w:lineRule="auto"/>
        <w:ind w:right="1115"/>
        <w:jc w:val="left"/>
        <w:rPr>
          <w:b w:val="0"/>
          <w:bCs w:val="0"/>
        </w:rPr>
      </w:pPr>
      <w:bookmarkStart w:name="（2）转让子公司" w:id="382"/>
      <w:bookmarkEnd w:id="382"/>
      <w:r>
        <w:rPr>
          <w:b w:val="0"/>
          <w:bCs w:val="0"/>
        </w:rPr>
      </w:r>
      <w:r>
        <w:rPr/>
        <w:t>（</w:t>
      </w:r>
      <w:r>
        <w:rPr>
          <w:rFonts w:ascii="Times New Roman" w:hAnsi="Times New Roman" w:cs="Times New Roman" w:eastAsia="Times New Roman" w:hint="default"/>
        </w:rPr>
        <w:t>2</w:t>
      </w:r>
      <w:r>
        <w:rPr/>
        <w:t>）转让子公司</w:t>
      </w:r>
      <w:r>
        <w:rPr>
          <w:b w:val="0"/>
          <w:bCs w:val="0"/>
        </w:rPr>
      </w:r>
    </w:p>
    <w:p>
      <w:pPr>
        <w:spacing w:line="240" w:lineRule="auto" w:before="5"/>
        <w:rPr>
          <w:rFonts w:ascii="宋体" w:hAnsi="宋体" w:cs="宋体" w:eastAsia="宋体" w:hint="default"/>
          <w:b/>
          <w:bCs/>
          <w:sz w:val="26"/>
          <w:szCs w:val="26"/>
        </w:rPr>
      </w:pPr>
    </w:p>
    <w:p>
      <w:pPr>
        <w:pStyle w:val="BodyText"/>
        <w:spacing w:line="309" w:lineRule="auto"/>
        <w:ind w:right="1130"/>
        <w:jc w:val="both"/>
      </w:pPr>
      <w:r>
        <w:rPr/>
        <w:t>本公司于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日召开的第七届董事会第五次（临时）会议审议通过了《关于对外转让北京中民颐养科技服务有限公</w:t>
      </w:r>
      <w:r>
        <w:rPr>
          <w:spacing w:val="-86"/>
        </w:rPr>
        <w:t> </w:t>
      </w:r>
      <w:r>
        <w:rPr>
          <w:spacing w:val="-86"/>
        </w:rPr>
      </w:r>
      <w:r>
        <w:rPr>
          <w:spacing w:val="-2"/>
        </w:rPr>
        <w:t>司部分股权的议案》和《关于对外转让北京蜂语网络科技有限公司部分股权暨关联交易的议案》。公司分别将持有的中民颐</w:t>
      </w:r>
      <w:r>
        <w:rPr>
          <w:spacing w:val="-66"/>
        </w:rPr>
        <w:t> </w:t>
      </w:r>
      <w:r>
        <w:rPr>
          <w:spacing w:val="-66"/>
        </w:rPr>
      </w:r>
      <w:r>
        <w:rPr/>
        <w:t>养</w:t>
      </w:r>
      <w:r>
        <w:rPr>
          <w:rFonts w:ascii="Times New Roman" w:hAnsi="Times New Roman" w:cs="Times New Roman" w:eastAsia="Times New Roman" w:hint="default"/>
        </w:rPr>
        <w:t>51%</w:t>
      </w:r>
      <w:r>
        <w:rPr/>
        <w:t>股权和蜂语网络</w:t>
      </w:r>
      <w:r>
        <w:rPr>
          <w:rFonts w:ascii="Times New Roman" w:hAnsi="Times New Roman" w:cs="Times New Roman" w:eastAsia="Times New Roman" w:hint="default"/>
        </w:rPr>
        <w:t>51%</w:t>
      </w:r>
      <w:r>
        <w:rPr/>
        <w:t>股权对外转让，以实现对外投资管理的优化。截至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日，上述股权转让事项的工商变</w:t>
      </w:r>
      <w:r>
        <w:rPr>
          <w:spacing w:val="-38"/>
        </w:rPr>
        <w:t> </w:t>
      </w:r>
      <w:r>
        <w:rPr>
          <w:spacing w:val="-38"/>
        </w:rPr>
      </w:r>
      <w:r>
        <w:rPr>
          <w:spacing w:val="-2"/>
        </w:rPr>
        <w:t>更登记均已完成，中民颐养和蜂语网络已获得北京市市场监督管理局换发的营业执照。股权转让事项完成后，中民颐养和蜂</w:t>
      </w:r>
      <w:r>
        <w:rPr>
          <w:spacing w:val="-63"/>
        </w:rPr>
        <w:t> </w:t>
      </w:r>
      <w:r>
        <w:rPr>
          <w:spacing w:val="-63"/>
        </w:rPr>
      </w:r>
      <w:r>
        <w:rPr/>
        <w:t>语网络将不再是公司控股子公司，且不再纳入公司的合并报表范围。</w:t>
      </w:r>
    </w:p>
    <w:p>
      <w:pPr>
        <w:spacing w:line="240" w:lineRule="auto" w:before="3"/>
        <w:rPr>
          <w:rFonts w:ascii="宋体" w:hAnsi="宋体" w:cs="宋体" w:eastAsia="宋体" w:hint="default"/>
          <w:sz w:val="23"/>
          <w:szCs w:val="23"/>
        </w:rPr>
      </w:pPr>
    </w:p>
    <w:p>
      <w:pPr>
        <w:pStyle w:val="Heading3"/>
        <w:spacing w:line="240" w:lineRule="auto"/>
        <w:ind w:right="1115"/>
        <w:jc w:val="left"/>
        <w:rPr>
          <w:b w:val="0"/>
          <w:bCs w:val="0"/>
        </w:rPr>
      </w:pPr>
      <w:bookmarkStart w:name="（3）部分募集资金用途变更" w:id="383"/>
      <w:bookmarkEnd w:id="383"/>
      <w:r>
        <w:rPr>
          <w:b w:val="0"/>
          <w:bCs w:val="0"/>
        </w:rPr>
      </w:r>
      <w:r>
        <w:rPr/>
        <w:t>（</w:t>
      </w:r>
      <w:r>
        <w:rPr>
          <w:rFonts w:ascii="Times New Roman" w:hAnsi="Times New Roman" w:cs="Times New Roman" w:eastAsia="Times New Roman" w:hint="default"/>
        </w:rPr>
        <w:t>3</w:t>
      </w:r>
      <w:r>
        <w:rPr/>
        <w:t>）部分募集资金用途变更</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129"/>
        <w:jc w:val="both"/>
      </w:pPr>
      <w:r>
        <w:rPr>
          <w:spacing w:val="-1"/>
        </w:rPr>
        <w:t>经公司于</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23</w:t>
      </w:r>
      <w:r>
        <w:rPr>
          <w:spacing w:val="-1"/>
        </w:rPr>
        <w:t>日召开的</w:t>
      </w:r>
      <w:r>
        <w:rPr>
          <w:rFonts w:ascii="Times New Roman" w:hAnsi="Times New Roman" w:cs="Times New Roman" w:eastAsia="Times New Roman" w:hint="default"/>
          <w:spacing w:val="-1"/>
        </w:rPr>
        <w:t>2020</w:t>
      </w:r>
      <w:r>
        <w:rPr>
          <w:spacing w:val="-1"/>
        </w:rPr>
        <w:t>年第一次临时股东大会审议通过，变更</w:t>
      </w:r>
      <w:r>
        <w:rPr>
          <w:rFonts w:ascii="Times New Roman" w:hAnsi="Times New Roman" w:cs="Times New Roman" w:eastAsia="Times New Roman" w:hint="default"/>
          <w:spacing w:val="-1"/>
        </w:rPr>
        <w:t>“</w:t>
      </w:r>
      <w:r>
        <w:rPr>
          <w:spacing w:val="-1"/>
        </w:rPr>
        <w:t>久其政务研发中心建设项目</w:t>
      </w:r>
      <w:r>
        <w:rPr>
          <w:rFonts w:ascii="Times New Roman" w:hAnsi="Times New Roman" w:cs="Times New Roman" w:eastAsia="Times New Roman" w:hint="default"/>
          <w:spacing w:val="-1"/>
        </w:rPr>
        <w:t>”“</w:t>
      </w:r>
      <w:r>
        <w:rPr>
          <w:spacing w:val="-1"/>
        </w:rPr>
        <w:t>下一代集团管控平</w:t>
      </w:r>
      <w:r>
        <w:rPr>
          <w:spacing w:val="-84"/>
        </w:rPr>
        <w:t> </w:t>
      </w:r>
      <w:r>
        <w:rPr>
          <w:spacing w:val="-84"/>
        </w:rPr>
      </w:r>
      <w:r>
        <w:rPr/>
        <w:t>台</w:t>
      </w:r>
      <w:r>
        <w:rPr>
          <w:rFonts w:ascii="Times New Roman" w:hAnsi="Times New Roman" w:cs="Times New Roman" w:eastAsia="Times New Roman" w:hint="default"/>
        </w:rPr>
        <w:t>”“</w:t>
      </w:r>
      <w:r>
        <w:rPr/>
        <w:t>数字营销运营平台</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政企大数据平台</w:t>
      </w:r>
      <w:r>
        <w:rPr>
          <w:rFonts w:ascii="Times New Roman" w:hAnsi="Times New Roman" w:cs="Times New Roman" w:eastAsia="Times New Roman" w:hint="default"/>
        </w:rPr>
        <w:t>”</w:t>
      </w:r>
      <w:r>
        <w:rPr/>
        <w:t>四个项目剩余的募集资金用途，用于归还银行贷款、补充日常运营资金。募集</w:t>
      </w:r>
      <w:r>
        <w:rPr>
          <w:spacing w:val="-37"/>
        </w:rPr>
        <w:t> </w:t>
      </w:r>
      <w:r>
        <w:rPr>
          <w:spacing w:val="-37"/>
        </w:rPr>
      </w:r>
      <w:r>
        <w:rPr>
          <w:spacing w:val="-1"/>
        </w:rPr>
        <w:t>资金用途变更后，</w:t>
      </w:r>
      <w:r>
        <w:rPr>
          <w:rFonts w:ascii="Times New Roman" w:hAnsi="Times New Roman" w:cs="Times New Roman" w:eastAsia="Times New Roman" w:hint="default"/>
          <w:spacing w:val="-1"/>
        </w:rPr>
        <w:t>“</w:t>
      </w:r>
      <w:r>
        <w:rPr>
          <w:spacing w:val="-1"/>
        </w:rPr>
        <w:t>下一代集团管控平台</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政企大数据平台</w:t>
      </w:r>
      <w:r>
        <w:rPr>
          <w:rFonts w:ascii="Times New Roman" w:hAnsi="Times New Roman" w:cs="Times New Roman" w:eastAsia="Times New Roman" w:hint="default"/>
          <w:spacing w:val="-1"/>
        </w:rPr>
        <w:t>”</w:t>
      </w:r>
      <w:r>
        <w:rPr>
          <w:spacing w:val="-1"/>
        </w:rPr>
        <w:t>的后续研发将以自有资金投入，而</w:t>
      </w:r>
      <w:r>
        <w:rPr>
          <w:rFonts w:ascii="Times New Roman" w:hAnsi="Times New Roman" w:cs="Times New Roman" w:eastAsia="Times New Roman" w:hint="default"/>
          <w:spacing w:val="-1"/>
        </w:rPr>
        <w:t>“</w:t>
      </w:r>
      <w:r>
        <w:rPr>
          <w:spacing w:val="-1"/>
        </w:rPr>
        <w:t>数字营销运营平台</w:t>
      </w:r>
      <w:r>
        <w:rPr>
          <w:rFonts w:ascii="Times New Roman" w:hAnsi="Times New Roman" w:cs="Times New Roman" w:eastAsia="Times New Roman" w:hint="default"/>
          <w:spacing w:val="-1"/>
        </w:rPr>
        <w:t>”</w:t>
      </w:r>
      <w:r>
        <w:rPr>
          <w:spacing w:val="-1"/>
        </w:rPr>
        <w:t>因原方</w:t>
      </w:r>
      <w:r>
        <w:rPr>
          <w:spacing w:val="-57"/>
        </w:rPr>
        <w:t> </w:t>
      </w:r>
      <w:r>
        <w:rPr/>
        <w:t>案已不适应业务需求，将中止投入，后续如继续投入将由公司根据项目建设需求以自有或自筹资金方式解决。</w:t>
      </w:r>
      <w:r>
        <w:rPr>
          <w:rFonts w:ascii="Times New Roman" w:hAnsi="Times New Roman" w:cs="Times New Roman" w:eastAsia="Times New Roman" w:hint="default"/>
        </w:rPr>
        <w:t>“</w:t>
      </w:r>
      <w:r>
        <w:rPr/>
        <w:t>下一代集团</w:t>
      </w:r>
      <w:r>
        <w:rPr>
          <w:spacing w:val="-73"/>
        </w:rPr>
        <w:t> </w:t>
      </w:r>
      <w:r>
        <w:rPr>
          <w:spacing w:val="-73"/>
        </w:rPr>
      </w:r>
      <w:r>
        <w:rPr/>
        <w:t>管控平台</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政企大数据平台</w:t>
      </w:r>
      <w:r>
        <w:rPr>
          <w:rFonts w:ascii="Times New Roman" w:hAnsi="Times New Roman" w:cs="Times New Roman" w:eastAsia="Times New Roman" w:hint="default"/>
        </w:rPr>
        <w:t>”</w:t>
      </w:r>
      <w:r>
        <w:rPr/>
        <w:t>项目报告期仍处于建设期内，尚未产生收益，后续随着项目建设完成将进行收益核算。</w:t>
      </w:r>
    </w:p>
    <w:p>
      <w:pPr>
        <w:spacing w:line="240" w:lineRule="auto" w:before="4"/>
        <w:rPr>
          <w:rFonts w:ascii="宋体" w:hAnsi="宋体" w:cs="宋体" w:eastAsia="宋体" w:hint="default"/>
          <w:sz w:val="22"/>
          <w:szCs w:val="22"/>
        </w:rPr>
      </w:pPr>
    </w:p>
    <w:p>
      <w:pPr>
        <w:pStyle w:val="Heading3"/>
        <w:spacing w:line="240" w:lineRule="auto"/>
        <w:ind w:right="1115"/>
        <w:jc w:val="left"/>
        <w:rPr>
          <w:b w:val="0"/>
          <w:bCs w:val="0"/>
        </w:rPr>
      </w:pPr>
      <w:bookmarkStart w:name="（4）新冠疫情影响" w:id="384"/>
      <w:bookmarkEnd w:id="384"/>
      <w:r>
        <w:rPr>
          <w:b w:val="0"/>
          <w:bCs w:val="0"/>
        </w:rPr>
      </w:r>
      <w:r>
        <w:rPr/>
        <w:t>（</w:t>
      </w:r>
      <w:r>
        <w:rPr>
          <w:rFonts w:ascii="Times New Roman" w:hAnsi="Times New Roman" w:cs="Times New Roman" w:eastAsia="Times New Roman" w:hint="default"/>
        </w:rPr>
        <w:t>4</w:t>
      </w:r>
      <w:r>
        <w:rPr/>
        <w:t>）新冠疫情影响</w:t>
      </w:r>
      <w:r>
        <w:rPr>
          <w:b w:val="0"/>
          <w:bCs w:val="0"/>
        </w:rPr>
      </w:r>
    </w:p>
    <w:p>
      <w:pPr>
        <w:spacing w:line="240" w:lineRule="auto" w:before="4"/>
        <w:rPr>
          <w:rFonts w:ascii="宋体" w:hAnsi="宋体" w:cs="宋体" w:eastAsia="宋体" w:hint="default"/>
          <w:b/>
          <w:bCs/>
          <w:sz w:val="26"/>
          <w:szCs w:val="26"/>
        </w:rPr>
      </w:pPr>
    </w:p>
    <w:p>
      <w:pPr>
        <w:pStyle w:val="BodyText"/>
        <w:spacing w:line="312" w:lineRule="auto"/>
        <w:ind w:right="1124"/>
        <w:jc w:val="left"/>
      </w:pPr>
      <w:r>
        <w:rPr/>
        <w:t>自新型冠状病毒肺炎疫情 </w:t>
      </w:r>
      <w:r>
        <w:rPr>
          <w:rFonts w:ascii="Times New Roman" w:hAnsi="Times New Roman" w:cs="Times New Roman" w:eastAsia="Times New Roman" w:hint="default"/>
        </w:rPr>
        <w:t>2020</w:t>
      </w:r>
      <w:r>
        <w:rPr/>
        <w:t>年初爆发以来，本集团积极响应并严格执行党和国家各级政府对病毒疫情防控的各项规定和</w:t>
      </w:r>
      <w:r>
        <w:rPr>
          <w:spacing w:val="-85"/>
        </w:rPr>
        <w:t> </w:t>
      </w:r>
      <w:r>
        <w:rPr>
          <w:spacing w:val="-85"/>
        </w:rPr>
      </w:r>
      <w:r>
        <w:rPr>
          <w:spacing w:val="-2"/>
        </w:rPr>
        <w:t>要求，努力做到防疫、经营两不误。面对疫情，本集团已迅速调整运营策略，推动全员在线及远程开工的投入力度，尽量减</w:t>
      </w:r>
      <w:r>
        <w:rPr>
          <w:spacing w:val="-68"/>
        </w:rPr>
        <w:t> </w:t>
      </w:r>
      <w:r>
        <w:rPr>
          <w:spacing w:val="-68"/>
        </w:rPr>
      </w:r>
      <w:r>
        <w:rPr/>
        <w:t>少市场影响。 </w:t>
      </w:r>
      <w:r>
        <w:rPr>
          <w:spacing w:val="-2"/>
        </w:rPr>
        <w:t>此次疫情，对全国范围内的企业经营以及整体经济运行造成一定影响，从而在一定程度上影响本集团项目执行进度，影响程</w:t>
      </w:r>
    </w:p>
    <w:p>
      <w:pPr>
        <w:spacing w:after="0" w:line="312"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4"/>
        <w:ind w:right="1115"/>
        <w:jc w:val="left"/>
      </w:pPr>
      <w:r>
        <w:rPr>
          <w:spacing w:val="-2"/>
        </w:rPr>
        <w:t>度将取决于疫情防控情况、持续时间以及各项调控政策的实施等，仍存在不确定因素。本集团将密切关注、评估并积极应对</w:t>
      </w:r>
      <w:r>
        <w:rPr>
          <w:spacing w:val="-64"/>
        </w:rPr>
        <w:t> </w:t>
      </w:r>
      <w:r>
        <w:rPr>
          <w:spacing w:val="-64"/>
        </w:rPr>
      </w:r>
      <w:r>
        <w:rPr/>
        <w:t>其对本集团财务状况、经营成果等方面的影响。</w:t>
      </w:r>
    </w:p>
    <w:p>
      <w:pPr>
        <w:spacing w:line="240" w:lineRule="auto" w:before="9"/>
        <w:rPr>
          <w:rFonts w:ascii="宋体" w:hAnsi="宋体" w:cs="宋体" w:eastAsia="宋体" w:hint="default"/>
          <w:sz w:val="22"/>
          <w:szCs w:val="22"/>
        </w:rPr>
      </w:pPr>
    </w:p>
    <w:p>
      <w:pPr>
        <w:pStyle w:val="Heading3"/>
        <w:spacing w:line="240" w:lineRule="auto"/>
        <w:ind w:right="1115"/>
        <w:jc w:val="left"/>
        <w:rPr>
          <w:b w:val="0"/>
          <w:bCs w:val="0"/>
        </w:rPr>
      </w:pPr>
      <w:bookmarkStart w:name="（5）其他" w:id="385"/>
      <w:bookmarkEnd w:id="385"/>
      <w:r>
        <w:rPr>
          <w:b w:val="0"/>
          <w:bCs w:val="0"/>
        </w:rPr>
      </w:r>
      <w:r>
        <w:rPr/>
        <w:t>（</w:t>
      </w:r>
      <w:r>
        <w:rPr>
          <w:rFonts w:ascii="Times New Roman" w:hAnsi="Times New Roman" w:cs="Times New Roman" w:eastAsia="Times New Roman" w:hint="default"/>
        </w:rPr>
        <w:t>5</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本集团不存在其他应披露的资产负债表日后事项。</w:t>
      </w:r>
    </w:p>
    <w:p>
      <w:pPr>
        <w:spacing w:line="240" w:lineRule="auto" w:before="3"/>
        <w:rPr>
          <w:rFonts w:ascii="宋体" w:hAnsi="宋体" w:cs="宋体" w:eastAsia="宋体" w:hint="default"/>
          <w:sz w:val="25"/>
          <w:szCs w:val="25"/>
        </w:rPr>
      </w:pPr>
    </w:p>
    <w:p>
      <w:pPr>
        <w:pStyle w:val="Heading2"/>
        <w:spacing w:line="240" w:lineRule="auto"/>
        <w:ind w:right="1115"/>
        <w:jc w:val="left"/>
        <w:rPr>
          <w:b w:val="0"/>
          <w:bCs w:val="0"/>
        </w:rPr>
      </w:pPr>
      <w:bookmarkStart w:name="十六、其他重要事项" w:id="386"/>
      <w:bookmarkEnd w:id="386"/>
      <w:r>
        <w:rPr>
          <w:b w:val="0"/>
          <w:bCs w:val="0"/>
        </w:rPr>
      </w:r>
      <w:r>
        <w:rPr/>
        <w:t>十六、其他重要事项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5"/>
        <w:jc w:val="left"/>
        <w:rPr>
          <w:b w:val="0"/>
          <w:bCs w:val="0"/>
        </w:rPr>
      </w:pPr>
      <w:bookmarkStart w:name="1、分部信息" w:id="387"/>
      <w:bookmarkEnd w:id="387"/>
      <w:r>
        <w:rPr>
          <w:b w:val="0"/>
          <w:bCs w:val="0"/>
        </w:rPr>
      </w:r>
      <w:r>
        <w:rPr>
          <w:rFonts w:ascii="Times New Roman" w:hAnsi="Times New Roman" w:cs="Times New Roman" w:eastAsia="Times New Roman" w:hint="default"/>
        </w:rPr>
        <w:t>1</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5"/>
        <w:jc w:val="left"/>
        <w:rPr>
          <w:b w:val="0"/>
          <w:bCs w:val="0"/>
        </w:rPr>
      </w:pPr>
      <w:bookmarkStart w:name="（1）其他说明" w:id="388"/>
      <w:bookmarkEnd w:id="388"/>
      <w:r>
        <w:rPr>
          <w:b w:val="0"/>
          <w:bCs w:val="0"/>
        </w:rPr>
      </w:r>
      <w:r>
        <w:rPr/>
        <w:t>（</w:t>
      </w:r>
      <w:r>
        <w:rPr>
          <w:rFonts w:ascii="Times New Roman" w:hAnsi="Times New Roman" w:cs="Times New Roman" w:eastAsia="Times New Roman" w:hint="default"/>
        </w:rPr>
        <w:t>1</w:t>
      </w:r>
      <w:r>
        <w:rPr/>
        <w:t>）其他说明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5"/>
        <w:jc w:val="left"/>
      </w:pPr>
      <w:r>
        <w:rPr/>
        <w:t>公司业务模式简单，分部信息详见本节“七、合并财务报表项目注释 </w:t>
      </w:r>
      <w:r>
        <w:rPr>
          <w:rFonts w:ascii="Times New Roman" w:hAnsi="Times New Roman" w:cs="Times New Roman" w:eastAsia="Times New Roman" w:hint="default"/>
        </w:rPr>
        <w:t>39</w:t>
      </w:r>
      <w:r>
        <w:rPr/>
        <w:t>、营业收入和营业成本”。</w:t>
      </w:r>
    </w:p>
    <w:p>
      <w:pPr>
        <w:spacing w:line="240" w:lineRule="auto" w:before="2"/>
        <w:rPr>
          <w:rFonts w:ascii="宋体" w:hAnsi="宋体" w:cs="宋体" w:eastAsia="宋体" w:hint="default"/>
          <w:sz w:val="26"/>
          <w:szCs w:val="26"/>
        </w:rPr>
      </w:pPr>
    </w:p>
    <w:p>
      <w:pPr>
        <w:pStyle w:val="Heading3"/>
        <w:spacing w:line="240" w:lineRule="auto"/>
        <w:ind w:right="1115"/>
        <w:jc w:val="left"/>
        <w:rPr>
          <w:b w:val="0"/>
          <w:bCs w:val="0"/>
        </w:rPr>
      </w:pPr>
      <w:bookmarkStart w:name="2、其他对投资者决策有影响的重要交易和事项" w:id="389"/>
      <w:bookmarkEnd w:id="389"/>
      <w:r>
        <w:rPr>
          <w:b w:val="0"/>
          <w:bCs w:val="0"/>
        </w:rPr>
      </w:r>
      <w:r>
        <w:rPr>
          <w:rFonts w:ascii="Times New Roman" w:hAnsi="Times New Roman" w:cs="Times New Roman" w:eastAsia="Times New Roman" w:hint="default"/>
        </w:rPr>
        <w:t>2</w:t>
      </w:r>
      <w:r>
        <w:rPr/>
        <w:t>、其他对投资者决策有影响的重要交易和事项</w:t>
      </w:r>
      <w:r>
        <w:rPr>
          <w:b w:val="0"/>
          <w:bCs w:val="0"/>
        </w:rPr>
      </w:r>
    </w:p>
    <w:p>
      <w:pPr>
        <w:spacing w:line="240" w:lineRule="auto" w:before="4"/>
        <w:rPr>
          <w:rFonts w:ascii="宋体" w:hAnsi="宋体" w:cs="宋体" w:eastAsia="宋体" w:hint="default"/>
          <w:b/>
          <w:bCs/>
          <w:sz w:val="26"/>
          <w:szCs w:val="26"/>
        </w:rPr>
      </w:pPr>
    </w:p>
    <w:p>
      <w:pPr>
        <w:pStyle w:val="BodyText"/>
        <w:spacing w:line="304" w:lineRule="auto"/>
        <w:ind w:right="1124"/>
        <w:jc w:val="left"/>
      </w:pPr>
      <w:r>
        <w:rPr>
          <w:rFonts w:ascii="宋体" w:hAnsi="宋体" w:cs="宋体" w:eastAsia="宋体" w:hint="default"/>
          <w:b/>
          <w:bCs/>
        </w:rPr>
        <w:t>上海移通案件情况</w:t>
      </w:r>
      <w:r>
        <w:rPr>
          <w:rFonts w:ascii="宋体" w:hAnsi="宋体" w:cs="宋体" w:eastAsia="宋体" w:hint="default"/>
          <w:b/>
          <w:bCs/>
          <w:w w:val="99"/>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月初，本公司在对子公司上海移通派驻工作小组实施子公司业务审计，发现上海移通三名员工存在伪造、私刻客户</w:t>
      </w:r>
      <w:r>
        <w:rPr>
          <w:spacing w:val="-85"/>
        </w:rPr>
        <w:t> </w:t>
      </w:r>
      <w:r>
        <w:rPr>
          <w:spacing w:val="-85"/>
        </w:rPr>
      </w:r>
      <w:r>
        <w:rPr/>
        <w:t>单位公章的不法行为，并于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日向公安机关报案。公司已收到上海与北京两地公安机关出具的立案通知文件，分</w:t>
      </w:r>
      <w:r>
        <w:rPr>
          <w:spacing w:val="-85"/>
        </w:rPr>
        <w:t> </w:t>
      </w:r>
      <w:r>
        <w:rPr>
          <w:spacing w:val="-85"/>
        </w:rPr>
      </w:r>
      <w:r>
        <w:rPr/>
        <w:t>别对公司举报伪造公章一案和被合同诈骗一案立案。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16</w:t>
      </w:r>
      <w:r>
        <w:rPr/>
        <w:t>日，本公司与关联方启顺通达、子公司上海移通共同签署股权转让协议。同时，公司与上海移通、启顺通达以</w:t>
      </w:r>
      <w:r>
        <w:rPr>
          <w:spacing w:val="-86"/>
        </w:rPr>
        <w:t> </w:t>
      </w:r>
      <w:r>
        <w:rPr>
          <w:spacing w:val="-86"/>
        </w:rPr>
      </w:r>
      <w:r>
        <w:rPr>
          <w:spacing w:val="-2"/>
        </w:rPr>
        <w:t>及久其科技签署了《关于上海移通网络有限公司的诉讼及赔偿款分配安排协议》，久其科技签署了《北京久其科技投资有限</w:t>
      </w:r>
      <w:r>
        <w:rPr>
          <w:spacing w:val="-64"/>
        </w:rPr>
        <w:t> </w:t>
      </w:r>
      <w:r>
        <w:rPr>
          <w:spacing w:val="-64"/>
        </w:rPr>
      </w:r>
      <w:r>
        <w:rPr>
          <w:spacing w:val="-2"/>
        </w:rPr>
        <w:t>公司关于就北京启顺通达科技有限公司之承诺向北京久其软件股份有限公司承担补足责任的承诺函》，于协议及承诺函中就</w:t>
      </w:r>
      <w:r>
        <w:rPr>
          <w:spacing w:val="-64"/>
        </w:rPr>
        <w:t> </w:t>
      </w:r>
      <w:r>
        <w:rPr>
          <w:spacing w:val="-64"/>
        </w:rPr>
      </w:r>
      <w:r>
        <w:rPr/>
        <w:t>启顺通达和久其科技因上海移通股权交易存在重大问题时对本公司造成损失的情形作出了补偿安排及承诺。</w:t>
      </w:r>
      <w:r>
        <w:rPr/>
        <w:t> </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31</w:t>
      </w:r>
      <w:r>
        <w:rPr>
          <w:spacing w:val="-3"/>
        </w:rPr>
        <w:t>日，本公司和启顺通达签署《交割确认函》，确认：</w:t>
      </w:r>
      <w:r>
        <w:rPr>
          <w:rFonts w:ascii="Times New Roman" w:hAnsi="Times New Roman" w:cs="Times New Roman" w:eastAsia="Times New Roman" w:hint="default"/>
          <w:spacing w:val="-3"/>
        </w:rPr>
        <w:t>“</w:t>
      </w:r>
      <w:r>
        <w:rPr>
          <w:spacing w:val="-3"/>
        </w:rPr>
        <w:t>双方已于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31</w:t>
      </w:r>
      <w:r>
        <w:rPr>
          <w:spacing w:val="-3"/>
        </w:rPr>
        <w:t>日完成上海移通各项工作的交接，</w:t>
      </w:r>
      <w:r>
        <w:rPr>
          <w:spacing w:val="-73"/>
        </w:rPr>
        <w:t> </w:t>
      </w:r>
      <w:r>
        <w:rPr>
          <w:spacing w:val="-73"/>
        </w:rPr>
      </w:r>
      <w:r>
        <w:rPr/>
        <w:t>上海移通自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日起不再纳入久其软件合并范围</w:t>
      </w:r>
      <w:r>
        <w:rPr>
          <w:rFonts w:ascii="Times New Roman" w:hAnsi="Times New Roman" w:cs="Times New Roman" w:eastAsia="Times New Roman" w:hint="default"/>
        </w:rPr>
        <w:t>”</w:t>
      </w:r>
      <w:r>
        <w:rPr/>
        <w:t>。 </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24</w:t>
      </w:r>
      <w:r>
        <w:rPr/>
        <w:t>日，本公司与久其科技共同向上海仲裁委员会（以下简称</w:t>
      </w:r>
      <w:r>
        <w:rPr>
          <w:rFonts w:ascii="Times New Roman" w:hAnsi="Times New Roman" w:cs="Times New Roman" w:eastAsia="Times New Roman" w:hint="default"/>
        </w:rPr>
        <w:t>“</w:t>
      </w:r>
      <w:r>
        <w:rPr/>
        <w:t>仲裁委</w:t>
      </w:r>
      <w:r>
        <w:rPr>
          <w:rFonts w:ascii="Times New Roman" w:hAnsi="Times New Roman" w:cs="Times New Roman" w:eastAsia="Times New Roman" w:hint="default"/>
        </w:rPr>
        <w:t>”</w:t>
      </w:r>
      <w:r>
        <w:rPr/>
        <w:t>）递交了《仲裁申请书》，申请裁决撤销公</w:t>
      </w:r>
      <w:r>
        <w:rPr>
          <w:spacing w:val="-68"/>
        </w:rPr>
        <w:t> </w:t>
      </w:r>
      <w:r>
        <w:rPr>
          <w:spacing w:val="-68"/>
        </w:rPr>
      </w:r>
      <w:r>
        <w:rPr>
          <w:spacing w:val="2"/>
        </w:rPr>
        <w:t>司及久其科技于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20</w:t>
      </w:r>
      <w:r>
        <w:rPr>
          <w:spacing w:val="2"/>
        </w:rPr>
        <w:t>日签署的《北京久其软件股份有限公司、北京久其科技投资有限公司与</w:t>
      </w:r>
      <w:r>
        <w:rPr>
          <w:rFonts w:ascii="Times New Roman" w:hAnsi="Times New Roman" w:cs="Times New Roman" w:eastAsia="Times New Roman" w:hint="default"/>
          <w:spacing w:val="2"/>
        </w:rPr>
        <w:t>Etonenet </w:t>
      </w:r>
      <w:r>
        <w:rPr>
          <w:rFonts w:ascii="Times New Roman" w:hAnsi="Times New Roman" w:cs="Times New Roman" w:eastAsia="Times New Roman" w:hint="default"/>
        </w:rPr>
        <w:t>(HongKong)</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rFonts w:ascii="Times New Roman" w:hAnsi="Times New Roman" w:cs="Times New Roman" w:eastAsia="Times New Roman" w:hint="default"/>
          <w:spacing w:val="2"/>
        </w:rPr>
        <w:t>Limited</w:t>
      </w:r>
      <w:r>
        <w:rPr>
          <w:spacing w:val="2"/>
        </w:rPr>
        <w:t>、黄家骁、张迪新收购上海移通网络有限公司、上海恒瑞网络信息有限公司之总协议书》，同时申请裁决</w:t>
      </w:r>
      <w:r>
        <w:rPr>
          <w:rFonts w:ascii="Times New Roman" w:hAnsi="Times New Roman" w:cs="Times New Roman" w:eastAsia="Times New Roman" w:hint="default"/>
          <w:spacing w:val="2"/>
        </w:rPr>
        <w:t>Etonenet</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rFonts w:ascii="Times New Roman" w:hAnsi="Times New Roman" w:cs="Times New Roman" w:eastAsia="Times New Roman" w:hint="default"/>
        </w:rPr>
        <w:t>(HongKong)</w:t>
      </w:r>
      <w:r>
        <w:rPr>
          <w:rFonts w:ascii="Times New Roman" w:hAnsi="Times New Roman" w:cs="Times New Roman" w:eastAsia="Times New Roman" w:hint="default"/>
          <w:spacing w:val="37"/>
        </w:rPr>
        <w:t> </w:t>
      </w:r>
      <w:r>
        <w:rPr>
          <w:rFonts w:ascii="Times New Roman" w:hAnsi="Times New Roman" w:cs="Times New Roman" w:eastAsia="Times New Roman" w:hint="default"/>
        </w:rPr>
        <w:t>Limited</w:t>
      </w:r>
      <w:r>
        <w:rPr/>
        <w:t>及其相关方向公司及久其科技返还已支付的全部对价款项合计约</w:t>
      </w:r>
      <w:r>
        <w:rPr>
          <w:rFonts w:ascii="Times New Roman" w:hAnsi="Times New Roman" w:cs="Times New Roman" w:eastAsia="Times New Roman" w:hint="default"/>
        </w:rPr>
        <w:t>11.952</w:t>
      </w:r>
      <w:r>
        <w:rPr/>
        <w:t>亿元，并承担仲裁费、律师费等</w:t>
      </w:r>
      <w:r>
        <w:rPr>
          <w:spacing w:val="-88"/>
        </w:rPr>
        <w:t> </w:t>
      </w:r>
      <w:r>
        <w:rPr>
          <w:spacing w:val="-88"/>
        </w:rPr>
      </w:r>
      <w:r>
        <w:rPr/>
        <w:t>费用。本次仲裁申请已于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日获得仲裁委受理，公司于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日收到《受理通知书》（（</w:t>
      </w:r>
      <w:r>
        <w:rPr>
          <w:rFonts w:ascii="Times New Roman" w:hAnsi="Times New Roman" w:cs="Times New Roman" w:eastAsia="Times New Roman" w:hint="default"/>
        </w:rPr>
        <w:t>2020</w:t>
      </w:r>
      <w:r>
        <w:rPr/>
        <w:t>）沪仲案字第 </w:t>
      </w:r>
      <w:r>
        <w:rPr>
          <w:rFonts w:ascii="Times New Roman" w:hAnsi="Times New Roman" w:cs="Times New Roman" w:eastAsia="Times New Roman" w:hint="default"/>
        </w:rPr>
        <w:t>0547</w:t>
      </w:r>
      <w:r>
        <w:rPr/>
        <w:t>号）。 截至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日，公安机关正在对上海移通的刑事案件进行侦查；上海仲裁委员会对本公司及久其科技提出的民事仲裁</w:t>
      </w:r>
      <w:r>
        <w:rPr>
          <w:spacing w:val="-87"/>
        </w:rPr>
        <w:t> </w:t>
      </w:r>
      <w:r>
        <w:rPr>
          <w:spacing w:val="-87"/>
        </w:rPr>
      </w:r>
      <w:r>
        <w:rPr/>
        <w:t>程序正在进行中，案件调查情况、判决及仲裁进展、结果存在不确定性。</w:t>
      </w:r>
    </w:p>
    <w:p>
      <w:pPr>
        <w:spacing w:line="240" w:lineRule="auto" w:before="8"/>
        <w:rPr>
          <w:rFonts w:ascii="宋体" w:hAnsi="宋体" w:cs="宋体" w:eastAsia="宋体" w:hint="default"/>
          <w:sz w:val="21"/>
          <w:szCs w:val="21"/>
        </w:rPr>
      </w:pPr>
    </w:p>
    <w:p>
      <w:pPr>
        <w:pStyle w:val="Heading2"/>
        <w:spacing w:line="240" w:lineRule="auto"/>
        <w:ind w:right="1115"/>
        <w:jc w:val="left"/>
        <w:rPr>
          <w:b w:val="0"/>
          <w:bCs w:val="0"/>
        </w:rPr>
      </w:pPr>
      <w:bookmarkStart w:name="十七、母公司财务报表主要项目注释" w:id="390"/>
      <w:bookmarkEnd w:id="390"/>
      <w:r>
        <w:rPr>
          <w:b w:val="0"/>
          <w:bCs w:val="0"/>
        </w:rPr>
      </w:r>
      <w:r>
        <w:rPr/>
        <w:t>十七、母公司财务报表主要项目注释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5"/>
        <w:jc w:val="left"/>
        <w:rPr>
          <w:b w:val="0"/>
          <w:bCs w:val="0"/>
        </w:rPr>
      </w:pPr>
      <w:bookmarkStart w:name="1、应收账款" w:id="391"/>
      <w:bookmarkEnd w:id="391"/>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5"/>
        <w:jc w:val="left"/>
        <w:rPr>
          <w:b w:val="0"/>
          <w:bCs w:val="0"/>
        </w:rPr>
      </w:pPr>
      <w:bookmarkStart w:name="（1）应收账款分类披露" w:id="392"/>
      <w:bookmarkEnd w:id="392"/>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3841"/>
        <w:gridCol w:w="4082"/>
      </w:tblGrid>
      <w:tr>
        <w:trPr>
          <w:trHeight w:val="40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2" w:hRule="exact"/>
        </w:trPr>
        <w:tc>
          <w:tcPr>
            <w:tcW w:w="1635" w:type="dxa"/>
            <w:vMerge/>
            <w:tcBorders>
              <w:left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0" w:hRule="exact"/>
        </w:trPr>
        <w:tc>
          <w:tcPr>
            <w:tcW w:w="1635" w:type="dxa"/>
            <w:vMerge/>
            <w:tcBorders>
              <w:left w:val="single" w:sz="4" w:space="0" w:color="000000"/>
              <w:right w:val="single" w:sz="4" w:space="0" w:color="000000"/>
            </w:tcBorders>
            <w:shd w:val="clear" w:color="auto" w:fill="D2D2D2"/>
          </w:tcPr>
          <w:p>
            <w:pPr/>
          </w:p>
        </w:tc>
        <w:tc>
          <w:tcPr>
            <w:tcW w:w="7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114,932,</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571.27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6,002,47</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8.81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108,930,0</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92.46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117,652,7</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37.59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4,220,612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.18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6" w:right="0"/>
              <w:jc w:val="left"/>
              <w:rPr>
                <w:rFonts w:ascii="Times New Roman" w:hAnsi="Times New Roman" w:cs="Times New Roman" w:eastAsia="Times New Roman" w:hint="default"/>
                <w:sz w:val="18"/>
                <w:szCs w:val="18"/>
              </w:rPr>
            </w:pPr>
            <w:r>
              <w:rPr>
                <w:rFonts w:ascii="Times New Roman"/>
                <w:sz w:val="18"/>
              </w:rPr>
              <w:t>113,432,12</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5.41</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7" w:lineRule="auto" w:before="51"/>
              <w:ind w:left="24" w:right="21" w:firstLine="182"/>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：软件及服 务相关业务客户</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7" w:right="0"/>
              <w:jc w:val="center"/>
              <w:rPr>
                <w:rFonts w:ascii="Times New Roman" w:hAnsi="Times New Roman" w:cs="Times New Roman" w:eastAsia="Times New Roman" w:hint="default"/>
                <w:sz w:val="18"/>
                <w:szCs w:val="18"/>
              </w:rPr>
            </w:pPr>
            <w:r>
              <w:rPr>
                <w:rFonts w:ascii="Times New Roman"/>
                <w:sz w:val="18"/>
              </w:rPr>
              <w:t>114,682,</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571.27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99.78%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6,002,47</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8.81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108,680,0</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92.46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110,694,5</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77.59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94.09%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4,220,612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.18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106,473,96</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5.41</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4" w:right="21" w:firstLine="18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：合并范围 内的关联方客户</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0.22%</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6,958,160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5.91%</w:t>
            </w: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6,958,160.0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7" w:right="0"/>
              <w:jc w:val="center"/>
              <w:rPr>
                <w:rFonts w:ascii="Times New Roman" w:hAnsi="Times New Roman" w:cs="Times New Roman" w:eastAsia="Times New Roman" w:hint="default"/>
                <w:sz w:val="18"/>
                <w:szCs w:val="18"/>
              </w:rPr>
            </w:pPr>
            <w:r>
              <w:rPr>
                <w:rFonts w:ascii="Times New Roman"/>
                <w:sz w:val="18"/>
              </w:rPr>
              <w:t>114,932,</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571.27</w:t>
            </w: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6,002,47</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8.81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108,930,0</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92.46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117,652,7</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37.59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4,220,612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.18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6" w:right="0"/>
              <w:jc w:val="left"/>
              <w:rPr>
                <w:rFonts w:ascii="Times New Roman" w:hAnsi="Times New Roman" w:cs="Times New Roman" w:eastAsia="Times New Roman" w:hint="default"/>
                <w:sz w:val="18"/>
                <w:szCs w:val="18"/>
              </w:rPr>
            </w:pPr>
            <w:r>
              <w:rPr>
                <w:rFonts w:ascii="Times New Roman"/>
                <w:sz w:val="18"/>
              </w:rPr>
              <w:t>113,432,12</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5.41</w:t>
            </w:r>
          </w:p>
        </w:tc>
      </w:tr>
    </w:tbl>
    <w:p>
      <w:pPr>
        <w:pStyle w:val="BodyText"/>
        <w:spacing w:line="240" w:lineRule="auto" w:before="49"/>
        <w:ind w:right="1115"/>
        <w:jc w:val="left"/>
      </w:pPr>
      <w:r>
        <w:rPr/>
        <w:t>①组合计提项目：软件及服务相关业务客户</w:t>
      </w:r>
    </w:p>
    <w:p>
      <w:pPr>
        <w:spacing w:line="240" w:lineRule="auto" w:before="2"/>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570"/>
        <w:gridCol w:w="2530"/>
        <w:gridCol w:w="2132"/>
        <w:gridCol w:w="3428"/>
      </w:tblGrid>
      <w:tr>
        <w:trPr>
          <w:trHeight w:val="343" w:hRule="exact"/>
        </w:trPr>
        <w:tc>
          <w:tcPr>
            <w:tcW w:w="157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1" w:hRule="exact"/>
        </w:trPr>
        <w:tc>
          <w:tcPr>
            <w:tcW w:w="1570" w:type="dxa"/>
            <w:vMerge/>
            <w:tcBorders>
              <w:left w:val="single" w:sz="4" w:space="0" w:color="000000"/>
              <w:bottom w:val="single" w:sz="4" w:space="0" w:color="000000"/>
              <w:right w:val="single" w:sz="4" w:space="0" w:color="000000"/>
            </w:tcBorders>
            <w:shd w:val="clear" w:color="auto" w:fill="D9D9D9"/>
          </w:tcPr>
          <w:p>
            <w:pPr/>
          </w:p>
        </w:tc>
        <w:tc>
          <w:tcPr>
            <w:tcW w:w="25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1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70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4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9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预期信用损失率</w:t>
            </w:r>
            <w:r>
              <w:rPr>
                <w:rFonts w:ascii="Times New Roman" w:hAnsi="Times New Roman" w:cs="Times New Roman" w:eastAsia="Times New Roman" w:hint="default"/>
                <w:sz w:val="18"/>
                <w:szCs w:val="18"/>
              </w:rPr>
              <w:t>(%)</w:t>
            </w:r>
          </w:p>
        </w:tc>
      </w:tr>
      <w:tr>
        <w:trPr>
          <w:trHeight w:val="343"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87,198,896.38</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1,102,755.79</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1.26</w:t>
            </w:r>
          </w:p>
        </w:tc>
      </w:tr>
      <w:tr>
        <w:trPr>
          <w:trHeight w:val="341"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17,524,061.42</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1,484,701.49</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8.47</w:t>
            </w:r>
          </w:p>
        </w:tc>
      </w:tr>
      <w:tr>
        <w:trPr>
          <w:trHeight w:val="343"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2,212,170.00</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310,541.32</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14.04</w:t>
            </w:r>
          </w:p>
        </w:tc>
      </w:tr>
      <w:tr>
        <w:trPr>
          <w:trHeight w:val="341"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7,747,443.47</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3,104,480.21</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40.07</w:t>
            </w:r>
          </w:p>
        </w:tc>
      </w:tr>
      <w:tr>
        <w:trPr>
          <w:trHeight w:val="329" w:hRule="exact"/>
        </w:trPr>
        <w:tc>
          <w:tcPr>
            <w:tcW w:w="15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114,682,571.27</w:t>
            </w:r>
          </w:p>
        </w:tc>
        <w:tc>
          <w:tcPr>
            <w:tcW w:w="21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6,002,478.81</w:t>
            </w:r>
          </w:p>
        </w:tc>
        <w:tc>
          <w:tcPr>
            <w:tcW w:w="34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5.23</w:t>
            </w:r>
          </w:p>
        </w:tc>
      </w:tr>
    </w:tbl>
    <w:p>
      <w:pPr>
        <w:pStyle w:val="BodyText"/>
        <w:spacing w:line="240" w:lineRule="auto" w:before="63"/>
        <w:ind w:right="1115"/>
        <w:jc w:val="left"/>
      </w:pPr>
      <w:r>
        <w:rPr/>
        <w:t>②组合计提项目：合并范围内的关联方客户</w:t>
      </w:r>
    </w:p>
    <w:p>
      <w:pPr>
        <w:spacing w:line="240" w:lineRule="auto" w:before="2"/>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4160"/>
        <w:gridCol w:w="1462"/>
        <w:gridCol w:w="1303"/>
        <w:gridCol w:w="2734"/>
      </w:tblGrid>
      <w:tr>
        <w:trPr>
          <w:trHeight w:val="343" w:hRule="exact"/>
        </w:trPr>
        <w:tc>
          <w:tcPr>
            <w:tcW w:w="416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5499"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1" w:hRule="exact"/>
        </w:trPr>
        <w:tc>
          <w:tcPr>
            <w:tcW w:w="4160" w:type="dxa"/>
            <w:vMerge/>
            <w:tcBorders>
              <w:left w:val="single" w:sz="4" w:space="0" w:color="000000"/>
              <w:bottom w:val="single" w:sz="4" w:space="0" w:color="000000"/>
              <w:right w:val="single" w:sz="4" w:space="0" w:color="000000"/>
            </w:tcBorders>
            <w:shd w:val="clear" w:color="auto" w:fill="D9D9D9"/>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36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28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59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预期信用损失率</w:t>
            </w:r>
            <w:r>
              <w:rPr>
                <w:rFonts w:ascii="Times New Roman" w:hAnsi="Times New Roman" w:cs="Times New Roman" w:eastAsia="Times New Roman" w:hint="default"/>
                <w:sz w:val="18"/>
                <w:szCs w:val="18"/>
              </w:rPr>
              <w:t>(%)</w:t>
            </w:r>
          </w:p>
        </w:tc>
      </w:tr>
      <w:tr>
        <w:trPr>
          <w:trHeight w:val="343"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合并范围内的关联方客户组合</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36" w:right="0"/>
              <w:jc w:val="left"/>
              <w:rPr>
                <w:rFonts w:ascii="Times New Roman" w:hAnsi="Times New Roman" w:cs="Times New Roman" w:eastAsia="Times New Roman" w:hint="default"/>
                <w:sz w:val="18"/>
                <w:szCs w:val="18"/>
              </w:rPr>
            </w:pPr>
            <w:r>
              <w:rPr>
                <w:rFonts w:ascii="Times New Roman"/>
                <w:sz w:val="18"/>
              </w:rPr>
              <w:t>250,000.00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49"/>
        <w:ind w:right="1115"/>
        <w:jc w:val="left"/>
      </w:pPr>
      <w:r>
        <w:rPr/>
        <w:t>如是按照预期信用损失一般模型计提应收账款坏账准备，请参照其他应收款的披露方式披露坏账准备的相关信息：</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4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87,448,896.38</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17,524,061.42</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2,212,170.00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7,747,443.47</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114,932,571.27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before="36"/>
        <w:ind w:right="1115"/>
        <w:jc w:val="left"/>
        <w:rPr>
          <w:b w:val="0"/>
          <w:bCs w:val="0"/>
        </w:rPr>
      </w:pPr>
      <w:bookmarkStart w:name="（2）本期计提、收回或转回的坏账准备情况" w:id="393"/>
      <w:bookmarkEnd w:id="39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15"/>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4,220,612.18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1,781,866.63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6,002,478.81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4,220,612.18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1,781,866.63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6,002,478.81</w:t>
            </w:r>
          </w:p>
        </w:tc>
      </w:tr>
    </w:tbl>
    <w:p>
      <w:pPr>
        <w:pStyle w:val="BodyText"/>
        <w:spacing w:line="240" w:lineRule="auto" w:before="49"/>
        <w:ind w:right="1115"/>
        <w:jc w:val="left"/>
      </w:pPr>
      <w:r>
        <w:rPr/>
        <w:t>其中本期坏账准备收回或转回金额重要的：无。</w:t>
      </w:r>
    </w:p>
    <w:p>
      <w:pPr>
        <w:spacing w:line="240" w:lineRule="auto" w:before="0"/>
        <w:rPr>
          <w:rFonts w:ascii="宋体" w:hAnsi="宋体" w:cs="宋体" w:eastAsia="宋体" w:hint="default"/>
          <w:sz w:val="18"/>
          <w:szCs w:val="18"/>
        </w:rPr>
      </w:pPr>
    </w:p>
    <w:p>
      <w:pPr>
        <w:pStyle w:val="Heading3"/>
        <w:spacing w:line="240" w:lineRule="auto" w:before="118"/>
        <w:ind w:right="1115"/>
        <w:jc w:val="left"/>
        <w:rPr>
          <w:b w:val="0"/>
          <w:bCs w:val="0"/>
        </w:rPr>
      </w:pPr>
      <w:bookmarkStart w:name="（3）按欠款方归集的期末余额前五名的应收账款情况" w:id="394"/>
      <w:bookmarkEnd w:id="394"/>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207,531.55</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8,421,150.00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710,587.34</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6,112,000.00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77,343.47</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2,557,800.00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32,367.33</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27,902.87</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35,695,950.00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31.07%</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2、其他应收款" w:id="395"/>
      <w:bookmarkEnd w:id="395"/>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93,950,239.42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135,314,628.58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93,950,239.42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135,314,628.58</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1）其他应收款" w:id="396"/>
      <w:bookmarkEnd w:id="396"/>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pStyle w:val="Heading3"/>
        <w:spacing w:line="240" w:lineRule="auto" w:before="36"/>
        <w:ind w:right="-5"/>
        <w:jc w:val="left"/>
        <w:rPr>
          <w:b w:val="0"/>
          <w:bCs w:val="0"/>
        </w:rPr>
      </w:pPr>
      <w:bookmarkStart w:name="其他应收款按款项性质分类情况" w:id="397"/>
      <w:bookmarkEnd w:id="397"/>
      <w:r>
        <w:rPr>
          <w:b w:val="0"/>
          <w:bCs w:val="0"/>
        </w:rPr>
      </w:r>
      <w:r>
        <w:rPr>
          <w:spacing w:val="-1"/>
        </w:rPr>
        <w:t>其他应收款按款项性质分类情况</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3"/>
          <w:szCs w:val="13"/>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105" w:space="5724"/>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46,456,620.98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47,175,887.36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4,436,231.44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9,504,638.68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48,847,616.20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83,690,965.17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99,740,468.62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140,371,491.21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0" w:top="1100" w:bottom="1160" w:left="980" w:right="0"/>
        </w:sectPr>
      </w:pPr>
    </w:p>
    <w:p>
      <w:pPr>
        <w:pStyle w:val="Heading3"/>
        <w:spacing w:line="240" w:lineRule="auto" w:before="36"/>
        <w:ind w:right="-6"/>
        <w:jc w:val="left"/>
        <w:rPr>
          <w:b w:val="0"/>
          <w:bCs w:val="0"/>
        </w:rPr>
      </w:pPr>
      <w:bookmarkStart w:name="（2）坏账准备计提情况" w:id="398"/>
      <w:bookmarkEnd w:id="398"/>
      <w:r>
        <w:rPr>
          <w:b w:val="0"/>
          <w:bCs w:val="0"/>
        </w:rPr>
      </w:r>
      <w:r>
        <w:rPr>
          <w:spacing w:val="-1"/>
        </w:rPr>
        <w:t>（</w:t>
      </w:r>
      <w:r>
        <w:rPr>
          <w:rFonts w:ascii="Times New Roman" w:hAnsi="Times New Roman" w:cs="Times New Roman" w:eastAsia="Times New Roman" w:hint="default"/>
          <w:spacing w:val="-1"/>
        </w:rPr>
        <w:t>2</w:t>
      </w:r>
      <w:r>
        <w:rPr>
          <w:spacing w:val="-1"/>
        </w:rPr>
        <w:t>）坏账准备计提情况</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3"/>
          <w:szCs w:val="13"/>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369" w:space="6460"/>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0"/>
        <w:gridCol w:w="2125"/>
        <w:gridCol w:w="1844"/>
        <w:gridCol w:w="1844"/>
        <w:gridCol w:w="1238"/>
      </w:tblGrid>
      <w:tr>
        <w:trPr>
          <w:trHeight w:val="403" w:hRule="exact"/>
        </w:trPr>
        <w:tc>
          <w:tcPr>
            <w:tcW w:w="252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23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25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1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0" w:right="41" w:firstLine="6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 损失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3" w:firstLine="6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 损失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2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92" w:hRule="exact"/>
        </w:trPr>
        <w:tc>
          <w:tcPr>
            <w:tcW w:w="2520" w:type="dxa"/>
            <w:vMerge/>
            <w:tcBorders>
              <w:left w:val="single" w:sz="4" w:space="0" w:color="000000"/>
              <w:bottom w:val="nil" w:sz="6" w:space="0" w:color="auto"/>
              <w:right w:val="single" w:sz="4" w:space="0" w:color="000000"/>
            </w:tcBorders>
            <w:shd w:val="clear" w:color="auto" w:fill="D2D2D2"/>
          </w:tcPr>
          <w:p>
            <w:pPr/>
          </w:p>
        </w:tc>
        <w:tc>
          <w:tcPr>
            <w:tcW w:w="21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个月预期信用损失</w:t>
            </w:r>
          </w:p>
        </w:tc>
        <w:tc>
          <w:tcPr>
            <w:tcW w:w="1844" w:type="dxa"/>
            <w:vMerge/>
            <w:tcBorders>
              <w:left w:val="single" w:sz="4" w:space="0" w:color="000000"/>
              <w:right w:val="single" w:sz="4" w:space="0" w:color="000000"/>
            </w:tcBorders>
            <w:shd w:val="clear" w:color="auto" w:fill="D2D2D2"/>
          </w:tcPr>
          <w:p>
            <w:pPr/>
          </w:p>
        </w:tc>
        <w:tc>
          <w:tcPr>
            <w:tcW w:w="1844" w:type="dxa"/>
            <w:vMerge/>
            <w:tcBorders>
              <w:left w:val="single" w:sz="4" w:space="0" w:color="000000"/>
              <w:right w:val="single" w:sz="4" w:space="0" w:color="000000"/>
            </w:tcBorders>
            <w:shd w:val="clear" w:color="auto" w:fill="D2D2D2"/>
          </w:tcPr>
          <w:p>
            <w:pPr/>
          </w:p>
        </w:tc>
        <w:tc>
          <w:tcPr>
            <w:tcW w:w="1238"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2520" w:type="dxa"/>
            <w:vMerge w:val="restart"/>
            <w:tcBorders>
              <w:top w:val="nil" w:sz="6" w:space="0" w:color="auto"/>
              <w:left w:val="single" w:sz="4" w:space="0" w:color="000000"/>
              <w:right w:val="single" w:sz="4" w:space="0" w:color="000000"/>
            </w:tcBorders>
            <w:shd w:val="clear" w:color="auto" w:fill="D2D2D2"/>
          </w:tcPr>
          <w:p>
            <w:pPr/>
          </w:p>
        </w:tc>
        <w:tc>
          <w:tcPr>
            <w:tcW w:w="2125" w:type="dxa"/>
            <w:vMerge/>
            <w:tcBorders>
              <w:left w:val="single" w:sz="4" w:space="0" w:color="000000"/>
              <w:bottom w:val="nil" w:sz="6" w:space="0" w:color="auto"/>
              <w:right w:val="single" w:sz="4" w:space="0" w:color="000000"/>
            </w:tcBorders>
            <w:shd w:val="clear" w:color="auto" w:fill="D2D2D2"/>
          </w:tcPr>
          <w:p>
            <w:pPr/>
          </w:p>
        </w:tc>
        <w:tc>
          <w:tcPr>
            <w:tcW w:w="1844" w:type="dxa"/>
            <w:vMerge/>
            <w:tcBorders>
              <w:left w:val="single" w:sz="4" w:space="0" w:color="000000"/>
              <w:right w:val="single" w:sz="4" w:space="0" w:color="000000"/>
            </w:tcBorders>
            <w:shd w:val="clear" w:color="auto" w:fill="D2D2D2"/>
          </w:tcPr>
          <w:p>
            <w:pPr/>
          </w:p>
        </w:tc>
        <w:tc>
          <w:tcPr>
            <w:tcW w:w="1844" w:type="dxa"/>
            <w:vMerge/>
            <w:tcBorders>
              <w:left w:val="single" w:sz="4" w:space="0" w:color="000000"/>
              <w:right w:val="single" w:sz="4" w:space="0" w:color="000000"/>
            </w:tcBorders>
            <w:shd w:val="clear" w:color="auto" w:fill="D2D2D2"/>
          </w:tcPr>
          <w:p>
            <w:pPr/>
          </w:p>
        </w:tc>
        <w:tc>
          <w:tcPr>
            <w:tcW w:w="123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520" w:type="dxa"/>
            <w:vMerge/>
            <w:tcBorders>
              <w:left w:val="single" w:sz="4" w:space="0" w:color="000000"/>
              <w:bottom w:val="single" w:sz="4" w:space="0" w:color="000000"/>
              <w:right w:val="single" w:sz="4" w:space="0" w:color="000000"/>
            </w:tcBorders>
            <w:shd w:val="clear" w:color="auto" w:fill="D2D2D2"/>
          </w:tcPr>
          <w:p>
            <w:pPr/>
          </w:p>
        </w:tc>
        <w:tc>
          <w:tcPr>
            <w:tcW w:w="21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44" w:type="dxa"/>
            <w:vMerge/>
            <w:tcBorders>
              <w:left w:val="single" w:sz="4" w:space="0" w:color="000000"/>
              <w:bottom w:val="single" w:sz="4" w:space="0" w:color="000000"/>
              <w:right w:val="single" w:sz="4" w:space="0" w:color="000000"/>
            </w:tcBorders>
            <w:shd w:val="clear" w:color="auto" w:fill="D2D2D2"/>
          </w:tcPr>
          <w:p>
            <w:pPr/>
          </w:p>
        </w:tc>
        <w:tc>
          <w:tcPr>
            <w:tcW w:w="1844" w:type="dxa"/>
            <w:vMerge/>
            <w:tcBorders>
              <w:left w:val="single" w:sz="4" w:space="0" w:color="000000"/>
              <w:bottom w:val="single" w:sz="4" w:space="0" w:color="000000"/>
              <w:right w:val="single" w:sz="4" w:space="0" w:color="000000"/>
            </w:tcBorders>
            <w:shd w:val="clear" w:color="auto" w:fill="D2D2D2"/>
          </w:tcPr>
          <w:p>
            <w:pPr/>
          </w:p>
        </w:tc>
        <w:tc>
          <w:tcPr>
            <w:tcW w:w="123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21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5,056,862.63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5,056,862.63</w:t>
            </w:r>
          </w:p>
        </w:tc>
      </w:tr>
      <w:tr>
        <w:trPr>
          <w:trHeight w:val="401" w:hRule="exact"/>
        </w:trPr>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日余额在本期</w:t>
            </w:r>
          </w:p>
        </w:tc>
        <w:tc>
          <w:tcPr>
            <w:tcW w:w="2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21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733,366.57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733,366.57</w:t>
            </w:r>
          </w:p>
        </w:tc>
      </w:tr>
      <w:tr>
        <w:trPr>
          <w:trHeight w:val="401" w:hRule="exact"/>
        </w:trPr>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21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5,790,229.20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5,790,229.20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49"/>
        <w:ind w:right="-20"/>
        <w:jc w:val="left"/>
      </w:pPr>
      <w:r>
        <w:rPr/>
        <w:t>损失准备本期变动金额重大的账面余额变动情况</w:t>
      </w:r>
    </w:p>
    <w:p>
      <w:pPr>
        <w:pStyle w:val="BodyText"/>
        <w:spacing w:line="338" w:lineRule="auto" w:before="118"/>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3" w:space="489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41,498,464.04</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40,757,364.74</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6,964,310.80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10,520,329.04</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99,740,468.62</w:t>
            </w:r>
          </w:p>
        </w:tc>
      </w:tr>
    </w:tbl>
    <w:p>
      <w:pPr>
        <w:spacing w:line="240" w:lineRule="auto" w:before="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60" w:bottom="1160" w:left="980" w:right="0"/>
        </w:sectPr>
      </w:pPr>
    </w:p>
    <w:p>
      <w:pPr>
        <w:pStyle w:val="Heading3"/>
        <w:spacing w:line="240" w:lineRule="auto" w:before="36"/>
        <w:ind w:right="0"/>
        <w:jc w:val="left"/>
        <w:rPr>
          <w:b w:val="0"/>
          <w:bCs w:val="0"/>
        </w:rPr>
      </w:pPr>
      <w:bookmarkStart w:name="（3）按欠款方归集的期末余额前五名的其他应收款情况" w:id="399"/>
      <w:bookmarkEnd w:id="399"/>
      <w:r>
        <w:rPr>
          <w:b w:val="0"/>
          <w:bCs w:val="0"/>
        </w:rPr>
      </w:r>
      <w:r>
        <w:rPr>
          <w:spacing w:val="-1"/>
        </w:rPr>
        <w:t>（</w:t>
      </w:r>
      <w:r>
        <w:rPr>
          <w:rFonts w:ascii="Times New Roman" w:hAnsi="Times New Roman" w:cs="Times New Roman" w:eastAsia="Times New Roman" w:hint="default"/>
          <w:spacing w:val="-1"/>
        </w:rPr>
        <w:t>3</w:t>
      </w:r>
      <w:r>
        <w:rPr>
          <w:spacing w:val="-1"/>
        </w:rPr>
        <w:t>）按欠款方归集的期末余额前五名的其他应收款情况</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3"/>
          <w:szCs w:val="13"/>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5319" w:space="3510"/>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4.11%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339,255.67</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1,988,031.00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185,824.82</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1,875,000.00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533,211.41</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1,748,325.00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497,187.65</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1,743,000.00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65,734.02</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11,454,356.00</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11.48%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1,621,213.57</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3、长期股权投资" w:id="400"/>
      <w:bookmarkEnd w:id="400"/>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45"/>
        <w:gridCol w:w="1317"/>
        <w:gridCol w:w="1181"/>
        <w:gridCol w:w="1328"/>
        <w:gridCol w:w="1303"/>
        <w:gridCol w:w="1318"/>
        <w:gridCol w:w="1315"/>
      </w:tblGrid>
      <w:tr>
        <w:trPr>
          <w:trHeight w:val="206" w:hRule="exact"/>
        </w:trPr>
        <w:tc>
          <w:tcPr>
            <w:tcW w:w="1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3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3825" w:type="dxa"/>
            <w:gridSpan w:val="3"/>
            <w:vMerge/>
            <w:tcBorders>
              <w:left w:val="single" w:sz="4" w:space="0" w:color="000000"/>
              <w:bottom w:val="single" w:sz="4" w:space="0" w:color="000000"/>
              <w:right w:val="single" w:sz="4" w:space="0" w:color="000000"/>
            </w:tcBorders>
            <w:shd w:val="clear" w:color="auto" w:fill="D2D2D2"/>
          </w:tcPr>
          <w:p>
            <w:pPr/>
          </w:p>
        </w:tc>
        <w:tc>
          <w:tcPr>
            <w:tcW w:w="3937"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845" w:type="dxa"/>
            <w:vMerge/>
            <w:tcBorders>
              <w:left w:val="single" w:sz="4" w:space="0" w:color="000000"/>
              <w:bottom w:val="nil" w:sz="6" w:space="0" w:color="auto"/>
              <w:right w:val="single" w:sz="4" w:space="0" w:color="000000"/>
            </w:tcBorders>
            <w:shd w:val="clear" w:color="auto" w:fill="D2D2D2"/>
          </w:tcPr>
          <w:p>
            <w:pPr/>
          </w:p>
        </w:tc>
        <w:tc>
          <w:tcPr>
            <w:tcW w:w="13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9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9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9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7"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328" w:type="dxa"/>
            <w:vMerge/>
            <w:tcBorders>
              <w:left w:val="single" w:sz="4" w:space="0" w:color="000000"/>
              <w:bottom w:val="single" w:sz="4" w:space="0" w:color="000000"/>
              <w:right w:val="single" w:sz="4" w:space="0" w:color="000000"/>
            </w:tcBorders>
            <w:shd w:val="clear" w:color="auto" w:fill="D2D2D2"/>
          </w:tcPr>
          <w:p>
            <w:pPr/>
          </w:p>
        </w:tc>
        <w:tc>
          <w:tcPr>
            <w:tcW w:w="1303"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c>
          <w:tcPr>
            <w:tcW w:w="131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5" w:right="0"/>
              <w:jc w:val="left"/>
              <w:rPr>
                <w:rFonts w:ascii="Times New Roman" w:hAnsi="Times New Roman" w:cs="Times New Roman" w:eastAsia="Times New Roman" w:hint="default"/>
                <w:sz w:val="18"/>
                <w:szCs w:val="18"/>
              </w:rPr>
            </w:pPr>
            <w:r>
              <w:rPr>
                <w:rFonts w:ascii="Times New Roman"/>
                <w:sz w:val="18"/>
              </w:rPr>
              <w:t>2,135,447,463.58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261,769,830.39</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1,873,677,633.19</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3,656,902,213.58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1,496,472,261.92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2,160,429,951.66</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845"/>
        <w:gridCol w:w="1317"/>
        <w:gridCol w:w="1181"/>
        <w:gridCol w:w="1316"/>
        <w:gridCol w:w="1315"/>
        <w:gridCol w:w="1318"/>
        <w:gridCol w:w="1315"/>
      </w:tblGrid>
      <w:tr>
        <w:trPr>
          <w:trHeight w:val="206" w:hRule="exact"/>
        </w:trPr>
        <w:tc>
          <w:tcPr>
            <w:tcW w:w="1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38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4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3813" w:type="dxa"/>
            <w:gridSpan w:val="3"/>
            <w:vMerge/>
            <w:tcBorders>
              <w:left w:val="single" w:sz="4" w:space="0" w:color="000000"/>
              <w:bottom w:val="single" w:sz="4" w:space="0" w:color="000000"/>
              <w:right w:val="single" w:sz="4" w:space="0" w:color="000000"/>
            </w:tcBorders>
            <w:shd w:val="clear" w:color="auto" w:fill="D2D2D2"/>
          </w:tcPr>
          <w:p>
            <w:pPr/>
          </w:p>
        </w:tc>
        <w:tc>
          <w:tcPr>
            <w:tcW w:w="3949"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45" w:type="dxa"/>
            <w:vMerge/>
            <w:tcBorders>
              <w:left w:val="single" w:sz="4" w:space="0" w:color="000000"/>
              <w:bottom w:val="nil" w:sz="6" w:space="0" w:color="auto"/>
              <w:right w:val="single" w:sz="4" w:space="0" w:color="000000"/>
            </w:tcBorders>
            <w:shd w:val="clear" w:color="auto" w:fill="D2D2D2"/>
          </w:tcPr>
          <w:p>
            <w:pPr/>
          </w:p>
        </w:tc>
        <w:tc>
          <w:tcPr>
            <w:tcW w:w="13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2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9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9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9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7"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c>
          <w:tcPr>
            <w:tcW w:w="1315"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c>
          <w:tcPr>
            <w:tcW w:w="131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1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25" w:right="0"/>
              <w:jc w:val="center"/>
              <w:rPr>
                <w:rFonts w:ascii="Times New Roman" w:hAnsi="Times New Roman" w:cs="Times New Roman" w:eastAsia="Times New Roman" w:hint="default"/>
                <w:sz w:val="18"/>
                <w:szCs w:val="18"/>
              </w:rPr>
            </w:pPr>
            <w:r>
              <w:rPr>
                <w:rFonts w:ascii="Times New Roman"/>
                <w:sz w:val="18"/>
              </w:rPr>
              <w:t>129,882,656.73</w:t>
            </w: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129,882,656.73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129,886,501.93</w:t>
            </w:r>
          </w:p>
        </w:tc>
        <w:tc>
          <w:tcPr>
            <w:tcW w:w="131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129,886,501.93</w:t>
            </w:r>
          </w:p>
        </w:tc>
      </w:tr>
      <w:tr>
        <w:trPr>
          <w:trHeight w:val="403"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7"/>
              <w:jc w:val="center"/>
              <w:rPr>
                <w:rFonts w:ascii="Times New Roman" w:hAnsi="Times New Roman" w:cs="Times New Roman" w:eastAsia="Times New Roman" w:hint="default"/>
                <w:sz w:val="18"/>
                <w:szCs w:val="18"/>
              </w:rPr>
            </w:pPr>
            <w:r>
              <w:rPr>
                <w:rFonts w:ascii="Times New Roman"/>
                <w:sz w:val="18"/>
              </w:rPr>
              <w:t>2,265,330,120.31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261,769,830.39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2,003,560,289.92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3,786,788,715.51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1,496,472,261.92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2,290,316,453.59</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1）对子公司投资" w:id="401"/>
      <w:bookmarkEnd w:id="401"/>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52"/>
        <w:gridCol w:w="1345"/>
        <w:gridCol w:w="1092"/>
        <w:gridCol w:w="1316"/>
        <w:gridCol w:w="763"/>
        <w:gridCol w:w="343"/>
        <w:gridCol w:w="1491"/>
        <w:gridCol w:w="1368"/>
      </w:tblGrid>
      <w:tr>
        <w:trPr>
          <w:trHeight w:val="402" w:hRule="exact"/>
        </w:trPr>
        <w:tc>
          <w:tcPr>
            <w:tcW w:w="19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00" w:lineRule="auto"/>
              <w:ind w:left="456" w:right="96"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351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4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00" w:lineRule="auto"/>
              <w:ind w:left="621" w:right="77" w:hanging="54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587" w:right="48"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3" w:hRule="exact"/>
        </w:trPr>
        <w:tc>
          <w:tcPr>
            <w:tcW w:w="1952" w:type="dxa"/>
            <w:vMerge/>
            <w:tcBorders>
              <w:left w:val="single" w:sz="4" w:space="0" w:color="000000"/>
              <w:bottom w:val="single" w:sz="4" w:space="0" w:color="000000"/>
              <w:right w:val="single" w:sz="4" w:space="0" w:color="000000"/>
            </w:tcBorders>
            <w:shd w:val="clear" w:color="auto" w:fill="D2D2D2"/>
          </w:tcPr>
          <w:p>
            <w:pPr/>
          </w:p>
        </w:tc>
        <w:tc>
          <w:tcPr>
            <w:tcW w:w="1345" w:type="dxa"/>
            <w:vMerge/>
            <w:tcBorders>
              <w:left w:val="single" w:sz="4" w:space="0" w:color="000000"/>
              <w:bottom w:val="single" w:sz="4" w:space="0" w:color="000000"/>
              <w:right w:val="single" w:sz="4" w:space="0" w:color="000000"/>
            </w:tcBorders>
            <w:shd w:val="clear" w:color="auto" w:fill="D2D2D2"/>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8" w:right="103"/>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3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left"/>
              <w:rPr>
                <w:rFonts w:ascii="宋体" w:hAnsi="宋体" w:cs="宋体" w:eastAsia="宋体" w:hint="default"/>
                <w:sz w:val="18"/>
                <w:szCs w:val="18"/>
              </w:rPr>
            </w:pPr>
            <w:r>
              <w:rPr>
                <w:rFonts w:ascii="宋体" w:hAnsi="宋体" w:cs="宋体" w:eastAsia="宋体" w:hint="default"/>
                <w:sz w:val="18"/>
                <w:szCs w:val="18"/>
              </w:rPr>
              <w:t>其 他</w:t>
            </w:r>
          </w:p>
        </w:tc>
        <w:tc>
          <w:tcPr>
            <w:tcW w:w="1491"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西安久其软件有限公司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2,974,522.70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2,974,522.70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上海久其软件有限公司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3,203,281.00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3,203,281.00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成都久其软件有限公司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2,952,000.00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2,952,000.00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广东久其软件有限公司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1,504,638.24</w:t>
            </w:r>
          </w:p>
        </w:tc>
        <w:tc>
          <w:tcPr>
            <w:tcW w:w="109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1,504,638.24</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北京久其政务软件股份 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307,092,354.54</w:t>
            </w:r>
          </w:p>
        </w:tc>
        <w:tc>
          <w:tcPr>
            <w:tcW w:w="109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307,092,354.54</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新疆久其科技有限公司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2,876,628.10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2,876,628.10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重庆久其软件有限公司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海南久其云计算科技有 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北京久其智通数据科技 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北京亿起联科技有限公 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248,230,169.61</w:t>
            </w:r>
          </w:p>
        </w:tc>
        <w:tc>
          <w:tcPr>
            <w:tcW w:w="109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248,230,169.61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261,769,830.39</w:t>
            </w:r>
          </w:p>
        </w:tc>
      </w:tr>
      <w:tr>
        <w:trPr>
          <w:trHeight w:val="715"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北京久其互联网金融信 息服务有限公司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17,500,000.00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17,500,000.00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北京华夏电通科技有限 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649,875,250.00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2,945,250.00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652,820,500.00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北京蜂语网络科技有限 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4,590,000.00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4,590,000.00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北京中民颐养科技服务 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2,040,000.00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2,040,000.00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深圳市久金保商业保理 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141,700,000.00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141,700,000.00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北京瑞意恒动科技有限 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225,000,000.00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225,000,000.00</w:t>
            </w: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52"/>
        <w:gridCol w:w="1345"/>
        <w:gridCol w:w="1092"/>
        <w:gridCol w:w="1316"/>
        <w:gridCol w:w="763"/>
        <w:gridCol w:w="343"/>
        <w:gridCol w:w="1491"/>
        <w:gridCol w:w="1368"/>
      </w:tblGrid>
      <w:tr>
        <w:trPr>
          <w:trHeight w:val="402" w:hRule="exact"/>
        </w:trPr>
        <w:tc>
          <w:tcPr>
            <w:tcW w:w="19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0" w:lineRule="auto"/>
              <w:ind w:left="456" w:right="96"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351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4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0" w:lineRule="auto"/>
              <w:ind w:left="621" w:right="77" w:hanging="54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587" w:right="48"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952" w:type="dxa"/>
            <w:vMerge/>
            <w:tcBorders>
              <w:left w:val="single" w:sz="4" w:space="0" w:color="000000"/>
              <w:bottom w:val="single" w:sz="4" w:space="0" w:color="000000"/>
              <w:right w:val="single" w:sz="4" w:space="0" w:color="000000"/>
            </w:tcBorders>
            <w:shd w:val="clear" w:color="auto" w:fill="D2D2D2"/>
          </w:tcPr>
          <w:p>
            <w:pPr/>
          </w:p>
        </w:tc>
        <w:tc>
          <w:tcPr>
            <w:tcW w:w="1345" w:type="dxa"/>
            <w:vMerge/>
            <w:tcBorders>
              <w:left w:val="single" w:sz="4" w:space="0" w:color="000000"/>
              <w:bottom w:val="single" w:sz="4" w:space="0" w:color="000000"/>
              <w:right w:val="single" w:sz="4" w:space="0" w:color="000000"/>
            </w:tcBorders>
            <w:shd w:val="clear" w:color="auto" w:fill="D2D2D2"/>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减少投资</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08" w:right="103"/>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3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6" w:right="74"/>
              <w:jc w:val="left"/>
              <w:rPr>
                <w:rFonts w:ascii="宋体" w:hAnsi="宋体" w:cs="宋体" w:eastAsia="宋体" w:hint="default"/>
                <w:sz w:val="18"/>
                <w:szCs w:val="18"/>
              </w:rPr>
            </w:pPr>
            <w:r>
              <w:rPr>
                <w:rFonts w:ascii="宋体" w:hAnsi="宋体" w:cs="宋体" w:eastAsia="宋体" w:hint="default"/>
                <w:sz w:val="18"/>
                <w:szCs w:val="18"/>
              </w:rPr>
              <w:t>其 他</w:t>
            </w:r>
          </w:p>
        </w:tc>
        <w:tc>
          <w:tcPr>
            <w:tcW w:w="1491"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海南久其互联网产业研 究院有限公司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上海移通网络有限公司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299,697,568.47</w:t>
            </w:r>
          </w:p>
        </w:tc>
        <w:tc>
          <w:tcPr>
            <w:tcW w:w="109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1,534,400,000.00</w:t>
            </w:r>
          </w:p>
        </w:tc>
        <w:tc>
          <w:tcPr>
            <w:tcW w:w="76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北京久其金建科技有限 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15,300,000.00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15,300,000.00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久其数字传播有限公司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165,893,539.00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165,893,539.00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2,160,429,951.66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12,945,250.00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1,534,400,000.00</w:t>
            </w:r>
          </w:p>
        </w:tc>
        <w:tc>
          <w:tcPr>
            <w:tcW w:w="76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1,873,677,633.19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261,769,830.39</w:t>
            </w: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2）对联营、合营企业投资" w:id="402"/>
      <w:bookmarkEnd w:id="402"/>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76"/>
        <w:gridCol w:w="1325"/>
        <w:gridCol w:w="415"/>
        <w:gridCol w:w="418"/>
        <w:gridCol w:w="1294"/>
        <w:gridCol w:w="656"/>
        <w:gridCol w:w="538"/>
        <w:gridCol w:w="833"/>
        <w:gridCol w:w="538"/>
        <w:gridCol w:w="295"/>
        <w:gridCol w:w="1328"/>
        <w:gridCol w:w="655"/>
      </w:tblGrid>
      <w:tr>
        <w:trPr>
          <w:trHeight w:val="402" w:hRule="exact"/>
        </w:trPr>
        <w:tc>
          <w:tcPr>
            <w:tcW w:w="13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3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97" w:lineRule="auto"/>
              <w:ind w:left="448" w:right="86"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498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3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97" w:lineRule="auto"/>
              <w:ind w:left="448" w:right="86"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6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52" w:right="50"/>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026" w:hRule="exact"/>
        </w:trPr>
        <w:tc>
          <w:tcPr>
            <w:tcW w:w="1376" w:type="dxa"/>
            <w:vMerge/>
            <w:tcBorders>
              <w:left w:val="single" w:sz="4" w:space="0" w:color="000000"/>
              <w:bottom w:val="single" w:sz="4" w:space="0" w:color="000000"/>
              <w:right w:val="single" w:sz="4" w:space="0" w:color="000000"/>
            </w:tcBorders>
            <w:shd w:val="clear" w:color="auto" w:fill="D2D2D2"/>
          </w:tcPr>
          <w:p>
            <w:pPr/>
          </w:p>
        </w:tc>
        <w:tc>
          <w:tcPr>
            <w:tcW w:w="1325" w:type="dxa"/>
            <w:vMerge/>
            <w:tcBorders>
              <w:left w:val="single" w:sz="4" w:space="0" w:color="000000"/>
              <w:bottom w:val="single" w:sz="4" w:space="0" w:color="000000"/>
              <w:right w:val="single" w:sz="4" w:space="0" w:color="000000"/>
            </w:tcBorders>
            <w:shd w:val="clear" w:color="auto" w:fill="D2D2D2"/>
          </w:tcPr>
          <w:p>
            <w:pPr/>
          </w:p>
        </w:tc>
        <w:tc>
          <w:tcPr>
            <w:tcW w:w="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 w:right="19"/>
              <w:jc w:val="left"/>
              <w:rPr>
                <w:rFonts w:ascii="宋体" w:hAnsi="宋体" w:cs="宋体" w:eastAsia="宋体" w:hint="default"/>
                <w:sz w:val="18"/>
                <w:szCs w:val="18"/>
              </w:rPr>
            </w:pPr>
            <w:r>
              <w:rPr>
                <w:rFonts w:ascii="宋体" w:hAnsi="宋体" w:cs="宋体" w:eastAsia="宋体" w:hint="default"/>
                <w:sz w:val="18"/>
                <w:szCs w:val="18"/>
              </w:rPr>
              <w:t>追加 投资</w:t>
            </w:r>
          </w:p>
        </w:tc>
        <w:tc>
          <w:tcPr>
            <w:tcW w:w="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 w:right="23"/>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191" w:right="98" w:hanging="89"/>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2" w:right="51"/>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3" w:right="83"/>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2" w:right="48"/>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6" w:right="79"/>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52" w:right="50"/>
              <w:jc w:val="left"/>
              <w:rPr>
                <w:rFonts w:ascii="宋体" w:hAnsi="宋体" w:cs="宋体" w:eastAsia="宋体" w:hint="default"/>
                <w:sz w:val="18"/>
                <w:szCs w:val="18"/>
              </w:rPr>
            </w:pPr>
            <w:r>
              <w:rPr>
                <w:rFonts w:ascii="宋体" w:hAnsi="宋体" w:cs="宋体" w:eastAsia="宋体" w:hint="default"/>
                <w:sz w:val="18"/>
                <w:szCs w:val="18"/>
              </w:rPr>
              <w:t>其 他</w:t>
            </w:r>
          </w:p>
        </w:tc>
        <w:tc>
          <w:tcPr>
            <w:tcW w:w="1328" w:type="dxa"/>
            <w:vMerge/>
            <w:tcBorders>
              <w:left w:val="single" w:sz="4" w:space="0" w:color="000000"/>
              <w:bottom w:val="single" w:sz="4" w:space="0" w:color="000000"/>
              <w:right w:val="single" w:sz="4" w:space="0" w:color="000000"/>
            </w:tcBorders>
            <w:shd w:val="clear" w:color="auto" w:fill="D2D2D2"/>
          </w:tcPr>
          <w:p>
            <w:pPr/>
          </w:p>
        </w:tc>
        <w:tc>
          <w:tcPr>
            <w:tcW w:w="65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66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6" w:hRule="exact"/>
        </w:trPr>
        <w:tc>
          <w:tcPr>
            <w:tcW w:w="13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同望科技股份有 限公司</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59,520,061.07</w:t>
            </w:r>
          </w:p>
        </w:tc>
        <w:tc>
          <w:tcPr>
            <w:tcW w:w="41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749,417.15</w:t>
            </w:r>
          </w:p>
        </w:tc>
        <w:tc>
          <w:tcPr>
            <w:tcW w:w="65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60,269,478.22</w:t>
            </w:r>
          </w:p>
        </w:tc>
        <w:tc>
          <w:tcPr>
            <w:tcW w:w="65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81"/>
              <w:jc w:val="both"/>
              <w:rPr>
                <w:rFonts w:ascii="宋体" w:hAnsi="宋体" w:cs="宋体" w:eastAsia="宋体" w:hint="default"/>
                <w:sz w:val="18"/>
                <w:szCs w:val="18"/>
              </w:rPr>
            </w:pPr>
            <w:r>
              <w:rPr>
                <w:rFonts w:ascii="宋体" w:hAnsi="宋体" w:cs="宋体" w:eastAsia="宋体" w:hint="default"/>
                <w:sz w:val="18"/>
                <w:szCs w:val="18"/>
              </w:rPr>
              <w:t>深圳前海数聚成 长投资中心（有 限合伙）</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70,366,440.86</w:t>
            </w:r>
          </w:p>
        </w:tc>
        <w:tc>
          <w:tcPr>
            <w:tcW w:w="41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-753,262.35</w:t>
            </w:r>
          </w:p>
        </w:tc>
        <w:tc>
          <w:tcPr>
            <w:tcW w:w="65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69,613,178.51</w:t>
            </w:r>
          </w:p>
        </w:tc>
        <w:tc>
          <w:tcPr>
            <w:tcW w:w="6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129,886,501.93</w:t>
            </w:r>
          </w:p>
        </w:tc>
        <w:tc>
          <w:tcPr>
            <w:tcW w:w="41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-3,845.20</w:t>
            </w:r>
          </w:p>
        </w:tc>
        <w:tc>
          <w:tcPr>
            <w:tcW w:w="65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129,882,656.73</w:t>
            </w:r>
          </w:p>
        </w:tc>
        <w:tc>
          <w:tcPr>
            <w:tcW w:w="65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15"/>
        <w:jc w:val="left"/>
        <w:rPr>
          <w:b w:val="0"/>
          <w:bCs w:val="0"/>
        </w:rPr>
      </w:pPr>
      <w:bookmarkStart w:name="4、营业收入和营业成本" w:id="403"/>
      <w:bookmarkEnd w:id="403"/>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3"/>
        <w:gridCol w:w="1913"/>
        <w:gridCol w:w="1916"/>
      </w:tblGrid>
      <w:tr>
        <w:trPr>
          <w:trHeight w:val="206"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7" w:hRule="exact"/>
        </w:trPr>
        <w:tc>
          <w:tcPr>
            <w:tcW w:w="1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677,131,598.86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108,738,581.20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629,402,047.96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84,448,270.50</w:t>
            </w: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8,483,801.78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8,540,600.29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685,615,400.64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108,738,581.20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637,942,648.25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84,448,270.50</w:t>
            </w:r>
          </w:p>
        </w:tc>
      </w:tr>
    </w:tbl>
    <w:p>
      <w:pPr>
        <w:pStyle w:val="BodyText"/>
        <w:spacing w:line="240" w:lineRule="auto" w:before="49"/>
        <w:ind w:right="1115"/>
        <w:jc w:val="left"/>
      </w:pPr>
      <w:r>
        <w:rPr/>
        <w:t>是否已执行新收入准则</w:t>
      </w:r>
    </w:p>
    <w:p>
      <w:pPr>
        <w:pStyle w:val="BodyText"/>
        <w:spacing w:line="340" w:lineRule="auto" w:before="115"/>
        <w:ind w:right="98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其他说明：</w:t>
      </w:r>
    </w:p>
    <w:p>
      <w:pPr>
        <w:pStyle w:val="BodyText"/>
        <w:spacing w:line="240" w:lineRule="auto" w:before="41"/>
        <w:ind w:right="1115"/>
        <w:jc w:val="left"/>
      </w:pPr>
      <w:r>
        <w:rPr/>
        <w:t>（</w:t>
      </w:r>
      <w:r>
        <w:rPr>
          <w:rFonts w:ascii="Times New Roman" w:hAnsi="Times New Roman" w:cs="Times New Roman" w:eastAsia="Times New Roman" w:hint="default"/>
        </w:rPr>
        <w:t>1</w:t>
      </w:r>
      <w:r>
        <w:rPr/>
        <w:t>）主营业务（分业务）</w:t>
      </w:r>
    </w:p>
    <w:p>
      <w:pPr>
        <w:spacing w:after="0" w:line="240" w:lineRule="auto"/>
        <w:jc w:val="left"/>
        <w:sectPr>
          <w:pgSz w:w="11910" w:h="16840"/>
          <w:pgMar w:header="877" w:footer="980" w:top="1100" w:bottom="1160" w:left="980" w:right="0"/>
        </w:sectPr>
      </w:pPr>
    </w:p>
    <w:p>
      <w:pPr>
        <w:spacing w:line="240" w:lineRule="auto" w:before="12"/>
        <w:rPr>
          <w:rFonts w:ascii="宋体" w:hAnsi="宋体" w:cs="宋体" w:eastAsia="宋体" w:hint="default"/>
          <w:sz w:val="24"/>
          <w:szCs w:val="24"/>
        </w:rPr>
      </w:pPr>
      <w:r>
        <w:rPr/>
        <w:pict>
          <v:shape style="position:absolute;margin-left:349.554016pt;margin-top:693.339966pt;width:130.5500pt;height:15.6pt;mso-position-horizontal-relative:page;mso-position-vertical-relative:page;z-index:-1184800" type="#_x0000_t202" filled="false" stroked="false">
            <v:textbox inset="0,0,0,0">
              <w:txbxContent>
                <w:p>
                  <w:pPr>
                    <w:pStyle w:val="BodyText"/>
                    <w:spacing w:line="240" w:lineRule="auto" w:before="49"/>
                    <w:ind w:left="0" w:right="0"/>
                    <w:jc w:val="left"/>
                  </w:pPr>
                  <w:r>
                    <w:rPr/>
                    <w:t>衍生金融资产、</w:t>
                  </w:r>
                </w:p>
              </w:txbxContent>
            </v:textbox>
            <w10:wrap type="none"/>
          </v:shape>
        </w:pict>
      </w:r>
      <w:r>
        <w:rPr/>
        <w:pict>
          <v:group style="position:absolute;margin-left:409.75pt;margin-top:693.339966pt;width:70.350pt;height:15.6pt;mso-position-horizontal-relative:page;mso-position-vertical-relative:page;z-index:-1184776" coordorigin="8195,13867" coordsize="1407,312">
            <v:shape style="position:absolute;left:8195;top:13867;width:1407;height:312" coordorigin="8195,13867" coordsize="1407,312" path="m8195,14179l9602,14179,9602,13867,8195,13867,8195,14179xe" filled="true" fillcolor="#ffffff" stroked="false">
              <v:path arrowok="t"/>
              <v:fill type="solid"/>
            </v:shape>
            <w10:wrap type="none"/>
          </v:group>
        </w:pict>
      </w:r>
    </w:p>
    <w:tbl>
      <w:tblPr>
        <w:tblW w:w="0" w:type="auto"/>
        <w:jc w:val="left"/>
        <w:tblInd w:w="138" w:type="dxa"/>
        <w:tblLayout w:type="fixed"/>
        <w:tblCellMar>
          <w:top w:w="0" w:type="dxa"/>
          <w:left w:w="0" w:type="dxa"/>
          <w:bottom w:w="0" w:type="dxa"/>
          <w:right w:w="0" w:type="dxa"/>
        </w:tblCellMar>
        <w:tblLook w:val="01E0"/>
      </w:tblPr>
      <w:tblGrid>
        <w:gridCol w:w="1419"/>
        <w:gridCol w:w="1990"/>
        <w:gridCol w:w="2132"/>
        <w:gridCol w:w="2134"/>
        <w:gridCol w:w="1985"/>
      </w:tblGrid>
      <w:tr>
        <w:trPr>
          <w:trHeight w:val="337" w:hRule="exact"/>
        </w:trPr>
        <w:tc>
          <w:tcPr>
            <w:tcW w:w="141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业务名称</w:t>
            </w:r>
          </w:p>
        </w:tc>
        <w:tc>
          <w:tcPr>
            <w:tcW w:w="412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11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2" w:hRule="exact"/>
        </w:trPr>
        <w:tc>
          <w:tcPr>
            <w:tcW w:w="1419" w:type="dxa"/>
            <w:vMerge/>
            <w:tcBorders>
              <w:left w:val="single" w:sz="4" w:space="0" w:color="000000"/>
              <w:bottom w:val="single" w:sz="4" w:space="0" w:color="000000"/>
              <w:right w:val="single" w:sz="4" w:space="0" w:color="000000"/>
            </w:tcBorders>
            <w:shd w:val="clear" w:color="auto" w:fill="D9D9D9"/>
          </w:tcPr>
          <w:p>
            <w:pPr/>
          </w:p>
        </w:tc>
        <w:tc>
          <w:tcPr>
            <w:tcW w:w="19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left="62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1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left="70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left="7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left="62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43" w:hRule="exact"/>
        </w:trPr>
        <w:tc>
          <w:tcPr>
            <w:tcW w:w="14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电子政务</w:t>
            </w:r>
          </w:p>
        </w:tc>
        <w:tc>
          <w:tcPr>
            <w:tcW w:w="199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3"/>
              <w:jc w:val="right"/>
              <w:rPr>
                <w:rFonts w:ascii="Times New Roman" w:hAnsi="Times New Roman" w:cs="Times New Roman" w:eastAsia="Times New Roman" w:hint="default"/>
                <w:sz w:val="18"/>
                <w:szCs w:val="18"/>
              </w:rPr>
            </w:pPr>
            <w:r>
              <w:rPr>
                <w:rFonts w:ascii="Times New Roman"/>
                <w:spacing w:val="-1"/>
                <w:sz w:val="18"/>
              </w:rPr>
              <w:t>445,318,654.18</w:t>
            </w:r>
          </w:p>
        </w:tc>
        <w:tc>
          <w:tcPr>
            <w:tcW w:w="213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3"/>
              <w:jc w:val="right"/>
              <w:rPr>
                <w:rFonts w:ascii="Times New Roman" w:hAnsi="Times New Roman" w:cs="Times New Roman" w:eastAsia="Times New Roman" w:hint="default"/>
                <w:sz w:val="18"/>
                <w:szCs w:val="18"/>
              </w:rPr>
            </w:pPr>
            <w:r>
              <w:rPr>
                <w:rFonts w:ascii="Times New Roman"/>
                <w:spacing w:val="-1"/>
                <w:sz w:val="18"/>
              </w:rPr>
              <w:t>58,818,208.80</w:t>
            </w:r>
          </w:p>
        </w:tc>
        <w:tc>
          <w:tcPr>
            <w:tcW w:w="213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377,287,033.56</w:t>
            </w:r>
          </w:p>
        </w:tc>
        <w:tc>
          <w:tcPr>
            <w:tcW w:w="198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41,854,587.99</w:t>
            </w:r>
          </w:p>
        </w:tc>
      </w:tr>
      <w:tr>
        <w:trPr>
          <w:trHeight w:val="341" w:hRule="exact"/>
        </w:trPr>
        <w:tc>
          <w:tcPr>
            <w:tcW w:w="14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集团管控</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231,812,944.68</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49,920,372.40</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252,115,014.40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42,593,682.51</w:t>
            </w:r>
          </w:p>
        </w:tc>
      </w:tr>
      <w:tr>
        <w:trPr>
          <w:trHeight w:val="343" w:hRule="exact"/>
        </w:trPr>
        <w:tc>
          <w:tcPr>
            <w:tcW w:w="14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677,131,598.86</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108,738,581.20</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629,402,047.96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84,448,270.50</w:t>
            </w:r>
          </w:p>
        </w:tc>
      </w:tr>
    </w:tbl>
    <w:p>
      <w:pPr>
        <w:pStyle w:val="BodyText"/>
        <w:spacing w:line="240" w:lineRule="auto" w:before="49"/>
        <w:ind w:right="1115"/>
        <w:jc w:val="left"/>
      </w:pPr>
      <w:r>
        <w:rPr/>
        <w:t>（</w:t>
      </w:r>
      <w:r>
        <w:rPr>
          <w:rFonts w:ascii="Times New Roman" w:hAnsi="Times New Roman" w:cs="Times New Roman" w:eastAsia="Times New Roman" w:hint="default"/>
        </w:rPr>
        <w:t>2</w:t>
      </w:r>
      <w:r>
        <w:rPr/>
        <w:t>）主营业务（分产品）</w:t>
      </w:r>
    </w:p>
    <w:p>
      <w:pPr>
        <w:spacing w:line="240" w:lineRule="auto" w:before="6"/>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367"/>
        <w:gridCol w:w="2114"/>
        <w:gridCol w:w="2117"/>
        <w:gridCol w:w="2115"/>
        <w:gridCol w:w="1946"/>
      </w:tblGrid>
      <w:tr>
        <w:trPr>
          <w:trHeight w:val="337" w:hRule="exact"/>
        </w:trPr>
        <w:tc>
          <w:tcPr>
            <w:tcW w:w="136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4231"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061"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2" w:hRule="exact"/>
        </w:trPr>
        <w:tc>
          <w:tcPr>
            <w:tcW w:w="1367" w:type="dxa"/>
            <w:vMerge/>
            <w:tcBorders>
              <w:left w:val="single" w:sz="4" w:space="0" w:color="000000"/>
              <w:bottom w:val="single" w:sz="4" w:space="0" w:color="000000"/>
              <w:right w:val="single" w:sz="4" w:space="0" w:color="000000"/>
            </w:tcBorders>
            <w:shd w:val="clear" w:color="auto" w:fill="D9D9D9"/>
          </w:tcPr>
          <w:p>
            <w:pPr/>
          </w:p>
        </w:tc>
        <w:tc>
          <w:tcPr>
            <w:tcW w:w="21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left="69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1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left="69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1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left="69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left="607"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4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软件产品</w:t>
            </w:r>
          </w:p>
        </w:tc>
        <w:tc>
          <w:tcPr>
            <w:tcW w:w="2114" w:type="dxa"/>
            <w:tcBorders>
              <w:top w:val="single" w:sz="8" w:space="0" w:color="000000"/>
              <w:left w:val="single" w:sz="6" w:space="0" w:color="000000"/>
              <w:bottom w:val="single" w:sz="4" w:space="0" w:color="000000"/>
              <w:right w:val="single" w:sz="4"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124,480,273.52</w:t>
            </w:r>
          </w:p>
        </w:tc>
        <w:tc>
          <w:tcPr>
            <w:tcW w:w="211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229,432.73</w:t>
            </w:r>
          </w:p>
        </w:tc>
        <w:tc>
          <w:tcPr>
            <w:tcW w:w="211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3"/>
              <w:jc w:val="right"/>
              <w:rPr>
                <w:rFonts w:ascii="Times New Roman" w:hAnsi="Times New Roman" w:cs="Times New Roman" w:eastAsia="Times New Roman" w:hint="default"/>
                <w:sz w:val="18"/>
                <w:szCs w:val="18"/>
              </w:rPr>
            </w:pPr>
            <w:r>
              <w:rPr>
                <w:rFonts w:ascii="Times New Roman"/>
                <w:spacing w:val="-1"/>
                <w:sz w:val="18"/>
              </w:rPr>
              <w:t>169,281,867.96</w:t>
            </w:r>
          </w:p>
        </w:tc>
        <w:tc>
          <w:tcPr>
            <w:tcW w:w="194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1,355,564.31</w:t>
            </w:r>
          </w:p>
        </w:tc>
      </w:tr>
      <w:tr>
        <w:trPr>
          <w:trHeight w:val="34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硬件产品</w:t>
            </w:r>
          </w:p>
        </w:tc>
        <w:tc>
          <w:tcPr>
            <w:tcW w:w="211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20,427,692.13</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19,905,860.12</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14,278,263.63</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13,677,608.76</w:t>
            </w:r>
          </w:p>
        </w:tc>
      </w:tr>
      <w:tr>
        <w:trPr>
          <w:trHeight w:val="34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11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532,223,633.21</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88,603,288.35</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445,841,916.37</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69,415,097.43</w:t>
            </w:r>
          </w:p>
        </w:tc>
      </w:tr>
      <w:tr>
        <w:trPr>
          <w:trHeight w:val="34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1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677,131,598.86</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108,738,581.20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629,402,047.96</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84,448,270.50</w:t>
            </w:r>
          </w:p>
        </w:tc>
      </w:tr>
    </w:tbl>
    <w:p>
      <w:pPr>
        <w:pStyle w:val="BodyText"/>
        <w:spacing w:line="240" w:lineRule="auto" w:before="49"/>
        <w:ind w:right="1115"/>
        <w:jc w:val="left"/>
      </w:pPr>
      <w:r>
        <w:rPr/>
        <w:t>（</w:t>
      </w:r>
      <w:r>
        <w:rPr>
          <w:rFonts w:ascii="Times New Roman" w:hAnsi="Times New Roman" w:cs="Times New Roman" w:eastAsia="Times New Roman" w:hint="default"/>
        </w:rPr>
        <w:t>3</w:t>
      </w:r>
      <w:r>
        <w:rPr/>
        <w:t>）本期前五名客户销售收入合计</w:t>
      </w:r>
      <w:r>
        <w:rPr>
          <w:spacing w:val="-47"/>
        </w:rPr>
        <w:t> </w:t>
      </w:r>
      <w:r>
        <w:rPr>
          <w:rFonts w:ascii="Times New Roman" w:hAnsi="Times New Roman" w:cs="Times New Roman" w:eastAsia="Times New Roman" w:hint="default"/>
        </w:rPr>
        <w:t>59,916,410.00</w:t>
      </w:r>
      <w:r>
        <w:rPr>
          <w:rFonts w:ascii="Times New Roman" w:hAnsi="Times New Roman" w:cs="Times New Roman" w:eastAsia="Times New Roman" w:hint="default"/>
          <w:spacing w:val="-1"/>
        </w:rPr>
        <w:t> </w:t>
      </w:r>
      <w:r>
        <w:rPr/>
        <w:t>元，占营业收入的比例为</w:t>
      </w:r>
      <w:r>
        <w:rPr>
          <w:spacing w:val="-48"/>
        </w:rPr>
        <w:t> </w:t>
      </w:r>
      <w:r>
        <w:rPr>
          <w:rFonts w:ascii="Times New Roman" w:hAnsi="Times New Roman" w:cs="Times New Roman" w:eastAsia="Times New Roman" w:hint="default"/>
        </w:rPr>
        <w:t>8.74%</w:t>
      </w:r>
      <w:r>
        <w:rPr/>
        <w:t>。</w:t>
      </w:r>
    </w:p>
    <w:p>
      <w:pPr>
        <w:spacing w:line="240" w:lineRule="auto" w:before="2"/>
        <w:rPr>
          <w:rFonts w:ascii="宋体" w:hAnsi="宋体" w:cs="宋体" w:eastAsia="宋体" w:hint="default"/>
          <w:sz w:val="26"/>
          <w:szCs w:val="26"/>
        </w:rPr>
      </w:pPr>
    </w:p>
    <w:p>
      <w:pPr>
        <w:pStyle w:val="Heading3"/>
        <w:spacing w:line="240" w:lineRule="auto"/>
        <w:ind w:right="1115"/>
        <w:jc w:val="left"/>
        <w:rPr>
          <w:b w:val="0"/>
          <w:bCs w:val="0"/>
        </w:rPr>
      </w:pPr>
      <w:bookmarkStart w:name="5、投资收益" w:id="404"/>
      <w:bookmarkEnd w:id="404"/>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284,335,000.00</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-3,845.20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1,374,034.36</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3,302,431.53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-694,885.83</w:t>
            </w: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交易性金融资产在持有期间的投资收益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2,044,731.10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7,981,373.88</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7,383,317.43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292,995,522.41</w:t>
            </w:r>
          </w:p>
        </w:tc>
      </w:tr>
    </w:tbl>
    <w:p>
      <w:pPr>
        <w:spacing w:line="240" w:lineRule="auto" w:before="1"/>
        <w:rPr>
          <w:rFonts w:ascii="宋体" w:hAnsi="宋体" w:cs="宋体" w:eastAsia="宋体" w:hint="default"/>
          <w:sz w:val="18"/>
          <w:szCs w:val="18"/>
        </w:rPr>
      </w:pPr>
    </w:p>
    <w:p>
      <w:pPr>
        <w:pStyle w:val="Heading2"/>
        <w:spacing w:line="240" w:lineRule="auto" w:before="26"/>
        <w:ind w:right="1115"/>
        <w:jc w:val="left"/>
        <w:rPr>
          <w:b w:val="0"/>
          <w:bCs w:val="0"/>
        </w:rPr>
      </w:pPr>
      <w:bookmarkStart w:name="十八、补充资料" w:id="405"/>
      <w:bookmarkEnd w:id="405"/>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5"/>
        <w:jc w:val="left"/>
        <w:rPr>
          <w:b w:val="0"/>
          <w:bCs w:val="0"/>
        </w:rPr>
      </w:pPr>
      <w:bookmarkStart w:name="1、当期非经常性损益明细表" w:id="406"/>
      <w:bookmarkEnd w:id="406"/>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7033"/>
        <w:gridCol w:w="302"/>
        <w:gridCol w:w="1127"/>
        <w:gridCol w:w="1128"/>
      </w:tblGrid>
      <w:tr>
        <w:trPr>
          <w:trHeight w:val="402" w:hRule="exact"/>
        </w:trPr>
        <w:tc>
          <w:tcPr>
            <w:tcW w:w="7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7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42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79" w:right="0"/>
              <w:jc w:val="left"/>
              <w:rPr>
                <w:rFonts w:ascii="Times New Roman" w:hAnsi="Times New Roman" w:cs="Times New Roman" w:eastAsia="Times New Roman" w:hint="default"/>
                <w:sz w:val="18"/>
                <w:szCs w:val="18"/>
              </w:rPr>
            </w:pPr>
            <w:r>
              <w:rPr>
                <w:rFonts w:ascii="Times New Roman"/>
                <w:sz w:val="18"/>
              </w:rPr>
              <w:t>-1,600,629.02</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8"/>
              <w:jc w:val="left"/>
              <w:rPr>
                <w:rFonts w:ascii="宋体" w:hAnsi="宋体" w:cs="宋体" w:eastAsia="宋体" w:hint="default"/>
                <w:sz w:val="18"/>
                <w:szCs w:val="18"/>
              </w:rPr>
            </w:pPr>
            <w:r>
              <w:rPr>
                <w:rFonts w:ascii="宋体" w:hAnsi="宋体" w:cs="宋体" w:eastAsia="宋体" w:hint="default"/>
                <w:spacing w:val="-1"/>
                <w:sz w:val="18"/>
                <w:szCs w:val="18"/>
              </w:rPr>
              <w:t>计入当期损益的政府补助（与企业业务密切相关，按照国家统一标准定额或定量享受的政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府补助除外）</w:t>
            </w:r>
          </w:p>
        </w:tc>
        <w:tc>
          <w:tcPr>
            <w:tcW w:w="142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9" w:right="0"/>
              <w:jc w:val="left"/>
              <w:rPr>
                <w:rFonts w:ascii="Times New Roman" w:hAnsi="Times New Roman" w:cs="Times New Roman" w:eastAsia="Times New Roman" w:hint="default"/>
                <w:sz w:val="18"/>
                <w:szCs w:val="18"/>
              </w:rPr>
            </w:pPr>
            <w:r>
              <w:rPr>
                <w:rFonts w:ascii="Times New Roman"/>
                <w:sz w:val="18"/>
              </w:rPr>
              <w:t>5,871,818.75</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42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12,597,703.69</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 w:right="11"/>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除同公司正常经营业务相关的有效套期保值业务外，持有交易性金融资产、 </w:t>
            </w:r>
            <w:r>
              <w:rPr>
                <w:rFonts w:ascii="宋体" w:hAnsi="宋体" w:cs="宋体" w:eastAsia="宋体" w:hint="default"/>
                <w:spacing w:val="-1"/>
                <w:sz w:val="18"/>
                <w:szCs w:val="18"/>
              </w:rPr>
              <w:t>交易性金融负债、衍生金融负债产生的公允价值变动损益，以及处置交易性金融资产、衍</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生金融资产、交易性金融负债、衍生金融负债和其他债权投资取得的投资收益</w:t>
            </w:r>
          </w:p>
        </w:tc>
        <w:tc>
          <w:tcPr>
            <w:tcW w:w="302" w:type="dxa"/>
            <w:tcBorders>
              <w:top w:val="single" w:sz="4" w:space="0" w:color="000000"/>
              <w:left w:val="single" w:sz="13" w:space="0" w:color="D2D2D2"/>
              <w:bottom w:val="single" w:sz="4" w:space="0" w:color="000000"/>
              <w:right w:val="nil" w:sz="6" w:space="0" w:color="auto"/>
            </w:tcBorders>
          </w:tcPr>
          <w:p>
            <w:pPr/>
          </w:p>
        </w:tc>
        <w:tc>
          <w:tcPr>
            <w:tcW w:w="11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8" w:right="0"/>
              <w:jc w:val="left"/>
              <w:rPr>
                <w:rFonts w:ascii="Times New Roman" w:hAnsi="Times New Roman" w:cs="Times New Roman" w:eastAsia="Times New Roman" w:hint="default"/>
                <w:sz w:val="18"/>
                <w:szCs w:val="18"/>
              </w:rPr>
            </w:pPr>
            <w:r>
              <w:rPr>
                <w:rFonts w:ascii="Times New Roman"/>
                <w:sz w:val="18"/>
              </w:rPr>
              <w:t>-132,317.99</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2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39" w:right="0"/>
              <w:jc w:val="left"/>
              <w:rPr>
                <w:rFonts w:ascii="Times New Roman" w:hAnsi="Times New Roman" w:cs="Times New Roman" w:eastAsia="Times New Roman" w:hint="default"/>
                <w:sz w:val="18"/>
                <w:szCs w:val="18"/>
              </w:rPr>
            </w:pPr>
            <w:r>
              <w:rPr>
                <w:rFonts w:ascii="Times New Roman"/>
                <w:sz w:val="18"/>
              </w:rPr>
              <w:t>6,590,674.15</w:t>
            </w:r>
          </w:p>
        </w:tc>
        <w:tc>
          <w:tcPr>
            <w:tcW w:w="112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3"/>
          <w:pgSz w:w="11910" w:h="16840"/>
          <w:pgMar w:footer="980" w:header="877"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7033"/>
        <w:gridCol w:w="1429"/>
        <w:gridCol w:w="1128"/>
      </w:tblGrid>
      <w:tr>
        <w:trPr>
          <w:trHeight w:val="402" w:hRule="exact"/>
        </w:trPr>
        <w:tc>
          <w:tcPr>
            <w:tcW w:w="7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7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-2,945,250.00</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3,038,299.06</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-71,090.51</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17,414,791.03</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15"/>
        <w:jc w:val="left"/>
        <w:rPr>
          <w:b w:val="0"/>
          <w:bCs w:val="0"/>
        </w:rPr>
      </w:pPr>
      <w:bookmarkStart w:name="2、净资产收益率及每股收益" w:id="407"/>
      <w:bookmarkEnd w:id="407"/>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2"/>
        <w:gridCol w:w="1913"/>
        <w:gridCol w:w="1913"/>
      </w:tblGrid>
      <w:tr>
        <w:trPr>
          <w:trHeight w:val="204"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0.0735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0.0735</w:t>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0.0490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0.0490</w:t>
            </w:r>
          </w:p>
        </w:tc>
      </w:tr>
    </w:tbl>
    <w:p>
      <w:pPr>
        <w:spacing w:after="0" w:line="240" w:lineRule="auto"/>
        <w:jc w:val="right"/>
        <w:rPr>
          <w:rFonts w:ascii="Times New Roman" w:hAnsi="Times New Roman" w:cs="Times New Roman" w:eastAsia="Times New Roman" w:hint="default"/>
          <w:sz w:val="18"/>
          <w:szCs w:val="18"/>
        </w:rPr>
        <w:sectPr>
          <w:footerReference w:type="default" r:id="rId34"/>
          <w:pgSz w:w="11910" w:h="16840"/>
          <w:pgMar w:footer="980" w:header="877" w:top="1100" w:bottom="1160" w:left="980" w:right="0"/>
          <w:pgNumType w:start="201"/>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1"/>
        <w:spacing w:line="240" w:lineRule="auto"/>
        <w:ind w:right="981"/>
        <w:jc w:val="center"/>
        <w:rPr>
          <w:b w:val="0"/>
          <w:bCs w:val="0"/>
        </w:rPr>
      </w:pPr>
      <w:bookmarkStart w:name="第十三节 备查文件目录" w:id="408"/>
      <w:bookmarkEnd w:id="408"/>
      <w:r>
        <w:rPr>
          <w:b w:val="0"/>
          <w:bCs w:val="0"/>
        </w:rPr>
      </w:r>
      <w:bookmarkStart w:name="_bookmark12" w:id="409"/>
      <w:bookmarkEnd w:id="409"/>
      <w:r>
        <w:rPr>
          <w:b w:val="0"/>
          <w:bCs w:val="0"/>
        </w:rPr>
      </w:r>
      <w:r>
        <w:rPr/>
        <w:t>第十三节</w:t>
      </w:r>
      <w:r>
        <w:rPr>
          <w:spacing w:val="-6"/>
        </w:rPr>
        <w:t> </w:t>
      </w:r>
      <w:r>
        <w:rPr/>
        <w:t>备查文件目录</w:t>
      </w:r>
      <w:r>
        <w:rPr>
          <w:b w:val="0"/>
          <w:bCs w:val="0"/>
        </w:rPr>
      </w:r>
    </w:p>
    <w:p>
      <w:pPr>
        <w:spacing w:line="240" w:lineRule="auto" w:before="9"/>
        <w:rPr>
          <w:rFonts w:ascii="宋体" w:hAnsi="宋体" w:cs="宋体" w:eastAsia="宋体" w:hint="default"/>
          <w:b/>
          <w:bCs/>
          <w:sz w:val="42"/>
          <w:szCs w:val="42"/>
        </w:rPr>
      </w:pPr>
    </w:p>
    <w:p>
      <w:pPr>
        <w:pStyle w:val="BodyText"/>
        <w:spacing w:line="240" w:lineRule="auto"/>
        <w:ind w:right="1115"/>
        <w:jc w:val="left"/>
      </w:pPr>
      <w:r>
        <w:rPr>
          <w:rFonts w:ascii="Times New Roman" w:hAnsi="Times New Roman" w:cs="Times New Roman" w:eastAsia="Times New Roman" w:hint="default"/>
        </w:rPr>
        <w:t>1</w:t>
      </w:r>
      <w:r>
        <w:rPr/>
        <w:t>、载有公司法定代表人赵福君、公司财务总监邱安超及会计机构负责人丁丹签名并盖章的会计报表。</w:t>
      </w:r>
    </w:p>
    <w:p>
      <w:pPr>
        <w:pStyle w:val="BodyText"/>
        <w:spacing w:line="240" w:lineRule="auto" w:before="63"/>
        <w:ind w:right="1115"/>
        <w:jc w:val="left"/>
      </w:pPr>
      <w:r>
        <w:rPr>
          <w:rFonts w:ascii="Times New Roman" w:hAnsi="Times New Roman" w:cs="Times New Roman" w:eastAsia="Times New Roman" w:hint="default"/>
        </w:rPr>
        <w:t>2</w:t>
      </w:r>
      <w:r>
        <w:rPr/>
        <w:t>、载有致同会计师事务所（特殊普通合伙）盖章、注册会计师董旭、黄玉清签名并盖章的公司</w:t>
      </w:r>
      <w:r>
        <w:rPr>
          <w:rFonts w:ascii="Times New Roman" w:hAnsi="Times New Roman" w:cs="Times New Roman" w:eastAsia="Times New Roman" w:hint="default"/>
        </w:rPr>
        <w:t>2019</w:t>
      </w:r>
      <w:r>
        <w:rPr/>
        <w:t>年度审计报告原件。</w:t>
      </w:r>
    </w:p>
    <w:p>
      <w:pPr>
        <w:pStyle w:val="BodyText"/>
        <w:spacing w:line="240" w:lineRule="auto" w:before="63"/>
        <w:ind w:right="1115"/>
        <w:jc w:val="left"/>
      </w:pPr>
      <w:r>
        <w:rPr>
          <w:rFonts w:ascii="Times New Roman" w:hAnsi="Times New Roman" w:cs="Times New Roman" w:eastAsia="Times New Roman" w:hint="default"/>
        </w:rPr>
        <w:t>3</w:t>
      </w:r>
      <w:r>
        <w:rPr/>
        <w:t>、报告期内在中国证监会指定网站上公开披露过的所有公司文件正本及公告的原稿。</w:t>
      </w:r>
    </w:p>
    <w:p>
      <w:pPr>
        <w:pStyle w:val="BodyText"/>
        <w:spacing w:line="240" w:lineRule="auto" w:before="63"/>
        <w:ind w:right="1115"/>
        <w:jc w:val="left"/>
      </w:pPr>
      <w:r>
        <w:rPr>
          <w:rFonts w:ascii="Times New Roman" w:hAnsi="Times New Roman" w:cs="Times New Roman" w:eastAsia="Times New Roman" w:hint="default"/>
        </w:rPr>
        <w:t>4</w:t>
      </w:r>
      <w:r>
        <w:rPr/>
        <w:t>、其他备查文件。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6"/>
          <w:szCs w:val="26"/>
        </w:rPr>
      </w:pPr>
    </w:p>
    <w:p>
      <w:pPr>
        <w:pStyle w:val="BodyText"/>
        <w:spacing w:line="319" w:lineRule="auto"/>
        <w:ind w:left="8173" w:right="1128" w:hanging="541"/>
        <w:jc w:val="right"/>
      </w:pPr>
      <w:r>
        <w:rPr/>
        <w:t>北京久其软件股份有限公司 法定代表人：赵福君 </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w:t>
      </w:r>
    </w:p>
    <w:sectPr>
      <w:pgSz w:w="11910" w:h="16840"/>
      <w:pgMar w:header="877" w:footer="980" w:top="110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85568" type="#_x0000_t75" stroked="false">
          <v:imagedata r:id="rId1" o:title=""/>
        </v:shape>
      </w:pict>
    </w:r>
    <w:r>
      <w:rPr/>
      <w:pict>
        <v:shape style="position:absolute;margin-left:533.099976pt;margin-top:795.637939pt;width:6.5pt;height:11pt;mso-position-horizontal-relative:page;mso-position-vertical-relative:page;z-index:-118554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184968" type="#_x0000_t75" stroked="false">
          <v:imagedata r:id="rId1" o:title=""/>
        </v:shape>
      </w:pict>
    </w:r>
    <w:r>
      <w:rPr/>
      <w:pict>
        <v:shape style="position:absolute;margin-left:754.820007pt;margin-top:535.333923pt;width:17.3pt;height:11pt;mso-position-horizontal-relative:page;mso-position-vertical-relative:page;z-index:-11849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84872" type="#_x0000_t75" stroked="false">
          <v:imagedata r:id="rId1" o:title=""/>
        </v:shape>
      </w:pict>
    </w:r>
    <w:r>
      <w:rPr/>
      <w:pict>
        <v:shape style="position:absolute;margin-left:523.460022pt;margin-top:781.933899pt;width:17.3pt;height:11pt;mso-position-horizontal-relative:page;mso-position-vertical-relative:page;z-index:-11848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113</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84824" type="#_x0000_t75" stroked="false">
          <v:imagedata r:id="rId1" o:title=""/>
        </v:shape>
      </w:pict>
    </w:r>
    <w:r>
      <w:rPr/>
      <w:pict>
        <v:shape style="position:absolute;margin-left:523.099976pt;margin-top:781.933899pt;width:17.7pt;height:11pt;mso-position-horizontal-relative:page;mso-position-vertical-relative:page;z-index:-11848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84776" type="#_x0000_t75" stroked="false">
          <v:imagedata r:id="rId1" o:title=""/>
        </v:shape>
      </w:pict>
    </w:r>
    <w:r>
      <w:rPr/>
      <w:pict>
        <v:shape style="position:absolute;margin-left:524.099976pt;margin-top:781.933899pt;width:15.7pt;height:11pt;mso-position-horizontal-relative:page;mso-position-vertical-relative:page;z-index:-118475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84728" type="#_x0000_t75" stroked="false">
          <v:imagedata r:id="rId1" o:title=""/>
        </v:shape>
      </w:pict>
    </w:r>
    <w:r>
      <w:rPr/>
      <w:pict>
        <v:shape style="position:absolute;margin-left:523.099976pt;margin-top:781.933899pt;width:17.7pt;height:11pt;mso-position-horizontal-relative:page;mso-position-vertical-relative:page;z-index:-11847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85520" type="#_x0000_t75" stroked="false">
          <v:imagedata r:id="rId1" o:title=""/>
        </v:shape>
      </w:pict>
    </w:r>
    <w:r>
      <w:rPr/>
      <w:pict>
        <v:shape style="position:absolute;margin-left:527.659973pt;margin-top:781.933899pt;width:13.15pt;height:11pt;mso-position-horizontal-relative:page;mso-position-vertical-relative:page;z-index:-11854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185448" type="#_x0000_t75" stroked="false">
          <v:imagedata r:id="rId1" o:title=""/>
        </v:shape>
      </w:pict>
    </w:r>
    <w:r>
      <w:rPr/>
      <w:pict>
        <v:shape style="position:absolute;margin-left:759.02002pt;margin-top:535.333923pt;width:13.15pt;height:11pt;mso-position-horizontal-relative:page;mso-position-vertical-relative:page;z-index:-11854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28</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85352" type="#_x0000_t75" stroked="false">
          <v:imagedata r:id="rId1" o:title=""/>
        </v:shape>
      </w:pict>
    </w:r>
    <w:r>
      <w:rPr/>
      <w:pict>
        <v:shape style="position:absolute;margin-left:527.659973pt;margin-top:781.933899pt;width:13.15pt;height:11pt;mso-position-horizontal-relative:page;mso-position-vertical-relative:page;z-index:-11853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34</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185280" type="#_x0000_t75" stroked="false">
          <v:imagedata r:id="rId1" o:title=""/>
        </v:shape>
      </w:pict>
    </w:r>
    <w:r>
      <w:rPr/>
      <w:pict>
        <v:shape style="position:absolute;margin-left:759.02002pt;margin-top:535.333923pt;width:13.15pt;height:11pt;mso-position-horizontal-relative:page;mso-position-vertical-relative:page;z-index:-11852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37</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85184" type="#_x0000_t75" stroked="false">
          <v:imagedata r:id="rId1" o:title=""/>
        </v:shape>
      </w:pict>
    </w:r>
    <w:r>
      <w:rPr/>
      <w:pict>
        <v:shape style="position:absolute;margin-left:527.659973pt;margin-top:781.933899pt;width:13.15pt;height:11pt;mso-position-horizontal-relative:page;mso-position-vertical-relative:page;z-index:-11851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45</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185112" type="#_x0000_t75" stroked="false">
          <v:imagedata r:id="rId1" o:title=""/>
        </v:shape>
      </w:pict>
    </w:r>
    <w:r>
      <w:rPr/>
      <w:pict>
        <v:shape style="position:absolute;margin-left:759.02002pt;margin-top:535.333923pt;width:13.15pt;height:11pt;mso-position-horizontal-relative:page;mso-position-vertical-relative:page;z-index:-11850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97</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185064" type="#_x0000_t75" stroked="false">
          <v:imagedata r:id="rId1" o:title=""/>
        </v:shape>
      </w:pict>
    </w:r>
    <w:r>
      <w:rPr/>
      <w:pict>
        <v:shape style="position:absolute;margin-left:755.460022pt;margin-top:535.333923pt;width:15.7pt;height:11pt;mso-position-horizontal-relative:page;mso-position-vertical-relative:page;z-index:-118504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185016" type="#_x0000_t75" stroked="false">
          <v:imagedata r:id="rId1" o:title=""/>
        </v:shape>
      </w:pict>
    </w:r>
    <w:r>
      <w:rPr/>
      <w:pict>
        <v:shape style="position:absolute;margin-left:754.460022pt;margin-top:535.333923pt;width:17.7pt;height:11pt;mso-position-horizontal-relative:page;mso-position-vertical-relative:page;z-index:-11849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070007pt;margin-top:36.265610pt;width:195.75pt;height:11.5pt;mso-position-horizontal-relative:page;mso-position-vertical-relative:page;z-index:-1185592" type="#_x0000_t202" filled="false" stroked="false">
          <v:textbox inset="0,0,0,0">
            <w:txbxContent>
              <w:p>
                <w:pPr>
                  <w:pStyle w:val="BodyText"/>
                  <w:spacing w:line="214" w:lineRule="exact"/>
                  <w:ind w:left="20" w:right="0"/>
                  <w:jc w:val="left"/>
                </w:pPr>
                <w:r>
                  <w:rPr/>
                  <w:t>北京久其软件股份有限公司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429993pt;margin-top:42.865631pt;width:195.75pt;height:11.5pt;mso-position-horizontal-relative:page;mso-position-vertical-relative:page;z-index:-1185472" type="#_x0000_t202" filled="false" stroked="false">
          <v:textbox inset="0,0,0,0">
            <w:txbxContent>
              <w:p>
                <w:pPr>
                  <w:pStyle w:val="BodyText"/>
                  <w:spacing w:line="214" w:lineRule="exact"/>
                  <w:ind w:left="20" w:right="0"/>
                  <w:jc w:val="left"/>
                </w:pPr>
                <w:r>
                  <w:rPr/>
                  <w:t>北京久其软件股份有限公司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18540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1185376" type="#_x0000_t202" filled="false" stroked="false">
          <v:textbox inset="0,0,0,0">
            <w:txbxContent>
              <w:p>
                <w:pPr>
                  <w:pStyle w:val="BodyText"/>
                  <w:spacing w:line="214" w:lineRule="exact"/>
                  <w:ind w:left="20" w:right="0"/>
                  <w:jc w:val="left"/>
                </w:pPr>
                <w:r>
                  <w:rPr/>
                  <w:t>北京久其软件股份有限公司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429993pt;margin-top:42.865631pt;width:195.75pt;height:11.5pt;mso-position-horizontal-relative:page;mso-position-vertical-relative:page;z-index:-1185304" type="#_x0000_t202" filled="false" stroked="false">
          <v:textbox inset="0,0,0,0">
            <w:txbxContent>
              <w:p>
                <w:pPr>
                  <w:pStyle w:val="BodyText"/>
                  <w:spacing w:line="214" w:lineRule="exact"/>
                  <w:ind w:left="20" w:right="0"/>
                  <w:jc w:val="left"/>
                </w:pPr>
                <w:r>
                  <w:rPr/>
                  <w:t>北京久其软件股份有限公司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18523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1185208" type="#_x0000_t202" filled="false" stroked="false">
          <v:textbox inset="0,0,0,0">
            <w:txbxContent>
              <w:p>
                <w:pPr>
                  <w:pStyle w:val="BodyText"/>
                  <w:spacing w:line="214" w:lineRule="exact"/>
                  <w:ind w:left="20" w:right="0"/>
                  <w:jc w:val="left"/>
                </w:pPr>
                <w:r>
                  <w:rPr/>
                  <w:t>北京久其软件股份有限公司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429993pt;margin-top:42.865631pt;width:195.75pt;height:11.5pt;mso-position-horizontal-relative:page;mso-position-vertical-relative:page;z-index:-1185136" type="#_x0000_t202" filled="false" stroked="false">
          <v:textbox inset="0,0,0,0">
            <w:txbxContent>
              <w:p>
                <w:pPr>
                  <w:pStyle w:val="BodyText"/>
                  <w:spacing w:line="214" w:lineRule="exact"/>
                  <w:ind w:left="20" w:right="0"/>
                  <w:jc w:val="left"/>
                </w:pPr>
                <w:r>
                  <w:rPr/>
                  <w:t>北京久其软件股份有限公司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18492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1184896" type="#_x0000_t202" filled="false" stroked="false">
          <v:textbox inset="0,0,0,0">
            <w:txbxContent>
              <w:p>
                <w:pPr>
                  <w:pStyle w:val="BodyText"/>
                  <w:spacing w:line="214" w:lineRule="exact"/>
                  <w:ind w:left="20" w:right="0"/>
                  <w:jc w:val="left"/>
                </w:pPr>
                <w:r>
                  <w:rPr/>
                  <w:t>北京久其软件股份有限公司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6"/>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ind w:left="513"/>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jiuqi.com.cn/" TargetMode="External"/><Relationship Id="rId10" Type="http://schemas.openxmlformats.org/officeDocument/2006/relationships/hyperlink" Target="mailto:002279@jiuqi.com.cn" TargetMode="External"/><Relationship Id="rId11" Type="http://schemas.openxmlformats.org/officeDocument/2006/relationships/hyperlink" Target="mailto:whx@jiuqi.com.cn" TargetMode="External"/><Relationship Id="rId12" Type="http://schemas.openxmlformats.org/officeDocument/2006/relationships/hyperlink" Target="mailto:liuwenjia@jiuqi.com.cn" TargetMode="External"/><Relationship Id="rId13" Type="http://schemas.openxmlformats.org/officeDocument/2006/relationships/hyperlink" Target="http://www.cninfo.com.cn/" TargetMode="Externa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footer" Target="footer4.xml"/><Relationship Id="rId18" Type="http://schemas.openxmlformats.org/officeDocument/2006/relationships/hyperlink" Target="http://static.cninfo.com.cn/finalpage/201" TargetMode="External"/><Relationship Id="rId19" Type="http://schemas.openxmlformats.org/officeDocument/2006/relationships/header" Target="header4.xml"/><Relationship Id="rId20" Type="http://schemas.openxmlformats.org/officeDocument/2006/relationships/footer" Target="footer5.xml"/><Relationship Id="rId21" Type="http://schemas.openxmlformats.org/officeDocument/2006/relationships/header" Target="header5.xml"/><Relationship Id="rId22" Type="http://schemas.openxmlformats.org/officeDocument/2006/relationships/footer" Target="footer6.xml"/><Relationship Id="rId23" Type="http://schemas.openxmlformats.org/officeDocument/2006/relationships/hyperlink" Target="http://www.cninfo.co/" TargetMode="External"/><Relationship Id="rId24" Type="http://schemas.openxmlformats.org/officeDocument/2006/relationships/image" Target="media/image3.jpeg"/><Relationship Id="rId25" Type="http://schemas.openxmlformats.org/officeDocument/2006/relationships/header" Target="header6.xml"/><Relationship Id="rId26" Type="http://schemas.openxmlformats.org/officeDocument/2006/relationships/footer" Target="footer7.xml"/><Relationship Id="rId27" Type="http://schemas.openxmlformats.org/officeDocument/2006/relationships/footer" Target="footer8.xml"/><Relationship Id="rId28" Type="http://schemas.openxmlformats.org/officeDocument/2006/relationships/footer" Target="footer9.xml"/><Relationship Id="rId29" Type="http://schemas.openxmlformats.org/officeDocument/2006/relationships/footer" Target="footer10.xml"/><Relationship Id="rId30" Type="http://schemas.openxmlformats.org/officeDocument/2006/relationships/header" Target="header7.xml"/><Relationship Id="rId31" Type="http://schemas.openxmlformats.org/officeDocument/2006/relationships/footer" Target="footer11.xml"/><Relationship Id="rId32" Type="http://schemas.openxmlformats.org/officeDocument/2006/relationships/footer" Target="footer12.xml"/><Relationship Id="rId33" Type="http://schemas.openxmlformats.org/officeDocument/2006/relationships/footer" Target="footer13.xml"/><Relationship Id="rId34" Type="http://schemas.openxmlformats.org/officeDocument/2006/relationships/footer" Target="footer1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北京久其软件股份有限公司</dc:creator>
  <dc:title>北京久其软件股份有限公司2019年年度报告全文</dc:title>
  <dcterms:created xsi:type="dcterms:W3CDTF">2020-05-19T07:23:17Z</dcterms:created>
  <dcterms:modified xsi:type="dcterms:W3CDTF">2020-05-19T07:23:17Z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2020-04-24T00:00:00Z</vt:filetime>
  </property>
  <property fmtid="{D5CDD505-2E9C-101B-9397-08002B2CF9AE}" pid="3" name="Creator">
    <vt:lpwstr>Microsoft® Office Word 2007</vt:lpwstr>
  </property>
  <property fmtid="{D5CDD505-2E9C-101B-9397-08002B2CF9AE}" pid="4" name="LastSaved">
    <vt:filetime>2020-05-18T00:00:00Z</vt:filetime>
  </property>
</Properties>
</file>