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Default Extension="png" ContentType="image/png"/>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6.639999pt;margin-top:48.960022pt;width:481.95pt;height:.1pt;mso-position-horizontal-relative:page;mso-position-vertical-relative:page;z-index:0" coordorigin="1133,979" coordsize="9639,2">
            <v:shape style="position:absolute;left:1133;top:979;width:9639;height:2" coordorigin="1133,979" coordsize="9639,0" path="m1133,979l10771,979e" filled="false" stroked="true" strokeweight=".72pt" strokecolor="#000000">
              <v:path arrowok="t"/>
            </v:shape>
            <w10:wrap type="none"/>
          </v:group>
        </w:pict>
      </w:r>
      <w:r>
        <w:rPr/>
        <w:pict>
          <v:group style="position:absolute;margin-left:47.639999pt;margin-top:795.600037pt;width:.1pt;height:10.2pt;mso-position-horizontal-relative:page;mso-position-vertical-relative:page;z-index:1048" coordorigin="953,15912" coordsize="2,204">
            <v:shape style="position:absolute;left:953;top:15912;width:2;height:204" coordorigin="953,15912" coordsize="0,204" path="m953,15912l953,16116e" filled="false" stroked="true" strokeweight=".1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690" w:lineRule="exact"/>
        <w:ind w:left="391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drawing>
          <wp:inline distT="0" distB="0" distL="0" distR="0">
            <wp:extent cx="1523206" cy="43824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523206" cy="438245"/>
                    </a:xfrm>
                    <a:prstGeom prst="rect">
                      <a:avLst/>
                    </a:prstGeom>
                  </pic:spPr>
                </pic:pic>
              </a:graphicData>
            </a:graphic>
          </wp:inline>
        </w:drawing>
      </w:r>
      <w:r>
        <w:rPr>
          <w:rFonts w:ascii="Times New Roman" w:hAnsi="Times New Roman" w:cs="Times New Roman" w:eastAsia="Times New Roman" w:hint="default"/>
          <w:position w:val="-13"/>
          <w:sz w:val="20"/>
          <w:szCs w:val="20"/>
        </w:rPr>
      </w:r>
    </w:p>
    <w:p>
      <w:pPr>
        <w:spacing w:line="240" w:lineRule="auto" w:before="2"/>
        <w:rPr>
          <w:rFonts w:ascii="Times New Roman" w:hAnsi="Times New Roman" w:cs="Times New Roman" w:eastAsia="Times New Roman" w:hint="default"/>
          <w:sz w:val="13"/>
          <w:szCs w:val="13"/>
        </w:rPr>
      </w:pPr>
    </w:p>
    <w:p>
      <w:pPr>
        <w:pStyle w:val="Heading1"/>
        <w:spacing w:line="501" w:lineRule="exact"/>
        <w:ind w:right="2213"/>
        <w:jc w:val="center"/>
        <w:rPr>
          <w:b w:val="0"/>
          <w:bCs w:val="0"/>
        </w:rPr>
      </w:pPr>
      <w:r>
        <w:rPr/>
        <w:t>杭州新世纪信息技术股份有限公司</w:t>
      </w:r>
      <w:r>
        <w:rPr>
          <w:b w:val="0"/>
          <w:bCs w:val="0"/>
        </w:rPr>
      </w:r>
    </w:p>
    <w:p>
      <w:pPr>
        <w:pStyle w:val="Heading2"/>
        <w:spacing w:line="240" w:lineRule="auto" w:before="261"/>
        <w:ind w:left="2393" w:right="2204"/>
        <w:jc w:val="center"/>
        <w:rPr>
          <w:b w:val="0"/>
          <w:bCs w:val="0"/>
        </w:rPr>
      </w:pP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年度报告</w:t>
      </w:r>
      <w:r>
        <w:rPr>
          <w:b w:val="0"/>
          <w:bCs w:val="0"/>
        </w:rPr>
      </w: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0"/>
        <w:rPr>
          <w:rFonts w:ascii="Microsoft JhengHei" w:hAnsi="Microsoft JhengHei" w:cs="Microsoft JhengHei" w:eastAsia="Microsoft JhengHei" w:hint="default"/>
          <w:b/>
          <w:bCs/>
          <w:sz w:val="34"/>
          <w:szCs w:val="34"/>
        </w:rPr>
      </w:pPr>
    </w:p>
    <w:p>
      <w:pPr>
        <w:spacing w:line="240" w:lineRule="auto" w:before="10"/>
        <w:rPr>
          <w:rFonts w:ascii="Microsoft JhengHei" w:hAnsi="Microsoft JhengHei" w:cs="Microsoft JhengHei" w:eastAsia="Microsoft JhengHei" w:hint="default"/>
          <w:b/>
          <w:bCs/>
          <w:sz w:val="30"/>
          <w:szCs w:val="30"/>
        </w:rPr>
      </w:pPr>
    </w:p>
    <w:p>
      <w:pPr>
        <w:spacing w:before="0"/>
        <w:ind w:left="2393" w:right="2206" w:firstLine="0"/>
        <w:jc w:val="center"/>
        <w:rPr>
          <w:rFonts w:ascii="Microsoft JhengHei" w:hAnsi="Microsoft JhengHei" w:cs="Microsoft JhengHei" w:eastAsia="Microsoft JhengHei" w:hint="default"/>
          <w:sz w:val="32"/>
          <w:szCs w:val="32"/>
        </w:rPr>
      </w:pPr>
      <w:r>
        <w:rPr>
          <w:rFonts w:ascii="Times New Roman" w:hAnsi="Times New Roman" w:cs="Times New Roman" w:eastAsia="Times New Roman" w:hint="default"/>
          <w:b/>
          <w:bCs/>
          <w:sz w:val="32"/>
          <w:szCs w:val="32"/>
        </w:rPr>
        <w:t>2013 </w:t>
      </w:r>
      <w:r>
        <w:rPr>
          <w:rFonts w:ascii="Microsoft JhengHei" w:hAnsi="Microsoft JhengHei" w:cs="Microsoft JhengHei" w:eastAsia="Microsoft JhengHei" w:hint="default"/>
          <w:b/>
          <w:bCs/>
          <w:sz w:val="32"/>
          <w:szCs w:val="32"/>
        </w:rPr>
        <w:t>年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4"/>
          <w:sz w:val="32"/>
          <w:szCs w:val="32"/>
        </w:rPr>
        <w:t> </w:t>
      </w:r>
      <w:r>
        <w:rPr>
          <w:rFonts w:ascii="Microsoft JhengHei" w:hAnsi="Microsoft JhengHei" w:cs="Microsoft JhengHei" w:eastAsia="Microsoft JhengHei" w:hint="default"/>
          <w:b/>
          <w:bCs/>
          <w:sz w:val="32"/>
          <w:szCs w:val="32"/>
        </w:rPr>
        <w:t>月</w:t>
      </w:r>
      <w:r>
        <w:rPr>
          <w:rFonts w:ascii="Microsoft JhengHei" w:hAnsi="Microsoft JhengHei" w:cs="Microsoft JhengHei" w:eastAsia="Microsoft JhengHei" w:hint="default"/>
          <w:sz w:val="32"/>
          <w:szCs w:val="32"/>
        </w:rPr>
      </w:r>
    </w:p>
    <w:p>
      <w:pPr>
        <w:spacing w:after="0"/>
        <w:jc w:val="center"/>
        <w:rPr>
          <w:rFonts w:ascii="Microsoft JhengHei" w:hAnsi="Microsoft JhengHei" w:cs="Microsoft JhengHei" w:eastAsia="Microsoft JhengHei" w:hint="default"/>
          <w:sz w:val="32"/>
          <w:szCs w:val="32"/>
        </w:rPr>
        <w:sectPr>
          <w:headerReference w:type="default" r:id="rId5"/>
          <w:footerReference w:type="default" r:id="rId6"/>
          <w:type w:val="continuous"/>
          <w:pgSz w:w="11910" w:h="16840"/>
          <w:pgMar w:header="745" w:footer="979" w:top="1060" w:bottom="1160" w:left="840" w:right="1020"/>
        </w:sectPr>
      </w:pPr>
    </w:p>
    <w:p>
      <w:pPr>
        <w:spacing w:line="240" w:lineRule="auto" w:before="2"/>
        <w:rPr>
          <w:rFonts w:ascii="Microsoft JhengHei" w:hAnsi="Microsoft JhengHei" w:cs="Microsoft JhengHei" w:eastAsia="Microsoft JhengHei" w:hint="default"/>
          <w:b/>
          <w:bCs/>
          <w:sz w:val="2"/>
          <w:szCs w:val="2"/>
        </w:rPr>
      </w:pPr>
      <w:r>
        <w:rPr/>
        <w:pict>
          <v:group style="position:absolute;margin-left:547.559998pt;margin-top:781.919983pt;width:.1pt;height:10.35pt;mso-position-horizontal-relative:page;mso-position-vertical-relative:page;z-index:1096" coordorigin="10951,15638" coordsize="2,207">
            <v:shape style="position:absolute;left:10951;top:15638;width:2;height:207" coordorigin="10951,15638" coordsize="0,207" path="m10951,15638l10951,15845e" filled="false" stroked="true" strokeweight=".12pt" strokecolor="#000000">
              <v:path arrowok="t"/>
            </v:shape>
            <w10:wrap type="none"/>
          </v:group>
        </w:pict>
      </w:r>
    </w:p>
    <w:p>
      <w:pPr>
        <w:spacing w:line="20" w:lineRule="exact"/>
        <w:ind w:left="10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2.65pt;height:.75pt;mso-position-horizontal-relative:char;mso-position-vertical-relative:line" coordorigin="0,0" coordsize="9653,15">
            <v:group style="position:absolute;left:7;top:7;width:9639;height:2" coordorigin="7,7" coordsize="9639,2">
              <v:shape style="position:absolute;left:7;top:7;width:9639;height:2" coordorigin="7,7" coordsize="9639,0" path="m7,7l9646,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24"/>
          <w:szCs w:val="24"/>
        </w:rPr>
      </w:pPr>
    </w:p>
    <w:p>
      <w:pPr>
        <w:pStyle w:val="Heading2"/>
        <w:spacing w:line="456" w:lineRule="exact"/>
        <w:ind w:left="2764" w:right="279"/>
        <w:jc w:val="left"/>
        <w:rPr>
          <w:b w:val="0"/>
          <w:bCs w:val="0"/>
        </w:rPr>
      </w:pPr>
      <w:bookmarkStart w:name="第一节重要提示、目录和释义" w:id="1"/>
      <w:bookmarkEnd w:id="1"/>
      <w:r>
        <w:rPr>
          <w:b w:val="0"/>
          <w:bCs w:val="0"/>
        </w:rPr>
      </w:r>
      <w:bookmarkStart w:name="_bookmark0" w:id="2"/>
      <w:bookmarkEnd w:id="2"/>
      <w:r>
        <w:rPr>
          <w:b w:val="0"/>
          <w:bCs w:val="0"/>
        </w:rPr>
      </w:r>
      <w:r>
        <w:rPr/>
        <w:t>第一节 </w:t>
      </w:r>
      <w:r>
        <w:rPr>
          <w:spacing w:val="11"/>
        </w:rPr>
        <w:t> </w:t>
      </w:r>
      <w:r>
        <w:rPr/>
        <w:t>重要提示、目录和释义</w:t>
      </w:r>
      <w:r>
        <w:rPr>
          <w:b w:val="0"/>
          <w:bCs w:val="0"/>
        </w:rPr>
      </w:r>
    </w:p>
    <w:p>
      <w:pPr>
        <w:spacing w:line="240" w:lineRule="auto" w:before="1"/>
        <w:rPr>
          <w:rFonts w:ascii="Microsoft JhengHei" w:hAnsi="Microsoft JhengHei" w:cs="Microsoft JhengHei" w:eastAsia="Microsoft JhengHei" w:hint="default"/>
          <w:b/>
          <w:bCs/>
          <w:sz w:val="29"/>
          <w:szCs w:val="29"/>
        </w:rPr>
      </w:pPr>
    </w:p>
    <w:p>
      <w:pPr>
        <w:spacing w:line="307" w:lineRule="auto" w:before="0"/>
        <w:ind w:left="112" w:right="305" w:firstLine="561"/>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本公司董事会、监事会及董事、监事、高级管理人员保证本报告所载资料</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z w:val="28"/>
          <w:szCs w:val="28"/>
        </w:rPr>
        <w:t>不存在任何虚假记载、误导性陈述或者重大遗漏，并对其内容的真实性、准确</w:t>
      </w:r>
      <w:r>
        <w:rPr>
          <w:rFonts w:ascii="Microsoft JhengHei" w:hAnsi="Microsoft JhengHei" w:cs="Microsoft JhengHei" w:eastAsia="Microsoft JhengHei" w:hint="default"/>
          <w:b/>
          <w:bCs/>
          <w:spacing w:val="22"/>
          <w:sz w:val="28"/>
          <w:szCs w:val="28"/>
        </w:rPr>
        <w:t> </w:t>
      </w:r>
      <w:r>
        <w:rPr>
          <w:rFonts w:ascii="Microsoft JhengHei" w:hAnsi="Microsoft JhengHei" w:cs="Microsoft JhengHei" w:eastAsia="Microsoft JhengHei" w:hint="default"/>
          <w:b/>
          <w:bCs/>
          <w:spacing w:val="22"/>
          <w:sz w:val="28"/>
          <w:szCs w:val="28"/>
        </w:rPr>
      </w:r>
      <w:r>
        <w:rPr>
          <w:rFonts w:ascii="Microsoft JhengHei" w:hAnsi="Microsoft JhengHei" w:cs="Microsoft JhengHei" w:eastAsia="Microsoft JhengHei" w:hint="default"/>
          <w:b/>
          <w:bCs/>
          <w:sz w:val="28"/>
          <w:szCs w:val="28"/>
        </w:rPr>
        <w:t>性和完整性承担个别及连带责任。</w:t>
      </w:r>
      <w:r>
        <w:rPr>
          <w:rFonts w:ascii="Microsoft JhengHei" w:hAnsi="Microsoft JhengHei" w:cs="Microsoft JhengHei" w:eastAsia="Microsoft JhengHei" w:hint="default"/>
          <w:sz w:val="28"/>
          <w:szCs w:val="28"/>
        </w:rPr>
      </w:r>
    </w:p>
    <w:p>
      <w:pPr>
        <w:spacing w:line="307" w:lineRule="auto" w:before="130"/>
        <w:ind w:left="112" w:right="290" w:firstLine="561"/>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公司负责人徐智勇、主管会计工作负责人俞竣华及会计机构负责人</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会计主</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z w:val="28"/>
          <w:szCs w:val="28"/>
        </w:rPr>
        <w:t>管人员</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蒋旭谊声明：保证年度报告中财务报告的真实、准确、完整。</w:t>
      </w:r>
      <w:r>
        <w:rPr>
          <w:rFonts w:ascii="Microsoft JhengHei" w:hAnsi="Microsoft JhengHei" w:cs="Microsoft JhengHei" w:eastAsia="Microsoft JhengHei" w:hint="default"/>
          <w:sz w:val="28"/>
          <w:szCs w:val="28"/>
        </w:rPr>
      </w:r>
    </w:p>
    <w:p>
      <w:pPr>
        <w:spacing w:line="357" w:lineRule="auto" w:before="133"/>
        <w:ind w:left="674" w:right="279"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所有董事均已出席了审议本报告的董事会会议。</w:t>
      </w:r>
      <w:r>
        <w:rPr>
          <w:rFonts w:ascii="Microsoft JhengHei" w:hAnsi="Microsoft JhengHei" w:cs="Microsoft JhengHei" w:eastAsia="Microsoft JhengHei" w:hint="default"/>
          <w:b/>
          <w:bCs/>
          <w:spacing w:val="-54"/>
          <w:sz w:val="28"/>
          <w:szCs w:val="28"/>
        </w:rPr>
        <w:t> </w:t>
      </w:r>
      <w:r>
        <w:rPr>
          <w:rFonts w:ascii="Microsoft JhengHei" w:hAnsi="Microsoft JhengHei" w:cs="Microsoft JhengHei" w:eastAsia="Microsoft JhengHei" w:hint="default"/>
          <w:b/>
          <w:bCs/>
          <w:spacing w:val="-3"/>
          <w:sz w:val="28"/>
          <w:szCs w:val="28"/>
        </w:rPr>
        <w:t>公司经本次董事会审议通过的利润分配预案为：以 </w:t>
      </w:r>
      <w:r>
        <w:rPr>
          <w:rFonts w:ascii="Times New Roman" w:hAnsi="Times New Roman" w:cs="Times New Roman" w:eastAsia="Times New Roman" w:hint="default"/>
          <w:b/>
          <w:bCs/>
          <w:sz w:val="28"/>
          <w:szCs w:val="28"/>
        </w:rPr>
        <w:t>2012 </w:t>
      </w:r>
      <w:r>
        <w:rPr>
          <w:rFonts w:ascii="Microsoft JhengHei" w:hAnsi="Microsoft JhengHei" w:cs="Microsoft JhengHei" w:eastAsia="Microsoft JhengHei" w:hint="default"/>
          <w:b/>
          <w:bCs/>
          <w:sz w:val="28"/>
          <w:szCs w:val="28"/>
        </w:rPr>
        <w:t>年 </w:t>
      </w:r>
      <w:r>
        <w:rPr>
          <w:rFonts w:ascii="Times New Roman" w:hAnsi="Times New Roman" w:cs="Times New Roman" w:eastAsia="Times New Roman" w:hint="default"/>
          <w:b/>
          <w:bCs/>
          <w:sz w:val="28"/>
          <w:szCs w:val="28"/>
        </w:rPr>
        <w:t>12 </w:t>
      </w:r>
      <w:r>
        <w:rPr>
          <w:rFonts w:ascii="Microsoft JhengHei" w:hAnsi="Microsoft JhengHei" w:cs="Microsoft JhengHei" w:eastAsia="Microsoft JhengHei" w:hint="default"/>
          <w:b/>
          <w:bCs/>
          <w:sz w:val="28"/>
          <w:szCs w:val="28"/>
        </w:rPr>
        <w:t>月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42"/>
          <w:sz w:val="28"/>
          <w:szCs w:val="28"/>
        </w:rPr>
        <w:t> </w:t>
      </w:r>
      <w:r>
        <w:rPr>
          <w:rFonts w:ascii="Microsoft JhengHei" w:hAnsi="Microsoft JhengHei" w:cs="Microsoft JhengHei" w:eastAsia="Microsoft JhengHei" w:hint="default"/>
          <w:b/>
          <w:bCs/>
          <w:sz w:val="28"/>
          <w:szCs w:val="28"/>
        </w:rPr>
        <w:t>日的公</w:t>
      </w:r>
      <w:r>
        <w:rPr>
          <w:rFonts w:ascii="Microsoft JhengHei" w:hAnsi="Microsoft JhengHei" w:cs="Microsoft JhengHei" w:eastAsia="Microsoft JhengHei" w:hint="default"/>
          <w:sz w:val="28"/>
          <w:szCs w:val="28"/>
        </w:rPr>
      </w:r>
    </w:p>
    <w:p>
      <w:pPr>
        <w:spacing w:line="442" w:lineRule="exact" w:before="0"/>
        <w:ind w:left="112" w:right="0" w:firstLine="0"/>
        <w:jc w:val="left"/>
        <w:rPr>
          <w:rFonts w:ascii="Times New Roman" w:hAnsi="Times New Roman" w:cs="Times New Roman" w:eastAsia="Times New Roman" w:hint="default"/>
          <w:sz w:val="28"/>
          <w:szCs w:val="28"/>
        </w:rPr>
      </w:pPr>
      <w:r>
        <w:rPr>
          <w:rFonts w:ascii="Microsoft JhengHei" w:hAnsi="Microsoft JhengHei" w:cs="Microsoft JhengHei" w:eastAsia="Microsoft JhengHei" w:hint="default"/>
          <w:b/>
          <w:bCs/>
          <w:spacing w:val="7"/>
          <w:w w:val="100"/>
          <w:sz w:val="28"/>
          <w:szCs w:val="28"/>
        </w:rPr>
        <w:t>司总股本为基数，向全体股东</w:t>
      </w:r>
      <w:r>
        <w:rPr>
          <w:rFonts w:ascii="Microsoft JhengHei" w:hAnsi="Microsoft JhengHei" w:cs="Microsoft JhengHei" w:eastAsia="Microsoft JhengHei" w:hint="default"/>
          <w:b/>
          <w:bCs/>
          <w:w w:val="100"/>
          <w:sz w:val="28"/>
          <w:szCs w:val="28"/>
        </w:rPr>
        <w:t>每</w:t>
      </w:r>
      <w:r>
        <w:rPr>
          <w:rFonts w:ascii="Microsoft JhengHei" w:hAnsi="Microsoft JhengHei" w:cs="Microsoft JhengHei" w:eastAsia="Microsoft JhengHei" w:hint="default"/>
          <w:b/>
          <w:bCs/>
          <w:spacing w:val="20"/>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3"/>
          <w:sz w:val="28"/>
          <w:szCs w:val="28"/>
        </w:rPr>
        <w:t> </w:t>
      </w:r>
      <w:r>
        <w:rPr>
          <w:rFonts w:ascii="Microsoft JhengHei" w:hAnsi="Microsoft JhengHei" w:cs="Microsoft JhengHei" w:eastAsia="Microsoft JhengHei" w:hint="default"/>
          <w:b/>
          <w:bCs/>
          <w:spacing w:val="7"/>
          <w:w w:val="100"/>
          <w:sz w:val="28"/>
          <w:szCs w:val="28"/>
        </w:rPr>
        <w:t>股派发现金红</w:t>
      </w:r>
      <w:r>
        <w:rPr>
          <w:rFonts w:ascii="Microsoft JhengHei" w:hAnsi="Microsoft JhengHei" w:cs="Microsoft JhengHei" w:eastAsia="Microsoft JhengHei" w:hint="default"/>
          <w:b/>
          <w:bCs/>
          <w:w w:val="100"/>
          <w:sz w:val="28"/>
          <w:szCs w:val="28"/>
        </w:rPr>
        <w:t>利</w:t>
      </w:r>
      <w:r>
        <w:rPr>
          <w:rFonts w:ascii="Microsoft JhengHei" w:hAnsi="Microsoft JhengHei" w:cs="Microsoft JhengHei" w:eastAsia="Microsoft JhengHei" w:hint="default"/>
          <w:b/>
          <w:bCs/>
          <w:spacing w:val="17"/>
          <w:sz w:val="28"/>
          <w:szCs w:val="28"/>
        </w:rPr>
        <w:t> </w:t>
      </w:r>
      <w:r>
        <w:rPr>
          <w:rFonts w:ascii="Times New Roman" w:hAnsi="Times New Roman" w:cs="Times New Roman" w:eastAsia="Times New Roman" w:hint="default"/>
          <w:b/>
          <w:bCs/>
          <w:spacing w:val="-2"/>
          <w:w w:val="100"/>
          <w:sz w:val="28"/>
          <w:szCs w:val="28"/>
        </w:rPr>
        <w:t>1</w:t>
      </w:r>
      <w:r>
        <w:rPr>
          <w:rFonts w:ascii="Times New Roman" w:hAnsi="Times New Roman" w:cs="Times New Roman" w:eastAsia="Times New Roman" w:hint="default"/>
          <w:b/>
          <w:bCs/>
          <w:spacing w:val="-1"/>
          <w:w w:val="100"/>
          <w:sz w:val="28"/>
          <w:szCs w:val="28"/>
        </w:rPr>
        <w:t>.</w:t>
      </w:r>
      <w:r>
        <w:rPr>
          <w:rFonts w:ascii="Times New Roman" w:hAnsi="Times New Roman" w:cs="Times New Roman" w:eastAsia="Times New Roman" w:hint="default"/>
          <w:b/>
          <w:bCs/>
          <w:w w:val="100"/>
          <w:sz w:val="28"/>
          <w:szCs w:val="28"/>
        </w:rPr>
        <w:t>2</w:t>
      </w:r>
      <w:r>
        <w:rPr>
          <w:rFonts w:ascii="Times New Roman" w:hAnsi="Times New Roman" w:cs="Times New Roman" w:eastAsia="Times New Roman" w:hint="default"/>
          <w:b/>
          <w:bCs/>
          <w:spacing w:val="-1"/>
          <w:sz w:val="28"/>
          <w:szCs w:val="28"/>
        </w:rPr>
        <w:t> </w:t>
      </w:r>
      <w:r>
        <w:rPr>
          <w:rFonts w:ascii="Microsoft JhengHei" w:hAnsi="Microsoft JhengHei" w:cs="Microsoft JhengHei" w:eastAsia="Microsoft JhengHei" w:hint="default"/>
          <w:b/>
          <w:bCs/>
          <w:spacing w:val="7"/>
          <w:w w:val="100"/>
          <w:sz w:val="28"/>
          <w:szCs w:val="28"/>
        </w:rPr>
        <w:t>元（含税</w:t>
      </w:r>
      <w:r>
        <w:rPr>
          <w:rFonts w:ascii="Microsoft JhengHei" w:hAnsi="Microsoft JhengHei" w:cs="Microsoft JhengHei" w:eastAsia="Microsoft JhengHei" w:hint="default"/>
          <w:b/>
          <w:bCs/>
          <w:spacing w:val="-132"/>
          <w:w w:val="100"/>
          <w:sz w:val="28"/>
          <w:szCs w:val="28"/>
        </w:rPr>
        <w:t>）</w:t>
      </w:r>
      <w:r>
        <w:rPr>
          <w:rFonts w:ascii="Microsoft JhengHei" w:hAnsi="Microsoft JhengHei" w:cs="Microsoft JhengHei" w:eastAsia="Microsoft JhengHei" w:hint="default"/>
          <w:b/>
          <w:bCs/>
          <w:spacing w:val="7"/>
          <w:w w:val="100"/>
          <w:sz w:val="28"/>
          <w:szCs w:val="28"/>
        </w:rPr>
        <w:t>，送红</w:t>
      </w:r>
      <w:r>
        <w:rPr>
          <w:rFonts w:ascii="Microsoft JhengHei" w:hAnsi="Microsoft JhengHei" w:cs="Microsoft JhengHei" w:eastAsia="Microsoft JhengHei" w:hint="default"/>
          <w:b/>
          <w:bCs/>
          <w:w w:val="100"/>
          <w:sz w:val="28"/>
          <w:szCs w:val="28"/>
        </w:rPr>
        <w:t>股</w:t>
      </w:r>
      <w:r>
        <w:rPr>
          <w:rFonts w:ascii="Microsoft JhengHei" w:hAnsi="Microsoft JhengHei" w:cs="Microsoft JhengHei" w:eastAsia="Microsoft JhengHei" w:hint="default"/>
          <w:b/>
          <w:bCs/>
          <w:spacing w:val="15"/>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w w:val="100"/>
          <w:sz w:val="28"/>
          <w:szCs w:val="28"/>
        </w:rPr>
      </w:r>
    </w:p>
    <w:p>
      <w:pPr>
        <w:spacing w:line="355" w:lineRule="auto" w:before="136"/>
        <w:ind w:left="674" w:right="279" w:hanging="562"/>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9"/>
          <w:w w:val="100"/>
          <w:sz w:val="28"/>
          <w:szCs w:val="28"/>
        </w:rPr>
        <w:t>股（含税），不以公积金转增股本。</w:t>
      </w:r>
      <w:r>
        <w:rPr>
          <w:rFonts w:ascii="Microsoft JhengHei" w:hAnsi="Microsoft JhengHei" w:cs="Microsoft JhengHei" w:eastAsia="Microsoft JhengHei" w:hint="default"/>
          <w:b/>
          <w:bCs/>
          <w:spacing w:val="-67"/>
          <w:w w:val="100"/>
          <w:sz w:val="28"/>
          <w:szCs w:val="28"/>
        </w:rPr>
        <w:t> </w:t>
      </w:r>
      <w:r>
        <w:rPr>
          <w:rFonts w:ascii="Microsoft JhengHei" w:hAnsi="Microsoft JhengHei" w:cs="Microsoft JhengHei" w:eastAsia="Microsoft JhengHei" w:hint="default"/>
          <w:b/>
          <w:bCs/>
          <w:spacing w:val="-67"/>
          <w:w w:val="100"/>
          <w:sz w:val="28"/>
          <w:szCs w:val="28"/>
        </w:rPr>
      </w:r>
      <w:r>
        <w:rPr>
          <w:rFonts w:ascii="Microsoft JhengHei" w:hAnsi="Microsoft JhengHei" w:cs="Microsoft JhengHei" w:eastAsia="Microsoft JhengHei" w:hint="default"/>
          <w:b/>
          <w:bCs/>
          <w:sz w:val="28"/>
          <w:szCs w:val="28"/>
        </w:rPr>
        <w:t>本年度报告中涉及的未来发展陈述，属于计划性事项，并不代表公司对未</w:t>
      </w:r>
      <w:r>
        <w:rPr>
          <w:rFonts w:ascii="Microsoft JhengHei" w:hAnsi="Microsoft JhengHei" w:cs="Microsoft JhengHei" w:eastAsia="Microsoft JhengHei" w:hint="default"/>
          <w:sz w:val="28"/>
          <w:szCs w:val="28"/>
        </w:rPr>
      </w:r>
    </w:p>
    <w:p>
      <w:pPr>
        <w:spacing w:line="445" w:lineRule="exact" w:before="0"/>
        <w:ind w:left="112" w:right="279"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来年度的盈利预测，不构成公司对投资者的实质性承诺。公司已在本报告中详</w:t>
      </w:r>
      <w:r>
        <w:rPr>
          <w:rFonts w:ascii="Microsoft JhengHei" w:hAnsi="Microsoft JhengHei" w:cs="Microsoft JhengHei" w:eastAsia="Microsoft JhengHei" w:hint="default"/>
          <w:sz w:val="28"/>
          <w:szCs w:val="28"/>
        </w:rPr>
      </w:r>
    </w:p>
    <w:p>
      <w:pPr>
        <w:spacing w:line="307" w:lineRule="auto" w:before="136"/>
        <w:ind w:left="112" w:right="279"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w w:val="95"/>
          <w:sz w:val="28"/>
          <w:szCs w:val="28"/>
        </w:rPr>
        <w:t>细描述存在的技术风险、市场风险、管理风险，敬请查阅第四节</w:t>
      </w:r>
      <w:r>
        <w:rPr>
          <w:rFonts w:ascii="Times New Roman" w:hAnsi="Times New Roman" w:cs="Times New Roman" w:eastAsia="Times New Roman" w:hint="default"/>
          <w:b/>
          <w:bCs/>
          <w:spacing w:val="-2"/>
          <w:w w:val="95"/>
          <w:sz w:val="28"/>
          <w:szCs w:val="28"/>
        </w:rPr>
        <w:t>“</w:t>
      </w:r>
      <w:r>
        <w:rPr>
          <w:rFonts w:ascii="Microsoft JhengHei" w:hAnsi="Microsoft JhengHei" w:cs="Microsoft JhengHei" w:eastAsia="Microsoft JhengHei" w:hint="default"/>
          <w:b/>
          <w:bCs/>
          <w:spacing w:val="-2"/>
          <w:w w:val="95"/>
          <w:sz w:val="28"/>
          <w:szCs w:val="28"/>
        </w:rPr>
        <w:t>董事会报告</w:t>
      </w:r>
      <w:r>
        <w:rPr>
          <w:rFonts w:ascii="Times New Roman" w:hAnsi="Times New Roman" w:cs="Times New Roman" w:eastAsia="Times New Roman" w:hint="default"/>
          <w:b/>
          <w:bCs/>
          <w:spacing w:val="-2"/>
          <w:w w:val="95"/>
          <w:sz w:val="28"/>
          <w:szCs w:val="28"/>
        </w:rPr>
        <w:t>”</w:t>
      </w:r>
      <w:r>
        <w:rPr>
          <w:rFonts w:ascii="Microsoft JhengHei" w:hAnsi="Microsoft JhengHei" w:cs="Microsoft JhengHei" w:eastAsia="Microsoft JhengHei" w:hint="default"/>
          <w:b/>
          <w:bCs/>
          <w:spacing w:val="-2"/>
          <w:w w:val="95"/>
          <w:sz w:val="28"/>
          <w:szCs w:val="28"/>
        </w:rPr>
        <w:t>。</w:t>
      </w:r>
      <w:r>
        <w:rPr>
          <w:rFonts w:ascii="Microsoft JhengHei" w:hAnsi="Microsoft JhengHei" w:cs="Microsoft JhengHei" w:eastAsia="Microsoft JhengHei" w:hint="default"/>
          <w:b/>
          <w:bCs/>
          <w:w w:val="95"/>
          <w:sz w:val="28"/>
          <w:szCs w:val="28"/>
        </w:rPr>
        <w:t> </w:t>
      </w:r>
      <w:r>
        <w:rPr>
          <w:rFonts w:ascii="Microsoft JhengHei" w:hAnsi="Microsoft JhengHei" w:cs="Microsoft JhengHei" w:eastAsia="Microsoft JhengHei" w:hint="default"/>
          <w:b/>
          <w:bCs/>
          <w:sz w:val="28"/>
          <w:szCs w:val="28"/>
        </w:rPr>
        <w:t>敬请广大投资者注意投资风险。</w:t>
      </w:r>
      <w:r>
        <w:rPr>
          <w:rFonts w:ascii="Microsoft JhengHei" w:hAnsi="Microsoft JhengHei" w:cs="Microsoft JhengHei" w:eastAsia="Microsoft JhengHei" w:hint="default"/>
          <w:sz w:val="28"/>
          <w:szCs w:val="28"/>
        </w:rPr>
      </w:r>
    </w:p>
    <w:p>
      <w:pPr>
        <w:spacing w:after="0" w:line="307" w:lineRule="auto"/>
        <w:jc w:val="left"/>
        <w:rPr>
          <w:rFonts w:ascii="Microsoft JhengHei" w:hAnsi="Microsoft JhengHei" w:cs="Microsoft JhengHei" w:eastAsia="Microsoft JhengHei" w:hint="default"/>
          <w:sz w:val="28"/>
          <w:szCs w:val="28"/>
        </w:rPr>
        <w:sectPr>
          <w:footerReference w:type="default" r:id="rId8"/>
          <w:pgSz w:w="11910" w:h="16840"/>
          <w:pgMar w:footer="979" w:header="745" w:top="1060" w:bottom="1160" w:left="1020" w:right="840"/>
          <w:pgNumType w:start="2"/>
        </w:sectPr>
      </w:pPr>
    </w:p>
    <w:p>
      <w:pPr>
        <w:spacing w:line="240" w:lineRule="auto" w:before="2"/>
        <w:rPr>
          <w:rFonts w:ascii="Microsoft JhengHei" w:hAnsi="Microsoft JhengHei" w:cs="Microsoft JhengHei" w:eastAsia="Microsoft JhengHei" w:hint="default"/>
          <w:b/>
          <w:bCs/>
          <w:sz w:val="2"/>
          <w:szCs w:val="2"/>
        </w:rPr>
      </w:pPr>
      <w:r>
        <w:rPr/>
        <w:pict>
          <v:group style="position:absolute;margin-left:47.639999pt;margin-top:781.919983pt;width:.1pt;height:10.35pt;mso-position-horizontal-relative:page;mso-position-vertical-relative:page;z-index:1144" coordorigin="953,15638" coordsize="2,207">
            <v:shape style="position:absolute;left:953;top:15638;width:2;height:207" coordorigin="953,15638" coordsize="0,207" path="m953,15638l953,15845e" filled="false" stroked="true" strokeweight=".12pt" strokecolor="#000000">
              <v:path arrowok="t"/>
            </v:shape>
            <w10:wrap type="none"/>
          </v:group>
        </w:pict>
      </w:r>
    </w:p>
    <w:p>
      <w:pPr>
        <w:spacing w:line="20" w:lineRule="exact"/>
        <w:ind w:left="285"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2.65pt;height:.75pt;mso-position-horizontal-relative:char;mso-position-vertical-relative:line" coordorigin="0,0" coordsize="9653,15">
            <v:group style="position:absolute;left:7;top:7;width:9639;height:2" coordorigin="7,7" coordsize="9639,2">
              <v:shape style="position:absolute;left:7;top:7;width:9639;height:2" coordorigin="7,7" coordsize="9639,0" path="m7,7l9646,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1"/>
        <w:rPr>
          <w:rFonts w:ascii="Microsoft JhengHei" w:hAnsi="Microsoft JhengHei" w:cs="Microsoft JhengHei" w:eastAsia="Microsoft JhengHei" w:hint="default"/>
          <w:b/>
          <w:bCs/>
          <w:sz w:val="14"/>
          <w:szCs w:val="14"/>
        </w:rPr>
      </w:pPr>
    </w:p>
    <w:p>
      <w:pPr>
        <w:pStyle w:val="Heading1"/>
        <w:spacing w:line="501" w:lineRule="exact"/>
        <w:ind w:right="2213"/>
        <w:jc w:val="center"/>
        <w:rPr>
          <w:b w:val="0"/>
          <w:bCs w:val="0"/>
        </w:rPr>
      </w:pPr>
      <w:r>
        <w:rPr/>
        <w:t>目录</w:t>
      </w:r>
      <w:r>
        <w:rPr>
          <w:b w:val="0"/>
          <w:bCs w:val="0"/>
        </w:rPr>
      </w:r>
    </w:p>
    <w:p>
      <w:pPr>
        <w:spacing w:line="240" w:lineRule="auto" w:before="0"/>
        <w:rPr>
          <w:rFonts w:ascii="Microsoft JhengHei" w:hAnsi="Microsoft JhengHei" w:cs="Microsoft JhengHei" w:eastAsia="Microsoft JhengHei" w:hint="default"/>
          <w:b/>
          <w:bCs/>
          <w:sz w:val="36"/>
          <w:szCs w:val="36"/>
        </w:rPr>
      </w:pPr>
    </w:p>
    <w:p>
      <w:pPr>
        <w:spacing w:line="240" w:lineRule="auto" w:before="3"/>
        <w:rPr>
          <w:rFonts w:ascii="Microsoft JhengHei" w:hAnsi="Microsoft JhengHei" w:cs="Microsoft JhengHei" w:eastAsia="Microsoft JhengHei" w:hint="default"/>
          <w:b/>
          <w:bCs/>
          <w:sz w:val="43"/>
          <w:szCs w:val="43"/>
        </w:rPr>
      </w:pPr>
    </w:p>
    <w:sdt>
      <w:sdtPr>
        <w:docPartObj>
          <w:docPartGallery w:val="Table of Contents"/>
          <w:docPartUnique/>
        </w:docPartObj>
      </w:sdtPr>
      <w:sdtEndPr/>
      <w:sdtContent>
        <w:p>
          <w:pPr>
            <w:pStyle w:val="TOC2"/>
            <w:tabs>
              <w:tab w:pos="9928" w:val="right" w:leader="dot"/>
            </w:tabs>
            <w:spacing w:line="240" w:lineRule="auto"/>
            <w:ind w:right="0"/>
            <w:jc w:val="left"/>
            <w:rPr>
              <w:b w:val="0"/>
              <w:bCs w:val="0"/>
            </w:rPr>
          </w:pPr>
          <w:hyperlink w:history="true" w:anchor="_bookmark0">
            <w:r>
              <w:rPr/>
              <w:t>2012</w:t>
            </w:r>
            <w:r>
              <w:rPr>
                <w:spacing w:val="-5"/>
              </w:rPr>
              <w:t> </w:t>
            </w:r>
            <w:r>
              <w:rPr>
                <w:rFonts w:ascii="Microsoft JhengHei" w:hAnsi="Microsoft JhengHei" w:cs="Microsoft JhengHei" w:eastAsia="Microsoft JhengHei" w:hint="default"/>
              </w:rPr>
              <w:t>年度报告</w:t>
            </w:r>
            <w:r>
              <w:rPr>
                <w:rFonts w:ascii="Times New Roman" w:hAnsi="Times New Roman" w:cs="Times New Roman" w:eastAsia="Times New Roman" w:hint="default"/>
                <w:b w:val="0"/>
                <w:bCs w:val="0"/>
              </w:rPr>
              <w:tab/>
            </w:r>
            <w:r>
              <w:rPr/>
              <w:t>1</w:t>
            </w:r>
            <w:r>
              <w:rPr>
                <w:b w:val="0"/>
                <w:bCs w:val="0"/>
              </w:rPr>
            </w:r>
          </w:hyperlink>
        </w:p>
        <w:p>
          <w:pPr>
            <w:pStyle w:val="TOC1"/>
            <w:tabs>
              <w:tab w:pos="9928"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一、重要提示、目录和释义</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w:t>
            </w:r>
            <w:r>
              <w:rPr>
                <w:rFonts w:ascii="Times New Roman" w:hAnsi="Times New Roman" w:cs="Times New Roman" w:eastAsia="Times New Roman" w:hint="default"/>
                <w:b w:val="0"/>
                <w:bCs w:val="0"/>
              </w:rPr>
            </w:r>
          </w:hyperlink>
        </w:p>
        <w:p>
          <w:pPr>
            <w:pStyle w:val="TOC1"/>
            <w:tabs>
              <w:tab w:pos="9928"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二、公司简介</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2</w:t>
            </w:r>
            <w:r>
              <w:rPr>
                <w:rFonts w:ascii="Times New Roman" w:hAnsi="Times New Roman" w:cs="Times New Roman" w:eastAsia="Times New Roman" w:hint="default"/>
                <w:b w:val="0"/>
                <w:bCs w:val="0"/>
              </w:rPr>
            </w:r>
          </w:hyperlink>
        </w:p>
        <w:p>
          <w:pPr>
            <w:pStyle w:val="TOC1"/>
            <w:tabs>
              <w:tab w:pos="9928"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三、会计数据和财务指标摘要</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2</w:t>
            </w:r>
            <w:r>
              <w:rPr>
                <w:rFonts w:ascii="Times New Roman" w:hAnsi="Times New Roman" w:cs="Times New Roman" w:eastAsia="Times New Roman" w:hint="default"/>
                <w:b w:val="0"/>
                <w:bCs w:val="0"/>
              </w:rPr>
            </w:r>
          </w:hyperlink>
        </w:p>
        <w:p>
          <w:pPr>
            <w:pStyle w:val="TOC1"/>
            <w:tabs>
              <w:tab w:pos="9928"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四、董事会报告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3</w:t>
            </w:r>
            <w:r>
              <w:rPr>
                <w:rFonts w:ascii="Times New Roman" w:hAnsi="Times New Roman" w:cs="Times New Roman" w:eastAsia="Times New Roman" w:hint="default"/>
                <w:b w:val="0"/>
                <w:bCs w:val="0"/>
              </w:rPr>
            </w:r>
          </w:hyperlink>
        </w:p>
        <w:p>
          <w:pPr>
            <w:pStyle w:val="TOC1"/>
            <w:tabs>
              <w:tab w:pos="9928"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五、重要事项</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w:t>
            </w:r>
            <w:r>
              <w:rPr>
                <w:rFonts w:ascii="Times New Roman" w:hAnsi="Times New Roman" w:cs="Times New Roman" w:eastAsia="Times New Roman" w:hint="default"/>
                <w:b w:val="0"/>
                <w:bCs w:val="0"/>
              </w:rPr>
            </w:r>
          </w:hyperlink>
        </w:p>
        <w:p>
          <w:pPr>
            <w:pStyle w:val="TOC1"/>
            <w:tabs>
              <w:tab w:pos="9928"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六、股份变动及股东情况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8</w:t>
            </w:r>
            <w:r>
              <w:rPr>
                <w:rFonts w:ascii="Times New Roman" w:hAnsi="Times New Roman" w:cs="Times New Roman" w:eastAsia="Times New Roman" w:hint="default"/>
                <w:b w:val="0"/>
                <w:bCs w:val="0"/>
              </w:rPr>
            </w:r>
          </w:hyperlink>
        </w:p>
        <w:p>
          <w:pPr>
            <w:pStyle w:val="TOC1"/>
            <w:tabs>
              <w:tab w:pos="9928"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七、董事、监事、高级管理人员和员工情况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10</w:t>
            </w:r>
            <w:r>
              <w:rPr>
                <w:rFonts w:ascii="Times New Roman" w:hAnsi="Times New Roman" w:cs="Times New Roman" w:eastAsia="Times New Roman" w:hint="default"/>
                <w:b w:val="0"/>
                <w:bCs w:val="0"/>
              </w:rPr>
            </w:r>
          </w:hyperlink>
        </w:p>
        <w:p>
          <w:pPr>
            <w:pStyle w:val="TOC1"/>
            <w:tabs>
              <w:tab w:pos="9928"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八、公司治理</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10</w:t>
            </w:r>
            <w:r>
              <w:rPr>
                <w:rFonts w:ascii="Times New Roman" w:hAnsi="Times New Roman" w:cs="Times New Roman" w:eastAsia="Times New Roman" w:hint="default"/>
                <w:b w:val="0"/>
                <w:bCs w:val="0"/>
              </w:rPr>
            </w:r>
          </w:hyperlink>
        </w:p>
        <w:p>
          <w:pPr>
            <w:pStyle w:val="TOC1"/>
            <w:tabs>
              <w:tab w:pos="9928"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九、内部控制</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12</w:t>
            </w:r>
            <w:r>
              <w:rPr>
                <w:rFonts w:ascii="Times New Roman" w:hAnsi="Times New Roman" w:cs="Times New Roman" w:eastAsia="Times New Roman" w:hint="default"/>
                <w:b w:val="0"/>
                <w:bCs w:val="0"/>
              </w:rPr>
            </w:r>
          </w:hyperlink>
        </w:p>
        <w:p>
          <w:pPr>
            <w:pStyle w:val="TOC1"/>
            <w:tabs>
              <w:tab w:pos="9928"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十、财务报告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12</w:t>
            </w:r>
            <w:r>
              <w:rPr>
                <w:rFonts w:ascii="Times New Roman" w:hAnsi="Times New Roman" w:cs="Times New Roman" w:eastAsia="Times New Roman" w:hint="default"/>
                <w:b w:val="0"/>
                <w:bCs w:val="0"/>
              </w:rPr>
            </w:r>
          </w:hyperlink>
        </w:p>
        <w:p>
          <w:pPr>
            <w:pStyle w:val="TOC1"/>
            <w:tabs>
              <w:tab w:pos="9928" w:val="right" w:leader="dot"/>
            </w:tabs>
            <w:spacing w:line="240" w:lineRule="auto"/>
            <w:ind w:right="0"/>
            <w:jc w:val="left"/>
            <w:rPr>
              <w:rFonts w:ascii="Times New Roman" w:hAnsi="Times New Roman" w:cs="Times New Roman" w:eastAsia="Times New Roman" w:hint="default"/>
              <w:b w:val="0"/>
              <w:bCs w:val="0"/>
            </w:rPr>
          </w:pPr>
          <w:r>
            <w:rPr/>
            <w:t>十一、备查文件目录</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51</w:t>
          </w:r>
          <w:r>
            <w:rPr>
              <w:rFonts w:ascii="Times New Roman" w:hAnsi="Times New Roman" w:cs="Times New Roman" w:eastAsia="Times New Roman" w:hint="default"/>
              <w:b w:val="0"/>
              <w:bCs w:val="0"/>
            </w:rPr>
          </w:r>
        </w:p>
      </w:sdtContent>
    </w:sdt>
    <w:p>
      <w:pPr>
        <w:spacing w:after="0" w:line="240" w:lineRule="auto"/>
        <w:jc w:val="left"/>
        <w:rPr>
          <w:rFonts w:ascii="Times New Roman" w:hAnsi="Times New Roman" w:cs="Times New Roman" w:eastAsia="Times New Roman" w:hint="default"/>
        </w:rPr>
        <w:sectPr>
          <w:pgSz w:w="11910" w:h="16840"/>
          <w:pgMar w:header="745" w:footer="979" w:top="1060" w:bottom="1160" w:left="840" w:right="1020"/>
        </w:sectPr>
      </w:pPr>
    </w:p>
    <w:p>
      <w:pPr>
        <w:pStyle w:val="Heading2"/>
        <w:spacing w:line="240" w:lineRule="auto" w:before="845"/>
        <w:ind w:right="2213"/>
        <w:jc w:val="center"/>
        <w:rPr>
          <w:b w:val="0"/>
          <w:bCs w:val="0"/>
        </w:rPr>
      </w:pPr>
      <w:r>
        <w:rPr/>
        <w:pict>
          <v:group style="position:absolute;margin-left:547.559998pt;margin-top:781.919983pt;width:.1pt;height:10.35pt;mso-position-horizontal-relative:page;mso-position-vertical-relative:page;z-index:1168" coordorigin="10951,15638" coordsize="2,207">
            <v:shape style="position:absolute;left:10951;top:15638;width:2;height:207" coordorigin="10951,15638" coordsize="0,207" path="m10951,15638l10951,15845e" filled="false" stroked="true" strokeweight=".12pt" strokecolor="#000000">
              <v:path arrowok="t"/>
            </v:shape>
            <w10:wrap type="none"/>
          </v:group>
        </w:pict>
      </w:r>
      <w:r>
        <w:rPr/>
        <w:t>释义</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3"/>
        <w:rPr>
          <w:rFonts w:ascii="Microsoft JhengHei" w:hAnsi="Microsoft JhengHei" w:cs="Microsoft JhengHei" w:eastAsia="Microsoft JhengHei" w:hint="default"/>
          <w:b/>
          <w:bCs/>
          <w:sz w:val="26"/>
          <w:szCs w:val="26"/>
        </w:rPr>
      </w:pPr>
    </w:p>
    <w:tbl>
      <w:tblPr>
        <w:tblW w:w="0" w:type="auto"/>
        <w:jc w:val="left"/>
        <w:tblInd w:w="107" w:type="dxa"/>
        <w:tblLayout w:type="fixed"/>
        <w:tblCellMar>
          <w:top w:w="0" w:type="dxa"/>
          <w:left w:w="0" w:type="dxa"/>
          <w:bottom w:w="0" w:type="dxa"/>
          <w:right w:w="0" w:type="dxa"/>
        </w:tblCellMar>
        <w:tblLook w:val="01E0"/>
      </w:tblPr>
      <w:tblGrid>
        <w:gridCol w:w="3523"/>
        <w:gridCol w:w="622"/>
        <w:gridCol w:w="5424"/>
      </w:tblGrid>
      <w:tr>
        <w:trPr>
          <w:trHeight w:val="403" w:hRule="exact"/>
        </w:trPr>
        <w:tc>
          <w:tcPr>
            <w:tcW w:w="3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杭州新世纪信息技术股份有限公司</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徐智勇、陆燕、滕学军、高雁峰、乔文东</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徐智勇、陆燕、滕学军、高雁峰、乔文东</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国家发改委</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中华人民共和国发展和改革委员会</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近三年</w:t>
            </w:r>
            <w:r>
              <w:rPr>
                <w:rFonts w:ascii="Times New Roman" w:hAnsi="Times New Roman" w:cs="Times New Roman" w:eastAsia="Times New Roman" w:hint="default"/>
                <w:sz w:val="18"/>
                <w:szCs w:val="18"/>
              </w:rPr>
              <w:t>/</w:t>
            </w:r>
            <w:r>
              <w:rPr>
                <w:rFonts w:ascii="宋体" w:hAnsi="宋体" w:cs="宋体" w:eastAsia="宋体" w:hint="default"/>
                <w:sz w:val="18"/>
                <w:szCs w:val="18"/>
              </w:rPr>
              <w:t>最近三年</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79" w:top="1060" w:bottom="1160" w:left="1020" w:right="840"/>
        </w:sectPr>
      </w:pPr>
    </w:p>
    <w:p>
      <w:pPr>
        <w:spacing w:line="240" w:lineRule="auto" w:before="0"/>
        <w:rPr>
          <w:rFonts w:ascii="Microsoft JhengHei" w:hAnsi="Microsoft JhengHei" w:cs="Microsoft JhengHei" w:eastAsia="Microsoft JhengHei" w:hint="default"/>
          <w:b/>
          <w:bCs/>
          <w:sz w:val="20"/>
          <w:szCs w:val="20"/>
        </w:rPr>
      </w:pPr>
      <w:r>
        <w:rPr/>
        <w:pict>
          <v:group style="position:absolute;margin-left:47.639999pt;margin-top:781.919983pt;width:.1pt;height:10.35pt;mso-position-horizontal-relative:page;mso-position-vertical-relative:page;z-index:1192" coordorigin="953,15638" coordsize="2,207">
            <v:shape style="position:absolute;left:953;top:15638;width:2;height:207" coordorigin="953,15638" coordsize="0,207" path="m953,15638l953,15845e" filled="false" stroked="true" strokeweight=".12pt" strokecolor="#000000">
              <v:path arrowok="t"/>
            </v:shape>
            <w10:wrap type="none"/>
          </v:group>
        </w:pict>
      </w:r>
    </w:p>
    <w:p>
      <w:pPr>
        <w:spacing w:line="240" w:lineRule="auto" w:before="2"/>
        <w:rPr>
          <w:rFonts w:ascii="Microsoft JhengHei" w:hAnsi="Microsoft JhengHei" w:cs="Microsoft JhengHei" w:eastAsia="Microsoft JhengHei" w:hint="default"/>
          <w:b/>
          <w:bCs/>
          <w:sz w:val="25"/>
          <w:szCs w:val="25"/>
        </w:rPr>
      </w:pPr>
    </w:p>
    <w:p>
      <w:pPr>
        <w:spacing w:line="456" w:lineRule="exact" w:before="0"/>
        <w:ind w:left="4149" w:right="279" w:firstLine="0"/>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重大风险提示</w:t>
      </w:r>
      <w:r>
        <w:rPr>
          <w:rFonts w:ascii="Microsoft JhengHei" w:hAnsi="Microsoft JhengHei" w:cs="Microsoft JhengHei" w:eastAsia="Microsoft JhengHei" w:hint="default"/>
          <w:sz w:val="32"/>
          <w:szCs w:val="32"/>
        </w:rPr>
      </w:r>
    </w:p>
    <w:p>
      <w:pPr>
        <w:spacing w:line="307" w:lineRule="auto" w:before="210"/>
        <w:ind w:left="292" w:right="0" w:firstLine="561"/>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公司已在本报告中详细描述存在的技术风险、市场风险、管理风险，敬请</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z w:val="28"/>
          <w:szCs w:val="28"/>
        </w:rPr>
        <w:t>查阅第四节</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董事会报告</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。敬请广大投资者注意投资风险。</w:t>
      </w:r>
      <w:r>
        <w:rPr>
          <w:rFonts w:ascii="Microsoft JhengHei" w:hAnsi="Microsoft JhengHei" w:cs="Microsoft JhengHei" w:eastAsia="Microsoft JhengHei" w:hint="default"/>
          <w:sz w:val="28"/>
          <w:szCs w:val="28"/>
        </w:rPr>
      </w:r>
    </w:p>
    <w:p>
      <w:pPr>
        <w:spacing w:after="0" w:line="307" w:lineRule="auto"/>
        <w:jc w:val="left"/>
        <w:rPr>
          <w:rFonts w:ascii="Microsoft JhengHei" w:hAnsi="Microsoft JhengHei" w:cs="Microsoft JhengHei" w:eastAsia="Microsoft JhengHei" w:hint="default"/>
          <w:sz w:val="28"/>
          <w:szCs w:val="28"/>
        </w:rPr>
        <w:sectPr>
          <w:pgSz w:w="11910" w:h="16840"/>
          <w:pgMar w:header="745" w:footer="979" w:top="1060" w:bottom="1160" w:left="840" w:right="1020"/>
        </w:sectPr>
      </w:pPr>
    </w:p>
    <w:p>
      <w:pPr>
        <w:spacing w:line="240" w:lineRule="auto" w:before="0"/>
        <w:rPr>
          <w:rFonts w:ascii="Microsoft JhengHei" w:hAnsi="Microsoft JhengHei" w:cs="Microsoft JhengHei" w:eastAsia="Microsoft JhengHei" w:hint="default"/>
          <w:b/>
          <w:bCs/>
          <w:sz w:val="20"/>
          <w:szCs w:val="20"/>
        </w:rPr>
      </w:pPr>
      <w:r>
        <w:rPr/>
        <w:pict>
          <v:shape style="position:absolute;margin-left:164.880005pt;margin-top:269.52002pt;width:370.1pt;height:19.8pt;mso-position-horizontal-relative:page;mso-position-vertical-relative:page;z-index:-605920" type="#_x0000_t202" filled="false" stroked="false">
            <v:textbox inset="0,0,0,0">
              <w:txbxContent>
                <w:p>
                  <w:pPr>
                    <w:spacing w:before="53"/>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547.559998pt;margin-top:781.919983pt;width:.1pt;height:10.35pt;mso-position-horizontal-relative:page;mso-position-vertical-relative:page;z-index:1240" coordorigin="10951,15638" coordsize="2,207">
            <v:shape style="position:absolute;left:10951;top:15638;width:2;height:207" coordorigin="10951,15638" coordsize="0,207" path="m10951,15638l10951,15845e" filled="false" stroked="true" strokeweight=".12pt" strokecolor="#000000">
              <v:path arrowok="t"/>
            </v:shape>
            <w10:wrap type="none"/>
          </v:group>
        </w:pict>
      </w:r>
      <w:r>
        <w:rPr/>
        <w:pict>
          <v:group style="position:absolute;margin-left:170.87999pt;margin-top:269.52002pt;width:364.1pt;height:19.8pt;mso-position-horizontal-relative:page;mso-position-vertical-relative:page;z-index:-605872" coordorigin="3418,5390" coordsize="7282,396">
            <v:shape style="position:absolute;left:3418;top:5390;width:7282;height:396" coordorigin="3418,5390" coordsize="7282,396" path="m3418,5390l3418,5786,10699,5786,10699,5390,3418,5390xe" filled="true" fillcolor="#ffffff" stroked="false">
              <v:path arrowok="t"/>
              <v:fill type="solid"/>
            </v:shape>
            <w10:wrap type="none"/>
          </v:group>
        </w:pict>
      </w:r>
    </w:p>
    <w:p>
      <w:pPr>
        <w:spacing w:line="240" w:lineRule="auto" w:before="15"/>
        <w:rPr>
          <w:rFonts w:ascii="Microsoft JhengHei" w:hAnsi="Microsoft JhengHei" w:cs="Microsoft JhengHei" w:eastAsia="Microsoft JhengHei" w:hint="default"/>
          <w:b/>
          <w:bCs/>
          <w:sz w:val="21"/>
          <w:szCs w:val="21"/>
        </w:rPr>
      </w:pPr>
    </w:p>
    <w:p>
      <w:pPr>
        <w:pStyle w:val="Heading2"/>
        <w:spacing w:line="456" w:lineRule="exact"/>
        <w:ind w:right="2213"/>
        <w:jc w:val="center"/>
        <w:rPr>
          <w:b w:val="0"/>
          <w:bCs w:val="0"/>
        </w:rPr>
      </w:pPr>
      <w:bookmarkStart w:name="第二节公司简介" w:id="3"/>
      <w:bookmarkEnd w:id="3"/>
      <w:r>
        <w:rPr>
          <w:b w:val="0"/>
          <w:bCs w:val="0"/>
        </w:rPr>
      </w:r>
      <w:bookmarkStart w:name="一、公司信息" w:id="4"/>
      <w:bookmarkEnd w:id="4"/>
      <w:r>
        <w:rPr>
          <w:b w:val="0"/>
          <w:bCs w:val="0"/>
        </w:rPr>
      </w:r>
      <w:bookmarkStart w:name="二、联系人和联系方式" w:id="5"/>
      <w:bookmarkEnd w:id="5"/>
      <w:r>
        <w:rPr>
          <w:b w:val="0"/>
          <w:bCs w:val="0"/>
        </w:rPr>
      </w:r>
      <w:bookmarkStart w:name="三、信息披露及备置地点" w:id="6"/>
      <w:bookmarkEnd w:id="6"/>
      <w:r>
        <w:rPr>
          <w:b w:val="0"/>
          <w:bCs w:val="0"/>
        </w:rPr>
      </w:r>
      <w:bookmarkStart w:name="_bookmark1" w:id="7"/>
      <w:bookmarkEnd w:id="7"/>
      <w:r>
        <w:rPr>
          <w:b w:val="0"/>
          <w:bCs w:val="0"/>
        </w:rPr>
      </w:r>
      <w:r>
        <w:rPr/>
        <w:t>第二节 </w:t>
      </w:r>
      <w:r>
        <w:rPr>
          <w:spacing w:val="4"/>
        </w:rPr>
        <w:t> </w:t>
      </w:r>
      <w:r>
        <w:rPr/>
        <w:t>公司简介</w:t>
      </w:r>
      <w:r>
        <w:rPr>
          <w:b w:val="0"/>
          <w:bCs w:val="0"/>
        </w:rPr>
      </w:r>
    </w:p>
    <w:p>
      <w:pPr>
        <w:spacing w:line="240" w:lineRule="auto" w:before="10"/>
        <w:rPr>
          <w:rFonts w:ascii="Microsoft JhengHei" w:hAnsi="Microsoft JhengHei" w:cs="Microsoft JhengHei" w:eastAsia="Microsoft JhengHei" w:hint="default"/>
          <w:b/>
          <w:bCs/>
          <w:sz w:val="25"/>
          <w:szCs w:val="25"/>
        </w:rPr>
      </w:pPr>
    </w:p>
    <w:p>
      <w:pPr>
        <w:pStyle w:val="Heading3"/>
        <w:spacing w:line="367" w:lineRule="exact"/>
        <w:ind w:right="279"/>
        <w:jc w:val="left"/>
        <w:rPr>
          <w:b w:val="0"/>
          <w:bCs w:val="0"/>
        </w:rPr>
      </w:pPr>
      <w:r>
        <w:rPr/>
        <w:t>一、公司信息</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07" w:type="dxa"/>
        <w:tblLayout w:type="fixed"/>
        <w:tblCellMar>
          <w:top w:w="0" w:type="dxa"/>
          <w:left w:w="0" w:type="dxa"/>
          <w:bottom w:w="0" w:type="dxa"/>
          <w:right w:w="0" w:type="dxa"/>
        </w:tblCellMar>
        <w:tblLook w:val="01E0"/>
      </w:tblPr>
      <w:tblGrid>
        <w:gridCol w:w="2282"/>
        <w:gridCol w:w="2952"/>
        <w:gridCol w:w="2158"/>
        <w:gridCol w:w="2177"/>
      </w:tblGrid>
      <w:tr>
        <w:trPr>
          <w:trHeight w:val="401"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新世纪</w:t>
            </w:r>
          </w:p>
        </w:tc>
        <w:tc>
          <w:tcPr>
            <w:tcW w:w="21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002280</w:t>
            </w:r>
          </w:p>
        </w:tc>
      </w:tr>
      <w:tr>
        <w:trPr>
          <w:trHeight w:val="403"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杭州新世纪信息技术股份有限公司</w:t>
            </w:r>
          </w:p>
        </w:tc>
      </w:tr>
      <w:tr>
        <w:trPr>
          <w:trHeight w:val="403"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新世纪</w:t>
            </w:r>
          </w:p>
        </w:tc>
      </w:tr>
      <w:tr>
        <w:trPr>
          <w:trHeight w:val="401"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HANGZHOU</w:t>
            </w:r>
            <w:r>
              <w:rPr>
                <w:rFonts w:ascii="Times New Roman"/>
                <w:spacing w:val="-4"/>
                <w:sz w:val="18"/>
              </w:rPr>
              <w:t> </w:t>
            </w:r>
            <w:r>
              <w:rPr>
                <w:rFonts w:ascii="Times New Roman"/>
                <w:sz w:val="18"/>
              </w:rPr>
              <w:t>NEW</w:t>
            </w:r>
            <w:r>
              <w:rPr>
                <w:rFonts w:ascii="Times New Roman"/>
                <w:spacing w:val="-6"/>
                <w:sz w:val="18"/>
              </w:rPr>
              <w:t> </w:t>
            </w:r>
            <w:r>
              <w:rPr>
                <w:rFonts w:ascii="Times New Roman"/>
                <w:sz w:val="18"/>
              </w:rPr>
              <w:t>CENTURY</w:t>
            </w:r>
            <w:r>
              <w:rPr>
                <w:rFonts w:ascii="Times New Roman"/>
                <w:spacing w:val="-13"/>
                <w:sz w:val="18"/>
              </w:rPr>
              <w:t> </w:t>
            </w:r>
            <w:r>
              <w:rPr>
                <w:rFonts w:ascii="Times New Roman"/>
                <w:spacing w:val="-3"/>
                <w:sz w:val="18"/>
              </w:rPr>
              <w:t>INFORMATION</w:t>
            </w:r>
            <w:r>
              <w:rPr>
                <w:rFonts w:ascii="Times New Roman"/>
                <w:spacing w:val="-7"/>
                <w:sz w:val="18"/>
              </w:rPr>
              <w:t> </w:t>
            </w:r>
            <w:r>
              <w:rPr>
                <w:rFonts w:ascii="Times New Roman"/>
                <w:sz w:val="18"/>
              </w:rPr>
              <w:t>TECHNOLOGY</w:t>
            </w:r>
            <w:r>
              <w:rPr>
                <w:rFonts w:ascii="Times New Roman"/>
                <w:spacing w:val="-9"/>
                <w:sz w:val="18"/>
              </w:rPr>
              <w:t> </w:t>
            </w:r>
            <w:r>
              <w:rPr>
                <w:rFonts w:ascii="Times New Roman"/>
                <w:spacing w:val="-3"/>
                <w:sz w:val="18"/>
              </w:rPr>
              <w:t>CO.,LTD</w:t>
            </w:r>
          </w:p>
        </w:tc>
      </w:tr>
      <w:tr>
        <w:trPr>
          <w:trHeight w:val="403"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NEW CENTURY</w:t>
            </w:r>
            <w:r>
              <w:rPr>
                <w:rFonts w:ascii="Times New Roman"/>
                <w:spacing w:val="-17"/>
                <w:sz w:val="18"/>
              </w:rPr>
              <w:t> </w:t>
            </w:r>
            <w:r>
              <w:rPr>
                <w:rFonts w:ascii="Times New Roman"/>
                <w:spacing w:val="-3"/>
                <w:sz w:val="18"/>
              </w:rPr>
              <w:t>INFORMATION</w:t>
            </w:r>
          </w:p>
        </w:tc>
      </w:tr>
      <w:tr>
        <w:trPr>
          <w:trHeight w:val="401"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徐智勇</w:t>
            </w:r>
          </w:p>
        </w:tc>
      </w:tr>
      <w:tr>
        <w:trPr>
          <w:trHeight w:val="403"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浙江省杭州市滨江区南环路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3766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1"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310053</w:t>
            </w:r>
          </w:p>
        </w:tc>
      </w:tr>
      <w:tr>
        <w:trPr>
          <w:trHeight w:val="403"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浙江省杭州市滨江区南环路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3766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1"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310053</w:t>
            </w:r>
          </w:p>
        </w:tc>
      </w:tr>
      <w:tr>
        <w:trPr>
          <w:trHeight w:val="403"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9">
              <w:r>
                <w:rPr>
                  <w:rFonts w:ascii="Times New Roman"/>
                  <w:sz w:val="18"/>
                </w:rPr>
                <w:t>www.nci.com.cn</w:t>
              </w:r>
            </w:hyperlink>
          </w:p>
        </w:tc>
      </w:tr>
      <w:tr>
        <w:trPr>
          <w:trHeight w:val="401" w:hRule="exact"/>
        </w:trPr>
        <w:tc>
          <w:tcPr>
            <w:tcW w:w="2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dongyf@nci.com.cn</w:t>
              </w:r>
            </w:hyperlink>
          </w:p>
        </w:tc>
      </w:tr>
    </w:tbl>
    <w:p>
      <w:pPr>
        <w:spacing w:line="240" w:lineRule="auto" w:before="10"/>
        <w:rPr>
          <w:rFonts w:ascii="Microsoft JhengHei" w:hAnsi="Microsoft JhengHei" w:cs="Microsoft JhengHei" w:eastAsia="Microsoft JhengHei" w:hint="default"/>
          <w:b/>
          <w:bCs/>
          <w:sz w:val="13"/>
          <w:szCs w:val="13"/>
        </w:rPr>
      </w:pPr>
    </w:p>
    <w:p>
      <w:pPr>
        <w:spacing w:line="367" w:lineRule="exact" w:before="0"/>
        <w:ind w:left="112" w:right="27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二、联系人和联系方式</w:t>
      </w:r>
      <w:r>
        <w:rPr>
          <w:rFonts w:ascii="Microsoft JhengHei" w:hAnsi="Microsoft JhengHei" w:cs="Microsoft JhengHei" w:eastAsia="Microsoft JhengHei" w:hint="default"/>
          <w:sz w:val="24"/>
          <w:szCs w:val="24"/>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07"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俞竣华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蒋旭谊</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浙江省杭州市滨江区南环路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3766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浙江省杭州市滨江区南环路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3766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057128996018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057128996018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057128996009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057128996009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1">
              <w:r>
                <w:rPr>
                  <w:rFonts w:ascii="Times New Roman"/>
                  <w:sz w:val="18"/>
                </w:rPr>
                <w:t>yujh@nci.com.cn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2">
              <w:r>
                <w:rPr>
                  <w:rFonts w:ascii="Times New Roman"/>
                  <w:sz w:val="18"/>
                </w:rPr>
                <w:t>jiangxy@nci.com.cn</w:t>
              </w:r>
            </w:hyperlink>
          </w:p>
        </w:tc>
      </w:tr>
    </w:tbl>
    <w:p>
      <w:pPr>
        <w:spacing w:line="240" w:lineRule="auto" w:before="10"/>
        <w:rPr>
          <w:rFonts w:ascii="Microsoft JhengHei" w:hAnsi="Microsoft JhengHei" w:cs="Microsoft JhengHei" w:eastAsia="Microsoft JhengHei" w:hint="default"/>
          <w:b/>
          <w:bCs/>
          <w:sz w:val="13"/>
          <w:szCs w:val="13"/>
        </w:rPr>
      </w:pPr>
    </w:p>
    <w:p>
      <w:pPr>
        <w:spacing w:line="367" w:lineRule="exact" w:before="0"/>
        <w:ind w:left="112" w:right="27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三、信息披露及备置地点</w:t>
      </w:r>
      <w:r>
        <w:rPr>
          <w:rFonts w:ascii="Microsoft JhengHei" w:hAnsi="Microsoft JhengHei" w:cs="Microsoft JhengHei" w:eastAsia="Microsoft JhengHei" w:hint="default"/>
          <w:sz w:val="24"/>
          <w:szCs w:val="24"/>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07" w:type="dxa"/>
        <w:tblLayout w:type="fixed"/>
        <w:tblCellMar>
          <w:top w:w="0" w:type="dxa"/>
          <w:left w:w="0" w:type="dxa"/>
          <w:bottom w:w="0" w:type="dxa"/>
          <w:right w:w="0" w:type="dxa"/>
        </w:tblCellMar>
        <w:tblLook w:val="01E0"/>
      </w:tblPr>
      <w:tblGrid>
        <w:gridCol w:w="3727"/>
        <w:gridCol w:w="5842"/>
      </w:tblGrid>
      <w:tr>
        <w:trPr>
          <w:trHeight w:val="401"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3"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1"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r>
    </w:tbl>
    <w:p>
      <w:pPr>
        <w:spacing w:after="0" w:line="240" w:lineRule="auto"/>
        <w:jc w:val="left"/>
        <w:rPr>
          <w:rFonts w:ascii="宋体" w:hAnsi="宋体" w:cs="宋体" w:eastAsia="宋体" w:hint="default"/>
          <w:sz w:val="18"/>
          <w:szCs w:val="18"/>
        </w:rPr>
        <w:sectPr>
          <w:pgSz w:w="11910" w:h="16840"/>
          <w:pgMar w:header="745" w:footer="979" w:top="1060" w:bottom="1160" w:left="1020" w:right="840"/>
        </w:sectPr>
      </w:pPr>
    </w:p>
    <w:p>
      <w:pPr>
        <w:spacing w:line="240" w:lineRule="auto" w:before="13"/>
        <w:rPr>
          <w:rFonts w:ascii="Microsoft JhengHei" w:hAnsi="Microsoft JhengHei" w:cs="Microsoft JhengHei" w:eastAsia="Microsoft JhengHei" w:hint="default"/>
          <w:b/>
          <w:bCs/>
          <w:sz w:val="17"/>
          <w:szCs w:val="17"/>
        </w:rPr>
      </w:pPr>
      <w:r>
        <w:rPr/>
        <w:pict>
          <v:group style="position:absolute;margin-left:47.639999pt;margin-top:781.919983pt;width:.1pt;height:10.35pt;mso-position-horizontal-relative:page;mso-position-vertical-relative:page;z-index:1288" coordorigin="953,15638" coordsize="2,207">
            <v:shape style="position:absolute;left:953;top:15638;width:2;height:207" coordorigin="953,15638" coordsize="0,207" path="m953,15638l953,15845e" filled="false" stroked="true" strokeweight=".12pt" strokecolor="#000000">
              <v:path arrowok="t"/>
            </v:shape>
            <w10:wrap type="none"/>
          </v:group>
        </w:pict>
      </w:r>
    </w:p>
    <w:p>
      <w:pPr>
        <w:spacing w:line="367" w:lineRule="exact" w:before="0"/>
        <w:ind w:left="292" w:right="279" w:firstLine="0"/>
        <w:jc w:val="left"/>
        <w:rPr>
          <w:rFonts w:ascii="Microsoft JhengHei" w:hAnsi="Microsoft JhengHei" w:cs="Microsoft JhengHei" w:eastAsia="Microsoft JhengHei" w:hint="default"/>
          <w:sz w:val="24"/>
          <w:szCs w:val="24"/>
        </w:rPr>
      </w:pPr>
      <w:bookmarkStart w:name="四、注册变更情况" w:id="8"/>
      <w:bookmarkEnd w:id="8"/>
      <w:r>
        <w:rPr/>
      </w:r>
      <w:bookmarkStart w:name="五、其他有关资料" w:id="9"/>
      <w:bookmarkEnd w:id="9"/>
      <w:r>
        <w:rPr/>
      </w:r>
      <w:r>
        <w:rPr>
          <w:rFonts w:ascii="Microsoft JhengHei" w:hAnsi="Microsoft JhengHei" w:cs="Microsoft JhengHei" w:eastAsia="Microsoft JhengHei" w:hint="default"/>
          <w:b/>
          <w:bCs/>
          <w:sz w:val="24"/>
          <w:szCs w:val="24"/>
        </w:rPr>
        <w:t>四、注册变更情况</w:t>
      </w:r>
      <w:r>
        <w:rPr>
          <w:rFonts w:ascii="Microsoft JhengHei" w:hAnsi="Microsoft JhengHei" w:cs="Microsoft JhengHei" w:eastAsia="Microsoft JhengHei" w:hint="default"/>
          <w:sz w:val="24"/>
          <w:szCs w:val="24"/>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287"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23" w:right="71" w:hanging="449"/>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51"/>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浙江省工商行政管 理局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330100000040546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pacing w:val="-1"/>
                <w:sz w:val="18"/>
              </w:rPr>
              <w:t>330165740545604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74054560-4</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9"/>
              <w:jc w:val="left"/>
              <w:rPr>
                <w:rFonts w:ascii="宋体" w:hAnsi="宋体" w:cs="宋体" w:eastAsia="宋体" w:hint="default"/>
                <w:sz w:val="18"/>
                <w:szCs w:val="18"/>
              </w:rPr>
            </w:pPr>
            <w:r>
              <w:rPr>
                <w:rFonts w:ascii="宋体" w:hAnsi="宋体" w:cs="宋体" w:eastAsia="宋体" w:hint="default"/>
                <w:sz w:val="18"/>
                <w:szCs w:val="18"/>
              </w:rPr>
              <w:t>浙江省工商行政管 理局</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330100000040546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pacing w:val="-1"/>
                <w:sz w:val="18"/>
              </w:rPr>
              <w:t>330165740545604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74054560-4</w:t>
            </w:r>
          </w:p>
        </w:tc>
      </w:tr>
      <w:tr>
        <w:trPr>
          <w:trHeight w:val="713"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63" w:hRule="exact"/>
        </w:trPr>
        <w:tc>
          <w:tcPr>
            <w:tcW w:w="3190"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6377" w:type="dxa"/>
            <w:gridSpan w:val="4"/>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徐智勇先生与陆燕女士因为离婚，陆燕将其所持公司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23,097,992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股股票（占</w:t>
            </w:r>
          </w:p>
        </w:tc>
      </w:tr>
      <w:tr>
        <w:trPr>
          <w:trHeight w:val="312" w:hRule="exact"/>
        </w:trPr>
        <w:tc>
          <w:tcPr>
            <w:tcW w:w="3190"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6377"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公司现有股本总额的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21.59%</w:t>
            </w:r>
            <w:r>
              <w:rPr>
                <w:rFonts w:ascii="宋体" w:hAnsi="宋体" w:cs="宋体" w:eastAsia="宋体" w:hint="default"/>
                <w:sz w:val="18"/>
                <w:szCs w:val="18"/>
              </w:rPr>
              <w:t>）部分分割给徐智勇，其中，徐智勇分得</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18,097,992</w:t>
            </w:r>
          </w:p>
        </w:tc>
      </w:tr>
      <w:tr>
        <w:trPr>
          <w:trHeight w:val="312" w:hRule="exact"/>
        </w:trPr>
        <w:tc>
          <w:tcPr>
            <w:tcW w:w="3190"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6377"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12"/>
                <w:sz w:val="18"/>
                <w:szCs w:val="18"/>
              </w:rPr>
              <w:t>股</w:t>
            </w:r>
            <w:r>
              <w:rPr>
                <w:rFonts w:ascii="宋体" w:hAnsi="宋体" w:cs="宋体" w:eastAsia="宋体" w:hint="default"/>
                <w:spacing w:val="-3"/>
                <w:sz w:val="18"/>
                <w:szCs w:val="18"/>
              </w:rPr>
              <w:t>（</w:t>
            </w:r>
            <w:r>
              <w:rPr>
                <w:rFonts w:ascii="宋体" w:hAnsi="宋体" w:cs="宋体" w:eastAsia="宋体" w:hint="default"/>
                <w:sz w:val="18"/>
                <w:szCs w:val="18"/>
              </w:rPr>
              <w:t>占公司现有股本总额的</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w:t>
            </w:r>
            <w:r>
              <w:rPr>
                <w:rFonts w:ascii="宋体" w:hAnsi="宋体" w:cs="宋体" w:eastAsia="宋体" w:hint="default"/>
                <w:spacing w:val="-92"/>
                <w:sz w:val="18"/>
                <w:szCs w:val="18"/>
              </w:rPr>
              <w:t>）</w:t>
            </w:r>
            <w:r>
              <w:rPr>
                <w:rFonts w:ascii="宋体" w:hAnsi="宋体" w:cs="宋体" w:eastAsia="宋体" w:hint="default"/>
                <w:spacing w:val="-12"/>
                <w:sz w:val="18"/>
                <w:szCs w:val="18"/>
              </w:rPr>
              <w:t>，</w:t>
            </w:r>
            <w:r>
              <w:rPr>
                <w:rFonts w:ascii="宋体" w:hAnsi="宋体" w:cs="宋体" w:eastAsia="宋体" w:hint="default"/>
                <w:sz w:val="18"/>
                <w:szCs w:val="18"/>
              </w:rPr>
              <w:t>陆燕分得</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股</w:t>
            </w:r>
            <w:r>
              <w:rPr>
                <w:rFonts w:ascii="宋体" w:hAnsi="宋体" w:cs="宋体" w:eastAsia="宋体" w:hint="default"/>
                <w:sz w:val="18"/>
                <w:szCs w:val="18"/>
              </w:rPr>
              <w:t>（占公司现有股本总</w:t>
            </w:r>
          </w:p>
        </w:tc>
      </w:tr>
      <w:tr>
        <w:trPr>
          <w:trHeight w:val="415" w:hRule="exact"/>
        </w:trPr>
        <w:tc>
          <w:tcPr>
            <w:tcW w:w="3190"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7"/>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7"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额的</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4"/>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w:t>
            </w:r>
          </w:p>
        </w:tc>
      </w:tr>
      <w:tr>
        <w:trPr>
          <w:trHeight w:val="249" w:hRule="exact"/>
        </w:trPr>
        <w:tc>
          <w:tcPr>
            <w:tcW w:w="3190"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6377" w:type="dxa"/>
            <w:gridSpan w:val="4"/>
            <w:tcBorders>
              <w:top w:val="nil" w:sz="6" w:space="0" w:color="auto"/>
              <w:left w:val="single" w:sz="4" w:space="0" w:color="000000"/>
              <w:bottom w:val="nil" w:sz="6" w:space="0" w:color="auto"/>
              <w:right w:val="single" w:sz="4" w:space="0" w:color="000000"/>
            </w:tcBorders>
          </w:tcPr>
          <w:p>
            <w:pPr>
              <w:pStyle w:val="TableParagraph"/>
              <w:spacing w:line="192" w:lineRule="exact"/>
              <w:ind w:left="384" w:right="0"/>
              <w:jc w:val="left"/>
              <w:rPr>
                <w:rFonts w:ascii="宋体" w:hAnsi="宋体" w:cs="宋体" w:eastAsia="宋体" w:hint="default"/>
                <w:sz w:val="18"/>
                <w:szCs w:val="18"/>
              </w:rPr>
            </w:pPr>
            <w:r>
              <w:rPr>
                <w:rFonts w:ascii="宋体" w:hAnsi="宋体" w:cs="宋体" w:eastAsia="宋体" w:hint="default"/>
                <w:spacing w:val="-2"/>
                <w:sz w:val="18"/>
                <w:szCs w:val="18"/>
              </w:rPr>
              <w:t>股份过户完成后，公司实际控制人未变，仍为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徐智勇、陆燕、滕学军、高雁</w:t>
            </w:r>
          </w:p>
        </w:tc>
      </w:tr>
      <w:tr>
        <w:trPr>
          <w:trHeight w:val="312" w:hRule="exact"/>
        </w:trPr>
        <w:tc>
          <w:tcPr>
            <w:tcW w:w="3190"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6377"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w w:val="95"/>
                <w:sz w:val="18"/>
                <w:szCs w:val="18"/>
              </w:rPr>
              <w:t>峰、乔文东</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，公司控股股东增加为</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徐智勇、陆燕、滕学军、高雁峰、乔文东</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w:t>
            </w:r>
            <w:r>
              <w:rPr>
                <w:rFonts w:ascii="宋体" w:hAnsi="宋体" w:cs="宋体" w:eastAsia="宋体" w:hint="default"/>
                <w:sz w:val="18"/>
                <w:szCs w:val="18"/>
              </w:rPr>
            </w:r>
          </w:p>
        </w:tc>
      </w:tr>
      <w:tr>
        <w:trPr>
          <w:trHeight w:val="312" w:hRule="exact"/>
        </w:trPr>
        <w:tc>
          <w:tcPr>
            <w:tcW w:w="3190" w:type="dxa"/>
            <w:gridSpan w:val="2"/>
            <w:tcBorders>
              <w:top w:val="nil" w:sz="6" w:space="0" w:color="auto"/>
              <w:left w:val="single" w:sz="4" w:space="0" w:color="000000"/>
              <w:bottom w:val="nil" w:sz="6" w:space="0" w:color="auto"/>
              <w:right w:val="single" w:sz="4" w:space="0" w:color="000000"/>
            </w:tcBorders>
            <w:shd w:val="clear" w:color="auto" w:fill="D3D3D3"/>
          </w:tcPr>
          <w:p>
            <w:pPr/>
          </w:p>
        </w:tc>
        <w:tc>
          <w:tcPr>
            <w:tcW w:w="6377"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徐智勇直接持有公司股份</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18,097,992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股，占公司现有股本总额的</w:t>
            </w:r>
            <w:r>
              <w:rPr>
                <w:rFonts w:ascii="宋体" w:hAnsi="宋体" w:cs="宋体" w:eastAsia="宋体" w:hint="default"/>
                <w:spacing w:val="-52"/>
                <w:sz w:val="18"/>
                <w:szCs w:val="18"/>
              </w:rPr>
              <w:t> </w:t>
            </w:r>
            <w:r>
              <w:rPr>
                <w:rFonts w:ascii="Times New Roman" w:hAnsi="Times New Roman" w:cs="Times New Roman" w:eastAsia="Times New Roman" w:hint="default"/>
                <w:spacing w:val="-3"/>
                <w:sz w:val="18"/>
                <w:szCs w:val="18"/>
              </w:rPr>
              <w:t>16.91%</w:t>
            </w:r>
            <w:r>
              <w:rPr>
                <w:rFonts w:ascii="宋体" w:hAnsi="宋体" w:cs="宋体" w:eastAsia="宋体" w:hint="default"/>
                <w:spacing w:val="-3"/>
                <w:sz w:val="18"/>
                <w:szCs w:val="18"/>
              </w:rPr>
              <w:t>，成为公</w:t>
            </w:r>
          </w:p>
        </w:tc>
      </w:tr>
      <w:tr>
        <w:trPr>
          <w:trHeight w:val="351" w:hRule="exact"/>
        </w:trPr>
        <w:tc>
          <w:tcPr>
            <w:tcW w:w="3190"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6377" w:type="dxa"/>
            <w:gridSpan w:val="4"/>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司控股股东。</w:t>
            </w:r>
          </w:p>
        </w:tc>
      </w:tr>
    </w:tbl>
    <w:p>
      <w:pPr>
        <w:spacing w:line="240" w:lineRule="auto" w:before="12"/>
        <w:rPr>
          <w:rFonts w:ascii="Microsoft JhengHei" w:hAnsi="Microsoft JhengHei" w:cs="Microsoft JhengHei" w:eastAsia="Microsoft JhengHei" w:hint="default"/>
          <w:b/>
          <w:bCs/>
          <w:sz w:val="13"/>
          <w:szCs w:val="13"/>
        </w:rPr>
      </w:pPr>
    </w:p>
    <w:p>
      <w:pPr>
        <w:spacing w:line="367" w:lineRule="exact" w:before="0"/>
        <w:ind w:left="292" w:right="27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五、其他有关资料</w:t>
      </w:r>
      <w:r>
        <w:rPr>
          <w:rFonts w:ascii="Microsoft JhengHei" w:hAnsi="Microsoft JhengHei" w:cs="Microsoft JhengHei" w:eastAsia="Microsoft JhengHei" w:hint="default"/>
          <w:sz w:val="24"/>
          <w:szCs w:val="24"/>
        </w:rPr>
      </w:r>
    </w:p>
    <w:p>
      <w:pPr>
        <w:spacing w:line="240" w:lineRule="auto" w:before="6"/>
        <w:rPr>
          <w:rFonts w:ascii="Microsoft JhengHei" w:hAnsi="Microsoft JhengHei" w:cs="Microsoft JhengHei" w:eastAsia="Microsoft JhengHei" w:hint="default"/>
          <w:b/>
          <w:bCs/>
          <w:sz w:val="18"/>
          <w:szCs w:val="18"/>
        </w:rPr>
      </w:pPr>
    </w:p>
    <w:p>
      <w:pPr>
        <w:spacing w:before="0"/>
        <w:ind w:left="292" w:right="279"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2"/>
        <w:rPr>
          <w:rFonts w:ascii="宋体" w:hAnsi="宋体" w:cs="宋体" w:eastAsia="宋体" w:hint="default"/>
          <w:sz w:val="8"/>
          <w:szCs w:val="8"/>
        </w:rPr>
      </w:pPr>
    </w:p>
    <w:tbl>
      <w:tblPr>
        <w:tblW w:w="0" w:type="auto"/>
        <w:jc w:val="left"/>
        <w:tblInd w:w="287" w:type="dxa"/>
        <w:tblLayout w:type="fixed"/>
        <w:tblCellMar>
          <w:top w:w="0" w:type="dxa"/>
          <w:left w:w="0" w:type="dxa"/>
          <w:bottom w:w="0" w:type="dxa"/>
          <w:right w:w="0" w:type="dxa"/>
        </w:tblCellMar>
        <w:tblLook w:val="01E0"/>
      </w:tblPr>
      <w:tblGrid>
        <w:gridCol w:w="2662"/>
        <w:gridCol w:w="6907"/>
      </w:tblGrid>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杭州市西溪路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闾利华、倪秀娟</w:t>
            </w:r>
          </w:p>
        </w:tc>
      </w:tr>
    </w:tbl>
    <w:p>
      <w:pPr>
        <w:spacing w:after="0" w:line="240" w:lineRule="auto"/>
        <w:jc w:val="left"/>
        <w:rPr>
          <w:rFonts w:ascii="宋体" w:hAnsi="宋体" w:cs="宋体" w:eastAsia="宋体" w:hint="default"/>
          <w:sz w:val="18"/>
          <w:szCs w:val="18"/>
        </w:rPr>
        <w:sectPr>
          <w:pgSz w:w="11910" w:h="16840"/>
          <w:pgMar w:header="745" w:footer="979" w:top="1060" w:bottom="1160" w:left="840" w:right="1020"/>
        </w:sectPr>
      </w:pPr>
    </w:p>
    <w:p>
      <w:pPr>
        <w:spacing w:line="240" w:lineRule="auto" w:before="0"/>
        <w:rPr>
          <w:rFonts w:ascii="宋体" w:hAnsi="宋体" w:cs="宋体" w:eastAsia="宋体" w:hint="default"/>
          <w:sz w:val="20"/>
          <w:szCs w:val="20"/>
        </w:rPr>
      </w:pPr>
      <w:r>
        <w:rPr/>
        <w:pict>
          <v:group style="position:absolute;margin-left:547.559998pt;margin-top:781.919983pt;width:.1pt;height:10.35pt;mso-position-horizontal-relative:page;mso-position-vertical-relative:page;z-index:1312" coordorigin="10951,15638" coordsize="2,207">
            <v:shape style="position:absolute;left:10951;top:15638;width:2;height:207" coordorigin="10951,15638" coordsize="0,207" path="m10951,15638l10951,15845e" filled="false" stroked="true" strokeweight=".12pt" strokecolor="#000000">
              <v:path arrowok="t"/>
            </v:shape>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2"/>
        <w:spacing w:line="456" w:lineRule="exact"/>
        <w:ind w:left="2606" w:right="279"/>
        <w:jc w:val="left"/>
        <w:rPr>
          <w:b w:val="0"/>
          <w:bCs w:val="0"/>
        </w:rPr>
      </w:pPr>
      <w:bookmarkStart w:name="第三节会计数据和财务指标摘要" w:id="10"/>
      <w:bookmarkEnd w:id="10"/>
      <w:r>
        <w:rPr>
          <w:b w:val="0"/>
          <w:bCs w:val="0"/>
        </w:rPr>
      </w:r>
      <w:bookmarkStart w:name="一、主要会计数据和财务指标" w:id="11"/>
      <w:bookmarkEnd w:id="11"/>
      <w:r>
        <w:rPr>
          <w:b w:val="0"/>
          <w:bCs w:val="0"/>
        </w:rPr>
      </w:r>
      <w:bookmarkStart w:name="二、非经常性损益项目及金额" w:id="12"/>
      <w:bookmarkEnd w:id="12"/>
      <w:r>
        <w:rPr>
          <w:b w:val="0"/>
          <w:bCs w:val="0"/>
        </w:rPr>
      </w:r>
      <w:bookmarkStart w:name="_bookmark2" w:id="13"/>
      <w:bookmarkEnd w:id="13"/>
      <w:r>
        <w:rPr>
          <w:b w:val="0"/>
          <w:bCs w:val="0"/>
        </w:rPr>
      </w:r>
      <w:r>
        <w:rPr/>
        <w:t>第三节 </w:t>
      </w:r>
      <w:r>
        <w:rPr>
          <w:spacing w:val="12"/>
        </w:rPr>
        <w:t> </w:t>
      </w:r>
      <w:r>
        <w:rPr/>
        <w:t>会计数据和财务指标摘要</w:t>
      </w:r>
      <w:r>
        <w:rPr>
          <w:b w:val="0"/>
          <w:bCs w:val="0"/>
        </w:rPr>
      </w:r>
    </w:p>
    <w:p>
      <w:pPr>
        <w:spacing w:line="240" w:lineRule="auto" w:before="12"/>
        <w:rPr>
          <w:rFonts w:ascii="Microsoft JhengHei" w:hAnsi="Microsoft JhengHei" w:cs="Microsoft JhengHei" w:eastAsia="Microsoft JhengHei" w:hint="default"/>
          <w:b/>
          <w:bCs/>
          <w:sz w:val="22"/>
          <w:szCs w:val="22"/>
        </w:rPr>
      </w:pPr>
    </w:p>
    <w:p>
      <w:pPr>
        <w:pStyle w:val="Heading3"/>
        <w:spacing w:line="240" w:lineRule="auto"/>
        <w:ind w:right="279"/>
        <w:jc w:val="left"/>
        <w:rPr>
          <w:b w:val="0"/>
          <w:bCs w:val="0"/>
        </w:rPr>
      </w:pPr>
      <w:r>
        <w:rPr/>
        <w:t>一、主要会计数据和财务指标</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07" w:type="dxa"/>
        <w:tblLayout w:type="fixed"/>
        <w:tblCellMar>
          <w:top w:w="0" w:type="dxa"/>
          <w:left w:w="0" w:type="dxa"/>
          <w:bottom w:w="0" w:type="dxa"/>
          <w:right w:w="0" w:type="dxa"/>
        </w:tblCellMar>
        <w:tblLook w:val="01E0"/>
      </w:tblPr>
      <w:tblGrid>
        <w:gridCol w:w="2618"/>
        <w:gridCol w:w="1740"/>
        <w:gridCol w:w="1738"/>
        <w:gridCol w:w="1738"/>
        <w:gridCol w:w="1735"/>
      </w:tblGrid>
      <w:tr>
        <w:trPr>
          <w:trHeight w:val="401"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254,819,501.09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369,232,905.11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-30.99%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250,087,721.79</w:t>
            </w:r>
          </w:p>
        </w:tc>
      </w:tr>
      <w:tr>
        <w:trPr>
          <w:trHeight w:val="713"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4,431,085.96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42,799,088.01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-89.65%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40,857,903.52</w:t>
            </w:r>
          </w:p>
        </w:tc>
      </w:tr>
      <w:tr>
        <w:trPr>
          <w:trHeight w:val="715"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62"/>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21,334,163.36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41,274,150.30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-48.31%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32,841,742.37</w:t>
            </w:r>
          </w:p>
        </w:tc>
      </w:tr>
      <w:tr>
        <w:trPr>
          <w:trHeight w:val="713"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15,889,651.56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54,638,317.02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-70.92%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46,709,158.39</w:t>
            </w:r>
          </w:p>
        </w:tc>
      </w:tr>
      <w:tr>
        <w:trPr>
          <w:trHeight w:val="403"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0.38</w:t>
            </w:r>
          </w:p>
        </w:tc>
      </w:tr>
      <w:tr>
        <w:trPr>
          <w:trHeight w:val="401"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0.38</w:t>
            </w:r>
          </w:p>
        </w:tc>
      </w:tr>
      <w:tr>
        <w:trPr>
          <w:trHeight w:val="403"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-7.97%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8.91%</w:t>
            </w:r>
          </w:p>
        </w:tc>
      </w:tr>
      <w:tr>
        <w:trPr>
          <w:trHeight w:val="713"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3"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559,708,625.51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568,578,836.86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556,488,548.86</w:t>
            </w:r>
          </w:p>
        </w:tc>
      </w:tr>
      <w:tr>
        <w:trPr>
          <w:trHeight w:val="1025" w:hRule="exact"/>
        </w:trPr>
        <w:tc>
          <w:tcPr>
            <w:tcW w:w="2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316" w:lineRule="auto" w:before="76"/>
              <w:ind w:left="24" w:right="62"/>
              <w:jc w:val="left"/>
              <w:rPr>
                <w:rFonts w:ascii="宋体" w:hAnsi="宋体" w:cs="宋体" w:eastAsia="宋体" w:hint="default"/>
                <w:sz w:val="18"/>
                <w:szCs w:val="18"/>
              </w:rPr>
            </w:pPr>
            <w:r>
              <w:rPr>
                <w:rFonts w:ascii="宋体" w:hAnsi="宋体" w:cs="宋体" w:eastAsia="宋体" w:hint="default"/>
                <w:sz w:val="18"/>
                <w:szCs w:val="18"/>
              </w:rPr>
              <w:t>（归属于上市公司股东的所有者 </w:t>
            </w:r>
            <w:r>
              <w:rPr>
                <w:rFonts w:ascii="宋体" w:hAnsi="宋体" w:cs="宋体" w:eastAsia="宋体" w:hint="default"/>
                <w:spacing w:val="-15"/>
                <w:sz w:val="18"/>
                <w:szCs w:val="18"/>
              </w:rPr>
              <w:t>权益）（元）</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479,630,375.49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493,307,621.98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471,908,533.97</w:t>
            </w:r>
          </w:p>
        </w:tc>
      </w:tr>
    </w:tbl>
    <w:p>
      <w:pPr>
        <w:spacing w:line="240" w:lineRule="auto" w:before="10"/>
        <w:rPr>
          <w:rFonts w:ascii="Microsoft JhengHei" w:hAnsi="Microsoft JhengHei" w:cs="Microsoft JhengHei" w:eastAsia="Microsoft JhengHei" w:hint="default"/>
          <w:b/>
          <w:bCs/>
          <w:sz w:val="13"/>
          <w:szCs w:val="13"/>
        </w:rPr>
      </w:pPr>
    </w:p>
    <w:p>
      <w:pPr>
        <w:spacing w:line="367" w:lineRule="exact" w:before="0"/>
        <w:ind w:left="112" w:right="27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二、非经常性损益项目及金额</w:t>
      </w:r>
      <w:r>
        <w:rPr>
          <w:rFonts w:ascii="Microsoft JhengHei" w:hAnsi="Microsoft JhengHei" w:cs="Microsoft JhengHei" w:eastAsia="Microsoft JhengHei" w:hint="default"/>
          <w:sz w:val="24"/>
          <w:szCs w:val="24"/>
        </w:rPr>
      </w:r>
    </w:p>
    <w:p>
      <w:pPr>
        <w:spacing w:line="240" w:lineRule="auto" w:before="16"/>
        <w:rPr>
          <w:rFonts w:ascii="Microsoft JhengHei" w:hAnsi="Microsoft JhengHei" w:cs="Microsoft JhengHei" w:eastAsia="Microsoft JhengHei" w:hint="default"/>
          <w:b/>
          <w:bCs/>
          <w:sz w:val="15"/>
          <w:szCs w:val="15"/>
        </w:rPr>
      </w:pPr>
    </w:p>
    <w:p>
      <w:pPr>
        <w:spacing w:before="44"/>
        <w:ind w:left="0" w:right="29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3298"/>
        <w:gridCol w:w="1519"/>
        <w:gridCol w:w="1519"/>
        <w:gridCol w:w="1522"/>
        <w:gridCol w:w="1711"/>
      </w:tblGrid>
      <w:tr>
        <w:trPr>
          <w:trHeight w:val="401" w:hRule="exact"/>
        </w:trPr>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-42,167.55</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-43,818.11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6,851,964.98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190,645.90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190,660.72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125,308.88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23"/>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2,433,661.52</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1,585,079.99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1,918,154.14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256,181.39</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256,900.40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95,984.75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-19,315,650.47</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1"/>
              <w:jc w:val="center"/>
              <w:rPr>
                <w:rFonts w:ascii="宋体" w:hAnsi="宋体" w:cs="宋体" w:eastAsia="宋体" w:hint="default"/>
                <w:sz w:val="18"/>
                <w:szCs w:val="18"/>
              </w:rPr>
            </w:pPr>
            <w:r>
              <w:rPr>
                <w:rFonts w:ascii="宋体" w:hAnsi="宋体" w:cs="宋体" w:eastAsia="宋体" w:hint="default"/>
                <w:sz w:val="18"/>
                <w:szCs w:val="18"/>
              </w:rPr>
              <w:t>计提了商誉减值准备</w:t>
            </w:r>
          </w:p>
        </w:tc>
      </w:tr>
      <w:tr>
        <w:trPr>
          <w:trHeight w:val="401" w:hRule="exact"/>
        </w:trPr>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425,748.19</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298,323.46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939,420.35</w:t>
            </w: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1020" w:right="840"/>
        </w:sectPr>
      </w:pPr>
    </w:p>
    <w:p>
      <w:pPr>
        <w:spacing w:line="240" w:lineRule="auto" w:before="0"/>
        <w:rPr>
          <w:rFonts w:ascii="Times New Roman" w:hAnsi="Times New Roman" w:cs="Times New Roman" w:eastAsia="Times New Roman" w:hint="default"/>
          <w:sz w:val="20"/>
          <w:szCs w:val="20"/>
        </w:rPr>
      </w:pPr>
      <w:r>
        <w:rPr/>
        <w:pict>
          <v:group style="position:absolute;margin-left:47.639999pt;margin-top:781.919983pt;width:.1pt;height:10.35pt;mso-position-horizontal-relative:page;mso-position-vertical-relative:page;z-index:1336" coordorigin="953,15638" coordsize="2,207">
            <v:shape style="position:absolute;left:953;top:15638;width:2;height:207" coordorigin="953,15638" coordsize="0,207" path="m953,15638l953,15845e" filled="false" stroked="true" strokeweight=".12pt" strokecolor="#000000">
              <v:path arrowok="t"/>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287" w:type="dxa"/>
        <w:tblLayout w:type="fixed"/>
        <w:tblCellMar>
          <w:top w:w="0" w:type="dxa"/>
          <w:left w:w="0" w:type="dxa"/>
          <w:bottom w:w="0" w:type="dxa"/>
          <w:right w:w="0" w:type="dxa"/>
        </w:tblCellMar>
        <w:tblLook w:val="01E0"/>
      </w:tblPr>
      <w:tblGrid>
        <w:gridCol w:w="3295"/>
        <w:gridCol w:w="1522"/>
        <w:gridCol w:w="1519"/>
        <w:gridCol w:w="1522"/>
        <w:gridCol w:w="1711"/>
      </w:tblGrid>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165,561.83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35,831.25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6" w:right="0"/>
              <w:jc w:val="left"/>
              <w:rPr>
                <w:rFonts w:ascii="Times New Roman" w:hAnsi="Times New Roman" w:cs="Times New Roman" w:eastAsia="Times New Roman" w:hint="default"/>
                <w:sz w:val="18"/>
                <w:szCs w:val="18"/>
              </w:rPr>
            </w:pPr>
            <w:r>
              <w:rPr>
                <w:rFonts w:ascii="Times New Roman"/>
                <w:sz w:val="18"/>
              </w:rPr>
              <w:t>-16,903,077.40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1,524,937.71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8,016,161.15</w:t>
            </w:r>
          </w:p>
        </w:tc>
        <w:tc>
          <w:tcPr>
            <w:tcW w:w="1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840" w:right="10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2"/>
        <w:spacing w:line="456" w:lineRule="exact"/>
        <w:ind w:right="2213"/>
        <w:jc w:val="center"/>
        <w:rPr>
          <w:b w:val="0"/>
          <w:bCs w:val="0"/>
        </w:rPr>
      </w:pPr>
      <w:bookmarkStart w:name="第四节董事会报告" w:id="14"/>
      <w:bookmarkEnd w:id="14"/>
      <w:r>
        <w:rPr>
          <w:b w:val="0"/>
          <w:bCs w:val="0"/>
        </w:rPr>
      </w:r>
      <w:bookmarkStart w:name="一、概述" w:id="15"/>
      <w:bookmarkEnd w:id="15"/>
      <w:r>
        <w:rPr>
          <w:b w:val="0"/>
          <w:bCs w:val="0"/>
        </w:rPr>
      </w:r>
      <w:bookmarkStart w:name="二、主营业务分析" w:id="16"/>
      <w:bookmarkEnd w:id="16"/>
      <w:r>
        <w:rPr>
          <w:b w:val="0"/>
          <w:bCs w:val="0"/>
        </w:rPr>
      </w:r>
      <w:bookmarkStart w:name="1、概述" w:id="17"/>
      <w:bookmarkEnd w:id="17"/>
      <w:r>
        <w:rPr>
          <w:b w:val="0"/>
          <w:bCs w:val="0"/>
        </w:rPr>
      </w:r>
      <w:bookmarkStart w:name="_bookmark3" w:id="18"/>
      <w:bookmarkEnd w:id="18"/>
      <w:r>
        <w:rPr>
          <w:b w:val="0"/>
          <w:bCs w:val="0"/>
        </w:rPr>
      </w:r>
      <w:r>
        <w:rPr/>
        <w:t>第四节 </w:t>
      </w:r>
      <w:r>
        <w:rPr>
          <w:spacing w:val="5"/>
        </w:rPr>
        <w:t> </w:t>
      </w:r>
      <w:r>
        <w:rPr/>
        <w:t>董事会报告</w:t>
      </w:r>
      <w:r>
        <w:rPr>
          <w:b w:val="0"/>
          <w:bCs w:val="0"/>
        </w:rPr>
      </w:r>
    </w:p>
    <w:p>
      <w:pPr>
        <w:spacing w:line="240" w:lineRule="auto" w:before="10"/>
        <w:rPr>
          <w:rFonts w:ascii="Microsoft JhengHei" w:hAnsi="Microsoft JhengHei" w:cs="Microsoft JhengHei" w:eastAsia="Microsoft JhengHei" w:hint="default"/>
          <w:b/>
          <w:bCs/>
          <w:sz w:val="25"/>
          <w:szCs w:val="25"/>
        </w:rPr>
      </w:pPr>
    </w:p>
    <w:p>
      <w:pPr>
        <w:pStyle w:val="Heading3"/>
        <w:spacing w:line="367" w:lineRule="exact"/>
        <w:ind w:right="0"/>
        <w:jc w:val="both"/>
        <w:rPr>
          <w:b w:val="0"/>
          <w:bCs w:val="0"/>
        </w:rPr>
      </w:pPr>
      <w:r>
        <w:rPr/>
        <w:t>一、概述</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52" w:lineRule="auto" w:before="0"/>
        <w:ind w:left="112" w:right="325" w:firstLine="482"/>
        <w:jc w:val="both"/>
      </w:pPr>
      <w:r>
        <w:rPr/>
        <w:t>公司主营业务为应用软件开发与销售、系统集成及技术支持与服务，主要面向电力、烟 草等重点行业客户。报告期内，公司仍然紧紧围绕着公司发展战略，继续专注于主营业务的 经营和发展。</w:t>
      </w:r>
      <w:r>
        <w:rPr>
          <w:rFonts w:ascii="Times New Roman" w:hAnsi="Times New Roman" w:cs="Times New Roman" w:eastAsia="Times New Roman" w:hint="default"/>
        </w:rPr>
        <w:t>2012</w:t>
      </w:r>
      <w:r>
        <w:rPr/>
        <w:t>年公司面临的外部经济形势复杂、严峻，受宏观经济及市场环境影响，母</w:t>
      </w:r>
      <w:r>
        <w:rPr>
          <w:spacing w:val="-113"/>
        </w:rPr>
        <w:t> </w:t>
      </w:r>
      <w:r>
        <w:rPr/>
        <w:t>公司的系统集成业务有较大幅度下降，子公司的业务拓展和签约达成低于预期并发生亏损， 同时，子公司南京江琛自动化系统有限公司因经营环境发生变化，业绩下滑而对其计提了商 誉减值准备</w:t>
      </w:r>
      <w:r>
        <w:rPr>
          <w:rFonts w:ascii="Times New Roman" w:hAnsi="Times New Roman" w:cs="Times New Roman" w:eastAsia="Times New Roman" w:hint="default"/>
        </w:rPr>
        <w:t>1,931.57</w:t>
      </w:r>
      <w:r>
        <w:rPr/>
        <w:t>万元，由此影响公司年度经营业绩。</w:t>
      </w:r>
    </w:p>
    <w:p>
      <w:pPr>
        <w:pStyle w:val="BodyText"/>
        <w:spacing w:line="338" w:lineRule="auto" w:before="51"/>
        <w:ind w:left="112" w:right="290" w:firstLine="482"/>
        <w:jc w:val="both"/>
      </w:pPr>
      <w:r>
        <w:rPr>
          <w:spacing w:val="-1"/>
        </w:rPr>
        <w:t>公司</w:t>
      </w:r>
      <w:r>
        <w:rPr>
          <w:rFonts w:ascii="Times New Roman" w:hAnsi="Times New Roman" w:cs="Times New Roman" w:eastAsia="Times New Roman" w:hint="default"/>
          <w:spacing w:val="-1"/>
        </w:rPr>
        <w:t>2012</w:t>
      </w:r>
      <w:r>
        <w:rPr>
          <w:spacing w:val="-1"/>
        </w:rPr>
        <w:t>年实现营业收入</w:t>
      </w:r>
      <w:r>
        <w:rPr>
          <w:rFonts w:ascii="Times New Roman" w:hAnsi="Times New Roman" w:cs="Times New Roman" w:eastAsia="Times New Roman" w:hint="default"/>
          <w:spacing w:val="-1"/>
        </w:rPr>
        <w:t>25,481.95</w:t>
      </w:r>
      <w:r>
        <w:rPr>
          <w:spacing w:val="-1"/>
        </w:rPr>
        <w:t>万元，同比下降</w:t>
      </w:r>
      <w:r>
        <w:rPr>
          <w:rFonts w:ascii="Times New Roman" w:hAnsi="Times New Roman" w:cs="Times New Roman" w:eastAsia="Times New Roman" w:hint="default"/>
          <w:spacing w:val="-1"/>
        </w:rPr>
        <w:t>31%</w:t>
      </w:r>
      <w:r>
        <w:rPr>
          <w:spacing w:val="-1"/>
        </w:rPr>
        <w:t>；利润总额</w:t>
      </w:r>
      <w:r>
        <w:rPr>
          <w:rFonts w:ascii="Times New Roman" w:hAnsi="Times New Roman" w:cs="Times New Roman" w:eastAsia="Times New Roman" w:hint="default"/>
          <w:spacing w:val="-1"/>
        </w:rPr>
        <w:t>1,197.91</w:t>
      </w:r>
      <w:r>
        <w:rPr>
          <w:spacing w:val="-1"/>
        </w:rPr>
        <w:t>万元，同比下</w:t>
      </w:r>
      <w:r>
        <w:rPr/>
        <w:t> 降</w:t>
      </w:r>
      <w:r>
        <w:rPr>
          <w:rFonts w:ascii="Times New Roman" w:hAnsi="Times New Roman" w:cs="Times New Roman" w:eastAsia="Times New Roman" w:hint="default"/>
        </w:rPr>
        <w:t>76%,</w:t>
      </w:r>
      <w:r>
        <w:rPr/>
        <w:t>净利润</w:t>
      </w:r>
      <w:r>
        <w:rPr>
          <w:rFonts w:ascii="Times New Roman" w:hAnsi="Times New Roman" w:cs="Times New Roman" w:eastAsia="Times New Roman" w:hint="default"/>
        </w:rPr>
        <w:t>443.11</w:t>
      </w:r>
      <w:r>
        <w:rPr/>
        <w:t>万元，同比下降</w:t>
      </w:r>
      <w:r>
        <w:rPr>
          <w:rFonts w:ascii="Times New Roman" w:hAnsi="Times New Roman" w:cs="Times New Roman" w:eastAsia="Times New Roman" w:hint="default"/>
        </w:rPr>
        <w:t>90%,</w:t>
      </w:r>
      <w:r>
        <w:rPr/>
        <w:t>公司每股收益</w:t>
      </w:r>
      <w:r>
        <w:rPr>
          <w:rFonts w:ascii="Times New Roman" w:hAnsi="Times New Roman" w:cs="Times New Roman" w:eastAsia="Times New Roman" w:hint="default"/>
        </w:rPr>
        <w:t>0.04</w:t>
      </w:r>
      <w:r>
        <w:rPr/>
        <w:t>元。</w:t>
      </w:r>
    </w:p>
    <w:p>
      <w:pPr>
        <w:spacing w:line="240" w:lineRule="auto" w:before="0"/>
        <w:rPr>
          <w:rFonts w:ascii="宋体" w:hAnsi="宋体" w:cs="宋体" w:eastAsia="宋体" w:hint="default"/>
          <w:sz w:val="24"/>
          <w:szCs w:val="24"/>
        </w:rPr>
      </w:pPr>
    </w:p>
    <w:p>
      <w:pPr>
        <w:pStyle w:val="Heading3"/>
        <w:spacing w:line="240" w:lineRule="auto" w:before="210"/>
        <w:ind w:right="0"/>
        <w:jc w:val="both"/>
        <w:rPr>
          <w:b w:val="0"/>
          <w:bCs w:val="0"/>
        </w:rPr>
      </w:pPr>
      <w:r>
        <w:rPr/>
        <w:t>二、主营业务分析</w:t>
      </w:r>
      <w:r>
        <w:rPr>
          <w:b w:val="0"/>
          <w:bCs w:val="0"/>
        </w:rPr>
      </w:r>
    </w:p>
    <w:p>
      <w:pPr>
        <w:spacing w:line="240" w:lineRule="auto" w:before="12"/>
        <w:rPr>
          <w:rFonts w:ascii="Microsoft JhengHei" w:hAnsi="Microsoft JhengHei" w:cs="Microsoft JhengHei" w:eastAsia="Microsoft JhengHei" w:hint="default"/>
          <w:b/>
          <w:bCs/>
          <w:sz w:val="15"/>
          <w:szCs w:val="15"/>
        </w:rPr>
      </w:pPr>
    </w:p>
    <w:p>
      <w:pPr>
        <w:spacing w:before="0"/>
        <w:ind w:left="120" w:right="0" w:firstLine="0"/>
        <w:jc w:val="both"/>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、概述</w:t>
      </w:r>
      <w:r>
        <w:rPr>
          <w:rFonts w:ascii="Microsoft JhengHei" w:hAnsi="Microsoft JhengHei" w:cs="Microsoft JhengHei" w:eastAsia="Microsoft JhengHei" w:hint="default"/>
          <w:sz w:val="24"/>
          <w:szCs w:val="24"/>
        </w:rPr>
      </w:r>
    </w:p>
    <w:p>
      <w:pPr>
        <w:spacing w:line="240" w:lineRule="auto" w:before="9"/>
        <w:rPr>
          <w:rFonts w:ascii="Microsoft JhengHei" w:hAnsi="Microsoft JhengHei" w:cs="Microsoft JhengHei" w:eastAsia="Microsoft JhengHei" w:hint="default"/>
          <w:b/>
          <w:bCs/>
          <w:sz w:val="24"/>
          <w:szCs w:val="24"/>
        </w:rPr>
      </w:pPr>
    </w:p>
    <w:p>
      <w:pPr>
        <w:pStyle w:val="BodyText"/>
        <w:spacing w:line="338" w:lineRule="auto" w:before="0"/>
        <w:ind w:left="112" w:right="295" w:firstLine="482"/>
        <w:jc w:val="both"/>
      </w:pPr>
      <w:r>
        <w:rPr>
          <w:rFonts w:ascii="Times New Roman" w:hAnsi="Times New Roman" w:cs="Times New Roman" w:eastAsia="Times New Roman" w:hint="default"/>
        </w:rPr>
        <w:t>2012</w:t>
      </w:r>
      <w:r>
        <w:rPr/>
        <w:t>年公司实现营业收入</w:t>
      </w:r>
      <w:r>
        <w:rPr>
          <w:rFonts w:ascii="Times New Roman" w:hAnsi="Times New Roman" w:cs="Times New Roman" w:eastAsia="Times New Roman" w:hint="default"/>
        </w:rPr>
        <w:t>25,481.95</w:t>
      </w:r>
      <w:r>
        <w:rPr/>
        <w:t>万元，其中：系统集成业务</w:t>
      </w:r>
      <w:r>
        <w:rPr>
          <w:rFonts w:ascii="Times New Roman" w:hAnsi="Times New Roman" w:cs="Times New Roman" w:eastAsia="Times New Roman" w:hint="default"/>
        </w:rPr>
        <w:t>15,401.01</w:t>
      </w:r>
      <w:r>
        <w:rPr/>
        <w:t>万元，与上年同 </w:t>
      </w:r>
      <w:r>
        <w:rPr>
          <w:spacing w:val="2"/>
        </w:rPr>
        <w:t>比下降</w:t>
      </w:r>
      <w:r>
        <w:rPr>
          <w:rFonts w:ascii="Times New Roman" w:hAnsi="Times New Roman" w:cs="Times New Roman" w:eastAsia="Times New Roman" w:hint="default"/>
          <w:spacing w:val="2"/>
        </w:rPr>
        <w:t>44.83%</w:t>
      </w:r>
      <w:r>
        <w:rPr>
          <w:spacing w:val="2"/>
        </w:rPr>
        <w:t>，应用软件开发与销售</w:t>
      </w:r>
      <w:r>
        <w:rPr>
          <w:rFonts w:ascii="Times New Roman" w:hAnsi="Times New Roman" w:cs="Times New Roman" w:eastAsia="Times New Roman" w:hint="default"/>
          <w:spacing w:val="2"/>
        </w:rPr>
        <w:t>7,129.18</w:t>
      </w:r>
      <w:r>
        <w:rPr>
          <w:spacing w:val="2"/>
        </w:rPr>
        <w:t>万元，与上年同比增长</w:t>
      </w:r>
      <w:r>
        <w:rPr>
          <w:rFonts w:ascii="Times New Roman" w:hAnsi="Times New Roman" w:cs="Times New Roman" w:eastAsia="Times New Roman" w:hint="default"/>
          <w:spacing w:val="2"/>
        </w:rPr>
        <w:t>13.99%</w:t>
      </w:r>
      <w:r>
        <w:rPr>
          <w:spacing w:val="2"/>
        </w:rPr>
        <w:t>；技术支持与服</w:t>
      </w:r>
      <w:r>
        <w:rPr/>
        <w:t> 务</w:t>
      </w:r>
      <w:r>
        <w:rPr>
          <w:rFonts w:ascii="Times New Roman" w:hAnsi="Times New Roman" w:cs="Times New Roman" w:eastAsia="Times New Roman" w:hint="default"/>
        </w:rPr>
        <w:t>2,768.41</w:t>
      </w:r>
      <w:r>
        <w:rPr/>
        <w:t>万元，与上年同比增长</w:t>
      </w:r>
      <w:r>
        <w:rPr>
          <w:rFonts w:ascii="Times New Roman" w:hAnsi="Times New Roman" w:cs="Times New Roman" w:eastAsia="Times New Roman" w:hint="default"/>
        </w:rPr>
        <w:t>9.02%</w:t>
      </w:r>
      <w:r>
        <w:rPr/>
        <w:t>。</w:t>
      </w:r>
    </w:p>
    <w:p>
      <w:pPr>
        <w:pStyle w:val="BodyText"/>
        <w:spacing w:line="348" w:lineRule="auto" w:before="67"/>
        <w:ind w:left="112" w:right="292" w:firstLine="482"/>
        <w:jc w:val="both"/>
      </w:pPr>
      <w:r>
        <w:rPr/>
        <w:t>营业收入下降的主要原因是：受宏观经济及市场环境影响，公司的系统集成受到严重影 </w:t>
      </w:r>
      <w:r>
        <w:rPr>
          <w:spacing w:val="-2"/>
        </w:rPr>
        <w:t>响，特别是与该业务相关联的硬件销售下滑严重，同时，子公司的传统产品受电力行业</w:t>
      </w:r>
      <w:r>
        <w:rPr>
          <w:rFonts w:ascii="Times New Roman" w:hAnsi="Times New Roman" w:cs="Times New Roman" w:eastAsia="Times New Roman" w:hint="default"/>
          <w:spacing w:val="-2"/>
        </w:rPr>
        <w:t>“</w:t>
      </w:r>
      <w:r>
        <w:rPr>
          <w:spacing w:val="-2"/>
        </w:rPr>
        <w:t>国进</w:t>
      </w:r>
      <w:r>
        <w:rPr>
          <w:spacing w:val="-107"/>
        </w:rPr>
        <w:t> </w:t>
      </w:r>
      <w:r>
        <w:rPr/>
        <w:t>民退</w:t>
      </w:r>
      <w:r>
        <w:rPr>
          <w:rFonts w:ascii="Times New Roman" w:hAnsi="Times New Roman" w:cs="Times New Roman" w:eastAsia="Times New Roman" w:hint="default"/>
        </w:rPr>
        <w:t>”</w:t>
      </w:r>
      <w:r>
        <w:rPr/>
        <w:t>影响严重，导致业务收入增长不及预期。</w:t>
      </w:r>
    </w:p>
    <w:p>
      <w:pPr>
        <w:pStyle w:val="BodyText"/>
        <w:spacing w:line="348" w:lineRule="auto" w:before="57"/>
        <w:ind w:left="595" w:right="311"/>
        <w:jc w:val="left"/>
      </w:pPr>
      <w:r>
        <w:rPr>
          <w:rFonts w:ascii="Times New Roman" w:hAnsi="Times New Roman" w:cs="Times New Roman" w:eastAsia="Times New Roman" w:hint="default"/>
        </w:rPr>
        <w:t>2012</w:t>
      </w:r>
      <w:r>
        <w:rPr/>
        <w:t>年度公司严格遵循了</w:t>
      </w:r>
      <w:r>
        <w:rPr>
          <w:rFonts w:ascii="Times New Roman" w:hAnsi="Times New Roman" w:cs="Times New Roman" w:eastAsia="Times New Roman" w:hint="default"/>
        </w:rPr>
        <w:t>2011</w:t>
      </w:r>
      <w:r>
        <w:rPr/>
        <w:t>年度报告中披露的发展战略和经营计划，具体回顾如下： 一、公司发展战略规划 </w:t>
      </w:r>
      <w:r>
        <w:rPr>
          <w:rFonts w:ascii="Times New Roman" w:hAnsi="Times New Roman" w:cs="Times New Roman" w:eastAsia="Times New Roman" w:hint="default"/>
        </w:rPr>
        <w:t>2012</w:t>
      </w:r>
      <w:r>
        <w:rPr/>
        <w:t>年，公司秉持</w:t>
      </w:r>
      <w:r>
        <w:rPr>
          <w:rFonts w:ascii="Times New Roman" w:hAnsi="Times New Roman" w:cs="Times New Roman" w:eastAsia="Times New Roman" w:hint="default"/>
        </w:rPr>
        <w:t>“</w:t>
      </w:r>
      <w:r>
        <w:rPr/>
        <w:t>客户价值导向</w:t>
      </w:r>
      <w:r>
        <w:rPr>
          <w:rFonts w:ascii="Times New Roman" w:hAnsi="Times New Roman" w:cs="Times New Roman" w:eastAsia="Times New Roman" w:hint="default"/>
        </w:rPr>
        <w:t>”</w:t>
      </w:r>
      <w:r>
        <w:rPr/>
        <w:t>的发展战略，紧紧围绕电力和烟草行业的信息化建设</w:t>
      </w:r>
    </w:p>
    <w:p>
      <w:pPr>
        <w:pStyle w:val="BodyText"/>
        <w:spacing w:line="357" w:lineRule="auto" w:before="16"/>
        <w:ind w:left="112" w:right="331"/>
        <w:jc w:val="both"/>
      </w:pPr>
      <w:r>
        <w:rPr/>
        <w:t>开展工作，同时，以开拓具有长期合作关系的高附加值客户为抓手，公司不断加强市场拓展 力度，取得了良好的进展，新拓展了多个有发展潜力的行业客户，目前在电力、烟草行业基 本实现覆盖全国大部分主要省份。</w:t>
      </w:r>
    </w:p>
    <w:p>
      <w:pPr>
        <w:pStyle w:val="BodyText"/>
        <w:spacing w:line="240" w:lineRule="auto"/>
        <w:ind w:left="595" w:right="279"/>
        <w:jc w:val="left"/>
      </w:pPr>
      <w:r>
        <w:rPr/>
        <w:pict>
          <v:group style="position:absolute;margin-left:547.559998pt;margin-top:34.295605pt;width:.1pt;height:10.35pt;mso-position-horizontal-relative:page;mso-position-vertical-relative:paragraph;z-index:1360" coordorigin="10951,686" coordsize="2,207">
            <v:shape style="position:absolute;left:10951;top:686;width:2;height:207" coordorigin="10951,686" coordsize="0,207" path="m10951,686l10951,892e" filled="false" stroked="true" strokeweight=".12pt" strokecolor="#000000">
              <v:path arrowok="t"/>
            </v:shape>
            <w10:wrap type="none"/>
          </v:group>
        </w:pict>
      </w:r>
      <w:r>
        <w:rPr/>
        <w:t>二、公司</w:t>
      </w:r>
      <w:r>
        <w:rPr>
          <w:rFonts w:ascii="Times New Roman" w:hAnsi="Times New Roman" w:cs="Times New Roman" w:eastAsia="Times New Roman" w:hint="default"/>
        </w:rPr>
        <w:t>2012</w:t>
      </w:r>
      <w:r>
        <w:rPr/>
        <w:t>年经营计划</w:t>
      </w:r>
    </w:p>
    <w:p>
      <w:pPr>
        <w:spacing w:after="0" w:line="240" w:lineRule="auto"/>
        <w:jc w:val="left"/>
        <w:sectPr>
          <w:footerReference w:type="default" r:id="rId14"/>
          <w:pgSz w:w="11910" w:h="16840"/>
          <w:pgMar w:footer="979" w:header="745" w:top="1060" w:bottom="1160" w:left="1020" w:right="840"/>
          <w:pgNumType w:start="10"/>
        </w:sectPr>
      </w:pPr>
    </w:p>
    <w:p>
      <w:pPr>
        <w:spacing w:line="240" w:lineRule="auto" w:before="6"/>
        <w:rPr>
          <w:rFonts w:ascii="宋体" w:hAnsi="宋体" w:cs="宋体" w:eastAsia="宋体" w:hint="default"/>
          <w:sz w:val="29"/>
          <w:szCs w:val="29"/>
        </w:rPr>
      </w:pPr>
    </w:p>
    <w:p>
      <w:pPr>
        <w:pStyle w:val="BodyText"/>
        <w:spacing w:line="338" w:lineRule="auto" w:before="26"/>
        <w:ind w:left="775" w:right="96"/>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)2012</w:t>
      </w:r>
      <w:r>
        <w:rPr/>
        <w:t>年整体经营目标</w:t>
      </w:r>
      <w:r>
        <w:rPr>
          <w:w w:val="99"/>
        </w:rPr>
        <w:t> </w:t>
      </w:r>
      <w:r>
        <w:rPr>
          <w:rFonts w:ascii="Times New Roman" w:hAnsi="Times New Roman" w:cs="Times New Roman" w:eastAsia="Times New Roman" w:hint="default"/>
          <w:spacing w:val="-6"/>
          <w:w w:val="99"/>
        </w:rPr>
        <w:t>1</w:t>
      </w:r>
      <w:r>
        <w:rPr>
          <w:spacing w:val="-6"/>
          <w:w w:val="99"/>
        </w:rPr>
        <w:t>、受宏观经济形势的影响，公司的集成业务在业务总量上没有实现稳定发展的既定目标。</w:t>
      </w:r>
      <w:r>
        <w:rPr>
          <w:spacing w:val="-6"/>
        </w:rPr>
      </w:r>
    </w:p>
    <w:p>
      <w:pPr>
        <w:pStyle w:val="BodyText"/>
        <w:spacing w:line="348" w:lineRule="auto" w:before="27"/>
        <w:ind w:right="230" w:firstLine="482"/>
        <w:jc w:val="both"/>
      </w:pPr>
      <w:r>
        <w:rPr>
          <w:rFonts w:ascii="Times New Roman" w:hAnsi="Times New Roman" w:cs="Times New Roman" w:eastAsia="Times New Roman" w:hint="default"/>
          <w:spacing w:val="-2"/>
        </w:rPr>
        <w:t>2</w:t>
      </w:r>
      <w:r>
        <w:rPr>
          <w:spacing w:val="-2"/>
        </w:rPr>
        <w:t>、公司紧紧抓住了电力行业</w:t>
      </w:r>
      <w:r>
        <w:rPr>
          <w:rFonts w:ascii="Times New Roman" w:hAnsi="Times New Roman" w:cs="Times New Roman" w:eastAsia="Times New Roman" w:hint="default"/>
          <w:spacing w:val="-2"/>
        </w:rPr>
        <w:t>IT</w:t>
      </w:r>
      <w:r>
        <w:rPr>
          <w:spacing w:val="-2"/>
        </w:rPr>
        <w:t>投资高速增长的机遇，通过集中力量重点开发和完善绩效</w:t>
      </w:r>
      <w:r>
        <w:rPr/>
        <w:t> 考核管理应用软件，以及在行业的大力推广，目前已完成东北、新疆、上海、湖北等地的项 目，基本形成了全国性的市场。</w:t>
      </w:r>
    </w:p>
    <w:p>
      <w:pPr>
        <w:pStyle w:val="BodyText"/>
        <w:spacing w:line="345" w:lineRule="auto" w:before="46"/>
        <w:ind w:right="232" w:firstLine="482"/>
        <w:jc w:val="both"/>
      </w:pPr>
      <w:r>
        <w:rPr>
          <w:rFonts w:ascii="Times New Roman" w:hAnsi="Times New Roman" w:cs="Times New Roman" w:eastAsia="Times New Roman" w:hint="default"/>
          <w:spacing w:val="-3"/>
        </w:rPr>
        <w:t>3</w:t>
      </w:r>
      <w:r>
        <w:rPr>
          <w:spacing w:val="-3"/>
        </w:rPr>
        <w:t>、全力推进公司电力计量产品软硬件的完善及市场开拓工作，</w:t>
      </w:r>
      <w:r>
        <w:rPr>
          <w:rFonts w:ascii="Times New Roman" w:hAnsi="Times New Roman" w:cs="Times New Roman" w:eastAsia="Times New Roman" w:hint="default"/>
          <w:spacing w:val="-3"/>
        </w:rPr>
        <w:t>2012</w:t>
      </w:r>
      <w:r>
        <w:rPr>
          <w:spacing w:val="-3"/>
        </w:rPr>
        <w:t>年度顺利完成浙江省</w:t>
      </w:r>
      <w:r>
        <w:rPr/>
        <w:t> 电力公司单三相及互感器智能电能表自动化流水线检定系统承建，该项目在</w:t>
      </w:r>
      <w:r>
        <w:rPr>
          <w:spacing w:val="-84"/>
        </w:rPr>
        <w:t>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月通过 专家组验收，成为国内首个通过国网验收的自动化检定系统。此外，还与江苏省电力公司签 订了自动化封印贴标流水线系统定制设备及项目实施服务合同。</w:t>
      </w:r>
    </w:p>
    <w:p>
      <w:pPr>
        <w:pStyle w:val="BodyText"/>
        <w:spacing w:line="338" w:lineRule="auto" w:before="48"/>
        <w:ind w:right="232" w:firstLine="482"/>
        <w:jc w:val="both"/>
      </w:pPr>
      <w:r>
        <w:rPr>
          <w:rFonts w:ascii="Times New Roman" w:hAnsi="Times New Roman" w:cs="Times New Roman" w:eastAsia="Times New Roman" w:hint="default"/>
          <w:spacing w:val="-3"/>
        </w:rPr>
        <w:t>4</w:t>
      </w:r>
      <w:r>
        <w:rPr>
          <w:spacing w:val="-3"/>
        </w:rPr>
        <w:t>、在烟草行业信息化方面，公司及时把握了烟草行业体制改革和烟草行业加强数字烟草</w:t>
      </w:r>
      <w:r>
        <w:rPr/>
        <w:t> 建设的机遇，努力开发和完善了相关产品。</w:t>
      </w:r>
    </w:p>
    <w:p>
      <w:pPr>
        <w:pStyle w:val="BodyText"/>
        <w:spacing w:line="343" w:lineRule="auto" w:before="55"/>
        <w:ind w:right="230" w:firstLine="482"/>
        <w:jc w:val="both"/>
      </w:pPr>
      <w:r>
        <w:rPr>
          <w:rFonts w:ascii="Times New Roman" w:hAnsi="Times New Roman" w:cs="Times New Roman" w:eastAsia="Times New Roman" w:hint="default"/>
          <w:spacing w:val="-3"/>
        </w:rPr>
        <w:t>5</w:t>
      </w:r>
      <w:r>
        <w:rPr>
          <w:spacing w:val="-3"/>
        </w:rPr>
        <w:t>、为培育公司业务新的增长点，为股东创造最大效益。</w:t>
      </w:r>
      <w:r>
        <w:rPr>
          <w:rFonts w:ascii="Times New Roman" w:hAnsi="Times New Roman" w:cs="Times New Roman" w:eastAsia="Times New Roman" w:hint="default"/>
          <w:spacing w:val="-3"/>
        </w:rPr>
        <w:t>2012</w:t>
      </w:r>
      <w:r>
        <w:rPr>
          <w:spacing w:val="-3"/>
        </w:rPr>
        <w:t>年公司投资参股了杭州市江</w:t>
      </w:r>
      <w:r>
        <w:rPr/>
        <w:t> 干区和瑞科创小额贷款有限公司，目前该公司经营情况良好，</w:t>
      </w:r>
      <w:r>
        <w:rPr>
          <w:spacing w:val="-92"/>
        </w:rPr>
        <w:t> </w:t>
      </w:r>
      <w:r>
        <w:rPr>
          <w:rFonts w:ascii="Times New Roman" w:hAnsi="Times New Roman" w:cs="Times New Roman" w:eastAsia="Times New Roman" w:hint="default"/>
        </w:rPr>
        <w:t>2012</w:t>
      </w:r>
      <w:r>
        <w:rPr/>
        <w:t>年度经事务所审计后确定 </w:t>
      </w:r>
      <w:r>
        <w:rPr>
          <w:spacing w:val="-1"/>
        </w:rPr>
        <w:t>的税后净利润为</w:t>
      </w:r>
      <w:r>
        <w:rPr>
          <w:rFonts w:ascii="Times New Roman" w:hAnsi="Times New Roman" w:cs="Times New Roman" w:eastAsia="Times New Roman" w:hint="default"/>
          <w:spacing w:val="-1"/>
        </w:rPr>
        <w:t>2,106</w:t>
      </w:r>
      <w:r>
        <w:rPr>
          <w:spacing w:val="-1"/>
        </w:rPr>
        <w:t>万元。此外，公司还与住建部下属的</w:t>
      </w:r>
      <w:r>
        <w:rPr>
          <w:rFonts w:ascii="Times New Roman" w:hAnsi="Times New Roman" w:cs="Times New Roman" w:eastAsia="Times New Roman" w:hint="default"/>
          <w:spacing w:val="-1"/>
        </w:rPr>
        <w:t>IC</w:t>
      </w:r>
      <w:r>
        <w:rPr>
          <w:spacing w:val="-1"/>
        </w:rPr>
        <w:t>卡应用服务中心合作，投资设立</w:t>
      </w:r>
      <w:r>
        <w:rPr>
          <w:spacing w:val="-99"/>
        </w:rPr>
        <w:t> </w:t>
      </w:r>
      <w:r>
        <w:rPr>
          <w:spacing w:val="-99"/>
        </w:rPr>
      </w:r>
      <w:r>
        <w:rPr/>
        <w:t>了北京世纪速码信息科技有限公司，切入第三方电子认证业务和数据业务领域，目前各项工 作正按计划正常推进。</w:t>
      </w:r>
    </w:p>
    <w:p>
      <w:pPr>
        <w:pStyle w:val="BodyText"/>
        <w:spacing w:line="338" w:lineRule="auto" w:before="50"/>
        <w:ind w:left="775" w:right="96"/>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人才培训与扩充计划</w:t>
      </w:r>
      <w:r>
        <w:rPr>
          <w:w w:val="99"/>
        </w:rPr>
        <w:t> </w:t>
      </w:r>
      <w:r>
        <w:rPr>
          <w:rFonts w:ascii="Times New Roman" w:hAnsi="Times New Roman" w:cs="Times New Roman" w:eastAsia="Times New Roman" w:hint="default"/>
        </w:rPr>
        <w:t>2012</w:t>
      </w:r>
      <w:r>
        <w:rPr/>
        <w:t>年，公司坚持</w:t>
      </w:r>
      <w:r>
        <w:rPr>
          <w:rFonts w:ascii="Times New Roman" w:hAnsi="Times New Roman" w:cs="Times New Roman" w:eastAsia="Times New Roman" w:hint="default"/>
        </w:rPr>
        <w:t>“</w:t>
      </w:r>
      <w:r>
        <w:rPr/>
        <w:t>以人为本</w:t>
      </w:r>
      <w:r>
        <w:rPr>
          <w:rFonts w:ascii="Times New Roman" w:hAnsi="Times New Roman" w:cs="Times New Roman" w:eastAsia="Times New Roman" w:hint="default"/>
        </w:rPr>
        <w:t>”</w:t>
      </w:r>
      <w:r>
        <w:rPr/>
        <w:t>的管理理念，强调以亲和的企业文化氛围来不断增强公司</w:t>
      </w:r>
    </w:p>
    <w:p>
      <w:pPr>
        <w:pStyle w:val="BodyText"/>
        <w:spacing w:line="338" w:lineRule="auto" w:before="27"/>
        <w:ind w:right="232"/>
        <w:jc w:val="both"/>
      </w:pPr>
      <w:r>
        <w:rPr>
          <w:w w:val="95"/>
        </w:rPr>
        <w:t>员工的凝聚力和向心力。同时，通过在经营体制上的不断创新，不断优化对人员的</w:t>
      </w:r>
      <w:r>
        <w:rPr>
          <w:rFonts w:ascii="Times New Roman" w:hAnsi="Times New Roman" w:cs="Times New Roman" w:eastAsia="Times New Roman" w:hint="default"/>
          <w:w w:val="95"/>
        </w:rPr>
        <w:t>“</w:t>
      </w:r>
      <w:r>
        <w:rPr>
          <w:w w:val="95"/>
        </w:rPr>
        <w:t>选、育、</w:t>
      </w:r>
      <w:r>
        <w:rPr>
          <w:spacing w:val="74"/>
          <w:w w:val="95"/>
        </w:rPr>
        <w:t> </w:t>
      </w:r>
      <w:r>
        <w:rPr>
          <w:spacing w:val="74"/>
          <w:w w:val="95"/>
        </w:rPr>
      </w:r>
      <w:r>
        <w:rPr/>
        <w:t>用、留</w:t>
      </w:r>
      <w:r>
        <w:rPr>
          <w:rFonts w:ascii="Times New Roman" w:hAnsi="Times New Roman" w:cs="Times New Roman" w:eastAsia="Times New Roman" w:hint="default"/>
        </w:rPr>
        <w:t>”</w:t>
      </w:r>
      <w:r>
        <w:rPr/>
        <w:t>工作，打造了一支高绩效的学习型的人才队伍。</w:t>
      </w:r>
    </w:p>
    <w:p>
      <w:pPr>
        <w:pStyle w:val="BodyText"/>
        <w:spacing w:line="338" w:lineRule="auto" w:before="27"/>
        <w:ind w:left="775" w:right="251"/>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募投项目和超募资金使用</w:t>
      </w:r>
      <w:r>
        <w:rPr>
          <w:w w:val="99"/>
        </w:rPr>
        <w:t> </w:t>
      </w:r>
      <w:r>
        <w:rPr/>
        <w:t>鉴于电力和烟草行业的组织和管理架构发生了深刻的变化，极大影响了公司募投项目的</w:t>
      </w:r>
    </w:p>
    <w:p>
      <w:pPr>
        <w:pStyle w:val="BodyText"/>
        <w:spacing w:line="338" w:lineRule="auto" w:before="55"/>
        <w:ind w:right="253"/>
        <w:jc w:val="both"/>
      </w:pPr>
      <w:r>
        <w:rPr/>
        <w:t>实施，公司对其作了变更，截止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日，公司募集资金全部使用完毕。具体详见第</w:t>
      </w:r>
      <w:r>
        <w:rPr>
          <w:spacing w:val="-103"/>
        </w:rPr>
        <w:t> </w:t>
      </w:r>
      <w:r>
        <w:rPr/>
        <w:t>四节董事会报告中关于</w:t>
      </w:r>
      <w:r>
        <w:rPr>
          <w:rFonts w:ascii="Times New Roman" w:hAnsi="Times New Roman" w:cs="Times New Roman" w:eastAsia="Times New Roman" w:hint="default"/>
        </w:rPr>
        <w:t>“</w:t>
      </w:r>
      <w:r>
        <w:rPr/>
        <w:t>募集资金使用情况</w:t>
      </w:r>
      <w:r>
        <w:rPr>
          <w:rFonts w:ascii="Times New Roman" w:hAnsi="Times New Roman" w:cs="Times New Roman" w:eastAsia="Times New Roman" w:hint="default"/>
        </w:rPr>
        <w:t>”</w:t>
      </w:r>
      <w:r>
        <w:rPr/>
        <w:t>部份。</w:t>
      </w:r>
    </w:p>
    <w:p>
      <w:pPr>
        <w:pStyle w:val="BodyText"/>
        <w:spacing w:line="338" w:lineRule="auto" w:before="27"/>
        <w:ind w:left="775" w:right="251"/>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t>投资者关系管理</w:t>
      </w:r>
      <w:r>
        <w:rPr>
          <w:w w:val="99"/>
        </w:rPr>
        <w:t> </w:t>
      </w:r>
      <w:r>
        <w:rPr>
          <w:rFonts w:ascii="Times New Roman" w:hAnsi="Times New Roman" w:cs="Times New Roman" w:eastAsia="Times New Roman" w:hint="default"/>
        </w:rPr>
        <w:t>2012</w:t>
      </w:r>
      <w:r>
        <w:rPr/>
        <w:t>年，公司进一步完善了治理结构，通过建立和健全投资者沟通的平台，规范了公司</w:t>
      </w:r>
    </w:p>
    <w:p>
      <w:pPr>
        <w:pStyle w:val="BodyText"/>
        <w:spacing w:line="357" w:lineRule="auto" w:before="27"/>
        <w:ind w:right="271"/>
        <w:jc w:val="both"/>
      </w:pPr>
      <w:r>
        <w:rPr/>
        <w:pict>
          <v:group style="position:absolute;margin-left:47.639999pt;margin-top:100.925598pt;width:.1pt;height:10.35pt;mso-position-horizontal-relative:page;mso-position-vertical-relative:paragraph;z-index:1384" coordorigin="953,2019" coordsize="2,207">
            <v:shape style="position:absolute;left:953;top:2019;width:2;height:207" coordorigin="953,2019" coordsize="0,207" path="m953,2019l953,2225e" filled="false" stroked="true" strokeweight=".12pt" strokecolor="#000000">
              <v:path arrowok="t"/>
            </v:shape>
            <w10:wrap type="none"/>
          </v:group>
        </w:pict>
      </w:r>
      <w:r>
        <w:rPr/>
        <w:t>投资者关系管理工作，通过加强公司与投资者和潜在投资者之间的沟通，加深投资者对公司 的了解和认同，促进公司与投资者之间长期、稳定的良好关系，提升公司的诚信度、核心竞 争能力和持续发展能力，实现公司价值最大化和股东利益最大化。</w:t>
      </w:r>
    </w:p>
    <w:p>
      <w:pPr>
        <w:spacing w:after="0" w:line="357" w:lineRule="auto"/>
        <w:jc w:val="both"/>
        <w:sectPr>
          <w:pgSz w:w="11910" w:h="16840"/>
          <w:pgMar w:header="745" w:footer="979" w:top="1060" w:bottom="1160" w:left="840" w:right="900"/>
        </w:sectPr>
      </w:pPr>
    </w:p>
    <w:p>
      <w:pPr>
        <w:spacing w:line="240" w:lineRule="auto" w:before="6"/>
        <w:rPr>
          <w:rFonts w:ascii="宋体" w:hAnsi="宋体" w:cs="宋体" w:eastAsia="宋体" w:hint="default"/>
          <w:sz w:val="29"/>
          <w:szCs w:val="29"/>
        </w:rPr>
      </w:pPr>
    </w:p>
    <w:p>
      <w:pPr>
        <w:pStyle w:val="Heading3"/>
        <w:spacing w:line="367" w:lineRule="exact"/>
        <w:ind w:left="120" w:right="279"/>
        <w:jc w:val="left"/>
        <w:rPr>
          <w:b w:val="0"/>
          <w:bCs w:val="0"/>
        </w:rPr>
      </w:pPr>
      <w:bookmarkStart w:name="2、收入" w:id="19"/>
      <w:bookmarkEnd w:id="19"/>
      <w:r>
        <w:rPr>
          <w:b w:val="0"/>
          <w:bCs w:val="0"/>
        </w:rPr>
      </w:r>
      <w:bookmarkStart w:name="3、成本" w:id="20"/>
      <w:bookmarkEnd w:id="20"/>
      <w:r>
        <w:rPr>
          <w:b w:val="0"/>
          <w:bCs w:val="0"/>
        </w:rPr>
      </w:r>
      <w:r>
        <w:rPr>
          <w:rFonts w:ascii="Times New Roman" w:hAnsi="Times New Roman" w:cs="Times New Roman" w:eastAsia="Times New Roman" w:hint="default"/>
        </w:rPr>
        <w:t>2</w:t>
      </w:r>
      <w:r>
        <w:rPr/>
        <w:t>、收入</w:t>
      </w:r>
      <w:r>
        <w:rPr>
          <w:b w:val="0"/>
          <w:bCs w:val="0"/>
        </w:rPr>
      </w:r>
    </w:p>
    <w:p>
      <w:pPr>
        <w:spacing w:line="240" w:lineRule="auto" w:before="5"/>
        <w:rPr>
          <w:rFonts w:ascii="Microsoft JhengHei" w:hAnsi="Microsoft JhengHei" w:cs="Microsoft JhengHei" w:eastAsia="Microsoft JhengHei" w:hint="default"/>
          <w:b/>
          <w:bCs/>
          <w:sz w:val="22"/>
          <w:szCs w:val="22"/>
        </w:rPr>
      </w:pPr>
    </w:p>
    <w:tbl>
      <w:tblPr>
        <w:tblW w:w="0" w:type="auto"/>
        <w:jc w:val="left"/>
        <w:tblInd w:w="105" w:type="dxa"/>
        <w:tblLayout w:type="fixed"/>
        <w:tblCellMar>
          <w:top w:w="0" w:type="dxa"/>
          <w:left w:w="0" w:type="dxa"/>
          <w:bottom w:w="0" w:type="dxa"/>
          <w:right w:w="0" w:type="dxa"/>
        </w:tblCellMar>
        <w:tblLook w:val="01E0"/>
      </w:tblPr>
      <w:tblGrid>
        <w:gridCol w:w="2695"/>
        <w:gridCol w:w="2407"/>
        <w:gridCol w:w="2412"/>
        <w:gridCol w:w="1985"/>
      </w:tblGrid>
      <w:tr>
        <w:trPr>
          <w:trHeight w:val="427" w:hRule="exact"/>
        </w:trPr>
        <w:tc>
          <w:tcPr>
            <w:tcW w:w="2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48"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69"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778" w:hRule="exact"/>
        </w:trPr>
        <w:tc>
          <w:tcPr>
            <w:tcW w:w="2695"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61"/>
              <w:ind w:left="4" w:right="1595"/>
              <w:jc w:val="left"/>
              <w:rPr>
                <w:rFonts w:ascii="宋体" w:hAnsi="宋体" w:cs="宋体" w:eastAsia="宋体" w:hint="default"/>
                <w:sz w:val="18"/>
                <w:szCs w:val="18"/>
              </w:rPr>
            </w:pPr>
            <w:r>
              <w:rPr>
                <w:rFonts w:ascii="宋体" w:hAnsi="宋体" w:cs="宋体" w:eastAsia="宋体" w:hint="default"/>
                <w:sz w:val="18"/>
                <w:szCs w:val="18"/>
              </w:rPr>
              <w:t>应用软件开发 与销售</w:t>
            </w: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71,291,838.47</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62,543,720.56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13.99%</w:t>
            </w:r>
          </w:p>
        </w:tc>
      </w:tr>
      <w:tr>
        <w:trPr>
          <w:trHeight w:val="427" w:hRule="exact"/>
        </w:trPr>
        <w:tc>
          <w:tcPr>
            <w:tcW w:w="2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技术支持与服务</w:t>
            </w: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27,684,105.48</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25,392,635.07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9.02%</w:t>
            </w:r>
          </w:p>
        </w:tc>
      </w:tr>
      <w:tr>
        <w:trPr>
          <w:trHeight w:val="427" w:hRule="exact"/>
        </w:trPr>
        <w:tc>
          <w:tcPr>
            <w:tcW w:w="2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系统集成与硬件销售</w:t>
            </w: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154,010,106.36</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279,147,638.30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-44.83%</w:t>
            </w:r>
          </w:p>
        </w:tc>
      </w:tr>
      <w:tr>
        <w:trPr>
          <w:trHeight w:val="427" w:hRule="exact"/>
        </w:trPr>
        <w:tc>
          <w:tcPr>
            <w:tcW w:w="2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84"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252,986,050.31</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367,083,993.93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31.08%</w:t>
            </w:r>
          </w:p>
        </w:tc>
      </w:tr>
    </w:tbl>
    <w:p>
      <w:pPr>
        <w:spacing w:line="240" w:lineRule="auto" w:before="10"/>
        <w:rPr>
          <w:rFonts w:ascii="Microsoft JhengHei" w:hAnsi="Microsoft JhengHei" w:cs="Microsoft JhengHei" w:eastAsia="Microsoft JhengHei" w:hint="default"/>
          <w:b/>
          <w:bCs/>
          <w:sz w:val="16"/>
          <w:szCs w:val="16"/>
        </w:rPr>
      </w:pPr>
    </w:p>
    <w:p>
      <w:pPr>
        <w:pStyle w:val="BodyText"/>
        <w:spacing w:line="240" w:lineRule="auto" w:before="26"/>
        <w:ind w:left="595" w:right="279"/>
        <w:jc w:val="left"/>
      </w:pPr>
      <w:r>
        <w:rPr/>
        <w:t>(1)公司实物销售收入大于劳务收入</w:t>
      </w:r>
    </w:p>
    <w:p>
      <w:pPr>
        <w:spacing w:line="240" w:lineRule="auto" w:before="11"/>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191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计算机应用服务</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254,819,501.09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369,232,905.11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-30.99%</w:t>
            </w:r>
          </w:p>
        </w:tc>
      </w:tr>
      <w:tr>
        <w:trPr>
          <w:trHeight w:val="401" w:hRule="exact"/>
        </w:trPr>
        <w:tc>
          <w:tcPr>
            <w:tcW w:w="1915" w:type="dxa"/>
            <w:vMerge/>
            <w:tcBorders>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27,850,287.78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16,012,595.36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73.93%</w:t>
            </w:r>
          </w:p>
        </w:tc>
      </w:tr>
    </w:tbl>
    <w:p>
      <w:pPr>
        <w:spacing w:line="240" w:lineRule="auto" w:before="3"/>
        <w:rPr>
          <w:rFonts w:ascii="宋体" w:hAnsi="宋体" w:cs="宋体" w:eastAsia="宋体" w:hint="default"/>
          <w:sz w:val="25"/>
          <w:szCs w:val="25"/>
        </w:rPr>
      </w:pPr>
    </w:p>
    <w:p>
      <w:pPr>
        <w:pStyle w:val="BodyText"/>
        <w:spacing w:line="268" w:lineRule="auto" w:before="26"/>
        <w:ind w:left="595" w:right="2951"/>
        <w:jc w:val="left"/>
      </w:pPr>
      <w:r>
        <w:rPr/>
        <w:t>销售量与库存量变动较大的原因如下： 本期系统集成硬件销售额较去年有所下降，所以销售量下降。 年末集成项目备货增加，造成库存量较去年有所增加。 (2)公司主要销售客户情况</w:t>
      </w:r>
    </w:p>
    <w:p>
      <w:pPr>
        <w:spacing w:line="240" w:lineRule="auto" w:before="6"/>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61,101,700.65</w:t>
            </w:r>
          </w:p>
        </w:tc>
      </w:tr>
      <w:tr>
        <w:trPr>
          <w:trHeight w:val="401"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23.98%</w:t>
            </w:r>
          </w:p>
        </w:tc>
      </w:tr>
    </w:tbl>
    <w:p>
      <w:pPr>
        <w:pStyle w:val="BodyText"/>
        <w:spacing w:line="240" w:lineRule="auto" w:before="3"/>
        <w:ind w:left="595" w:right="279"/>
        <w:jc w:val="left"/>
      </w:pPr>
      <w:r>
        <w:rPr/>
        <w:t>(3)公司前</w:t>
      </w:r>
      <w:r>
        <w:rPr>
          <w:spacing w:val="-60"/>
        </w:rPr>
        <w:t> </w:t>
      </w:r>
      <w:r>
        <w:rPr/>
        <w:t>5</w:t>
      </w:r>
      <w:r>
        <w:rPr>
          <w:spacing w:val="-62"/>
        </w:rPr>
        <w:t> </w:t>
      </w:r>
      <w:r>
        <w:rPr/>
        <w:t>大客户</w:t>
      </w:r>
    </w:p>
    <w:p>
      <w:pPr>
        <w:spacing w:line="240" w:lineRule="auto" w:before="11"/>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802"/>
        <w:gridCol w:w="3302"/>
        <w:gridCol w:w="2321"/>
        <w:gridCol w:w="3144"/>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浙江省电力公司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23,384,702.99</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9.18%</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浙江中烟工业有限责任公司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11,565,581.58</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4.54%</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辽宁省电力有限公司信息通信分公司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9,043,018.90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3.55%</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浙江沃安互联科技有限公司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8,951,124.99</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3.51%</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浙江省交通运输厅信息中心</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8,157,272.19</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3.2%</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61,101,700.65</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23.98%</w:t>
            </w:r>
          </w:p>
        </w:tc>
      </w:tr>
    </w:tbl>
    <w:p>
      <w:pPr>
        <w:spacing w:line="240" w:lineRule="auto" w:before="1"/>
        <w:rPr>
          <w:rFonts w:ascii="宋体" w:hAnsi="宋体" w:cs="宋体" w:eastAsia="宋体" w:hint="default"/>
          <w:sz w:val="24"/>
          <w:szCs w:val="24"/>
        </w:rPr>
      </w:pPr>
    </w:p>
    <w:p>
      <w:pPr>
        <w:pStyle w:val="Heading3"/>
        <w:spacing w:line="367" w:lineRule="exact"/>
        <w:ind w:left="120" w:right="279"/>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3"/>
        <w:rPr>
          <w:rFonts w:ascii="Microsoft JhengHei" w:hAnsi="Microsoft JhengHei" w:cs="Microsoft JhengHei" w:eastAsia="Microsoft JhengHei" w:hint="default"/>
          <w:b/>
          <w:bCs/>
          <w:sz w:val="20"/>
          <w:szCs w:val="20"/>
        </w:rPr>
      </w:pPr>
    </w:p>
    <w:p>
      <w:pPr>
        <w:spacing w:before="44"/>
        <w:ind w:left="0" w:right="292" w:firstLine="0"/>
        <w:jc w:val="right"/>
        <w:rPr>
          <w:rFonts w:ascii="宋体" w:hAnsi="宋体" w:cs="宋体" w:eastAsia="宋体" w:hint="default"/>
          <w:sz w:val="18"/>
          <w:szCs w:val="18"/>
        </w:rPr>
      </w:pPr>
      <w:r>
        <w:rPr/>
        <w:pict>
          <v:group style="position:absolute;margin-left:547.559998pt;margin-top:107.271698pt;width:.1pt;height:10.35pt;mso-position-horizontal-relative:page;mso-position-vertical-relative:paragraph;z-index:1408" coordorigin="10951,2145" coordsize="2,207">
            <v:shape style="position:absolute;left:10951;top:2145;width:2;height:207" coordorigin="10951,2145" coordsize="0,207" path="m10951,2145l10951,2352e" filled="false" stroked="true" strokeweight=".12pt" strokecolor="#000000">
              <v:path arrowok="t"/>
            </v:shape>
            <w10:wrap type="none"/>
          </v:group>
        </w:pict>
      </w: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370"/>
        <w:gridCol w:w="1366"/>
        <w:gridCol w:w="1368"/>
        <w:gridCol w:w="1366"/>
        <w:gridCol w:w="1368"/>
        <w:gridCol w:w="1368"/>
        <w:gridCol w:w="1366"/>
      </w:tblGrid>
      <w:tr>
        <w:trPr>
          <w:trHeight w:val="403" w:hRule="exact"/>
        </w:trPr>
        <w:tc>
          <w:tcPr>
            <w:tcW w:w="13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3" w:hRule="exact"/>
        </w:trPr>
        <w:tc>
          <w:tcPr>
            <w:tcW w:w="1370" w:type="dxa"/>
            <w:vMerge/>
            <w:tcBorders>
              <w:left w:val="single" w:sz="4" w:space="0" w:color="000000"/>
              <w:bottom w:val="single" w:sz="4" w:space="0" w:color="000000"/>
              <w:right w:val="single" w:sz="4" w:space="0" w:color="000000"/>
            </w:tcBorders>
            <w:shd w:val="clear" w:color="auto" w:fill="D3D3D3"/>
          </w:tcPr>
          <w:p>
            <w:pPr/>
          </w:p>
        </w:tc>
        <w:tc>
          <w:tcPr>
            <w:tcW w:w="1366"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6"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5" w:footer="979" w:top="1060" w:bottom="1160" w:left="1020" w:right="840"/>
        </w:sectPr>
      </w:pPr>
    </w:p>
    <w:p>
      <w:pPr>
        <w:spacing w:line="240" w:lineRule="auto" w:before="6"/>
        <w:rPr>
          <w:rFonts w:ascii="宋体" w:hAnsi="宋体" w:cs="宋体" w:eastAsia="宋体" w:hint="default"/>
          <w:sz w:val="28"/>
          <w:szCs w:val="28"/>
        </w:rPr>
      </w:pPr>
      <w:r>
        <w:rPr/>
        <w:pict>
          <v:group style="position:absolute;margin-left:47.639999pt;margin-top:781.919983pt;width:.1pt;height:10.35pt;mso-position-horizontal-relative:page;mso-position-vertical-relative:page;z-index:1456" coordorigin="953,15638" coordsize="2,207">
            <v:shape style="position:absolute;left:953;top:15638;width:2;height:207" coordorigin="953,15638" coordsize="0,207" path="m953,15638l953,15845e" filled="false" stroked="true" strokeweight=".12pt" strokecolor="#000000">
              <v:path arrowok="t"/>
            </v:shape>
            <w10:wrap type="none"/>
          </v:group>
        </w:pict>
      </w:r>
    </w:p>
    <w:tbl>
      <w:tblPr>
        <w:tblW w:w="0" w:type="auto"/>
        <w:jc w:val="left"/>
        <w:tblInd w:w="287"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bookmarkStart w:name="4、费用" w:id="21"/>
            <w:bookmarkEnd w:id="21"/>
            <w:r>
              <w:rPr/>
            </w:r>
            <w:r>
              <w:rPr>
                <w:rFonts w:ascii="宋体" w:hAnsi="宋体" w:cs="宋体" w:eastAsia="宋体" w:hint="default"/>
                <w:sz w:val="18"/>
                <w:szCs w:val="18"/>
              </w:rPr>
              <w:t>计算机应用服务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168,297,642.55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0" w:right="0"/>
              <w:jc w:val="left"/>
              <w:rPr>
                <w:rFonts w:ascii="Times New Roman" w:hAnsi="Times New Roman" w:cs="Times New Roman" w:eastAsia="Times New Roman" w:hint="default"/>
                <w:sz w:val="18"/>
                <w:szCs w:val="18"/>
              </w:rPr>
            </w:pPr>
            <w:r>
              <w:rPr>
                <w:rFonts w:ascii="Times New Roman"/>
                <w:sz w:val="18"/>
              </w:rPr>
              <w:t>99.82%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258,121,625.04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0" w:right="0"/>
              <w:jc w:val="left"/>
              <w:rPr>
                <w:rFonts w:ascii="Times New Roman" w:hAnsi="Times New Roman" w:cs="Times New Roman" w:eastAsia="Times New Roman" w:hint="default"/>
                <w:sz w:val="18"/>
                <w:szCs w:val="18"/>
              </w:rPr>
            </w:pPr>
            <w:r>
              <w:rPr>
                <w:rFonts w:ascii="Times New Roman"/>
                <w:sz w:val="18"/>
              </w:rPr>
              <w:t>99.86%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3" w:right="0"/>
              <w:jc w:val="left"/>
              <w:rPr>
                <w:rFonts w:ascii="Times New Roman" w:hAnsi="Times New Roman" w:cs="Times New Roman" w:eastAsia="Times New Roman" w:hint="default"/>
                <w:sz w:val="18"/>
                <w:szCs w:val="18"/>
              </w:rPr>
            </w:pPr>
            <w:r>
              <w:rPr>
                <w:rFonts w:ascii="Times New Roman"/>
                <w:sz w:val="18"/>
              </w:rPr>
              <w:t>-34.8%</w:t>
            </w:r>
          </w:p>
        </w:tc>
      </w:tr>
    </w:tbl>
    <w:p>
      <w:pPr>
        <w:spacing w:line="240" w:lineRule="auto" w:before="6"/>
        <w:rPr>
          <w:rFonts w:ascii="宋体" w:hAnsi="宋体" w:cs="宋体" w:eastAsia="宋体" w:hint="default"/>
          <w:sz w:val="27"/>
          <w:szCs w:val="27"/>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287" w:type="dxa"/>
        <w:tblLayout w:type="fixed"/>
        <w:tblCellMar>
          <w:top w:w="0" w:type="dxa"/>
          <w:left w:w="0" w:type="dxa"/>
          <w:bottom w:w="0" w:type="dxa"/>
          <w:right w:w="0" w:type="dxa"/>
        </w:tblCellMar>
        <w:tblLook w:val="01E0"/>
      </w:tblPr>
      <w:tblGrid>
        <w:gridCol w:w="1370"/>
        <w:gridCol w:w="1366"/>
        <w:gridCol w:w="1368"/>
        <w:gridCol w:w="1366"/>
        <w:gridCol w:w="1368"/>
        <w:gridCol w:w="1366"/>
        <w:gridCol w:w="1368"/>
      </w:tblGrid>
      <w:tr>
        <w:trPr>
          <w:trHeight w:val="403" w:hRule="exact"/>
        </w:trPr>
        <w:tc>
          <w:tcPr>
            <w:tcW w:w="13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3" w:hRule="exact"/>
        </w:trPr>
        <w:tc>
          <w:tcPr>
            <w:tcW w:w="1370" w:type="dxa"/>
            <w:vMerge/>
            <w:tcBorders>
              <w:left w:val="single" w:sz="4" w:space="0" w:color="000000"/>
              <w:bottom w:val="single" w:sz="4" w:space="0" w:color="000000"/>
              <w:right w:val="single" w:sz="4" w:space="0" w:color="000000"/>
            </w:tcBorders>
            <w:shd w:val="clear" w:color="auto" w:fill="D3D3D3"/>
          </w:tcPr>
          <w:p>
            <w:pPr/>
          </w:p>
        </w:tc>
        <w:tc>
          <w:tcPr>
            <w:tcW w:w="1366"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3D3D3"/>
          </w:tcPr>
          <w:p>
            <w:pP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应用软件开发与 销售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10,185,042.29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10,273,629.17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2.07%</w:t>
            </w: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技术支持与服务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5,832,721.63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3,864,298.23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1.97%</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系统集成与硬件 销售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152,279,878.63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243,983,697.64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94.52%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-4.04%</w:t>
            </w:r>
          </w:p>
        </w:tc>
      </w:tr>
    </w:tbl>
    <w:p>
      <w:pPr>
        <w:spacing w:line="240" w:lineRule="auto" w:before="3"/>
        <w:rPr>
          <w:rFonts w:ascii="宋体" w:hAnsi="宋体" w:cs="宋体" w:eastAsia="宋体" w:hint="default"/>
          <w:sz w:val="25"/>
          <w:szCs w:val="25"/>
        </w:rPr>
      </w:pPr>
    </w:p>
    <w:p>
      <w:pPr>
        <w:pStyle w:val="BodyText"/>
        <w:spacing w:line="240" w:lineRule="auto" w:before="26"/>
        <w:ind w:left="775" w:right="279"/>
        <w:jc w:val="left"/>
      </w:pPr>
      <w:r>
        <w:rPr/>
        <w:t>(1)公司主要供应商情况</w:t>
      </w:r>
    </w:p>
    <w:p>
      <w:pPr>
        <w:spacing w:line="240" w:lineRule="auto" w:before="9"/>
        <w:rPr>
          <w:rFonts w:ascii="宋体" w:hAnsi="宋体" w:cs="宋体" w:eastAsia="宋体" w:hint="default"/>
          <w:sz w:val="5"/>
          <w:szCs w:val="5"/>
        </w:rPr>
      </w:pPr>
    </w:p>
    <w:tbl>
      <w:tblPr>
        <w:tblW w:w="0" w:type="auto"/>
        <w:jc w:val="left"/>
        <w:tblInd w:w="287"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87,139,426.32</w:t>
            </w:r>
          </w:p>
        </w:tc>
      </w:tr>
      <w:tr>
        <w:trPr>
          <w:trHeight w:val="401"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49.09%</w:t>
            </w:r>
          </w:p>
        </w:tc>
      </w:tr>
    </w:tbl>
    <w:p>
      <w:pPr>
        <w:spacing w:line="240" w:lineRule="auto" w:before="3"/>
        <w:rPr>
          <w:rFonts w:ascii="宋体" w:hAnsi="宋体" w:cs="宋体" w:eastAsia="宋体" w:hint="default"/>
          <w:sz w:val="25"/>
          <w:szCs w:val="25"/>
        </w:rPr>
      </w:pPr>
    </w:p>
    <w:p>
      <w:pPr>
        <w:pStyle w:val="BodyText"/>
        <w:spacing w:line="240" w:lineRule="auto" w:before="26"/>
        <w:ind w:left="775" w:right="279"/>
        <w:jc w:val="left"/>
      </w:pPr>
      <w:r>
        <w:rPr/>
        <w:pict>
          <v:shape style="position:absolute;margin-left:263.519989pt;margin-top:-36.644379pt;width:271.45pt;height:19.8pt;mso-position-horizontal-relative:page;mso-position-vertical-relative:paragraph;z-index:-605704"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69.639984pt;margin-top:-36.644379pt;width:265.350pt;height:19.8pt;mso-position-horizontal-relative:page;mso-position-vertical-relative:paragraph;z-index:-605656" coordorigin="5393,-733" coordsize="5307,396">
            <v:shape style="position:absolute;left:5393;top:-733;width:5307;height:396" coordorigin="5393,-733" coordsize="5307,396" path="m5393,-733l5393,-337,10699,-337,10699,-733,5393,-733xe" filled="true" fillcolor="#ffffff" stroked="false">
              <v:path arrowok="t"/>
              <v:fill type="solid"/>
            </v:shape>
            <w10:wrap type="none"/>
          </v:group>
        </w:pict>
      </w:r>
      <w:r>
        <w:rPr/>
        <w:t>(2)公司前</w:t>
      </w:r>
      <w:r>
        <w:rPr>
          <w:spacing w:val="-60"/>
        </w:rPr>
        <w:t> </w:t>
      </w:r>
      <w:r>
        <w:rPr/>
        <w:t>5</w:t>
      </w:r>
      <w:r>
        <w:rPr>
          <w:spacing w:val="-62"/>
        </w:rPr>
        <w:t> </w:t>
      </w:r>
      <w:r>
        <w:rPr/>
        <w:t>名供应商资料</w:t>
      </w:r>
    </w:p>
    <w:p>
      <w:pPr>
        <w:spacing w:line="240" w:lineRule="auto" w:before="9"/>
        <w:rPr>
          <w:rFonts w:ascii="宋体" w:hAnsi="宋体" w:cs="宋体" w:eastAsia="宋体" w:hint="default"/>
          <w:sz w:val="5"/>
          <w:szCs w:val="5"/>
        </w:rPr>
      </w:pPr>
    </w:p>
    <w:tbl>
      <w:tblPr>
        <w:tblW w:w="0" w:type="auto"/>
        <w:jc w:val="left"/>
        <w:tblInd w:w="287" w:type="dxa"/>
        <w:tblLayout w:type="fixed"/>
        <w:tblCellMar>
          <w:top w:w="0" w:type="dxa"/>
          <w:left w:w="0" w:type="dxa"/>
          <w:bottom w:w="0" w:type="dxa"/>
          <w:right w:w="0" w:type="dxa"/>
        </w:tblCellMar>
        <w:tblLook w:val="01E0"/>
      </w:tblPr>
      <w:tblGrid>
        <w:gridCol w:w="936"/>
        <w:gridCol w:w="3168"/>
        <w:gridCol w:w="2321"/>
        <w:gridCol w:w="3144"/>
      </w:tblGrid>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戴尔（中国）有限公司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57,820,157.10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32.57%</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上海宽翼通信科技有限公司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8,997,500.00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5.06%</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中国邮电器材集团公司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7,015,974.31</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3.95%</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广州市润通华经贸发展有限公司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6,430,027.00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3.62%</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杭州神州数码有限公司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6,875,767.91</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3.87%</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87,139,426.32</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49.09%</w:t>
            </w:r>
          </w:p>
        </w:tc>
      </w:tr>
    </w:tbl>
    <w:p>
      <w:pPr>
        <w:spacing w:line="240" w:lineRule="auto" w:before="1"/>
        <w:rPr>
          <w:rFonts w:ascii="宋体" w:hAnsi="宋体" w:cs="宋体" w:eastAsia="宋体" w:hint="default"/>
          <w:sz w:val="24"/>
          <w:szCs w:val="24"/>
        </w:rPr>
      </w:pPr>
    </w:p>
    <w:p>
      <w:pPr>
        <w:pStyle w:val="Heading3"/>
        <w:spacing w:line="367" w:lineRule="exact"/>
        <w:ind w:left="300" w:right="279"/>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2"/>
        <w:rPr>
          <w:rFonts w:ascii="Microsoft JhengHei" w:hAnsi="Microsoft JhengHei" w:cs="Microsoft JhengHei" w:eastAsia="Microsoft JhengHei" w:hint="default"/>
          <w:b/>
          <w:bCs/>
          <w:sz w:val="22"/>
          <w:szCs w:val="22"/>
        </w:rPr>
      </w:pPr>
    </w:p>
    <w:tbl>
      <w:tblPr>
        <w:tblW w:w="0" w:type="auto"/>
        <w:jc w:val="left"/>
        <w:tblInd w:w="285" w:type="dxa"/>
        <w:tblLayout w:type="fixed"/>
        <w:tblCellMar>
          <w:top w:w="0" w:type="dxa"/>
          <w:left w:w="0" w:type="dxa"/>
          <w:bottom w:w="0" w:type="dxa"/>
          <w:right w:w="0" w:type="dxa"/>
        </w:tblCellMar>
        <w:tblLook w:val="01E0"/>
      </w:tblPr>
      <w:tblGrid>
        <w:gridCol w:w="2554"/>
        <w:gridCol w:w="2693"/>
        <w:gridCol w:w="2551"/>
        <w:gridCol w:w="1702"/>
      </w:tblGrid>
      <w:tr>
        <w:trPr>
          <w:trHeight w:val="427"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818"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0"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7"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
              <w:jc w:val="right"/>
              <w:rPr>
                <w:rFonts w:ascii="Times New Roman" w:hAnsi="Times New Roman" w:cs="Times New Roman" w:eastAsia="Times New Roman" w:hint="default"/>
                <w:sz w:val="21"/>
                <w:szCs w:val="21"/>
              </w:rPr>
            </w:pPr>
            <w:r>
              <w:rPr>
                <w:rFonts w:ascii="Times New Roman"/>
                <w:w w:val="95"/>
                <w:sz w:val="21"/>
              </w:rPr>
              <w:t>5,224,928.25</w:t>
            </w:r>
            <w:r>
              <w:rPr>
                <w:rFonts w:ascii="Times New Roman"/>
                <w:sz w:val="21"/>
              </w:rPr>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6,848,901.14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-23.71%</w:t>
            </w:r>
          </w:p>
        </w:tc>
      </w:tr>
      <w:tr>
        <w:trPr>
          <w:trHeight w:val="427"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
              <w:jc w:val="right"/>
              <w:rPr>
                <w:rFonts w:ascii="Times New Roman" w:hAnsi="Times New Roman" w:cs="Times New Roman" w:eastAsia="Times New Roman" w:hint="default"/>
                <w:sz w:val="21"/>
                <w:szCs w:val="21"/>
              </w:rPr>
            </w:pPr>
            <w:r>
              <w:rPr>
                <w:rFonts w:ascii="Times New Roman"/>
                <w:w w:val="95"/>
                <w:sz w:val="21"/>
              </w:rPr>
              <w:t>51,747,285.33</w:t>
            </w:r>
            <w:r>
              <w:rPr>
                <w:rFonts w:ascii="Times New Roman"/>
                <w:sz w:val="21"/>
              </w:rPr>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56,333,687.43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z w:val="18"/>
              </w:rPr>
              <w:t>-8.14%</w:t>
            </w:r>
          </w:p>
        </w:tc>
      </w:tr>
      <w:tr>
        <w:trPr>
          <w:trHeight w:val="427"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
              <w:jc w:val="right"/>
              <w:rPr>
                <w:rFonts w:ascii="Times New Roman" w:hAnsi="Times New Roman" w:cs="Times New Roman" w:eastAsia="Times New Roman" w:hint="default"/>
                <w:sz w:val="21"/>
                <w:szCs w:val="21"/>
              </w:rPr>
            </w:pPr>
            <w:r>
              <w:rPr>
                <w:rFonts w:ascii="Times New Roman"/>
                <w:w w:val="95"/>
                <w:sz w:val="21"/>
              </w:rPr>
              <w:t>-5,567,569.99</w:t>
            </w:r>
            <w:r>
              <w:rPr>
                <w:rFonts w:ascii="Times New Roman"/>
                <w:sz w:val="21"/>
              </w:rPr>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-4,187,882.10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-32.94%</w:t>
            </w:r>
          </w:p>
        </w:tc>
      </w:tr>
      <w:tr>
        <w:trPr>
          <w:trHeight w:val="425" w:hRule="exact"/>
        </w:trPr>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
              <w:jc w:val="right"/>
              <w:rPr>
                <w:rFonts w:ascii="Times New Roman" w:hAnsi="Times New Roman" w:cs="Times New Roman" w:eastAsia="Times New Roman" w:hint="default"/>
                <w:sz w:val="21"/>
                <w:szCs w:val="21"/>
              </w:rPr>
            </w:pPr>
            <w:r>
              <w:rPr>
                <w:rFonts w:ascii="Times New Roman"/>
                <w:w w:val="95"/>
                <w:sz w:val="21"/>
              </w:rPr>
              <w:t>7,548,041.77</w:t>
            </w:r>
            <w:r>
              <w:rPr>
                <w:rFonts w:ascii="Times New Roman"/>
                <w:sz w:val="21"/>
              </w:rPr>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7,922,184.82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z w:val="18"/>
              </w:rPr>
              <w:t>-4.72%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840" w:right="1020"/>
        </w:sectPr>
      </w:pPr>
    </w:p>
    <w:p>
      <w:pPr>
        <w:spacing w:line="240" w:lineRule="auto" w:before="3"/>
        <w:rPr>
          <w:rFonts w:ascii="Microsoft JhengHei" w:hAnsi="Microsoft JhengHei" w:cs="Microsoft JhengHei" w:eastAsia="Microsoft JhengHei" w:hint="default"/>
          <w:b/>
          <w:bCs/>
          <w:sz w:val="22"/>
          <w:szCs w:val="22"/>
        </w:rPr>
      </w:pPr>
    </w:p>
    <w:p>
      <w:pPr>
        <w:spacing w:line="367" w:lineRule="exact" w:before="0"/>
        <w:ind w:left="120" w:right="279" w:firstLine="0"/>
        <w:jc w:val="left"/>
        <w:rPr>
          <w:rFonts w:ascii="Microsoft JhengHei" w:hAnsi="Microsoft JhengHei" w:cs="Microsoft JhengHei" w:eastAsia="Microsoft JhengHei" w:hint="default"/>
          <w:sz w:val="24"/>
          <w:szCs w:val="24"/>
        </w:rPr>
      </w:pPr>
      <w:bookmarkStart w:name="5、研发支出" w:id="22"/>
      <w:bookmarkEnd w:id="22"/>
      <w:r>
        <w:rPr/>
      </w:r>
      <w:bookmarkStart w:name="6、现金流" w:id="23"/>
      <w:bookmarkEnd w:id="23"/>
      <w:r>
        <w:rPr/>
      </w:r>
      <w:r>
        <w:rPr>
          <w:rFonts w:ascii="Times New Roman" w:hAnsi="Times New Roman" w:cs="Times New Roman" w:eastAsia="Times New Roman" w:hint="default"/>
          <w:b/>
          <w:bCs/>
          <w:sz w:val="24"/>
          <w:szCs w:val="24"/>
        </w:rPr>
        <w:t>5</w:t>
      </w:r>
      <w:r>
        <w:rPr>
          <w:rFonts w:ascii="Microsoft JhengHei" w:hAnsi="Microsoft JhengHei" w:cs="Microsoft JhengHei" w:eastAsia="Microsoft JhengHei" w:hint="default"/>
          <w:b/>
          <w:bCs/>
          <w:sz w:val="24"/>
          <w:szCs w:val="24"/>
        </w:rPr>
        <w:t>、研发支出</w:t>
      </w:r>
      <w:r>
        <w:rPr>
          <w:rFonts w:ascii="Microsoft JhengHei" w:hAnsi="Microsoft JhengHei" w:cs="Microsoft JhengHei" w:eastAsia="Microsoft JhengHei" w:hint="default"/>
          <w:sz w:val="24"/>
          <w:szCs w:val="24"/>
        </w:rPr>
      </w:r>
    </w:p>
    <w:p>
      <w:pPr>
        <w:spacing w:line="240" w:lineRule="auto" w:before="5"/>
        <w:rPr>
          <w:rFonts w:ascii="Microsoft JhengHei" w:hAnsi="Microsoft JhengHei" w:cs="Microsoft JhengHei" w:eastAsia="Microsoft JhengHei" w:hint="default"/>
          <w:b/>
          <w:bCs/>
          <w:sz w:val="22"/>
          <w:szCs w:val="22"/>
        </w:rPr>
      </w:pPr>
    </w:p>
    <w:tbl>
      <w:tblPr>
        <w:tblW w:w="0" w:type="auto"/>
        <w:jc w:val="left"/>
        <w:tblInd w:w="105" w:type="dxa"/>
        <w:tblLayout w:type="fixed"/>
        <w:tblCellMar>
          <w:top w:w="0" w:type="dxa"/>
          <w:left w:w="0" w:type="dxa"/>
          <w:bottom w:w="0" w:type="dxa"/>
          <w:right w:w="0" w:type="dxa"/>
        </w:tblCellMar>
        <w:tblLook w:val="01E0"/>
      </w:tblPr>
      <w:tblGrid>
        <w:gridCol w:w="2978"/>
        <w:gridCol w:w="2410"/>
        <w:gridCol w:w="2126"/>
        <w:gridCol w:w="1985"/>
      </w:tblGrid>
      <w:tr>
        <w:trPr>
          <w:trHeight w:val="427"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69"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7"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22,893,574.80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24,535,186.60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z w:val="18"/>
              </w:rPr>
              <w:t>-6.69%</w:t>
            </w:r>
          </w:p>
        </w:tc>
      </w:tr>
      <w:tr>
        <w:trPr>
          <w:trHeight w:val="425"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254,819,501.09</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369,232,905.11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-30.99%</w:t>
            </w:r>
          </w:p>
        </w:tc>
      </w:tr>
      <w:tr>
        <w:trPr>
          <w:trHeight w:val="427"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8.98</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6.64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35.24%</w:t>
            </w:r>
          </w:p>
        </w:tc>
      </w:tr>
      <w:tr>
        <w:trPr>
          <w:trHeight w:val="427"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母公司研发费用</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18,956,165.55</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15,247,415.99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24.32%</w:t>
            </w:r>
          </w:p>
        </w:tc>
      </w:tr>
      <w:tr>
        <w:trPr>
          <w:trHeight w:val="427"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母公司营业收入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175,007,983.74</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238,307,376.59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-26.56%</w:t>
            </w:r>
          </w:p>
        </w:tc>
      </w:tr>
      <w:tr>
        <w:trPr>
          <w:trHeight w:val="427"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占母公司营业收入比重</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10.83</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6.40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69.22%</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
        <w:rPr>
          <w:rFonts w:ascii="Microsoft JhengHei" w:hAnsi="Microsoft JhengHei" w:cs="Microsoft JhengHei" w:eastAsia="Microsoft JhengHei" w:hint="default"/>
          <w:b/>
          <w:bCs/>
          <w:sz w:val="16"/>
          <w:szCs w:val="16"/>
        </w:rPr>
      </w:pPr>
    </w:p>
    <w:p>
      <w:pPr>
        <w:spacing w:line="367" w:lineRule="exact" w:before="0"/>
        <w:ind w:left="120" w:right="279"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6</w:t>
      </w:r>
      <w:r>
        <w:rPr>
          <w:rFonts w:ascii="Microsoft JhengHei" w:hAnsi="Microsoft JhengHei" w:cs="Microsoft JhengHei" w:eastAsia="Microsoft JhengHei" w:hint="default"/>
          <w:b/>
          <w:bCs/>
          <w:sz w:val="24"/>
          <w:szCs w:val="24"/>
        </w:rPr>
        <w:t>、现金流</w:t>
      </w:r>
      <w:r>
        <w:rPr>
          <w:rFonts w:ascii="Microsoft JhengHei" w:hAnsi="Microsoft JhengHei" w:cs="Microsoft JhengHei" w:eastAsia="Microsoft JhengHei" w:hint="default"/>
          <w:sz w:val="24"/>
          <w:szCs w:val="24"/>
        </w:rPr>
      </w:r>
    </w:p>
    <w:p>
      <w:pPr>
        <w:spacing w:line="240" w:lineRule="auto" w:before="3"/>
        <w:rPr>
          <w:rFonts w:ascii="Microsoft JhengHei" w:hAnsi="Microsoft JhengHei" w:cs="Microsoft JhengHei" w:eastAsia="Microsoft JhengHei" w:hint="default"/>
          <w:b/>
          <w:bCs/>
          <w:sz w:val="20"/>
          <w:szCs w:val="20"/>
        </w:rPr>
      </w:pPr>
    </w:p>
    <w:p>
      <w:pPr>
        <w:spacing w:before="44"/>
        <w:ind w:left="0" w:right="29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393"/>
        <w:gridCol w:w="2393"/>
        <w:gridCol w:w="2390"/>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8"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268,957,866.30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421,596,541.67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-36.2%</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253,068,214.74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366,958,224.65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-31.04%</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15,889,651.56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54,638,317.02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-70.92%</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38,149,907.87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44,002,833.14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-13.3%</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58,562,759.15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38,802,670.82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50.92%</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-20,412,851.28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5,200,162.32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-492.54%</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47,060,000.00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28,895,000.00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62.87%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60,355,831.13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51,241,217.27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17.79%</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-13,295,831.13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-22,346,217.27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-40.5%</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-17,819,030.85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37,492,262.07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-147.53%</w:t>
            </w:r>
          </w:p>
        </w:tc>
      </w:tr>
    </w:tbl>
    <w:p>
      <w:pPr>
        <w:spacing w:line="240" w:lineRule="auto" w:before="0"/>
        <w:rPr>
          <w:rFonts w:ascii="宋体" w:hAnsi="宋体" w:cs="宋体" w:eastAsia="宋体" w:hint="default"/>
          <w:sz w:val="25"/>
          <w:szCs w:val="25"/>
        </w:rPr>
      </w:pPr>
    </w:p>
    <w:p>
      <w:pPr>
        <w:pStyle w:val="BodyText"/>
        <w:spacing w:line="268" w:lineRule="auto" w:before="26"/>
        <w:ind w:left="595" w:right="279"/>
        <w:jc w:val="left"/>
      </w:pPr>
      <w:r>
        <w:rPr/>
        <w:t>相关数据同比发生变动30%以上的原因说明如下： </w:t>
      </w:r>
      <w:r>
        <w:rPr>
          <w:spacing w:val="-3"/>
        </w:rPr>
        <w:t>1、经营活动现金流入、流出及净现金净额与上年同比下降较大的原因是：本期营业收入</w:t>
      </w:r>
    </w:p>
    <w:p>
      <w:pPr>
        <w:pStyle w:val="BodyText"/>
        <w:spacing w:line="312" w:lineRule="exact" w:before="0"/>
        <w:ind w:left="112" w:right="331"/>
        <w:jc w:val="both"/>
      </w:pPr>
      <w:r>
        <w:rPr/>
        <w:t>特别是需占用较大资金的系统集成业务较去年有大幅下降，导致经营性活动现金流入和经营 性活动现金流出都较去年有所下降，相应的经营活动产生的现金净流入也有所下降。此外， 由于电力、烟草客户内部组织架构的调整和人员岗位的变动，也影响了公司的正常收款。</w:t>
      </w:r>
    </w:p>
    <w:p>
      <w:pPr>
        <w:pStyle w:val="BodyText"/>
        <w:spacing w:line="237" w:lineRule="auto" w:before="13"/>
        <w:ind w:left="112" w:right="292" w:firstLine="482"/>
        <w:jc w:val="both"/>
      </w:pPr>
      <w:r>
        <w:rPr/>
        <w:pict>
          <v:group style="position:absolute;margin-left:547.559998pt;margin-top:67.085449pt;width:.1pt;height:10.35pt;mso-position-horizontal-relative:page;mso-position-vertical-relative:paragraph;z-index:1504" coordorigin="10951,1342" coordsize="2,207">
            <v:shape style="position:absolute;left:10951;top:1342;width:2;height:207" coordorigin="10951,1342" coordsize="0,207" path="m10951,1342l10951,1548e" filled="false" stroked="true" strokeweight=".12pt" strokecolor="#000000">
              <v:path arrowok="t"/>
            </v:shape>
            <w10:wrap type="none"/>
          </v:group>
        </w:pict>
      </w:r>
      <w:r>
        <w:rPr>
          <w:spacing w:val="-3"/>
        </w:rPr>
        <w:t>2、投资活动与上年同比出现较大变化的原因是：投资活动现金流入增加的原因是天健会</w:t>
      </w:r>
      <w:r>
        <w:rPr/>
        <w:t> 计事务所将公司的定期存单界定为持有至到期投资性质导致；投资活动现金流出增加的主要 </w:t>
      </w:r>
      <w:r>
        <w:rPr>
          <w:spacing w:val="-2"/>
        </w:rPr>
        <w:t>原回是本期公司参与杭州市江干区和瑞科创小额贷款有限公司增资扩股2,500万元，收购杭州</w:t>
      </w:r>
    </w:p>
    <w:p>
      <w:pPr>
        <w:spacing w:after="0" w:line="237" w:lineRule="auto"/>
        <w:jc w:val="both"/>
        <w:sectPr>
          <w:pgSz w:w="11910" w:h="16840"/>
          <w:pgMar w:header="745" w:footer="979" w:top="1060" w:bottom="1160" w:left="1020" w:right="840"/>
        </w:sectPr>
      </w:pPr>
    </w:p>
    <w:p>
      <w:pPr>
        <w:spacing w:line="240" w:lineRule="auto" w:before="8"/>
        <w:rPr>
          <w:rFonts w:ascii="宋体" w:hAnsi="宋体" w:cs="宋体" w:eastAsia="宋体" w:hint="default"/>
          <w:sz w:val="23"/>
          <w:szCs w:val="23"/>
        </w:rPr>
      </w:pPr>
      <w:r>
        <w:rPr/>
        <w:pict>
          <v:group style="position:absolute;margin-left:47.639999pt;margin-top:781.919983pt;width:.1pt;height:10.35pt;mso-position-horizontal-relative:page;mso-position-vertical-relative:page;z-index:1528" coordorigin="953,15638" coordsize="2,207">
            <v:shape style="position:absolute;left:953;top:15638;width:2;height:207" coordorigin="953,15638" coordsize="0,207" path="m953,15638l953,15845e" filled="false" stroked="true" strokeweight=".12pt" strokecolor="#000000">
              <v:path arrowok="t"/>
            </v:shape>
            <w10:wrap type="none"/>
          </v:group>
        </w:pict>
      </w:r>
    </w:p>
    <w:p>
      <w:pPr>
        <w:pStyle w:val="BodyText"/>
        <w:spacing w:line="268" w:lineRule="auto" w:before="26"/>
        <w:ind w:left="775" w:right="0" w:hanging="483"/>
        <w:jc w:val="left"/>
      </w:pPr>
      <w:bookmarkStart w:name="三、主营业务构成情况" w:id="24"/>
      <w:bookmarkEnd w:id="24"/>
      <w:r>
        <w:rPr/>
      </w:r>
      <w:bookmarkStart w:name="四、资产、负债状况分析" w:id="25"/>
      <w:bookmarkEnd w:id="25"/>
      <w:r>
        <w:rPr/>
      </w:r>
      <w:bookmarkStart w:name="1、资产项目重大变动情况" w:id="26"/>
      <w:bookmarkEnd w:id="26"/>
      <w:r>
        <w:rPr/>
      </w:r>
      <w:r>
        <w:rPr/>
        <w:t>德创电子有限公司少数股东股权1,000万元。 </w:t>
      </w:r>
      <w:r>
        <w:rPr>
          <w:spacing w:val="-3"/>
        </w:rPr>
        <w:t>3、筹资活动与上年同比出现较大变化的原因是：子公司因经营需要在本期内发生了短期</w:t>
      </w:r>
    </w:p>
    <w:p>
      <w:pPr>
        <w:pStyle w:val="BodyText"/>
        <w:spacing w:line="283" w:lineRule="exact" w:before="0"/>
        <w:ind w:right="279"/>
        <w:jc w:val="left"/>
      </w:pPr>
      <w:r>
        <w:rPr/>
        <w:t>借款，此外，本期支付现金股利1,284万元，少于2011年度支付的2,140万元。</w:t>
      </w:r>
    </w:p>
    <w:p>
      <w:pPr>
        <w:spacing w:line="240" w:lineRule="auto" w:before="2"/>
        <w:rPr>
          <w:rFonts w:ascii="宋体" w:hAnsi="宋体" w:cs="宋体" w:eastAsia="宋体" w:hint="default"/>
          <w:sz w:val="17"/>
          <w:szCs w:val="17"/>
        </w:rPr>
      </w:pPr>
    </w:p>
    <w:p>
      <w:pPr>
        <w:pStyle w:val="Heading3"/>
        <w:spacing w:line="240" w:lineRule="auto"/>
        <w:ind w:left="292" w:right="279"/>
        <w:jc w:val="left"/>
        <w:rPr>
          <w:b w:val="0"/>
          <w:bCs w:val="0"/>
        </w:rPr>
      </w:pPr>
      <w:r>
        <w:rPr/>
        <w:t>三、主营业务构成情况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287" w:type="dxa"/>
        <w:tblLayout w:type="fixed"/>
        <w:tblCellMar>
          <w:top w:w="0" w:type="dxa"/>
          <w:left w:w="0" w:type="dxa"/>
          <w:bottom w:w="0" w:type="dxa"/>
          <w:right w:w="0" w:type="dxa"/>
        </w:tblCellMar>
        <w:tblLook w:val="01E0"/>
      </w:tblPr>
      <w:tblGrid>
        <w:gridCol w:w="1368"/>
        <w:gridCol w:w="1366"/>
        <w:gridCol w:w="1366"/>
        <w:gridCol w:w="1368"/>
        <w:gridCol w:w="1366"/>
        <w:gridCol w:w="1368"/>
        <w:gridCol w:w="1370"/>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4" w:right="47" w:hanging="17"/>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4" w:right="47" w:hanging="15"/>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56" w:right="48"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计算机应用服务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252,986,050.31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168,297,642.55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-31.08%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20.64%</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应用软件开发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71,291,838.47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10,185,042.29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85.71%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-0.86%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516.4%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技术支持与服务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27,684,105.48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5,832,721.63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50.93%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289.86%</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系统集成与硬件 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154,010,106.36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152,279,878.63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-44.83%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37.59%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-11.46%</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203,131,311.16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135,132,038.90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-37.71%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-34.73%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-3.59%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16,651,023.53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11,077,006.04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353.71%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258.91%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13,429,295.77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8,933,768.56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-19.49%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-70.33%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17.9%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6,116,454.70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4,068,939.40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308.12%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65.03%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14.06%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8,863,182.06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5,896,185.36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259.05%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436.62%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-14.74%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4,794,783.09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3,189,704.29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-71.25%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-94.31%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32.35%</w:t>
            </w:r>
          </w:p>
        </w:tc>
      </w:tr>
    </w:tbl>
    <w:p>
      <w:pPr>
        <w:spacing w:line="240" w:lineRule="auto" w:before="3"/>
        <w:rPr>
          <w:rFonts w:ascii="宋体" w:hAnsi="宋体" w:cs="宋体" w:eastAsia="宋体" w:hint="default"/>
          <w:sz w:val="18"/>
          <w:szCs w:val="18"/>
        </w:rPr>
      </w:pPr>
    </w:p>
    <w:p>
      <w:pPr>
        <w:pStyle w:val="Heading3"/>
        <w:spacing w:line="367" w:lineRule="exact"/>
        <w:ind w:left="300" w:right="279" w:hanging="8"/>
        <w:jc w:val="left"/>
        <w:rPr>
          <w:b w:val="0"/>
          <w:bCs w:val="0"/>
        </w:rPr>
      </w:pPr>
      <w:r>
        <w:rPr/>
        <w:t>四、资产、负债状况分析</w:t>
      </w:r>
      <w:r>
        <w:rPr>
          <w:b w:val="0"/>
          <w:bCs w:val="0"/>
        </w:rPr>
      </w:r>
    </w:p>
    <w:p>
      <w:pPr>
        <w:spacing w:line="240" w:lineRule="auto" w:before="12"/>
        <w:rPr>
          <w:rFonts w:ascii="Microsoft JhengHei" w:hAnsi="Microsoft JhengHei" w:cs="Microsoft JhengHei" w:eastAsia="Microsoft JhengHei" w:hint="default"/>
          <w:b/>
          <w:bCs/>
          <w:sz w:val="15"/>
          <w:szCs w:val="15"/>
        </w:rPr>
      </w:pPr>
    </w:p>
    <w:p>
      <w:pPr>
        <w:spacing w:before="0"/>
        <w:ind w:left="300" w:right="279"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、资产项目重大变动情况</w:t>
      </w:r>
      <w:r>
        <w:rPr>
          <w:rFonts w:ascii="Microsoft JhengHei" w:hAnsi="Microsoft JhengHei" w:cs="Microsoft JhengHei" w:eastAsia="Microsoft JhengHei" w:hint="default"/>
          <w:sz w:val="24"/>
          <w:szCs w:val="24"/>
        </w:rPr>
      </w:r>
    </w:p>
    <w:p>
      <w:pPr>
        <w:spacing w:line="240" w:lineRule="auto" w:before="3"/>
        <w:rPr>
          <w:rFonts w:ascii="Microsoft JhengHei" w:hAnsi="Microsoft JhengHei" w:cs="Microsoft JhengHei" w:eastAsia="Microsoft JhengHei" w:hint="default"/>
          <w:b/>
          <w:bCs/>
          <w:sz w:val="20"/>
          <w:szCs w:val="20"/>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287" w:type="dxa"/>
        <w:tblLayout w:type="fixed"/>
        <w:tblCellMar>
          <w:top w:w="0" w:type="dxa"/>
          <w:left w:w="0" w:type="dxa"/>
          <w:bottom w:w="0" w:type="dxa"/>
          <w:right w:w="0" w:type="dxa"/>
        </w:tblCellMar>
        <w:tblLook w:val="01E0"/>
      </w:tblPr>
      <w:tblGrid>
        <w:gridCol w:w="1368"/>
        <w:gridCol w:w="1164"/>
        <w:gridCol w:w="1063"/>
        <w:gridCol w:w="1195"/>
        <w:gridCol w:w="1063"/>
        <w:gridCol w:w="797"/>
        <w:gridCol w:w="291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年末</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1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5"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2" w:right="74"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2" w:right="74"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2918" w:type="dxa"/>
            <w:vMerge/>
            <w:tcBorders>
              <w:left w:val="single" w:sz="4" w:space="0" w:color="000000"/>
              <w:bottom w:val="single" w:sz="4" w:space="0" w:color="000000"/>
              <w:right w:val="single" w:sz="4" w:space="0" w:color="000000"/>
            </w:tcBorders>
            <w:shd w:val="clear" w:color="auto" w:fill="D3D3D3"/>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268,962,154.1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48.05%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307,274,742.41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-5.99%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本年对外投资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万元，分配利润</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万元，造成货币资金减少。</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61,083,266.95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47,676,201.79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2"/>
              <w:jc w:val="left"/>
              <w:rPr>
                <w:rFonts w:ascii="宋体" w:hAnsi="宋体" w:cs="宋体" w:eastAsia="宋体" w:hint="default"/>
                <w:sz w:val="18"/>
                <w:szCs w:val="18"/>
              </w:rPr>
            </w:pPr>
            <w:r>
              <w:rPr>
                <w:rFonts w:ascii="宋体" w:hAnsi="宋体" w:cs="宋体" w:eastAsia="宋体" w:hint="default"/>
                <w:sz w:val="18"/>
                <w:szCs w:val="18"/>
              </w:rPr>
              <w:t>年底集成项目销货形成应收账款未 到结算期</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27,850,287.78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16,012,595.36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年末硬件集成项目购货所致</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 w:right="0"/>
              <w:jc w:val="center"/>
              <w:rPr>
                <w:rFonts w:ascii="Times New Roman" w:hAnsi="Times New Roman" w:cs="Times New Roman" w:eastAsia="Times New Roman" w:hint="default"/>
                <w:sz w:val="18"/>
                <w:szCs w:val="18"/>
              </w:rPr>
            </w:pPr>
            <w:r>
              <w:rPr>
                <w:rFonts w:ascii="Times New Roman"/>
                <w:sz w:val="18"/>
              </w:rPr>
              <w:t>27,316,526.21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4.88%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2,316,526.21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4.47%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本期投资杭州市江干区和瑞科创小</w:t>
            </w:r>
          </w:p>
        </w:tc>
      </w:tr>
    </w:tbl>
    <w:p>
      <w:pPr>
        <w:spacing w:after="0" w:line="240" w:lineRule="auto"/>
        <w:jc w:val="left"/>
        <w:rPr>
          <w:rFonts w:ascii="宋体" w:hAnsi="宋体" w:cs="宋体" w:eastAsia="宋体" w:hint="default"/>
          <w:sz w:val="18"/>
          <w:szCs w:val="18"/>
        </w:rPr>
        <w:sectPr>
          <w:pgSz w:w="11910" w:h="16840"/>
          <w:pgMar w:header="745" w:footer="979" w:top="1060" w:bottom="1160" w:left="840" w:right="1020"/>
        </w:sectPr>
      </w:pPr>
    </w:p>
    <w:p>
      <w:pPr>
        <w:spacing w:line="240" w:lineRule="auto" w:before="6"/>
        <w:rPr>
          <w:rFonts w:ascii="宋体" w:hAnsi="宋体" w:cs="宋体" w:eastAsia="宋体" w:hint="default"/>
          <w:sz w:val="28"/>
          <w:szCs w:val="28"/>
        </w:rPr>
      </w:pPr>
    </w:p>
    <w:tbl>
      <w:tblPr>
        <w:tblW w:w="0" w:type="auto"/>
        <w:jc w:val="left"/>
        <w:tblInd w:w="107" w:type="dxa"/>
        <w:tblLayout w:type="fixed"/>
        <w:tblCellMar>
          <w:top w:w="0" w:type="dxa"/>
          <w:left w:w="0" w:type="dxa"/>
          <w:bottom w:w="0" w:type="dxa"/>
          <w:right w:w="0" w:type="dxa"/>
        </w:tblCellMar>
        <w:tblLook w:val="01E0"/>
      </w:tblPr>
      <w:tblGrid>
        <w:gridCol w:w="1368"/>
        <w:gridCol w:w="1164"/>
        <w:gridCol w:w="1063"/>
        <w:gridCol w:w="1195"/>
        <w:gridCol w:w="1061"/>
        <w:gridCol w:w="799"/>
        <w:gridCol w:w="2918"/>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bookmarkStart w:name="2、负债项目重大变动情况" w:id="27"/>
            <w:bookmarkEnd w:id="27"/>
            <w:r>
              <w:rPr/>
            </w:r>
            <w:bookmarkStart w:name="五、核心竞争力分析" w:id="28"/>
            <w:bookmarkEnd w:id="28"/>
            <w:r>
              <w:rPr/>
            </w:r>
            <w:r>
              <w:rPr>
                <w:rFonts w:ascii="宋体" w:hAnsi="宋体" w:cs="宋体" w:eastAsia="宋体" w:hint="default"/>
                <w:sz w:val="18"/>
                <w:szCs w:val="18"/>
              </w:rPr>
              <w:t>额贷款有限公司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70,453,091.95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75,123,504.73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13.21%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-0.62%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19,167,521.72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38,483,172.19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6.77%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-3.35%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2"/>
              <w:jc w:val="left"/>
              <w:rPr>
                <w:rFonts w:ascii="宋体" w:hAnsi="宋体" w:cs="宋体" w:eastAsia="宋体" w:hint="default"/>
                <w:sz w:val="18"/>
                <w:szCs w:val="18"/>
              </w:rPr>
            </w:pPr>
            <w:r>
              <w:rPr>
                <w:rFonts w:ascii="宋体" w:hAnsi="宋体" w:cs="宋体" w:eastAsia="宋体" w:hint="default"/>
                <w:sz w:val="18"/>
                <w:szCs w:val="18"/>
              </w:rPr>
              <w:t>本期计提南京江琛自动化系统有限 责任公司商誉减值准备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4,211,982.30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0.75%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8,670,025.74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-0.77%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硬件到货造成预付账款减少</w:t>
            </w:r>
          </w:p>
        </w:tc>
      </w:tr>
    </w:tbl>
    <w:p>
      <w:pPr>
        <w:spacing w:line="240" w:lineRule="auto" w:before="1"/>
        <w:rPr>
          <w:rFonts w:ascii="宋体" w:hAnsi="宋体" w:cs="宋体" w:eastAsia="宋体" w:hint="default"/>
          <w:sz w:val="24"/>
          <w:szCs w:val="24"/>
        </w:rPr>
      </w:pPr>
    </w:p>
    <w:p>
      <w:pPr>
        <w:pStyle w:val="Heading3"/>
        <w:spacing w:line="367" w:lineRule="exact"/>
        <w:ind w:left="120" w:right="279"/>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3"/>
        <w:rPr>
          <w:rFonts w:ascii="Microsoft JhengHei" w:hAnsi="Microsoft JhengHei" w:cs="Microsoft JhengHei" w:eastAsia="Microsoft JhengHei" w:hint="default"/>
          <w:b/>
          <w:bCs/>
          <w:sz w:val="20"/>
          <w:szCs w:val="20"/>
        </w:rPr>
      </w:pPr>
    </w:p>
    <w:p>
      <w:pPr>
        <w:spacing w:before="44"/>
        <w:ind w:left="0" w:right="29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368"/>
        <w:gridCol w:w="1164"/>
        <w:gridCol w:w="1063"/>
        <w:gridCol w:w="1195"/>
        <w:gridCol w:w="1061"/>
        <w:gridCol w:w="799"/>
        <w:gridCol w:w="291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7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1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5"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2" w:right="74"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2" w:right="72"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9" w:type="dxa"/>
            <w:vMerge/>
            <w:tcBorders>
              <w:left w:val="single" w:sz="4" w:space="0" w:color="000000"/>
              <w:bottom w:val="single" w:sz="4" w:space="0" w:color="000000"/>
              <w:right w:val="single" w:sz="4" w:space="0" w:color="000000"/>
            </w:tcBorders>
            <w:shd w:val="clear" w:color="auto" w:fill="D3D3D3"/>
          </w:tcPr>
          <w:p>
            <w:pPr/>
          </w:p>
        </w:tc>
        <w:tc>
          <w:tcPr>
            <w:tcW w:w="2918"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367" w:lineRule="exact"/>
        <w:ind w:right="279"/>
        <w:jc w:val="left"/>
        <w:rPr>
          <w:b w:val="0"/>
          <w:bCs w:val="0"/>
        </w:rPr>
      </w:pPr>
      <w:r>
        <w:rPr/>
        <w:t>五、核心竞争力分析</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48" w:lineRule="auto" w:before="0"/>
        <w:ind w:left="112" w:right="290" w:firstLine="482"/>
        <w:jc w:val="both"/>
      </w:pPr>
      <w:r>
        <w:rPr/>
        <w:t>公司主营业务为应用软件开发与销售、系统集成及技术支持与服务，主要面向电力、烟 草、金融等重点行业客户和政府机构。公司一直专注于主营业务的经营和发展，坚持以市场 </w:t>
      </w:r>
      <w:r>
        <w:rPr>
          <w:spacing w:val="-1"/>
        </w:rPr>
        <w:t>导向为原则，积极跟踪客户的需求，同时秉持</w:t>
      </w:r>
      <w:r>
        <w:rPr>
          <w:rFonts w:ascii="Times New Roman" w:hAnsi="Times New Roman" w:cs="Times New Roman" w:eastAsia="Times New Roman" w:hint="default"/>
          <w:spacing w:val="-1"/>
        </w:rPr>
        <w:t>“</w:t>
      </w:r>
      <w:r>
        <w:rPr>
          <w:spacing w:val="-1"/>
        </w:rPr>
        <w:t>创新</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不断为伙伴创造价值，赢得尊重的高</w:t>
      </w:r>
      <w:r>
        <w:rPr/>
        <w:t> </w:t>
      </w:r>
      <w:r>
        <w:rPr>
          <w:spacing w:val="-5"/>
          <w:w w:val="98"/>
        </w:rPr>
        <w:t>绩效组织</w:t>
      </w:r>
      <w:r>
        <w:rPr>
          <w:rFonts w:ascii="Times New Roman" w:hAnsi="Times New Roman" w:cs="Times New Roman" w:eastAsia="Times New Roman" w:hint="default"/>
          <w:spacing w:val="-5"/>
          <w:w w:val="98"/>
        </w:rPr>
        <w:t>”</w:t>
      </w:r>
      <w:r>
        <w:rPr>
          <w:spacing w:val="-5"/>
          <w:w w:val="98"/>
        </w:rPr>
        <w:t>的一贯理念，不断追踪和吸收新技术，对公司已有的产品进行更深度的开发和完善，</w:t>
      </w:r>
      <w:r>
        <w:rPr>
          <w:spacing w:val="-98"/>
          <w:w w:val="98"/>
        </w:rPr>
        <w:t> </w:t>
      </w:r>
      <w:r>
        <w:rPr>
          <w:spacing w:val="-98"/>
          <w:w w:val="98"/>
        </w:rPr>
      </w:r>
      <w:r>
        <w:rPr/>
        <w:t>来提升产品质量，为客户开发适合其特点的新产品。</w:t>
      </w:r>
    </w:p>
    <w:p>
      <w:pPr>
        <w:pStyle w:val="BodyText"/>
        <w:spacing w:line="240" w:lineRule="auto" w:before="46"/>
        <w:ind w:left="595" w:right="279"/>
        <w:jc w:val="left"/>
      </w:pPr>
      <w:r>
        <w:rPr/>
        <w:t>公司的竞争优势主要表现在以下几方面：</w:t>
      </w:r>
    </w:p>
    <w:p>
      <w:pPr>
        <w:spacing w:line="312" w:lineRule="auto" w:before="77"/>
        <w:ind w:left="595" w:right="279" w:firstLine="7"/>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、与</w:t>
      </w:r>
      <w:r>
        <w:rPr>
          <w:rFonts w:ascii="Times New Roman" w:hAnsi="Times New Roman" w:cs="Times New Roman" w:eastAsia="Times New Roman" w:hint="default"/>
          <w:b/>
          <w:bCs/>
          <w:sz w:val="24"/>
          <w:szCs w:val="24"/>
        </w:rPr>
        <w:t>SAP</w:t>
      </w:r>
      <w:r>
        <w:rPr>
          <w:rFonts w:ascii="Microsoft JhengHei" w:hAnsi="Microsoft JhengHei" w:cs="Microsoft JhengHei" w:eastAsia="Microsoft JhengHei" w:hint="default"/>
          <w:b/>
          <w:bCs/>
          <w:sz w:val="24"/>
          <w:szCs w:val="24"/>
        </w:rPr>
        <w:t>公司紧密合作的优势 </w:t>
      </w:r>
      <w:r>
        <w:rPr>
          <w:rFonts w:ascii="宋体" w:hAnsi="宋体" w:cs="宋体" w:eastAsia="宋体" w:hint="default"/>
          <w:spacing w:val="2"/>
          <w:sz w:val="24"/>
          <w:szCs w:val="24"/>
        </w:rPr>
        <w:t>公司所开发的电力安全生产管理系统的主要特点就是与</w:t>
      </w:r>
      <w:r>
        <w:rPr>
          <w:rFonts w:ascii="Times New Roman" w:hAnsi="Times New Roman" w:cs="Times New Roman" w:eastAsia="Times New Roman" w:hint="default"/>
          <w:spacing w:val="2"/>
          <w:sz w:val="24"/>
          <w:szCs w:val="24"/>
        </w:rPr>
        <w:t>SAP</w:t>
      </w:r>
      <w:r>
        <w:rPr>
          <w:rFonts w:ascii="宋体" w:hAnsi="宋体" w:cs="宋体" w:eastAsia="宋体" w:hint="default"/>
          <w:spacing w:val="2"/>
          <w:sz w:val="24"/>
          <w:szCs w:val="24"/>
        </w:rPr>
        <w:t>公司的</w:t>
      </w:r>
      <w:r>
        <w:rPr>
          <w:rFonts w:ascii="Times New Roman" w:hAnsi="Times New Roman" w:cs="Times New Roman" w:eastAsia="Times New Roman" w:hint="default"/>
          <w:spacing w:val="2"/>
          <w:sz w:val="24"/>
          <w:szCs w:val="24"/>
        </w:rPr>
        <w:t>ERP</w:t>
      </w:r>
      <w:r>
        <w:rPr>
          <w:rFonts w:ascii="宋体" w:hAnsi="宋体" w:cs="宋体" w:eastAsia="宋体" w:hint="default"/>
          <w:spacing w:val="2"/>
          <w:sz w:val="24"/>
          <w:szCs w:val="24"/>
        </w:rPr>
        <w:t>系统相融合，与</w:t>
      </w:r>
    </w:p>
    <w:p>
      <w:pPr>
        <w:pStyle w:val="BodyText"/>
        <w:spacing w:line="338" w:lineRule="auto" w:before="56"/>
        <w:ind w:left="112" w:right="279"/>
        <w:jc w:val="left"/>
      </w:pPr>
      <w:r>
        <w:rPr>
          <w:rFonts w:ascii="Times New Roman" w:hAnsi="Times New Roman" w:cs="Times New Roman" w:eastAsia="Times New Roman" w:hint="default"/>
        </w:rPr>
        <w:t>SAP</w:t>
      </w:r>
      <w:r>
        <w:rPr/>
        <w:t>公司紧密合作。</w:t>
      </w:r>
      <w:r>
        <w:rPr>
          <w:rFonts w:ascii="Times New Roman" w:hAnsi="Times New Roman" w:cs="Times New Roman" w:eastAsia="Times New Roman" w:hint="default"/>
        </w:rPr>
        <w:t>SAP</w:t>
      </w:r>
      <w:r>
        <w:rPr/>
        <w:t>公司是全球最大的企业管理和协同化商务解决方案供应商、全球第</w:t>
      </w:r>
      <w:r>
        <w:rPr>
          <w:spacing w:val="-43"/>
        </w:rPr>
        <w:t> </w:t>
      </w:r>
      <w:r>
        <w:rPr>
          <w:spacing w:val="-43"/>
        </w:rPr>
      </w:r>
      <w:r>
        <w:rPr/>
        <w:t>三大独立软件供应商。</w:t>
      </w:r>
    </w:p>
    <w:p>
      <w:pPr>
        <w:pStyle w:val="Heading3"/>
        <w:spacing w:line="397" w:lineRule="exact"/>
        <w:ind w:left="602" w:right="279"/>
        <w:jc w:val="left"/>
        <w:rPr>
          <w:b w:val="0"/>
          <w:bCs w:val="0"/>
        </w:rPr>
      </w:pPr>
      <w:r>
        <w:rPr>
          <w:rFonts w:ascii="Times New Roman" w:hAnsi="Times New Roman" w:cs="Times New Roman" w:eastAsia="Times New Roman" w:hint="default"/>
        </w:rPr>
        <w:t>2</w:t>
      </w:r>
      <w:r>
        <w:rPr/>
        <w:t>、品牌优势</w:t>
      </w:r>
      <w:r>
        <w:rPr>
          <w:b w:val="0"/>
          <w:bCs w:val="0"/>
        </w:rPr>
      </w:r>
    </w:p>
    <w:p>
      <w:pPr>
        <w:pStyle w:val="BodyText"/>
        <w:spacing w:line="338" w:lineRule="auto" w:before="126"/>
        <w:ind w:left="112" w:right="286" w:firstLine="482"/>
        <w:jc w:val="both"/>
      </w:pPr>
      <w:r>
        <w:rPr/>
        <w:pict>
          <v:group style="position:absolute;margin-left:547.559998pt;margin-top:149.195602pt;width:.1pt;height:10.35pt;mso-position-horizontal-relative:page;mso-position-vertical-relative:paragraph;z-index:1552" coordorigin="10951,2984" coordsize="2,207">
            <v:shape style="position:absolute;left:10951;top:2984;width:2;height:207" coordorigin="10951,2984" coordsize="0,207" path="m10951,2984l10951,3190e" filled="false" stroked="true" strokeweight=".12pt" strokecolor="#000000">
              <v:path arrowok="t"/>
            </v:shape>
            <w10:wrap type="none"/>
          </v:group>
        </w:pict>
      </w:r>
      <w:r>
        <w:rPr>
          <w:spacing w:val="-2"/>
        </w:rPr>
        <w:t>公司自</w:t>
      </w:r>
      <w:r>
        <w:rPr>
          <w:rFonts w:ascii="Times New Roman" w:hAnsi="Times New Roman" w:cs="Times New Roman" w:eastAsia="Times New Roman" w:hint="default"/>
          <w:spacing w:val="-2"/>
        </w:rPr>
        <w:t>2003</w:t>
      </w:r>
      <w:r>
        <w:rPr>
          <w:spacing w:val="-2"/>
        </w:rPr>
        <w:t>年起，连续</w:t>
      </w:r>
      <w:r>
        <w:rPr>
          <w:rFonts w:ascii="Times New Roman" w:hAnsi="Times New Roman" w:cs="Times New Roman" w:eastAsia="Times New Roman" w:hint="default"/>
          <w:spacing w:val="-2"/>
        </w:rPr>
        <w:t>3</w:t>
      </w:r>
      <w:r>
        <w:rPr>
          <w:spacing w:val="-2"/>
        </w:rPr>
        <w:t>年获得电子政务百强软件企业称号；</w:t>
      </w:r>
      <w:r>
        <w:rPr>
          <w:rFonts w:ascii="Times New Roman" w:hAnsi="Times New Roman" w:cs="Times New Roman" w:eastAsia="Times New Roman" w:hint="default"/>
          <w:spacing w:val="-2"/>
        </w:rPr>
        <w:t>2004</w:t>
      </w:r>
      <w:r>
        <w:rPr>
          <w:spacing w:val="-2"/>
        </w:rPr>
        <w:t>年获得中国信息产业商</w:t>
      </w:r>
      <w:r>
        <w:rPr/>
        <w:t> 会</w:t>
      </w:r>
      <w:r>
        <w:rPr>
          <w:rFonts w:ascii="Times New Roman" w:hAnsi="Times New Roman" w:cs="Times New Roman" w:eastAsia="Times New Roman" w:hint="default"/>
        </w:rPr>
        <w:t>/IT</w:t>
      </w:r>
      <w:r>
        <w:rPr/>
        <w:t>渠道专业委员会</w:t>
      </w:r>
      <w:r>
        <w:rPr>
          <w:rFonts w:ascii="Times New Roman" w:hAnsi="Times New Roman" w:cs="Times New Roman" w:eastAsia="Times New Roman" w:hint="default"/>
        </w:rPr>
        <w:t>“</w:t>
      </w:r>
      <w:r>
        <w:rPr/>
        <w:t>电力行业金牌</w:t>
      </w:r>
      <w:r>
        <w:rPr>
          <w:rFonts w:ascii="Times New Roman" w:hAnsi="Times New Roman" w:cs="Times New Roman" w:eastAsia="Times New Roman" w:hint="default"/>
        </w:rPr>
        <w:t>IT</w:t>
      </w:r>
      <w:r>
        <w:rPr/>
        <w:t>服务商</w:t>
      </w:r>
      <w:r>
        <w:rPr>
          <w:rFonts w:ascii="Times New Roman" w:hAnsi="Times New Roman" w:cs="Times New Roman" w:eastAsia="Times New Roman" w:hint="default"/>
        </w:rPr>
        <w:t>”</w:t>
      </w:r>
      <w:r>
        <w:rPr/>
        <w:t>称号；</w:t>
      </w:r>
      <w:r>
        <w:rPr>
          <w:rFonts w:ascii="Times New Roman" w:hAnsi="Times New Roman" w:cs="Times New Roman" w:eastAsia="Times New Roman" w:hint="default"/>
        </w:rPr>
        <w:t>2005</w:t>
      </w:r>
      <w:r>
        <w:rPr/>
        <w:t>年，公司成为中国第一家通过</w:t>
      </w:r>
      <w:r>
        <w:rPr>
          <w:rFonts w:ascii="Times New Roman" w:hAnsi="Times New Roman" w:cs="Times New Roman" w:eastAsia="Times New Roman" w:hint="default"/>
        </w:rPr>
        <w:t>SAP </w:t>
      </w:r>
      <w:r>
        <w:rPr>
          <w:rFonts w:ascii="Times New Roman" w:hAnsi="Times New Roman" w:cs="Times New Roman" w:eastAsia="Times New Roman" w:hint="default"/>
          <w:spacing w:val="-3"/>
        </w:rPr>
        <w:t>NetWeaver</w:t>
      </w:r>
      <w:r>
        <w:rPr>
          <w:spacing w:val="-3"/>
        </w:rPr>
        <w:t>全球认证的独立软件开发商；</w:t>
      </w:r>
      <w:r>
        <w:rPr>
          <w:rFonts w:ascii="Times New Roman" w:hAnsi="Times New Roman" w:cs="Times New Roman" w:eastAsia="Times New Roman" w:hint="default"/>
          <w:spacing w:val="-3"/>
        </w:rPr>
        <w:t>2006</w:t>
      </w:r>
      <w:r>
        <w:rPr>
          <w:spacing w:val="-3"/>
        </w:rPr>
        <w:t>年公司成为国内唯一获得三个关于电网企业安全</w:t>
      </w:r>
      <w:r>
        <w:rPr>
          <w:spacing w:val="-75"/>
        </w:rPr>
        <w:t> </w:t>
      </w:r>
      <w:r>
        <w:rPr>
          <w:spacing w:val="-3"/>
        </w:rPr>
        <w:t>应用相关产品</w:t>
      </w:r>
      <w:r>
        <w:rPr>
          <w:rFonts w:ascii="Times New Roman" w:hAnsi="Times New Roman" w:cs="Times New Roman" w:eastAsia="Times New Roman" w:hint="default"/>
          <w:spacing w:val="-3"/>
        </w:rPr>
        <w:t>SAP</w:t>
      </w:r>
      <w:r>
        <w:rPr>
          <w:spacing w:val="-3"/>
        </w:rPr>
        <w:t>评测认证的</w:t>
      </w:r>
      <w:r>
        <w:rPr>
          <w:rFonts w:ascii="Times New Roman" w:hAnsi="Times New Roman" w:cs="Times New Roman" w:eastAsia="Times New Roman" w:hint="default"/>
          <w:spacing w:val="-3"/>
        </w:rPr>
        <w:t>IT</w:t>
      </w:r>
      <w:r>
        <w:rPr>
          <w:spacing w:val="-3"/>
        </w:rPr>
        <w:t>企业，公司开发的协同办公软件</w:t>
      </w:r>
      <w:r>
        <w:rPr>
          <w:rFonts w:ascii="Times New Roman" w:hAnsi="Times New Roman" w:cs="Times New Roman" w:eastAsia="Times New Roman" w:hint="default"/>
          <w:spacing w:val="-3"/>
        </w:rPr>
        <w:t>iOA</w:t>
      </w:r>
      <w:r>
        <w:rPr>
          <w:rFonts w:ascii="Times New Roman" w:hAnsi="Times New Roman" w:cs="Times New Roman" w:eastAsia="Times New Roman" w:hint="default"/>
          <w:spacing w:val="12"/>
        </w:rPr>
        <w:t> </w:t>
      </w:r>
      <w:r>
        <w:rPr>
          <w:rFonts w:ascii="Times New Roman" w:hAnsi="Times New Roman" w:cs="Times New Roman" w:eastAsia="Times New Roman" w:hint="default"/>
        </w:rPr>
        <w:t>v5.0</w:t>
      </w:r>
      <w:r>
        <w:rPr/>
        <w:t>版本被中国软件行业</w:t>
      </w:r>
      <w:r>
        <w:rPr>
          <w:spacing w:val="-118"/>
        </w:rPr>
        <w:t> </w:t>
      </w:r>
      <w:r>
        <w:rPr/>
        <w:t>协会评为</w:t>
      </w:r>
      <w:r>
        <w:rPr>
          <w:rFonts w:ascii="Times New Roman" w:hAnsi="Times New Roman" w:cs="Times New Roman" w:eastAsia="Times New Roman" w:hint="default"/>
        </w:rPr>
        <w:t>2006</w:t>
      </w:r>
      <w:r>
        <w:rPr/>
        <w:t>年度优秀软件产品的称号，公司被电脑商报评为</w:t>
      </w:r>
      <w:r>
        <w:rPr>
          <w:rFonts w:ascii="Times New Roman" w:hAnsi="Times New Roman" w:cs="Times New Roman" w:eastAsia="Times New Roman" w:hint="default"/>
        </w:rPr>
        <w:t>“</w:t>
      </w:r>
      <w:r>
        <w:rPr/>
        <w:t>浙江十佳方案商</w:t>
      </w:r>
      <w:r>
        <w:rPr>
          <w:rFonts w:ascii="Times New Roman" w:hAnsi="Times New Roman" w:cs="Times New Roman" w:eastAsia="Times New Roman" w:hint="default"/>
        </w:rPr>
        <w:t>”</w:t>
      </w:r>
      <w:r>
        <w:rPr/>
        <w:t>；</w:t>
      </w:r>
      <w:r>
        <w:rPr>
          <w:spacing w:val="-54"/>
        </w:rPr>
        <w:t> </w:t>
      </w:r>
      <w:r>
        <w:rPr>
          <w:rFonts w:ascii="Times New Roman" w:hAnsi="Times New Roman" w:cs="Times New Roman" w:eastAsia="Times New Roman" w:hint="default"/>
        </w:rPr>
        <w:t>2007</w:t>
      </w:r>
      <w:r>
        <w:rPr/>
        <w:t>年，</w:t>
      </w:r>
    </w:p>
    <w:p>
      <w:pPr>
        <w:spacing w:after="0" w:line="338" w:lineRule="auto"/>
        <w:jc w:val="both"/>
        <w:sectPr>
          <w:pgSz w:w="11910" w:h="16840"/>
          <w:pgMar w:header="745" w:footer="979" w:top="1060" w:bottom="1160" w:left="1020" w:right="840"/>
        </w:sectPr>
      </w:pPr>
    </w:p>
    <w:p>
      <w:pPr>
        <w:spacing w:line="240" w:lineRule="auto" w:before="6"/>
        <w:rPr>
          <w:rFonts w:ascii="宋体" w:hAnsi="宋体" w:cs="宋体" w:eastAsia="宋体" w:hint="default"/>
          <w:sz w:val="29"/>
          <w:szCs w:val="29"/>
        </w:rPr>
      </w:pPr>
    </w:p>
    <w:p>
      <w:pPr>
        <w:pStyle w:val="BodyText"/>
        <w:spacing w:line="338" w:lineRule="auto" w:before="26"/>
        <w:ind w:right="110"/>
        <w:jc w:val="both"/>
      </w:pPr>
      <w:r>
        <w:rPr/>
        <w:t>公司成为</w:t>
      </w:r>
      <w:r>
        <w:rPr>
          <w:rFonts w:ascii="Times New Roman" w:hAnsi="Times New Roman" w:cs="Times New Roman" w:eastAsia="Times New Roman" w:hint="default"/>
        </w:rPr>
        <w:t>SAP</w:t>
      </w:r>
      <w:r>
        <w:rPr>
          <w:rFonts w:ascii="Times New Roman" w:hAnsi="Times New Roman" w:cs="Times New Roman" w:eastAsia="Times New Roman" w:hint="default"/>
          <w:spacing w:val="2"/>
        </w:rPr>
        <w:t> </w:t>
      </w:r>
      <w:r>
        <w:rPr>
          <w:rFonts w:ascii="Times New Roman" w:hAnsi="Times New Roman" w:cs="Times New Roman" w:eastAsia="Times New Roman" w:hint="default"/>
        </w:rPr>
        <w:t>NetWeaver</w:t>
      </w:r>
      <w:r>
        <w:rPr/>
        <w:t>亚太区首家增值分销商。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月，公司成为国家电力信息网理事</w:t>
      </w:r>
      <w:r>
        <w:rPr>
          <w:w w:val="99"/>
        </w:rPr>
        <w:t> </w:t>
      </w:r>
      <w:r>
        <w:rPr/>
        <w:t>会会员单位。</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月，公司入选国家发展改革委、工业和信息化部、商务部、国家税务</w:t>
      </w:r>
      <w:r>
        <w:rPr>
          <w:spacing w:val="-112"/>
        </w:rPr>
        <w:t> </w:t>
      </w:r>
      <w:r>
        <w:rPr>
          <w:spacing w:val="-2"/>
        </w:rPr>
        <w:t>总局联合审核的国家规划布局内重点软件企业。</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2</w:t>
      </w:r>
      <w:r>
        <w:rPr>
          <w:spacing w:val="-2"/>
        </w:rPr>
        <w:t>月，公司获</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IBM</w:t>
      </w:r>
      <w:r>
        <w:rPr>
          <w:spacing w:val="-2"/>
        </w:rPr>
        <w:t>年度优秀合作</w:t>
      </w:r>
      <w:r>
        <w:rPr>
          <w:spacing w:val="-85"/>
        </w:rPr>
        <w:t> </w:t>
      </w:r>
      <w:r>
        <w:rPr/>
        <w:t>伙伴奖，</w:t>
      </w:r>
      <w:r>
        <w:rPr>
          <w:rFonts w:ascii="Times New Roman" w:hAnsi="Times New Roman" w:cs="Times New Roman" w:eastAsia="Times New Roman" w:hint="default"/>
        </w:rPr>
        <w:t>2009</w:t>
      </w:r>
      <w:r>
        <w:rPr/>
        <w:t>年获得年度区重点高新技术企业，</w:t>
      </w:r>
      <w:r>
        <w:rPr>
          <w:rFonts w:ascii="Times New Roman" w:hAnsi="Times New Roman" w:cs="Times New Roman" w:eastAsia="Times New Roman" w:hint="default"/>
        </w:rPr>
        <w:t>2011</w:t>
      </w:r>
      <w:r>
        <w:rPr/>
        <w:t>年，获年度最具投资价值成长型中小企</w:t>
      </w:r>
      <w:r>
        <w:rPr>
          <w:spacing w:val="-101"/>
        </w:rPr>
        <w:t> </w:t>
      </w:r>
      <w:r>
        <w:rPr/>
        <w:t>业以及年度成长之星企业等。上述荣誉的取得使得公司在业内树立了信誉良好的企业品牌。</w:t>
      </w:r>
    </w:p>
    <w:p>
      <w:pPr>
        <w:pStyle w:val="Heading3"/>
        <w:spacing w:line="397" w:lineRule="exact"/>
        <w:ind w:left="782" w:right="279"/>
        <w:jc w:val="left"/>
        <w:rPr>
          <w:b w:val="0"/>
          <w:bCs w:val="0"/>
        </w:rPr>
      </w:pPr>
      <w:r>
        <w:rPr>
          <w:rFonts w:ascii="Times New Roman" w:hAnsi="Times New Roman" w:cs="Times New Roman" w:eastAsia="Times New Roman" w:hint="default"/>
        </w:rPr>
        <w:t>3</w:t>
      </w:r>
      <w:r>
        <w:rPr/>
        <w:t>、技术优势</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BodyText"/>
        <w:spacing w:line="348" w:lineRule="auto" w:before="0"/>
        <w:ind w:right="110" w:firstLine="482"/>
        <w:jc w:val="both"/>
      </w:pPr>
      <w:r>
        <w:rPr/>
        <w:t>公司一贯坚持技术研发创新与行业业务发展相结合，技术优势较强。在行业应用软件领 域，公司逐步确立了在电力行业绩效管理与培训管理软件、电力行业与</w:t>
      </w:r>
      <w:r>
        <w:rPr>
          <w:rFonts w:ascii="Times New Roman" w:hAnsi="Times New Roman" w:cs="Times New Roman" w:eastAsia="Times New Roman" w:hint="default"/>
        </w:rPr>
        <w:t>ERP</w:t>
      </w:r>
      <w:r>
        <w:rPr/>
        <w:t>融合的安全生产</w:t>
      </w:r>
      <w:r>
        <w:rPr>
          <w:spacing w:val="-58"/>
        </w:rPr>
        <w:t> </w:t>
      </w:r>
      <w:r>
        <w:rPr>
          <w:spacing w:val="-58"/>
        </w:rPr>
      </w:r>
      <w:r>
        <w:rPr/>
        <w:t>管理应用软件及烟草行业电子政务市场的行业领先地位。</w:t>
      </w:r>
    </w:p>
    <w:p>
      <w:pPr>
        <w:spacing w:line="312" w:lineRule="auto" w:before="89"/>
        <w:ind w:left="775" w:right="131" w:firstLine="7"/>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Microsoft JhengHei" w:hAnsi="Microsoft JhengHei" w:cs="Microsoft JhengHei" w:eastAsia="Microsoft JhengHei" w:hint="default"/>
          <w:b/>
          <w:bCs/>
          <w:sz w:val="24"/>
          <w:szCs w:val="24"/>
        </w:rPr>
        <w:t>、具有业务资质全、等级高的优势 </w:t>
      </w:r>
      <w:r>
        <w:rPr>
          <w:rFonts w:ascii="宋体" w:hAnsi="宋体" w:cs="宋体" w:eastAsia="宋体" w:hint="default"/>
          <w:sz w:val="24"/>
          <w:szCs w:val="24"/>
        </w:rPr>
        <w:t>公司经过多年发展已取得了比较全面的业务资质。如计算机信息系统集成壹级资质、涉</w:t>
      </w:r>
    </w:p>
    <w:p>
      <w:pPr>
        <w:pStyle w:val="BodyText"/>
        <w:spacing w:line="345" w:lineRule="auto" w:before="82"/>
        <w:ind w:right="109"/>
        <w:jc w:val="both"/>
      </w:pPr>
      <w:r>
        <w:rPr/>
        <w:t>及国家秘密的计算机信息系统集成乙级资质、</w:t>
      </w:r>
      <w:r>
        <w:rPr>
          <w:spacing w:val="-93"/>
        </w:rPr>
        <w:t> </w:t>
      </w:r>
      <w:r>
        <w:rPr>
          <w:rFonts w:ascii="Times New Roman" w:hAnsi="Times New Roman" w:cs="Times New Roman" w:eastAsia="Times New Roman" w:hint="default"/>
        </w:rPr>
        <w:t>CMM3</w:t>
      </w:r>
      <w:r>
        <w:rPr/>
        <w:t>软件能力成熟度模型认证、国家重点扶</w:t>
      </w:r>
      <w:r>
        <w:rPr>
          <w:spacing w:val="-118"/>
        </w:rPr>
        <w:t> </w:t>
      </w:r>
      <w:r>
        <w:rPr>
          <w:spacing w:val="-118"/>
        </w:rPr>
      </w:r>
      <w:r>
        <w:rPr/>
        <w:t>持</w:t>
      </w:r>
      <w:r>
        <w:rPr>
          <w:rFonts w:ascii="Times New Roman" w:hAnsi="Times New Roman" w:cs="Times New Roman" w:eastAsia="Times New Roman" w:hint="default"/>
        </w:rPr>
        <w:t>“</w:t>
      </w:r>
      <w:r>
        <w:rPr/>
        <w:t>高新技术企业、浙江省科技厅认定的</w:t>
      </w:r>
      <w:r>
        <w:rPr>
          <w:rFonts w:ascii="Times New Roman" w:hAnsi="Times New Roman" w:cs="Times New Roman" w:eastAsia="Times New Roman" w:hint="default"/>
        </w:rPr>
        <w:t>“</w:t>
      </w:r>
      <w:r>
        <w:rPr/>
        <w:t>高新技术企业等等，其中前两项资质是软件行业内</w:t>
      </w:r>
      <w:r>
        <w:rPr>
          <w:spacing w:val="-88"/>
        </w:rPr>
        <w:t> </w:t>
      </w:r>
      <w:r>
        <w:rPr>
          <w:spacing w:val="-88"/>
        </w:rPr>
      </w:r>
      <w:r>
        <w:rPr>
          <w:spacing w:val="-2"/>
          <w:w w:val="95"/>
        </w:rPr>
        <w:t>衡量系统集成实力的最基本、也是最重要的资质，是公司技术、产品、质量控制、市场积累、</w:t>
      </w:r>
      <w:r>
        <w:rPr>
          <w:spacing w:val="32"/>
          <w:w w:val="95"/>
        </w:rPr>
        <w:t> </w:t>
      </w:r>
      <w:r>
        <w:rPr>
          <w:spacing w:val="32"/>
          <w:w w:val="95"/>
        </w:rPr>
      </w:r>
      <w:r>
        <w:rPr/>
        <w:t>营销网络等方面实力的综合体现。</w:t>
      </w:r>
    </w:p>
    <w:p>
      <w:pPr>
        <w:pStyle w:val="Heading3"/>
        <w:spacing w:line="390" w:lineRule="exact"/>
        <w:ind w:left="782" w:right="279"/>
        <w:jc w:val="left"/>
        <w:rPr>
          <w:b w:val="0"/>
          <w:bCs w:val="0"/>
        </w:rPr>
      </w:pPr>
      <w:r>
        <w:rPr>
          <w:rFonts w:ascii="Times New Roman" w:hAnsi="Times New Roman" w:cs="Times New Roman" w:eastAsia="Times New Roman" w:hint="default"/>
        </w:rPr>
        <w:t>5</w:t>
      </w:r>
      <w:r>
        <w:rPr/>
        <w:t>、营销、服务以及市场优势</w:t>
      </w:r>
      <w:r>
        <w:rPr>
          <w:b w:val="0"/>
          <w:bCs w:val="0"/>
        </w:rPr>
      </w:r>
    </w:p>
    <w:p>
      <w:pPr>
        <w:pStyle w:val="BodyText"/>
        <w:spacing w:line="357" w:lineRule="auto" w:before="126"/>
        <w:ind w:right="112" w:firstLine="482"/>
        <w:jc w:val="both"/>
      </w:pPr>
      <w:r>
        <w:rPr>
          <w:spacing w:val="-3"/>
          <w:w w:val="95"/>
        </w:rPr>
        <w:t>公司坚持以产品和服务带动销售的营销策略。为确保行业用户的服务需求，公司从咨询、</w:t>
      </w:r>
      <w:r>
        <w:rPr>
          <w:w w:val="50"/>
        </w:rPr>
        <w:t> </w:t>
      </w:r>
      <w:r>
        <w:rPr/>
        <w:t>实施、服务到培训，建立了针对行业企业需求特点的服务体系。公司每年为行业客户提供大</w:t>
      </w:r>
      <w:r>
        <w:rPr/>
        <w:t> 量业务与技术培训，并定期举办用户研讨会，以帮助其提高信息化水平。公司在重点城市设 有支持服务机构，可以就近对用户提供及时服务。</w:t>
      </w:r>
    </w:p>
    <w:p>
      <w:pPr>
        <w:pStyle w:val="Heading3"/>
        <w:spacing w:line="378" w:lineRule="exact"/>
        <w:ind w:left="782" w:right="279"/>
        <w:jc w:val="left"/>
        <w:rPr>
          <w:b w:val="0"/>
          <w:bCs w:val="0"/>
        </w:rPr>
      </w:pPr>
      <w:r>
        <w:rPr>
          <w:rFonts w:ascii="Times New Roman" w:hAnsi="Times New Roman" w:cs="Times New Roman" w:eastAsia="Times New Roman" w:hint="default"/>
        </w:rPr>
        <w:t>6</w:t>
      </w:r>
      <w:r>
        <w:rPr/>
        <w:t>、专业人才优势</w:t>
      </w:r>
      <w:r>
        <w:rPr>
          <w:b w:val="0"/>
          <w:bCs w:val="0"/>
        </w:rPr>
      </w:r>
    </w:p>
    <w:p>
      <w:pPr>
        <w:pStyle w:val="BodyText"/>
        <w:spacing w:line="357" w:lineRule="auto" w:before="126"/>
        <w:ind w:right="148" w:firstLine="482"/>
        <w:jc w:val="both"/>
      </w:pPr>
      <w:r>
        <w:rPr/>
        <w:t>公司致力于培养一支持续创新的行业专家队伍，核心团队长期服务于电力、烟草行业， 对电力、烟草行业的产业特性、经营特点、管理模式、业务流程等有长期、深入、全面的理 解和完整的把握，从而保证了公司研发的行业应用产品不仅具有技术上的领先优势，而且准 确地把握并满足了客户现实或潜在的需求。</w:t>
      </w:r>
    </w:p>
    <w:p>
      <w:pPr>
        <w:pStyle w:val="Heading3"/>
        <w:spacing w:line="301" w:lineRule="exact"/>
        <w:ind w:left="782" w:right="279"/>
        <w:jc w:val="left"/>
        <w:rPr>
          <w:b w:val="0"/>
          <w:bCs w:val="0"/>
        </w:rPr>
      </w:pPr>
      <w:r>
        <w:rPr>
          <w:rFonts w:ascii="Times New Roman" w:hAnsi="Times New Roman" w:cs="Times New Roman" w:eastAsia="Times New Roman" w:hint="default"/>
        </w:rPr>
        <w:t>7</w:t>
      </w:r>
      <w:r>
        <w:rPr/>
        <w:t>、与国际知名公司与科研院校的合作</w:t>
      </w:r>
      <w:r>
        <w:rPr>
          <w:b w:val="0"/>
          <w:bCs w:val="0"/>
        </w:rPr>
      </w:r>
    </w:p>
    <w:p>
      <w:pPr>
        <w:pStyle w:val="BodyText"/>
        <w:spacing w:line="357" w:lineRule="auto" w:before="47"/>
        <w:ind w:right="105" w:firstLine="482"/>
        <w:jc w:val="both"/>
      </w:pPr>
      <w:r>
        <w:rPr/>
        <w:pict>
          <v:group style="position:absolute;margin-left:47.639999pt;margin-top:97.725601pt;width:.1pt;height:10.35pt;mso-position-horizontal-relative:page;mso-position-vertical-relative:paragraph;z-index:1576" coordorigin="953,1955" coordsize="2,207">
            <v:shape style="position:absolute;left:953;top:1955;width:2;height:207" coordorigin="953,1955" coordsize="0,207" path="m953,1955l953,2161e" filled="false" stroked="true" strokeweight=".12pt" strokecolor="#000000">
              <v:path arrowok="t"/>
            </v:shape>
            <w10:wrap type="none"/>
          </v:group>
        </w:pict>
      </w:r>
      <w:r>
        <w:rPr>
          <w:w w:val="95"/>
        </w:rPr>
        <w:t>公司已经与多家国际著名公司建立了紧密的合作关系，先后成为了IBM解决方案供应商、</w:t>
      </w:r>
      <w:r>
        <w:rPr>
          <w:w w:val="65"/>
        </w:rPr>
        <w:t> </w:t>
      </w:r>
      <w:r>
        <w:rPr/>
        <w:t>微软认证合作伙伴、ORACLE</w:t>
      </w:r>
      <w:r>
        <w:rPr>
          <w:spacing w:val="16"/>
        </w:rPr>
        <w:t> </w:t>
      </w:r>
      <w:r>
        <w:rPr/>
        <w:t>OPN认证合作伙伴、CISCO高级认证合作伙伴、SUN</w:t>
      </w:r>
      <w:r>
        <w:rPr>
          <w:spacing w:val="16"/>
        </w:rPr>
        <w:t> </w:t>
      </w:r>
      <w:r>
        <w:rPr/>
        <w:t>ISV软件增值</w:t>
      </w:r>
      <w:r>
        <w:rPr>
          <w:spacing w:val="-118"/>
        </w:rPr>
        <w:t> </w:t>
      </w:r>
      <w:r>
        <w:rPr>
          <w:spacing w:val="-118"/>
        </w:rPr>
      </w:r>
      <w:r>
        <w:rPr>
          <w:w w:val="99"/>
        </w:rPr>
        <w:t>合作伙伴、Symantec合作伙伴、</w:t>
      </w:r>
      <w:r>
        <w:rPr>
          <w:rFonts w:ascii="Times New Roman" w:hAnsi="Times New Roman" w:cs="Times New Roman" w:eastAsia="Times New Roman" w:hint="default"/>
          <w:w w:val="99"/>
        </w:rPr>
        <w:t>SAP</w:t>
      </w:r>
      <w:r>
        <w:rPr>
          <w:rFonts w:ascii="Times New Roman" w:hAnsi="Times New Roman" w:cs="Times New Roman" w:eastAsia="Times New Roman" w:hint="default"/>
          <w:spacing w:val="2"/>
          <w:w w:val="99"/>
        </w:rPr>
        <w:t> </w:t>
      </w:r>
      <w:r>
        <w:rPr>
          <w:rFonts w:ascii="Times New Roman" w:hAnsi="Times New Roman" w:cs="Times New Roman" w:eastAsia="Times New Roman" w:hint="default"/>
          <w:spacing w:val="-4"/>
          <w:w w:val="100"/>
        </w:rPr>
        <w:t>NetWeaver</w:t>
      </w:r>
      <w:r>
        <w:rPr>
          <w:spacing w:val="-4"/>
          <w:w w:val="100"/>
        </w:rPr>
        <w:t>亚太区首家增值分销商，确保在软件开发、系</w:t>
      </w:r>
      <w:r>
        <w:rPr>
          <w:spacing w:val="-4"/>
        </w:rPr>
      </w:r>
    </w:p>
    <w:p>
      <w:pPr>
        <w:spacing w:after="0" w:line="357" w:lineRule="auto"/>
        <w:jc w:val="both"/>
        <w:sectPr>
          <w:pgSz w:w="11910" w:h="16840"/>
          <w:pgMar w:header="745" w:footer="979" w:top="1060" w:bottom="1160" w:left="840" w:right="1020"/>
        </w:sectPr>
      </w:pPr>
    </w:p>
    <w:p>
      <w:pPr>
        <w:spacing w:line="240" w:lineRule="auto" w:before="6"/>
        <w:rPr>
          <w:rFonts w:ascii="宋体" w:hAnsi="宋体" w:cs="宋体" w:eastAsia="宋体" w:hint="default"/>
          <w:sz w:val="29"/>
          <w:szCs w:val="29"/>
        </w:rPr>
      </w:pPr>
    </w:p>
    <w:p>
      <w:pPr>
        <w:pStyle w:val="BodyText"/>
        <w:spacing w:line="357" w:lineRule="auto" w:before="26"/>
        <w:ind w:left="112" w:right="279"/>
        <w:jc w:val="left"/>
      </w:pPr>
      <w:bookmarkStart w:name="六、投资状况分析" w:id="29"/>
      <w:bookmarkEnd w:id="29"/>
      <w:r>
        <w:rPr/>
      </w:r>
      <w:bookmarkStart w:name="1、对外股权投资情况" w:id="30"/>
      <w:bookmarkEnd w:id="30"/>
      <w:r>
        <w:rPr/>
      </w:r>
      <w:bookmarkStart w:name="（1）对外投资情况" w:id="31"/>
      <w:bookmarkEnd w:id="31"/>
      <w:r>
        <w:rPr/>
      </w:r>
      <w:bookmarkStart w:name="2、募集资金使用情况" w:id="32"/>
      <w:bookmarkEnd w:id="32"/>
      <w:r>
        <w:rPr/>
      </w:r>
      <w:bookmarkStart w:name="（1）募集资金总体使用情况" w:id="33"/>
      <w:bookmarkEnd w:id="33"/>
      <w:r>
        <w:rPr/>
      </w:r>
      <w:bookmarkStart w:name="（2）募集资金承诺项目情况" w:id="34"/>
      <w:bookmarkEnd w:id="34"/>
      <w:r>
        <w:rPr/>
      </w:r>
      <w:r>
        <w:rPr>
          <w:spacing w:val="-5"/>
          <w:w w:val="95"/>
        </w:rPr>
        <w:t>统集成领域为客户提供优质服务。同时，公司还加强了与IBM、埃森哲等咨询公司的良好合作，</w:t>
      </w:r>
      <w:r>
        <w:rPr>
          <w:spacing w:val="60"/>
          <w:w w:val="95"/>
        </w:rPr>
        <w:t> </w:t>
      </w:r>
      <w:r>
        <w:rPr>
          <w:spacing w:val="60"/>
          <w:w w:val="95"/>
        </w:rPr>
      </w:r>
      <w:r>
        <w:rPr/>
        <w:t>加快了公司市场拓展的步伐。</w:t>
      </w:r>
    </w:p>
    <w:p>
      <w:pPr>
        <w:spacing w:line="240" w:lineRule="auto" w:before="0"/>
        <w:rPr>
          <w:rFonts w:ascii="宋体" w:hAnsi="宋体" w:cs="宋体" w:eastAsia="宋体" w:hint="default"/>
          <w:sz w:val="24"/>
          <w:szCs w:val="24"/>
        </w:rPr>
      </w:pPr>
    </w:p>
    <w:p>
      <w:pPr>
        <w:pStyle w:val="Heading3"/>
        <w:spacing w:line="240" w:lineRule="auto" w:before="181"/>
        <w:ind w:right="279"/>
        <w:jc w:val="left"/>
        <w:rPr>
          <w:b w:val="0"/>
          <w:bCs w:val="0"/>
        </w:rPr>
      </w:pPr>
      <w:r>
        <w:rPr/>
        <w:t>六、投资状况分析</w:t>
      </w:r>
      <w:r>
        <w:rPr>
          <w:b w:val="0"/>
          <w:bCs w:val="0"/>
        </w:rPr>
      </w:r>
    </w:p>
    <w:p>
      <w:pPr>
        <w:spacing w:line="240" w:lineRule="auto" w:before="12"/>
        <w:rPr>
          <w:rFonts w:ascii="Microsoft JhengHei" w:hAnsi="Microsoft JhengHei" w:cs="Microsoft JhengHei" w:eastAsia="Microsoft JhengHei" w:hint="default"/>
          <w:b/>
          <w:bCs/>
          <w:sz w:val="15"/>
          <w:szCs w:val="15"/>
        </w:rPr>
      </w:pPr>
    </w:p>
    <w:p>
      <w:pPr>
        <w:spacing w:before="0"/>
        <w:ind w:left="120" w:right="279"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、对外股权投资情况</w:t>
      </w:r>
      <w:r>
        <w:rPr>
          <w:rFonts w:ascii="Microsoft JhengHei" w:hAnsi="Microsoft JhengHei" w:cs="Microsoft JhengHei" w:eastAsia="Microsoft JhengHei" w:hint="default"/>
          <w:sz w:val="24"/>
          <w:szCs w:val="24"/>
        </w:rPr>
      </w:r>
    </w:p>
    <w:p>
      <w:pPr>
        <w:spacing w:line="240" w:lineRule="auto" w:before="10"/>
        <w:rPr>
          <w:rFonts w:ascii="Microsoft JhengHei" w:hAnsi="Microsoft JhengHei" w:cs="Microsoft JhengHei" w:eastAsia="Microsoft JhengHei" w:hint="default"/>
          <w:b/>
          <w:bCs/>
          <w:sz w:val="17"/>
          <w:szCs w:val="17"/>
        </w:rPr>
      </w:pPr>
    </w:p>
    <w:p>
      <w:pPr>
        <w:spacing w:before="0"/>
        <w:ind w:left="112" w:right="27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）对外投资情况</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35,000,000.00</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72"/>
              <w:jc w:val="right"/>
              <w:rPr>
                <w:rFonts w:ascii="宋体" w:hAnsi="宋体" w:cs="宋体" w:eastAsia="宋体" w:hint="default"/>
                <w:sz w:val="18"/>
                <w:szCs w:val="18"/>
              </w:rPr>
            </w:pPr>
            <w:r>
              <w:rPr>
                <w:rFonts w:ascii="宋体" w:hAnsi="宋体" w:cs="宋体" w:eastAsia="宋体" w:hint="default"/>
                <w:spacing w:val="-1"/>
                <w:sz w:val="18"/>
                <w:szCs w:val="18"/>
              </w:rPr>
              <w:t>上市公司占被投资公司权益比例（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r>
      <w:tr>
        <w:trPr>
          <w:trHeight w:val="715"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1"/>
              <w:jc w:val="left"/>
              <w:rPr>
                <w:rFonts w:ascii="宋体" w:hAnsi="宋体" w:cs="宋体" w:eastAsia="宋体" w:hint="default"/>
                <w:sz w:val="18"/>
                <w:szCs w:val="18"/>
              </w:rPr>
            </w:pPr>
            <w:r>
              <w:rPr>
                <w:rFonts w:ascii="宋体" w:hAnsi="宋体" w:cs="宋体" w:eastAsia="宋体" w:hint="default"/>
                <w:sz w:val="18"/>
                <w:szCs w:val="18"/>
              </w:rPr>
              <w:t>杭州市江干区和瑞科创小额贷款有限公 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在江干区范围内依法办理各项小额贷款 及小企业发展、管理、财务等咨询业务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w:t>
            </w:r>
          </w:p>
        </w:tc>
      </w:tr>
      <w:tr>
        <w:trPr>
          <w:trHeight w:val="71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杭州德创电子有限公司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pacing w:val="-1"/>
                <w:w w:val="95"/>
                <w:sz w:val="18"/>
                <w:szCs w:val="18"/>
              </w:rPr>
              <w:t>销售、安装、制造电子产品，机器设备，</w:t>
            </w:r>
            <w:r>
              <w:rPr>
                <w:rFonts w:ascii="宋体" w:hAnsi="宋体" w:cs="宋体" w:eastAsia="宋体" w:hint="default"/>
                <w:spacing w:val="-14"/>
                <w:w w:val="95"/>
                <w:sz w:val="18"/>
                <w:szCs w:val="18"/>
              </w:rPr>
              <w:t> </w:t>
            </w:r>
            <w:r>
              <w:rPr>
                <w:rFonts w:ascii="宋体" w:hAnsi="宋体" w:cs="宋体" w:eastAsia="宋体" w:hint="default"/>
                <w:spacing w:val="-14"/>
                <w:w w:val="95"/>
                <w:sz w:val="18"/>
                <w:szCs w:val="18"/>
              </w:rPr>
            </w:r>
            <w:r>
              <w:rPr>
                <w:rFonts w:ascii="宋体" w:hAnsi="宋体" w:cs="宋体" w:eastAsia="宋体" w:hint="default"/>
                <w:sz w:val="18"/>
                <w:szCs w:val="18"/>
              </w:rPr>
              <w:t>仪器仪表，销售五金交电。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2"/>
        <w:rPr>
          <w:rFonts w:ascii="Microsoft JhengHei" w:hAnsi="Microsoft JhengHei" w:cs="Microsoft JhengHei" w:eastAsia="Microsoft JhengHei" w:hint="default"/>
          <w:b/>
          <w:bCs/>
          <w:sz w:val="18"/>
          <w:szCs w:val="18"/>
        </w:rPr>
      </w:pPr>
    </w:p>
    <w:p>
      <w:pPr>
        <w:pStyle w:val="Heading3"/>
        <w:spacing w:line="367" w:lineRule="exact"/>
        <w:ind w:left="120" w:right="279"/>
        <w:jc w:val="left"/>
        <w:rPr>
          <w:b w:val="0"/>
          <w:bCs w:val="0"/>
        </w:rPr>
      </w:pPr>
      <w:r>
        <w:rPr/>
        <w:pict>
          <v:shape style="position:absolute;margin-left:369.720001pt;margin-top:-87.287506pt;width:165.25pt;height:35.4pt;mso-position-horizontal-relative:page;mso-position-vertical-relative:paragraph;z-index:-605536" type="#_x0000_t202" filled="false" stroked="false">
            <v:textbox inset="0,0,0,0">
              <w:txbxContent>
                <w:p>
                  <w:pPr>
                    <w:spacing w:line="240" w:lineRule="auto" w:before="0"/>
                    <w:rPr>
                      <w:rFonts w:ascii="宋体" w:hAnsi="宋体" w:cs="宋体" w:eastAsia="宋体" w:hint="default"/>
                      <w:sz w:val="18"/>
                      <w:szCs w:val="18"/>
                    </w:rPr>
                  </w:pPr>
                </w:p>
                <w:p>
                  <w:pPr>
                    <w:spacing w:before="13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75.720001pt;margin-top:-87.287506pt;width:159.25pt;height:35.4pt;mso-position-horizontal-relative:page;mso-position-vertical-relative:paragraph;z-index:-605488" coordorigin="7514,-1746" coordsize="3185,708">
            <v:shape style="position:absolute;left:7514;top:-1746;width:3185;height:708" coordorigin="7514,-1746" coordsize="3185,708" path="m7514,-1746l7514,-1038,10699,-1038,10699,-1746,7514,-1746xe" filled="true" fillcolor="#ffffff" stroked="false">
              <v:path arrowok="t"/>
              <v:fill type="solid"/>
            </v:shape>
            <w10:wrap type="none"/>
          </v:group>
        </w:pict>
      </w:r>
      <w:r>
        <w:rPr>
          <w:rFonts w:ascii="Times New Roman" w:hAnsi="Times New Roman" w:cs="Times New Roman" w:eastAsia="Times New Roman" w:hint="default"/>
        </w:rPr>
        <w:t>2</w:t>
      </w:r>
      <w:r>
        <w:rPr/>
        <w:t>、募集资金使用情况</w:t>
      </w:r>
      <w:r>
        <w:rPr>
          <w:b w:val="0"/>
          <w:bCs w:val="0"/>
        </w:rPr>
      </w:r>
    </w:p>
    <w:p>
      <w:pPr>
        <w:spacing w:line="240" w:lineRule="auto" w:before="10"/>
        <w:rPr>
          <w:rFonts w:ascii="Microsoft JhengHei" w:hAnsi="Microsoft JhengHei" w:cs="Microsoft JhengHei" w:eastAsia="Microsoft JhengHei" w:hint="default"/>
          <w:b/>
          <w:bCs/>
          <w:sz w:val="17"/>
          <w:szCs w:val="17"/>
        </w:rPr>
      </w:pPr>
    </w:p>
    <w:p>
      <w:pPr>
        <w:spacing w:before="0"/>
        <w:ind w:left="112" w:right="27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）募集资金总体使用情况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29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4102"/>
        <w:gridCol w:w="5467"/>
      </w:tblGrid>
      <w:tr>
        <w:trPr>
          <w:trHeight w:val="403" w:hRule="exact"/>
        </w:trPr>
        <w:tc>
          <w:tcPr>
            <w:tcW w:w="4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28,364.91</w:t>
            </w:r>
          </w:p>
        </w:tc>
      </w:tr>
      <w:tr>
        <w:trPr>
          <w:trHeight w:val="401" w:hRule="exact"/>
        </w:trPr>
        <w:tc>
          <w:tcPr>
            <w:tcW w:w="4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6,753.89</w:t>
            </w:r>
          </w:p>
        </w:tc>
      </w:tr>
      <w:tr>
        <w:trPr>
          <w:trHeight w:val="403" w:hRule="exact"/>
        </w:trPr>
        <w:tc>
          <w:tcPr>
            <w:tcW w:w="4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23,972.48</w:t>
            </w:r>
          </w:p>
        </w:tc>
      </w:tr>
      <w:tr>
        <w:trPr>
          <w:trHeight w:val="401" w:hRule="exact"/>
        </w:trPr>
        <w:tc>
          <w:tcPr>
            <w:tcW w:w="4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4,392.43</w:t>
            </w:r>
          </w:p>
        </w:tc>
      </w:tr>
      <w:tr>
        <w:trPr>
          <w:trHeight w:val="403" w:hRule="exact"/>
        </w:trPr>
        <w:tc>
          <w:tcPr>
            <w:tcW w:w="4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9,392.43</w:t>
            </w:r>
          </w:p>
        </w:tc>
      </w:tr>
      <w:tr>
        <w:trPr>
          <w:trHeight w:val="401" w:hRule="exact"/>
        </w:trPr>
        <w:tc>
          <w:tcPr>
            <w:tcW w:w="4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33.11%</w:t>
            </w:r>
          </w:p>
        </w:tc>
      </w:tr>
      <w:tr>
        <w:trPr>
          <w:trHeight w:val="403"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日，本公司所有募集资金使用完毕。</w:t>
            </w:r>
          </w:p>
        </w:tc>
      </w:tr>
    </w:tbl>
    <w:p>
      <w:pPr>
        <w:spacing w:line="240" w:lineRule="auto" w:before="5"/>
        <w:rPr>
          <w:rFonts w:ascii="宋体" w:hAnsi="宋体" w:cs="宋体" w:eastAsia="宋体" w:hint="default"/>
          <w:sz w:val="19"/>
          <w:szCs w:val="19"/>
        </w:rPr>
      </w:pPr>
    </w:p>
    <w:p>
      <w:pPr>
        <w:spacing w:line="333" w:lineRule="exact" w:before="0"/>
        <w:ind w:left="112" w:right="27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）募集资金承诺项目情况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292" w:firstLine="0"/>
        <w:jc w:val="right"/>
        <w:rPr>
          <w:rFonts w:ascii="宋体" w:hAnsi="宋体" w:cs="宋体" w:eastAsia="宋体" w:hint="default"/>
          <w:sz w:val="18"/>
          <w:szCs w:val="18"/>
        </w:rPr>
      </w:pPr>
      <w:r>
        <w:rPr/>
        <w:pict>
          <v:group style="position:absolute;margin-left:547.559998pt;margin-top:53.5117pt;width:.1pt;height:10.35pt;mso-position-horizontal-relative:page;mso-position-vertical-relative:paragraph;z-index:1624" coordorigin="10951,1070" coordsize="2,207">
            <v:shape style="position:absolute;left:10951;top:1070;width:2;height:207" coordorigin="10951,1070" coordsize="0,207" path="m10951,1070l10951,1277e" filled="false" stroked="true" strokeweight=".12pt" strokecolor="#000000">
              <v:path arrowok="t"/>
            </v:shape>
            <w10:wrap type="none"/>
          </v:group>
        </w:pict>
      </w: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771"/>
        <w:gridCol w:w="778"/>
        <w:gridCol w:w="780"/>
        <w:gridCol w:w="780"/>
        <w:gridCol w:w="780"/>
        <w:gridCol w:w="780"/>
        <w:gridCol w:w="780"/>
        <w:gridCol w:w="780"/>
        <w:gridCol w:w="780"/>
        <w:gridCol w:w="780"/>
        <w:gridCol w:w="780"/>
      </w:tblGrid>
      <w:tr>
        <w:trPr>
          <w:trHeight w:val="362"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2" w:right="0"/>
              <w:jc w:val="left"/>
              <w:rPr>
                <w:rFonts w:ascii="宋体" w:hAnsi="宋体" w:cs="宋体" w:eastAsia="宋体" w:hint="default"/>
                <w:sz w:val="18"/>
                <w:szCs w:val="18"/>
              </w:rPr>
            </w:pPr>
            <w:r>
              <w:rPr>
                <w:rFonts w:ascii="宋体" w:hAnsi="宋体" w:cs="宋体" w:eastAsia="宋体" w:hint="default"/>
                <w:sz w:val="18"/>
                <w:szCs w:val="18"/>
              </w:rPr>
              <w:t>承诺投资项目和超募</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是否已变</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调整后投</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本报告期</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截至期末</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截至期末</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项目达到</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本报告期</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是否达到</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项目可行</w:t>
            </w:r>
          </w:p>
        </w:tc>
      </w:tr>
    </w:tbl>
    <w:p>
      <w:pPr>
        <w:spacing w:after="0" w:line="240" w:lineRule="auto"/>
        <w:jc w:val="left"/>
        <w:rPr>
          <w:rFonts w:ascii="宋体" w:hAnsi="宋体" w:cs="宋体" w:eastAsia="宋体" w:hint="default"/>
          <w:sz w:val="18"/>
          <w:szCs w:val="18"/>
        </w:rPr>
        <w:sectPr>
          <w:pgSz w:w="11910" w:h="16840"/>
          <w:pgMar w:header="745" w:footer="979" w:top="1060" w:bottom="1160" w:left="1020" w:right="840"/>
        </w:sectPr>
      </w:pPr>
    </w:p>
    <w:p>
      <w:pPr>
        <w:spacing w:line="240" w:lineRule="auto" w:before="0"/>
        <w:rPr>
          <w:rFonts w:ascii="Times New Roman" w:hAnsi="Times New Roman" w:cs="Times New Roman" w:eastAsia="Times New Roman" w:hint="default"/>
          <w:sz w:val="20"/>
          <w:szCs w:val="20"/>
        </w:rPr>
      </w:pPr>
      <w:r>
        <w:rPr/>
        <w:pict>
          <v:shape style="position:absolute;margin-left:139.080002pt;margin-top:541.080017pt;width:44.9pt;height:19.8pt;mso-position-horizontal-relative:page;mso-position-vertical-relative:page;z-index:-605464"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47.639999pt;margin-top:781.919983pt;width:.1pt;height:10.35pt;mso-position-horizontal-relative:page;mso-position-vertical-relative:page;z-index:1696" coordorigin="953,15638" coordsize="2,207">
            <v:shape style="position:absolute;left:953;top:15638;width:2;height:207" coordorigin="953,15638" coordsize="0,207" path="m953,15638l953,15845e" filled="false" stroked="true" strokeweight=".12pt" strokecolor="#000000">
              <v:path arrowok="t"/>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287" w:type="dxa"/>
        <w:tblLayout w:type="fixed"/>
        <w:tblCellMar>
          <w:top w:w="0" w:type="dxa"/>
          <w:left w:w="0" w:type="dxa"/>
          <w:bottom w:w="0" w:type="dxa"/>
          <w:right w:w="0" w:type="dxa"/>
        </w:tblCellMar>
        <w:tblLook w:val="01E0"/>
      </w:tblPr>
      <w:tblGrid>
        <w:gridCol w:w="1771"/>
        <w:gridCol w:w="778"/>
        <w:gridCol w:w="780"/>
        <w:gridCol w:w="780"/>
        <w:gridCol w:w="780"/>
        <w:gridCol w:w="780"/>
        <w:gridCol w:w="780"/>
        <w:gridCol w:w="780"/>
        <w:gridCol w:w="780"/>
        <w:gridCol w:w="780"/>
        <w:gridCol w:w="780"/>
      </w:tblGrid>
      <w:tr>
        <w:trPr>
          <w:trHeight w:val="986"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520" w:right="0"/>
              <w:jc w:val="left"/>
              <w:rPr>
                <w:rFonts w:ascii="宋体" w:hAnsi="宋体" w:cs="宋体" w:eastAsia="宋体" w:hint="default"/>
                <w:sz w:val="18"/>
                <w:szCs w:val="18"/>
              </w:rPr>
            </w:pPr>
            <w:r>
              <w:rPr>
                <w:rFonts w:ascii="宋体" w:hAnsi="宋体" w:cs="宋体" w:eastAsia="宋体" w:hint="default"/>
                <w:sz w:val="18"/>
                <w:szCs w:val="18"/>
              </w:rPr>
              <w:t>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10"/>
              <w:ind w:left="86" w:right="83"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206" w:right="23" w:hanging="180"/>
              <w:jc w:val="left"/>
              <w:rPr>
                <w:rFonts w:ascii="宋体" w:hAnsi="宋体" w:cs="宋体" w:eastAsia="宋体" w:hint="default"/>
                <w:sz w:val="18"/>
                <w:szCs w:val="18"/>
              </w:rPr>
            </w:pPr>
            <w:r>
              <w:rPr>
                <w:rFonts w:ascii="宋体" w:hAnsi="宋体" w:cs="宋体" w:eastAsia="宋体" w:hint="default"/>
                <w:sz w:val="18"/>
                <w:szCs w:val="18"/>
              </w:rPr>
              <w:t>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资总额</w:t>
            </w:r>
          </w:p>
          <w:p>
            <w:pPr>
              <w:pStyle w:val="TableParagraph"/>
              <w:spacing w:line="240" w:lineRule="auto" w:before="116"/>
              <w:ind w:left="7" w:right="0"/>
              <w:jc w:val="center"/>
              <w:rPr>
                <w:rFonts w:ascii="Times New Roman" w:hAnsi="Times New Roman" w:cs="Times New Roman" w:eastAsia="Times New Roman" w:hint="default"/>
                <w:sz w:val="18"/>
                <w:szCs w:val="18"/>
              </w:rPr>
            </w:pPr>
            <w:r>
              <w:rPr>
                <w:rFonts w:ascii="Times New Roman"/>
                <w:sz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23"/>
              <w:jc w:val="right"/>
              <w:rPr>
                <w:rFonts w:ascii="宋体" w:hAnsi="宋体" w:cs="宋体" w:eastAsia="宋体" w:hint="default"/>
                <w:sz w:val="18"/>
                <w:szCs w:val="18"/>
              </w:rPr>
            </w:pPr>
            <w:r>
              <w:rPr>
                <w:rFonts w:ascii="宋体" w:hAnsi="宋体" w:cs="宋体" w:eastAsia="宋体" w:hint="default"/>
                <w:sz w:val="18"/>
                <w:szCs w:val="18"/>
              </w:rPr>
              <w:t>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100" w:right="23" w:hanging="75"/>
              <w:jc w:val="left"/>
              <w:rPr>
                <w:rFonts w:ascii="Times New Roman" w:hAnsi="Times New Roman" w:cs="Times New Roman" w:eastAsia="Times New Roman" w:hint="default"/>
                <w:sz w:val="18"/>
                <w:szCs w:val="18"/>
              </w:rPr>
            </w:pPr>
            <w:r>
              <w:rPr>
                <w:rFonts w:ascii="宋体" w:hAnsi="宋体" w:cs="宋体" w:eastAsia="宋体" w:hint="default"/>
                <w:sz w:val="18"/>
                <w:szCs w:val="18"/>
              </w:rPr>
              <w:t>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投资进度</w:t>
            </w:r>
          </w:p>
          <w:p>
            <w:pPr>
              <w:pStyle w:val="TableParagraph"/>
              <w:spacing w:line="240" w:lineRule="auto" w:before="76"/>
              <w:ind w:left="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102"/>
              <w:ind w:left="7" w:right="0"/>
              <w:jc w:val="center"/>
              <w:rPr>
                <w:rFonts w:ascii="Times New Roman" w:hAnsi="Times New Roman" w:cs="Times New Roman" w:eastAsia="Times New Roman" w:hint="default"/>
                <w:sz w:val="18"/>
                <w:szCs w:val="18"/>
              </w:rPr>
            </w:pPr>
            <w:r>
              <w:rPr>
                <w:rFonts w:ascii="Times New Roman"/>
                <w:sz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26" w:right="23"/>
              <w:jc w:val="center"/>
              <w:rPr>
                <w:rFonts w:ascii="宋体" w:hAnsi="宋体" w:cs="宋体" w:eastAsia="宋体" w:hint="default"/>
                <w:sz w:val="18"/>
                <w:szCs w:val="18"/>
              </w:rPr>
            </w:pPr>
            <w:r>
              <w:rPr>
                <w:rFonts w:ascii="宋体" w:hAnsi="宋体" w:cs="宋体" w:eastAsia="宋体" w:hint="default"/>
                <w:sz w:val="18"/>
                <w:szCs w:val="18"/>
              </w:rPr>
              <w:t>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295" w:right="23" w:hanging="269"/>
              <w:jc w:val="left"/>
              <w:rPr>
                <w:rFonts w:ascii="宋体" w:hAnsi="宋体" w:cs="宋体" w:eastAsia="宋体" w:hint="default"/>
                <w:sz w:val="18"/>
                <w:szCs w:val="18"/>
              </w:rPr>
            </w:pPr>
            <w:r>
              <w:rPr>
                <w:rFonts w:ascii="宋体" w:hAnsi="宋体" w:cs="宋体" w:eastAsia="宋体" w:hint="default"/>
                <w:sz w:val="18"/>
                <w:szCs w:val="18"/>
              </w:rPr>
              <w:t>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10"/>
              <w:ind w:left="26" w:right="23"/>
              <w:jc w:val="center"/>
              <w:rPr>
                <w:rFonts w:ascii="宋体" w:hAnsi="宋体" w:cs="宋体" w:eastAsia="宋体" w:hint="default"/>
                <w:sz w:val="18"/>
                <w:szCs w:val="18"/>
              </w:rPr>
            </w:pPr>
            <w:r>
              <w:rPr>
                <w:rFonts w:ascii="宋体" w:hAnsi="宋体" w:cs="宋体" w:eastAsia="宋体" w:hint="default"/>
                <w:sz w:val="18"/>
                <w:szCs w:val="18"/>
              </w:rPr>
              <w:t>性是否发 生重大变 化</w:t>
            </w:r>
          </w:p>
        </w:tc>
      </w:tr>
      <w:tr>
        <w:trPr>
          <w:trHeight w:val="401"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4" w:right="62"/>
              <w:jc w:val="left"/>
              <w:rPr>
                <w:rFonts w:ascii="宋体" w:hAnsi="宋体" w:cs="宋体" w:eastAsia="宋体" w:hint="default"/>
                <w:sz w:val="18"/>
                <w:szCs w:val="18"/>
              </w:rPr>
            </w:pP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融合电力安全生 产管理系统技改项目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6,650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3,360.1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3,360.1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17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融合电力实时数</w:t>
            </w:r>
          </w:p>
        </w:tc>
        <w:tc>
          <w:tcPr>
            <w:tcW w:w="778"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据集成应用系统技改</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2,420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pacing w:val="-1"/>
                <w:sz w:val="18"/>
              </w:rPr>
              <w:t>339.31</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41.63</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339.31</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w:t>
            </w:r>
          </w:p>
        </w:tc>
        <w:tc>
          <w:tcPr>
            <w:tcW w:w="780" w:type="dxa"/>
            <w:vMerge/>
            <w:tcBorders>
              <w:left w:val="single" w:sz="4" w:space="0" w:color="000000"/>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3" w:hRule="exact"/>
        </w:trPr>
        <w:tc>
          <w:tcPr>
            <w:tcW w:w="17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平台</w:t>
            </w:r>
          </w:p>
        </w:tc>
        <w:tc>
          <w:tcPr>
            <w:tcW w:w="778"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15"/>
              <w:jc w:val="left"/>
              <w:rPr>
                <w:rFonts w:ascii="宋体" w:hAnsi="宋体" w:cs="宋体" w:eastAsia="宋体" w:hint="default"/>
                <w:sz w:val="18"/>
                <w:szCs w:val="18"/>
              </w:rPr>
            </w:pPr>
            <w:r>
              <w:rPr>
                <w:rFonts w:ascii="宋体" w:hAnsi="宋体" w:cs="宋体" w:eastAsia="宋体" w:hint="default"/>
                <w:sz w:val="18"/>
                <w:szCs w:val="18"/>
              </w:rPr>
              <w:t>烟草电子政务平台技 改项目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1,677.47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1,677.47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15"/>
              <w:jc w:val="left"/>
              <w:rPr>
                <w:rFonts w:ascii="宋体" w:hAnsi="宋体" w:cs="宋体" w:eastAsia="宋体" w:hint="default"/>
                <w:sz w:val="18"/>
                <w:szCs w:val="18"/>
              </w:rPr>
            </w:pPr>
            <w:r>
              <w:rPr>
                <w:rFonts w:ascii="宋体" w:hAnsi="宋体" w:cs="宋体" w:eastAsia="宋体" w:hint="default"/>
                <w:sz w:val="18"/>
                <w:szCs w:val="18"/>
              </w:rPr>
              <w:t>烟草工商信息协同系 统技改项目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15"/>
              <w:jc w:val="left"/>
              <w:rPr>
                <w:rFonts w:ascii="宋体" w:hAnsi="宋体" w:cs="宋体" w:eastAsia="宋体" w:hint="default"/>
                <w:sz w:val="18"/>
                <w:szCs w:val="18"/>
              </w:rPr>
            </w:pPr>
            <w:r>
              <w:rPr>
                <w:rFonts w:ascii="宋体" w:hAnsi="宋体" w:cs="宋体" w:eastAsia="宋体" w:hint="default"/>
                <w:sz w:val="18"/>
                <w:szCs w:val="18"/>
              </w:rPr>
              <w:t>研发及客户支持中心 技改项目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593.43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593.43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19"/>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15,425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5,970.31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5,970.31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5"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15"/>
              <w:jc w:val="left"/>
              <w:rPr>
                <w:rFonts w:ascii="宋体" w:hAnsi="宋体" w:cs="宋体" w:eastAsia="宋体" w:hint="default"/>
                <w:sz w:val="18"/>
                <w:szCs w:val="18"/>
              </w:rPr>
            </w:pPr>
            <w:r>
              <w:rPr>
                <w:rFonts w:ascii="宋体" w:hAnsi="宋体" w:cs="宋体" w:eastAsia="宋体" w:hint="default"/>
                <w:sz w:val="18"/>
                <w:szCs w:val="18"/>
              </w:rPr>
              <w:t>收购南京江琛自动化 系统有限公司</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-197.47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15"/>
              <w:jc w:val="left"/>
              <w:rPr>
                <w:rFonts w:ascii="宋体" w:hAnsi="宋体" w:cs="宋体" w:eastAsia="宋体" w:hint="default"/>
                <w:sz w:val="18"/>
                <w:szCs w:val="18"/>
              </w:rPr>
            </w:pPr>
            <w:r>
              <w:rPr>
                <w:rFonts w:ascii="宋体" w:hAnsi="宋体" w:cs="宋体" w:eastAsia="宋体" w:hint="default"/>
                <w:sz w:val="18"/>
                <w:szCs w:val="18"/>
              </w:rPr>
              <w:t>收购杭州德创电子有 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股权</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2,650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2,650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-1,369.03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19"/>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6,289.91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6,289.91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6,289.91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6,289.91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19"/>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12,939.91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12,939.91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6,289.91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12,939.91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-1,566.5</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19"/>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28,364.91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18,910.22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6,795.52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18,910.22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-1,566.5</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r>
      <w:tr>
        <w:trPr>
          <w:trHeight w:val="361" w:hRule="exact"/>
        </w:trPr>
        <w:tc>
          <w:tcPr>
            <w:tcW w:w="1771" w:type="dxa"/>
            <w:tcBorders>
              <w:top w:val="single" w:sz="4" w:space="0" w:color="000000"/>
              <w:left w:val="single" w:sz="4" w:space="0" w:color="000000"/>
              <w:bottom w:val="nil" w:sz="6" w:space="0" w:color="auto"/>
              <w:right w:val="single" w:sz="4" w:space="0" w:color="000000"/>
            </w:tcBorders>
            <w:shd w:val="clear" w:color="auto" w:fill="D3D3D3"/>
          </w:tcPr>
          <w:p>
            <w:pPr/>
          </w:p>
        </w:tc>
        <w:tc>
          <w:tcPr>
            <w:tcW w:w="7798" w:type="dxa"/>
            <w:gridSpan w:val="10"/>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原“</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融合电力实时数据集成应用系统”项目主要是基于电力实时数据的采集和应用，该项目</w:t>
            </w:r>
          </w:p>
        </w:tc>
      </w:tr>
      <w:tr>
        <w:trPr>
          <w:trHeight w:val="308" w:hRule="exact"/>
        </w:trPr>
        <w:tc>
          <w:tcPr>
            <w:tcW w:w="1771" w:type="dxa"/>
            <w:tcBorders>
              <w:top w:val="nil" w:sz="6" w:space="0" w:color="auto"/>
              <w:left w:val="single" w:sz="4" w:space="0" w:color="000000"/>
              <w:bottom w:val="nil" w:sz="6" w:space="0" w:color="auto"/>
              <w:right w:val="single" w:sz="4" w:space="0" w:color="000000"/>
            </w:tcBorders>
            <w:shd w:val="clear" w:color="auto" w:fill="D3D3D3"/>
          </w:tcPr>
          <w:p>
            <w:pPr/>
          </w:p>
        </w:tc>
        <w:tc>
          <w:tcPr>
            <w:tcW w:w="7798"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侧重智能电网中电力生产管理的实时数据单向采集及管理应用结合。目前已实现电力实时数据采集</w:t>
            </w:r>
          </w:p>
        </w:tc>
      </w:tr>
      <w:tr>
        <w:trPr>
          <w:trHeight w:val="312" w:hRule="exact"/>
        </w:trPr>
        <w:tc>
          <w:tcPr>
            <w:tcW w:w="1771" w:type="dxa"/>
            <w:tcBorders>
              <w:top w:val="nil" w:sz="6" w:space="0" w:color="auto"/>
              <w:left w:val="single" w:sz="4" w:space="0" w:color="000000"/>
              <w:bottom w:val="nil" w:sz="6" w:space="0" w:color="auto"/>
              <w:right w:val="single" w:sz="4" w:space="0" w:color="000000"/>
            </w:tcBorders>
            <w:shd w:val="clear" w:color="auto" w:fill="D3D3D3"/>
          </w:tcPr>
          <w:p>
            <w:pPr/>
          </w:p>
        </w:tc>
        <w:tc>
          <w:tcPr>
            <w:tcW w:w="7798"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接口、发布、图形化等子系统的设计开发及试点工作，未展开电力经济运行、计划平衡、状态检修</w:t>
            </w:r>
          </w:p>
        </w:tc>
      </w:tr>
      <w:tr>
        <w:trPr>
          <w:trHeight w:val="420" w:hRule="exact"/>
        </w:trPr>
        <w:tc>
          <w:tcPr>
            <w:tcW w:w="17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未达到计划进度或预</w:t>
            </w:r>
          </w:p>
        </w:tc>
        <w:tc>
          <w:tcPr>
            <w:tcW w:w="7798"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等应用系统的开发。</w:t>
            </w:r>
          </w:p>
        </w:tc>
      </w:tr>
      <w:tr>
        <w:trPr>
          <w:trHeight w:val="312" w:hRule="exact"/>
        </w:trPr>
        <w:tc>
          <w:tcPr>
            <w:tcW w:w="17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计收益的情况和原因</w:t>
            </w:r>
          </w:p>
        </w:tc>
        <w:tc>
          <w:tcPr>
            <w:tcW w:w="7798" w:type="dxa"/>
            <w:gridSpan w:val="10"/>
            <w:tcBorders>
              <w:top w:val="nil" w:sz="6" w:space="0" w:color="auto"/>
              <w:left w:val="single" w:sz="4" w:space="0" w:color="000000"/>
              <w:bottom w:val="nil" w:sz="6" w:space="0" w:color="auto"/>
              <w:right w:val="single" w:sz="4" w:space="0" w:color="000000"/>
            </w:tcBorders>
          </w:tcPr>
          <w:p>
            <w:pPr>
              <w:pStyle w:val="TableParagraph"/>
              <w:spacing w:line="19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原“烟草工商信息协同系统”项目由于受烟草行业在烟草</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ERP</w:t>
            </w:r>
            <w:r>
              <w:rPr>
                <w:rFonts w:ascii="宋体" w:hAnsi="宋体" w:cs="宋体" w:eastAsia="宋体" w:hint="default"/>
                <w:sz w:val="18"/>
                <w:szCs w:val="18"/>
              </w:rPr>
              <w:t>、烟草物流等重大系统建设周期因</w:t>
            </w:r>
          </w:p>
        </w:tc>
      </w:tr>
      <w:tr>
        <w:trPr>
          <w:trHeight w:val="312" w:hRule="exact"/>
        </w:trPr>
        <w:tc>
          <w:tcPr>
            <w:tcW w:w="17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nil" w:sz="6" w:space="0" w:color="auto"/>
              <w:left w:val="single" w:sz="4" w:space="0" w:color="000000"/>
              <w:bottom w:val="nil" w:sz="6" w:space="0" w:color="auto"/>
              <w:right w:val="single" w:sz="4" w:space="0" w:color="000000"/>
            </w:tcBorders>
          </w:tcPr>
          <w:p>
            <w:pPr>
              <w:pStyle w:val="TableParagraph"/>
              <w:spacing w:line="179" w:lineRule="exact"/>
              <w:ind w:left="24" w:right="0"/>
              <w:jc w:val="left"/>
              <w:rPr>
                <w:rFonts w:ascii="宋体" w:hAnsi="宋体" w:cs="宋体" w:eastAsia="宋体" w:hint="default"/>
                <w:sz w:val="18"/>
                <w:szCs w:val="18"/>
              </w:rPr>
            </w:pPr>
            <w:r>
              <w:rPr>
                <w:rFonts w:ascii="宋体" w:hAnsi="宋体" w:cs="宋体" w:eastAsia="宋体" w:hint="default"/>
                <w:sz w:val="18"/>
                <w:szCs w:val="18"/>
              </w:rPr>
              <w:t>素影响，延迟了工商协同系统的投资，目前该项目所涉及的业务未见明显好转，因此该项目不再具</w:t>
            </w:r>
          </w:p>
        </w:tc>
      </w:tr>
      <w:tr>
        <w:trPr>
          <w:trHeight w:val="264" w:hRule="exact"/>
        </w:trPr>
        <w:tc>
          <w:tcPr>
            <w:tcW w:w="1771" w:type="dxa"/>
            <w:tcBorders>
              <w:top w:val="nil" w:sz="6" w:space="0" w:color="auto"/>
              <w:left w:val="single" w:sz="4" w:space="0" w:color="000000"/>
              <w:bottom w:val="nil" w:sz="6" w:space="0" w:color="auto"/>
              <w:right w:val="single" w:sz="4" w:space="0" w:color="000000"/>
            </w:tcBorders>
            <w:shd w:val="clear" w:color="auto" w:fill="D3D3D3"/>
          </w:tcPr>
          <w:p>
            <w:pPr/>
          </w:p>
        </w:tc>
        <w:tc>
          <w:tcPr>
            <w:tcW w:w="7798" w:type="dxa"/>
            <w:gridSpan w:val="10"/>
            <w:tcBorders>
              <w:top w:val="nil" w:sz="6" w:space="0" w:color="auto"/>
              <w:left w:val="single" w:sz="4" w:space="0" w:color="000000"/>
              <w:bottom w:val="nil" w:sz="6" w:space="0" w:color="auto"/>
              <w:right w:val="single" w:sz="4" w:space="0" w:color="000000"/>
            </w:tcBorders>
          </w:tcPr>
          <w:p>
            <w:pPr>
              <w:pStyle w:val="TableParagraph"/>
              <w:spacing w:line="179" w:lineRule="exact"/>
              <w:ind w:left="24" w:right="0"/>
              <w:jc w:val="left"/>
              <w:rPr>
                <w:rFonts w:ascii="宋体" w:hAnsi="宋体" w:cs="宋体" w:eastAsia="宋体" w:hint="default"/>
                <w:sz w:val="18"/>
                <w:szCs w:val="18"/>
              </w:rPr>
            </w:pPr>
            <w:r>
              <w:rPr>
                <w:rFonts w:ascii="宋体" w:hAnsi="宋体" w:cs="宋体" w:eastAsia="宋体" w:hint="default"/>
                <w:sz w:val="18"/>
                <w:szCs w:val="18"/>
              </w:rPr>
              <w:t>备继续实施的条件，公司决定停止实施该项目。</w:t>
            </w:r>
          </w:p>
        </w:tc>
      </w:tr>
      <w:tr>
        <w:trPr>
          <w:trHeight w:val="336" w:hRule="exact"/>
        </w:trPr>
        <w:tc>
          <w:tcPr>
            <w:tcW w:w="1771" w:type="dxa"/>
            <w:tcBorders>
              <w:top w:val="nil" w:sz="6" w:space="0" w:color="auto"/>
              <w:left w:val="single" w:sz="4" w:space="0" w:color="000000"/>
              <w:bottom w:val="nil" w:sz="6" w:space="0" w:color="auto"/>
              <w:right w:val="single" w:sz="4" w:space="0" w:color="000000"/>
            </w:tcBorders>
            <w:shd w:val="clear" w:color="auto" w:fill="D3D3D3"/>
          </w:tcPr>
          <w:p>
            <w:pPr/>
          </w:p>
        </w:tc>
        <w:tc>
          <w:tcPr>
            <w:tcW w:w="7798"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原“研发及客户支持中心技改”</w:t>
            </w:r>
            <w:r>
              <w:rPr>
                <w:rFonts w:ascii="宋体" w:hAnsi="宋体" w:cs="宋体" w:eastAsia="宋体" w:hint="default"/>
                <w:spacing w:val="-47"/>
                <w:sz w:val="18"/>
                <w:szCs w:val="18"/>
              </w:rPr>
              <w:t> </w:t>
            </w:r>
            <w:r>
              <w:rPr>
                <w:rFonts w:ascii="宋体" w:hAnsi="宋体" w:cs="宋体" w:eastAsia="宋体" w:hint="default"/>
                <w:sz w:val="18"/>
                <w:szCs w:val="18"/>
              </w:rPr>
              <w:t>项目的投入中主要是建立开发测试培训演示环境，网络存储基础</w:t>
            </w:r>
          </w:p>
        </w:tc>
      </w:tr>
      <w:tr>
        <w:trPr>
          <w:trHeight w:val="307" w:hRule="exact"/>
        </w:trPr>
        <w:tc>
          <w:tcPr>
            <w:tcW w:w="1771" w:type="dxa"/>
            <w:tcBorders>
              <w:top w:val="nil" w:sz="6" w:space="0" w:color="auto"/>
              <w:left w:val="single" w:sz="4" w:space="0" w:color="000000"/>
              <w:bottom w:val="nil" w:sz="6" w:space="0" w:color="auto"/>
              <w:right w:val="single" w:sz="4" w:space="0" w:color="000000"/>
            </w:tcBorders>
            <w:shd w:val="clear" w:color="auto" w:fill="D3D3D3"/>
          </w:tcPr>
          <w:p>
            <w:pPr/>
          </w:p>
        </w:tc>
        <w:tc>
          <w:tcPr>
            <w:tcW w:w="7798"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设施及客户服务支持、研发管理体系，以及完成业务架构平台、统一消息平台、管理流程平台等共</w:t>
            </w:r>
          </w:p>
        </w:tc>
      </w:tr>
      <w:tr>
        <w:trPr>
          <w:trHeight w:val="317" w:hRule="exact"/>
        </w:trPr>
        <w:tc>
          <w:tcPr>
            <w:tcW w:w="1771" w:type="dxa"/>
            <w:tcBorders>
              <w:top w:val="nil" w:sz="6" w:space="0" w:color="auto"/>
              <w:left w:val="single" w:sz="4" w:space="0" w:color="000000"/>
              <w:bottom w:val="single" w:sz="4" w:space="0" w:color="000000"/>
              <w:right w:val="single" w:sz="4" w:space="0" w:color="000000"/>
            </w:tcBorders>
            <w:shd w:val="clear" w:color="auto" w:fill="D3D3D3"/>
          </w:tcPr>
          <w:p>
            <w:pPr/>
          </w:p>
        </w:tc>
        <w:tc>
          <w:tcPr>
            <w:tcW w:w="7798" w:type="dxa"/>
            <w:gridSpan w:val="10"/>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享软件基础平台。目前已完成业务架构平台等三个共享软件基础平台的研发工作，也建立了符合公</w:t>
            </w:r>
          </w:p>
        </w:tc>
      </w:tr>
    </w:tbl>
    <w:p>
      <w:pPr>
        <w:spacing w:after="0" w:line="240" w:lineRule="auto"/>
        <w:jc w:val="left"/>
        <w:rPr>
          <w:rFonts w:ascii="宋体" w:hAnsi="宋体" w:cs="宋体" w:eastAsia="宋体" w:hint="default"/>
          <w:sz w:val="18"/>
          <w:szCs w:val="18"/>
        </w:rPr>
        <w:sectPr>
          <w:pgSz w:w="11910" w:h="16840"/>
          <w:pgMar w:header="745" w:footer="979" w:top="1060" w:bottom="1160" w:left="840" w:right="1020"/>
        </w:sectPr>
      </w:pPr>
    </w:p>
    <w:p>
      <w:pPr>
        <w:spacing w:line="240" w:lineRule="auto" w:before="0"/>
        <w:rPr>
          <w:rFonts w:ascii="Times New Roman" w:hAnsi="Times New Roman" w:cs="Times New Roman" w:eastAsia="Times New Roman" w:hint="default"/>
          <w:sz w:val="20"/>
          <w:szCs w:val="20"/>
        </w:rPr>
      </w:pPr>
      <w:r>
        <w:rPr/>
        <w:pict>
          <v:shape style="position:absolute;margin-left:56.759998pt;margin-top:549.23999pt;width:88.2pt;height:19.8pt;mso-position-horizontal-relative:page;mso-position-vertical-relative:page;z-index:-605416" type="#_x0000_t202" filled="false" stroked="false">
            <v:textbox inset="0,0,0,0">
              <w:txbxContent>
                <w:p>
                  <w:pPr>
                    <w:spacing w:line="198" w:lineRule="exact" w:before="0"/>
                    <w:ind w:left="26" w:right="0" w:firstLine="0"/>
                    <w:jc w:val="left"/>
                    <w:rPr>
                      <w:rFonts w:ascii="宋体" w:hAnsi="宋体" w:cs="宋体" w:eastAsia="宋体" w:hint="default"/>
                      <w:sz w:val="18"/>
                      <w:szCs w:val="18"/>
                    </w:rPr>
                  </w:pPr>
                  <w:r>
                    <w:rPr>
                      <w:rFonts w:ascii="宋体" w:hAnsi="宋体" w:cs="宋体" w:eastAsia="宋体" w:hint="default"/>
                      <w:sz w:val="18"/>
                      <w:szCs w:val="18"/>
                    </w:rPr>
                    <w:t>施地点变更情况</w:t>
                  </w:r>
                </w:p>
              </w:txbxContent>
            </v:textbox>
            <w10:wrap type="none"/>
          </v:shape>
        </w:pict>
      </w:r>
      <w:r>
        <w:rPr/>
        <w:pict>
          <v:shape style="position:absolute;margin-left:56.759998pt;margin-top:569.400024pt;width:88.2pt;height:55.45pt;mso-position-horizontal-relative:page;mso-position-vertical-relative:page;z-index:-605392" type="#_x0000_t202" filled="false" stroked="false">
            <v:textbox inset="0,0,0,0">
              <w:txbxContent>
                <w:p>
                  <w:pPr>
                    <w:spacing w:line="198" w:lineRule="exact" w:before="0"/>
                    <w:ind w:left="26" w:right="0" w:firstLine="0"/>
                    <w:jc w:val="left"/>
                    <w:rPr>
                      <w:rFonts w:ascii="宋体" w:hAnsi="宋体" w:cs="宋体" w:eastAsia="宋体" w:hint="default"/>
                      <w:sz w:val="18"/>
                      <w:szCs w:val="18"/>
                    </w:rPr>
                  </w:pPr>
                  <w:r>
                    <w:rPr>
                      <w:rFonts w:ascii="宋体" w:hAnsi="宋体" w:cs="宋体" w:eastAsia="宋体" w:hint="default"/>
                      <w:sz w:val="18"/>
                      <w:szCs w:val="18"/>
                    </w:rPr>
                    <w:t>施方式调整情况</w:t>
                  </w:r>
                </w:p>
              </w:txbxContent>
            </v:textbox>
            <w10:wrap type="none"/>
          </v:shape>
        </w:pict>
      </w:r>
      <w:r>
        <w:rPr/>
        <w:pict>
          <v:group style="position:absolute;margin-left:547.559998pt;margin-top:781.919983pt;width:.1pt;height:10.35pt;mso-position-horizontal-relative:page;mso-position-vertical-relative:page;z-index:1768" coordorigin="10951,15638" coordsize="2,207">
            <v:shape style="position:absolute;left:10951;top:15638;width:2;height:207" coordorigin="10951,15638" coordsize="0,207" path="m10951,15638l10951,15845e" filled="false" stroked="true" strokeweight=".12pt" strokecolor="#000000">
              <v:path arrowok="t"/>
            </v:shape>
            <w10:wrap type="none"/>
          </v:group>
        </w:pict>
      </w:r>
      <w:r>
        <w:rPr/>
        <w:pict>
          <v:shape style="position:absolute;margin-left:56.399998pt;margin-top:72.000023pt;width:479.2pt;height:687pt;mso-position-horizontal-relative:page;mso-position-vertical-relative:page;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1"/>
                    <w:gridCol w:w="7798"/>
                  </w:tblGrid>
                  <w:tr>
                    <w:trPr>
                      <w:trHeight w:val="317" w:hRule="exact"/>
                    </w:trPr>
                    <w:tc>
                      <w:tcPr>
                        <w:tcW w:w="1771" w:type="dxa"/>
                        <w:vMerge w:val="restart"/>
                        <w:tcBorders>
                          <w:top w:val="single" w:sz="4" w:space="0" w:color="000000"/>
                          <w:left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w w:val="95"/>
                            <w:sz w:val="18"/>
                            <w:szCs w:val="18"/>
                          </w:rPr>
                          <w:t>司业务发展的研发管理体系。原开发测试及培训演示环境因采用虚拟化、云计算等成熟的先进技术，</w:t>
                        </w:r>
                        <w:r>
                          <w:rPr>
                            <w:rFonts w:ascii="宋体" w:hAnsi="宋体" w:cs="宋体" w:eastAsia="宋体" w:hint="default"/>
                            <w:spacing w:val="-3"/>
                            <w:sz w:val="18"/>
                            <w:szCs w:val="18"/>
                          </w:rPr>
                        </w:r>
                      </w:p>
                    </w:tc>
                  </w:tr>
                  <w:tr>
                    <w:trPr>
                      <w:trHeight w:val="331" w:hRule="exact"/>
                    </w:trPr>
                    <w:tc>
                      <w:tcPr>
                        <w:tcW w:w="1771" w:type="dxa"/>
                        <w:vMerge/>
                        <w:tcBorders>
                          <w:left w:val="single" w:sz="4" w:space="0" w:color="000000"/>
                          <w:right w:val="single" w:sz="4" w:space="0" w:color="000000"/>
                        </w:tcBorders>
                        <w:shd w:val="clear" w:color="auto" w:fill="D3D3D3"/>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大幅节省了项目投资。公司决定停止实施该项目未完成的客户服务支持、网络存储等基础设施部分</w:t>
                        </w:r>
                      </w:p>
                    </w:tc>
                  </w:tr>
                  <w:tr>
                    <w:trPr>
                      <w:trHeight w:val="337" w:hRule="exact"/>
                    </w:trPr>
                    <w:tc>
                      <w:tcPr>
                        <w:tcW w:w="1771" w:type="dxa"/>
                        <w:vMerge/>
                        <w:tcBorders>
                          <w:left w:val="single" w:sz="4" w:space="0" w:color="000000"/>
                          <w:right w:val="single" w:sz="4" w:space="0" w:color="000000"/>
                        </w:tcBorders>
                        <w:shd w:val="clear" w:color="auto" w:fill="D3D3D3"/>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、原“</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融合电力安全生产管理系统技改项目”主要是基于电力配网安全、移动作业、项目管</w:t>
                        </w:r>
                      </w:p>
                    </w:tc>
                  </w:tr>
                  <w:tr>
                    <w:trPr>
                      <w:trHeight w:val="308" w:hRule="exact"/>
                    </w:trPr>
                    <w:tc>
                      <w:tcPr>
                        <w:tcW w:w="1771" w:type="dxa"/>
                        <w:vMerge/>
                        <w:tcBorders>
                          <w:left w:val="single" w:sz="4" w:space="0" w:color="000000"/>
                          <w:right w:val="single" w:sz="4" w:space="0" w:color="000000"/>
                        </w:tcBorders>
                        <w:shd w:val="clear" w:color="auto" w:fill="D3D3D3"/>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理、目标管理、配网地理信息等管理系统的生产管理。目前已基本完成包括电力移动作业、配网地</w:t>
                        </w:r>
                      </w:p>
                    </w:tc>
                  </w:tr>
                  <w:tr>
                    <w:trPr>
                      <w:trHeight w:val="312" w:hRule="exact"/>
                    </w:trPr>
                    <w:tc>
                      <w:tcPr>
                        <w:tcW w:w="1771" w:type="dxa"/>
                        <w:vMerge/>
                        <w:tcBorders>
                          <w:left w:val="single" w:sz="4" w:space="0" w:color="000000"/>
                          <w:right w:val="single" w:sz="4" w:space="0" w:color="000000"/>
                        </w:tcBorders>
                        <w:shd w:val="clear" w:color="auto" w:fill="D3D3D3"/>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理信息等基础性管理系统的投入以及电力目标管理系统的投入。已投入子项目取得了一定的市场效</w:t>
                        </w:r>
                      </w:p>
                    </w:tc>
                  </w:tr>
                  <w:tr>
                    <w:trPr>
                      <w:trHeight w:val="312" w:hRule="exact"/>
                    </w:trPr>
                    <w:tc>
                      <w:tcPr>
                        <w:tcW w:w="1771" w:type="dxa"/>
                        <w:vMerge/>
                        <w:tcBorders>
                          <w:left w:val="single" w:sz="4" w:space="0" w:color="000000"/>
                          <w:right w:val="single" w:sz="4" w:space="0" w:color="000000"/>
                        </w:tcBorders>
                        <w:shd w:val="clear" w:color="auto" w:fill="D3D3D3"/>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果，近年来，公司的该等子项目的产品在华东、东北、湖北、山东、辽宁、新疆及浙江等地都取得</w:t>
                        </w:r>
                      </w:p>
                    </w:tc>
                  </w:tr>
                  <w:tr>
                    <w:trPr>
                      <w:trHeight w:val="315" w:hRule="exact"/>
                    </w:trPr>
                    <w:tc>
                      <w:tcPr>
                        <w:tcW w:w="1771" w:type="dxa"/>
                        <w:vMerge/>
                        <w:tcBorders>
                          <w:left w:val="single" w:sz="4" w:space="0" w:color="000000"/>
                          <w:right w:val="single" w:sz="4" w:space="0" w:color="000000"/>
                        </w:tcBorders>
                        <w:shd w:val="clear" w:color="auto" w:fill="D3D3D3"/>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w w:val="95"/>
                            <w:sz w:val="18"/>
                            <w:szCs w:val="18"/>
                          </w:rPr>
                          <w:t>了较好的市场效果。国网公司   </w:t>
                        </w:r>
                        <w:r>
                          <w:rPr>
                            <w:rFonts w:ascii="Times New Roman" w:hAnsi="Times New Roman" w:cs="Times New Roman" w:eastAsia="Times New Roman" w:hint="default"/>
                            <w:w w:val="95"/>
                            <w:sz w:val="18"/>
                            <w:szCs w:val="18"/>
                          </w:rPr>
                          <w:t>2010   </w:t>
                        </w:r>
                        <w:r>
                          <w:rPr>
                            <w:rFonts w:ascii="Times New Roman" w:hAnsi="Times New Roman" w:cs="Times New Roman" w:eastAsia="Times New Roman" w:hint="default"/>
                            <w:spacing w:val="6"/>
                            <w:w w:val="95"/>
                            <w:sz w:val="18"/>
                            <w:szCs w:val="18"/>
                          </w:rPr>
                          <w:t> </w:t>
                        </w:r>
                        <w:r>
                          <w:rPr>
                            <w:rFonts w:ascii="宋体" w:hAnsi="宋体" w:cs="宋体" w:eastAsia="宋体" w:hint="default"/>
                            <w:spacing w:val="-6"/>
                            <w:w w:val="95"/>
                            <w:sz w:val="18"/>
                            <w:szCs w:val="18"/>
                          </w:rPr>
                          <w:t>年提出“三集五大”体系建设（人财务集约化、大规划、大建设、</w:t>
                        </w:r>
                        <w:r>
                          <w:rPr>
                            <w:rFonts w:ascii="宋体" w:hAnsi="宋体" w:cs="宋体" w:eastAsia="宋体" w:hint="default"/>
                            <w:spacing w:val="-6"/>
                            <w:sz w:val="18"/>
                            <w:szCs w:val="18"/>
                          </w:rPr>
                        </w:r>
                      </w:p>
                    </w:tc>
                  </w:tr>
                  <w:tr>
                    <w:trPr>
                      <w:trHeight w:val="307" w:hRule="exact"/>
                    </w:trPr>
                    <w:tc>
                      <w:tcPr>
                        <w:tcW w:w="1771" w:type="dxa"/>
                        <w:vMerge/>
                        <w:tcBorders>
                          <w:left w:val="single" w:sz="4" w:space="0" w:color="000000"/>
                          <w:right w:val="single" w:sz="4" w:space="0" w:color="000000"/>
                        </w:tcBorders>
                        <w:shd w:val="clear" w:color="auto" w:fill="D3D3D3"/>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大运行</w:t>
                        </w:r>
                        <w:r>
                          <w:rPr>
                            <w:rFonts w:ascii="宋体" w:hAnsi="宋体" w:cs="宋体" w:eastAsia="宋体" w:hint="default"/>
                            <w:spacing w:val="-20"/>
                            <w:sz w:val="18"/>
                            <w:szCs w:val="18"/>
                          </w:rPr>
                          <w:t>、</w:t>
                        </w:r>
                        <w:r>
                          <w:rPr>
                            <w:rFonts w:ascii="宋体" w:hAnsi="宋体" w:cs="宋体" w:eastAsia="宋体" w:hint="default"/>
                            <w:sz w:val="18"/>
                            <w:szCs w:val="18"/>
                          </w:rPr>
                          <w:t>大检修</w:t>
                        </w:r>
                        <w:r>
                          <w:rPr>
                            <w:rFonts w:ascii="宋体" w:hAnsi="宋体" w:cs="宋体" w:eastAsia="宋体" w:hint="default"/>
                            <w:spacing w:val="-17"/>
                            <w:sz w:val="18"/>
                            <w:szCs w:val="18"/>
                          </w:rPr>
                          <w:t>、</w:t>
                        </w:r>
                        <w:r>
                          <w:rPr>
                            <w:rFonts w:ascii="宋体" w:hAnsi="宋体" w:cs="宋体" w:eastAsia="宋体" w:hint="default"/>
                            <w:sz w:val="18"/>
                            <w:szCs w:val="18"/>
                          </w:rPr>
                          <w:t>大营销</w:t>
                        </w:r>
                        <w:r>
                          <w:rPr>
                            <w:rFonts w:ascii="宋体" w:hAnsi="宋体" w:cs="宋体" w:eastAsia="宋体" w:hint="default"/>
                            <w:spacing w:val="-92"/>
                            <w:sz w:val="18"/>
                            <w:szCs w:val="18"/>
                          </w:rPr>
                          <w:t>）</w:t>
                        </w:r>
                        <w:r>
                          <w:rPr>
                            <w:rFonts w:ascii="宋体" w:hAnsi="宋体" w:cs="宋体" w:eastAsia="宋体" w:hint="default"/>
                            <w:spacing w:val="-17"/>
                            <w:sz w:val="18"/>
                            <w:szCs w:val="18"/>
                          </w:rPr>
                          <w:t>，</w:t>
                        </w:r>
                        <w:r>
                          <w:rPr>
                            <w:rFonts w:ascii="宋体" w:hAnsi="宋体" w:cs="宋体" w:eastAsia="宋体" w:hint="default"/>
                            <w:sz w:val="18"/>
                            <w:szCs w:val="18"/>
                          </w:rPr>
                          <w:t>并逐步开始组织试点</w:t>
                        </w:r>
                        <w:r>
                          <w:rPr>
                            <w:rFonts w:ascii="宋体" w:hAnsi="宋体" w:cs="宋体" w:eastAsia="宋体" w:hint="default"/>
                            <w:spacing w:val="-17"/>
                            <w:sz w:val="18"/>
                            <w:szCs w:val="18"/>
                          </w:rPr>
                          <w:t>。</w:t>
                        </w:r>
                        <w:r>
                          <w:rPr>
                            <w:rFonts w:ascii="宋体" w:hAnsi="宋体" w:cs="宋体" w:eastAsia="宋体" w:hint="default"/>
                            <w:sz w:val="18"/>
                            <w:szCs w:val="18"/>
                          </w:rPr>
                          <w:t>导致电力的管理发生较大调整</w:t>
                        </w:r>
                        <w:r>
                          <w:rPr>
                            <w:rFonts w:ascii="宋体" w:hAnsi="宋体" w:cs="宋体" w:eastAsia="宋体" w:hint="default"/>
                            <w:spacing w:val="-20"/>
                            <w:sz w:val="18"/>
                            <w:szCs w:val="18"/>
                          </w:rPr>
                          <w:t>，</w:t>
                        </w:r>
                        <w:r>
                          <w:rPr>
                            <w:rFonts w:ascii="宋体" w:hAnsi="宋体" w:cs="宋体" w:eastAsia="宋体" w:hint="default"/>
                            <w:sz w:val="18"/>
                            <w:szCs w:val="18"/>
                          </w:rPr>
                          <w:t>电力行业组织架</w:t>
                        </w:r>
                      </w:p>
                    </w:tc>
                  </w:tr>
                  <w:tr>
                    <w:trPr>
                      <w:trHeight w:val="312" w:hRule="exact"/>
                    </w:trPr>
                    <w:tc>
                      <w:tcPr>
                        <w:tcW w:w="1771" w:type="dxa"/>
                        <w:vMerge/>
                        <w:tcBorders>
                          <w:left w:val="single" w:sz="4" w:space="0" w:color="000000"/>
                          <w:right w:val="single" w:sz="4" w:space="0" w:color="000000"/>
                        </w:tcBorders>
                        <w:shd w:val="clear" w:color="auto" w:fill="D3D3D3"/>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w w:val="95"/>
                            <w:sz w:val="18"/>
                            <w:szCs w:val="18"/>
                          </w:rPr>
                          <w:t>构及管理架构都发生重大变化，强化集中化、扁平化管理，调整优化国网、省局、地县的管理关系。</w:t>
                        </w:r>
                        <w:r>
                          <w:rPr>
                            <w:rFonts w:ascii="宋体" w:hAnsi="宋体" w:cs="宋体" w:eastAsia="宋体" w:hint="default"/>
                            <w:spacing w:val="-3"/>
                            <w:sz w:val="18"/>
                            <w:szCs w:val="18"/>
                          </w:rPr>
                        </w:r>
                      </w:p>
                    </w:tc>
                  </w:tr>
                  <w:tr>
                    <w:trPr>
                      <w:trHeight w:val="312" w:hRule="exact"/>
                    </w:trPr>
                    <w:tc>
                      <w:tcPr>
                        <w:tcW w:w="1771" w:type="dxa"/>
                        <w:vMerge/>
                        <w:tcBorders>
                          <w:left w:val="single" w:sz="4" w:space="0" w:color="000000"/>
                          <w:right w:val="single" w:sz="4" w:space="0" w:color="000000"/>
                        </w:tcBorders>
                        <w:shd w:val="clear" w:color="auto" w:fill="D3D3D3"/>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由此导致公司以往规划设计的电力安全管理及项目管理系统架构不再符合电力行业发展趋势，公司</w:t>
                        </w:r>
                      </w:p>
                    </w:tc>
                  </w:tr>
                  <w:tr>
                    <w:trPr>
                      <w:trHeight w:val="332" w:hRule="exact"/>
                    </w:trPr>
                    <w:tc>
                      <w:tcPr>
                        <w:tcW w:w="1771" w:type="dxa"/>
                        <w:vMerge/>
                        <w:tcBorders>
                          <w:left w:val="single" w:sz="4" w:space="0" w:color="000000"/>
                          <w:right w:val="single" w:sz="4" w:space="0" w:color="000000"/>
                        </w:tcBorders>
                        <w:shd w:val="clear" w:color="auto" w:fill="D3D3D3"/>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经审慎研究决定不再投入。该项目终止实施后，原已投入子项目可以单独运行和管理。</w:t>
                        </w:r>
                      </w:p>
                    </w:tc>
                  </w:tr>
                  <w:tr>
                    <w:trPr>
                      <w:trHeight w:val="337" w:hRule="exact"/>
                    </w:trPr>
                    <w:tc>
                      <w:tcPr>
                        <w:tcW w:w="1771" w:type="dxa"/>
                        <w:vMerge/>
                        <w:tcBorders>
                          <w:left w:val="single" w:sz="4" w:space="0" w:color="000000"/>
                          <w:right w:val="single" w:sz="4" w:space="0" w:color="000000"/>
                        </w:tcBorders>
                        <w:shd w:val="clear" w:color="auto" w:fill="D3D3D3"/>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、原“烟草电子政务平台技改项目”的投入中主要是建立烟草企业知识门户、统一用户管理、项目</w:t>
                        </w:r>
                      </w:p>
                    </w:tc>
                  </w:tr>
                  <w:tr>
                    <w:trPr>
                      <w:trHeight w:val="307" w:hRule="exact"/>
                    </w:trPr>
                    <w:tc>
                      <w:tcPr>
                        <w:tcW w:w="1771" w:type="dxa"/>
                        <w:vMerge/>
                        <w:tcBorders>
                          <w:left w:val="single" w:sz="4" w:space="0" w:color="000000"/>
                          <w:right w:val="single" w:sz="4" w:space="0" w:color="000000"/>
                        </w:tcBorders>
                        <w:shd w:val="clear" w:color="auto" w:fill="D3D3D3"/>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管理、流程审批、移动办公、人力资源等政务办公平台。目前该项目的烟草企业知识门户、统一用</w:t>
                        </w:r>
                      </w:p>
                    </w:tc>
                  </w:tr>
                  <w:tr>
                    <w:trPr>
                      <w:trHeight w:val="312" w:hRule="exact"/>
                    </w:trPr>
                    <w:tc>
                      <w:tcPr>
                        <w:tcW w:w="1771" w:type="dxa"/>
                        <w:vMerge/>
                        <w:tcBorders>
                          <w:left w:val="single" w:sz="4" w:space="0" w:color="000000"/>
                          <w:right w:val="single" w:sz="4" w:space="0" w:color="000000"/>
                        </w:tcBorders>
                        <w:shd w:val="clear" w:color="auto" w:fill="D3D3D3"/>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户管理、项目管理、流程审批等基础性平台子项目已基本完成投入。已投入子项目目前运行良好，</w:t>
                        </w:r>
                      </w:p>
                    </w:tc>
                  </w:tr>
                  <w:tr>
                    <w:trPr>
                      <w:trHeight w:val="312" w:hRule="exact"/>
                    </w:trPr>
                    <w:tc>
                      <w:tcPr>
                        <w:tcW w:w="1771" w:type="dxa"/>
                        <w:vMerge/>
                        <w:tcBorders>
                          <w:left w:val="single" w:sz="4" w:space="0" w:color="000000"/>
                          <w:right w:val="single" w:sz="4" w:space="0" w:color="000000"/>
                        </w:tcBorders>
                        <w:shd w:val="clear" w:color="auto" w:fill="D3D3D3"/>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w w:val="95"/>
                            <w:sz w:val="18"/>
                            <w:szCs w:val="18"/>
                          </w:rPr>
                          <w:t>近年来，该等子项目产品在四川、江西、浙江、河南、山东、吉林都取得了一定的市场效果。目前，</w:t>
                        </w:r>
                        <w:r>
                          <w:rPr>
                            <w:rFonts w:ascii="宋体" w:hAnsi="宋体" w:cs="宋体" w:eastAsia="宋体" w:hint="default"/>
                            <w:spacing w:val="-3"/>
                            <w:sz w:val="18"/>
                            <w:szCs w:val="18"/>
                          </w:rPr>
                        </w:r>
                      </w:p>
                    </w:tc>
                  </w:tr>
                  <w:tr>
                    <w:trPr>
                      <w:trHeight w:val="312" w:hRule="exact"/>
                    </w:trPr>
                    <w:tc>
                      <w:tcPr>
                        <w:tcW w:w="1771" w:type="dxa"/>
                        <w:vMerge/>
                        <w:tcBorders>
                          <w:left w:val="single" w:sz="4" w:space="0" w:color="000000"/>
                          <w:right w:val="single" w:sz="4" w:space="0" w:color="000000"/>
                        </w:tcBorders>
                        <w:shd w:val="clear" w:color="auto" w:fill="D3D3D3"/>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随着烟草行业的发展，市场发生变化，信息化建设强调应用集成整合，烟草电子政务的业务范围不</w:t>
                        </w:r>
                      </w:p>
                    </w:tc>
                  </w:tr>
                  <w:tr>
                    <w:trPr>
                      <w:trHeight w:val="312" w:hRule="exact"/>
                    </w:trPr>
                    <w:tc>
                      <w:tcPr>
                        <w:tcW w:w="1771" w:type="dxa"/>
                        <w:vMerge/>
                        <w:tcBorders>
                          <w:left w:val="single" w:sz="4" w:space="0" w:color="000000"/>
                          <w:right w:val="single" w:sz="4" w:space="0" w:color="000000"/>
                        </w:tcBorders>
                        <w:shd w:val="clear" w:color="auto" w:fill="D3D3D3"/>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断从重协同管理调整转变为重内控管理</w:t>
                        </w:r>
                        <w:r>
                          <w:rPr>
                            <w:rFonts w:ascii="宋体" w:hAnsi="宋体" w:cs="宋体" w:eastAsia="宋体" w:hint="default"/>
                            <w:spacing w:val="-89"/>
                            <w:sz w:val="18"/>
                            <w:szCs w:val="18"/>
                          </w:rPr>
                          <w:t>。</w:t>
                        </w:r>
                        <w:r>
                          <w:rPr>
                            <w:rFonts w:ascii="宋体" w:hAnsi="宋体" w:cs="宋体" w:eastAsia="宋体" w:hint="default"/>
                            <w:sz w:val="18"/>
                            <w:szCs w:val="18"/>
                          </w:rPr>
                          <w:t>由此公司经审慎研究决定人力资源等其他子项目不再投入</w:t>
                        </w:r>
                        <w:r>
                          <w:rPr>
                            <w:rFonts w:ascii="宋体" w:hAnsi="宋体" w:cs="宋体" w:eastAsia="宋体" w:hint="default"/>
                            <w:w w:val="50"/>
                            <w:sz w:val="18"/>
                            <w:szCs w:val="18"/>
                          </w:rPr>
                          <w:t>。</w:t>
                        </w:r>
                        <w:r>
                          <w:rPr>
                            <w:rFonts w:ascii="宋体" w:hAnsi="宋体" w:cs="宋体" w:eastAsia="宋体" w:hint="default"/>
                            <w:sz w:val="18"/>
                            <w:szCs w:val="18"/>
                          </w:rPr>
                        </w:r>
                      </w:p>
                    </w:tc>
                  </w:tr>
                  <w:tr>
                    <w:trPr>
                      <w:trHeight w:val="357" w:hRule="exact"/>
                    </w:trPr>
                    <w:tc>
                      <w:tcPr>
                        <w:tcW w:w="1771"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该项目终止实施后，原已投入子项目可以单独运行和管理。</w:t>
                        </w:r>
                      </w:p>
                    </w:tc>
                  </w:tr>
                  <w:tr>
                    <w:trPr>
                      <w:trHeight w:val="713"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见上述。</w:t>
                        </w:r>
                      </w:p>
                    </w:tc>
                  </w:tr>
                  <w:tr>
                    <w:trPr>
                      <w:trHeight w:val="403" w:hRule="exact"/>
                    </w:trPr>
                    <w:tc>
                      <w:tcPr>
                        <w:tcW w:w="1771" w:type="dxa"/>
                        <w:tcBorders>
                          <w:top w:val="single" w:sz="4" w:space="0" w:color="000000"/>
                          <w:left w:val="single" w:sz="4" w:space="0" w:color="000000"/>
                          <w:bottom w:val="nil" w:sz="6" w:space="0" w:color="auto"/>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936" w:hRule="exact"/>
                    </w:trPr>
                    <w:tc>
                      <w:tcPr>
                        <w:tcW w:w="17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超募资金的金额</w:t>
                        </w:r>
                        <w:r>
                          <w:rPr>
                            <w:rFonts w:ascii="宋体" w:hAnsi="宋体" w:cs="宋体" w:eastAsia="宋体" w:hint="default"/>
                            <w:spacing w:val="-87"/>
                            <w:sz w:val="18"/>
                            <w:szCs w:val="18"/>
                          </w:rPr>
                          <w:t>、</w:t>
                        </w:r>
                        <w:r>
                          <w:rPr>
                            <w:rFonts w:ascii="宋体" w:hAnsi="宋体" w:cs="宋体" w:eastAsia="宋体" w:hint="default"/>
                            <w:sz w:val="18"/>
                            <w:szCs w:val="18"/>
                          </w:rPr>
                          <w:t>用途</w:t>
                        </w:r>
                      </w:p>
                    </w:tc>
                    <w:tc>
                      <w:tcPr>
                        <w:tcW w:w="7798" w:type="dxa"/>
                        <w:vMerge w:val="restart"/>
                        <w:tcBorders>
                          <w:top w:val="single" w:sz="4" w:space="0" w:color="000000"/>
                          <w:left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公司募集资金净额为</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28,364.91</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万元，超募资金金额为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12,939.91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万元。经公司第一届董事会第十一</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次会议决议通过，将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万元超募资金用于收购南京江琛自动化系统有限公司全部股权；经公司</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第二届董事会第四次会议决议通过</w:t>
                        </w:r>
                        <w:r>
                          <w:rPr>
                            <w:rFonts w:ascii="宋体" w:hAnsi="宋体" w:cs="宋体" w:eastAsia="宋体" w:hint="default"/>
                            <w:spacing w:val="-92"/>
                            <w:sz w:val="18"/>
                            <w:szCs w:val="18"/>
                          </w:rPr>
                          <w:t>，</w:t>
                        </w:r>
                        <w:r>
                          <w:rPr>
                            <w:rFonts w:ascii="宋体" w:hAnsi="宋体" w:cs="宋体" w:eastAsia="宋体" w:hint="default"/>
                            <w:sz w:val="18"/>
                            <w:szCs w:val="18"/>
                          </w:rPr>
                          <w:t>将</w:t>
                        </w:r>
                        <w:r>
                          <w:rPr>
                            <w:rFonts w:ascii="宋体" w:hAnsi="宋体" w:cs="宋体" w:eastAsia="宋体" w:hint="default"/>
                            <w:spacing w:val="-6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万元超额募集资金用于收购杭州德创电子有限公司</w:t>
                        </w:r>
                        <w:r>
                          <w:rPr>
                            <w:rFonts w:ascii="宋体" w:hAnsi="宋体" w:cs="宋体" w:eastAsia="宋体" w:hint="default"/>
                            <w:spacing w:val="-64"/>
                            <w:sz w:val="18"/>
                            <w:szCs w:val="18"/>
                          </w:rPr>
                          <w:t> </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95"/>
                            <w:sz w:val="18"/>
                            <w:szCs w:val="18"/>
                          </w:rPr>
                          <w:t>股权；经公司第二届董事会第十七次会议决议通过，将  </w:t>
                        </w:r>
                        <w:r>
                          <w:rPr>
                            <w:rFonts w:ascii="Times New Roman" w:hAnsi="Times New Roman" w:cs="Times New Roman" w:eastAsia="Times New Roman" w:hint="default"/>
                            <w:w w:val="95"/>
                            <w:sz w:val="18"/>
                            <w:szCs w:val="18"/>
                          </w:rPr>
                          <w:t>4500   </w:t>
                        </w:r>
                        <w:r>
                          <w:rPr>
                            <w:rFonts w:ascii="Times New Roman" w:hAnsi="Times New Roman" w:cs="Times New Roman" w:eastAsia="Times New Roman" w:hint="default"/>
                            <w:spacing w:val="42"/>
                            <w:w w:val="95"/>
                            <w:sz w:val="18"/>
                            <w:szCs w:val="18"/>
                          </w:rPr>
                          <w:t> </w:t>
                        </w:r>
                        <w:r>
                          <w:rPr>
                            <w:rFonts w:ascii="宋体" w:hAnsi="宋体" w:cs="宋体" w:eastAsia="宋体" w:hint="default"/>
                            <w:w w:val="95"/>
                            <w:sz w:val="18"/>
                            <w:szCs w:val="18"/>
                          </w:rPr>
                          <w:t>万元超额募集资金永久补充流动资金；</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经公司第二届董事会第十八次会议决议通过，将剩余超额募集资金及其利息共计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2170.59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w:t>
                        </w:r>
                      </w:p>
                      <w:p>
                        <w:pPr>
                          <w:pStyle w:val="TableParagraph"/>
                          <w:spacing w:line="300" w:lineRule="auto" w:before="63"/>
                          <w:ind w:left="24" w:right="23"/>
                          <w:jc w:val="left"/>
                          <w:rPr>
                            <w:rFonts w:ascii="宋体" w:hAnsi="宋体" w:cs="宋体" w:eastAsia="宋体" w:hint="default"/>
                            <w:sz w:val="18"/>
                            <w:szCs w:val="18"/>
                          </w:rPr>
                        </w:pPr>
                        <w:r>
                          <w:rPr>
                            <w:rFonts w:ascii="宋体" w:hAnsi="宋体" w:cs="宋体" w:eastAsia="宋体" w:hint="default"/>
                            <w:sz w:val="18"/>
                            <w:szCs w:val="18"/>
                          </w:rPr>
                          <w:t>中超额募集资金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1789.91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万元，利息约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380.68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万元）永久补充流动资金。截止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 公司超额募集资金已经全部使用完毕。</w:t>
                        </w:r>
                      </w:p>
                    </w:tc>
                  </w:tr>
                  <w:tr>
                    <w:trPr>
                      <w:trHeight w:val="1337" w:hRule="exact"/>
                    </w:trPr>
                    <w:tc>
                      <w:tcPr>
                        <w:tcW w:w="177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及使用进展情况</w:t>
                        </w:r>
                      </w:p>
                    </w:tc>
                    <w:tc>
                      <w:tcPr>
                        <w:tcW w:w="7798" w:type="dxa"/>
                        <w:vMerge/>
                        <w:tcBorders>
                          <w:left w:val="single" w:sz="4" w:space="0" w:color="000000"/>
                          <w:bottom w:val="single" w:sz="4" w:space="0" w:color="000000"/>
                          <w:right w:val="single" w:sz="4" w:space="0" w:color="000000"/>
                        </w:tcBorders>
                      </w:tcPr>
                      <w:p>
                        <w:pPr/>
                      </w:p>
                    </w:tc>
                  </w:tr>
                  <w:tr>
                    <w:trPr>
                      <w:trHeight w:val="403"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募集资金投资项目实</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募集资金投资项目实</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03" w:hRule="exact"/>
                    </w:trPr>
                    <w:tc>
                      <w:tcPr>
                        <w:tcW w:w="1771" w:type="dxa"/>
                        <w:tcBorders>
                          <w:top w:val="single" w:sz="4" w:space="0" w:color="000000"/>
                          <w:left w:val="single" w:sz="4" w:space="0" w:color="000000"/>
                          <w:bottom w:val="nil" w:sz="6" w:space="0" w:color="auto"/>
                          <w:right w:val="single" w:sz="4" w:space="0" w:color="000000"/>
                        </w:tcBorders>
                        <w:shd w:val="clear" w:color="auto" w:fill="D3D3D3"/>
                      </w:tcPr>
                      <w:p>
                        <w:pPr/>
                      </w:p>
                    </w:tc>
                    <w:tc>
                      <w:tcPr>
                        <w:tcW w:w="7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1" w:hRule="exact"/>
                    </w:trPr>
                    <w:tc>
                      <w:tcPr>
                        <w:tcW w:w="1771" w:type="dxa"/>
                        <w:vMerge w:val="restart"/>
                        <w:tcBorders>
                          <w:top w:val="nil" w:sz="6" w:space="0" w:color="auto"/>
                          <w:left w:val="single" w:sz="4" w:space="0" w:color="000000"/>
                          <w:right w:val="single" w:sz="4" w:space="0" w:color="000000"/>
                        </w:tcBorders>
                        <w:shd w:val="clear" w:color="auto" w:fill="D3D3D3"/>
                      </w:tcPr>
                      <w:p>
                        <w:pPr>
                          <w:pStyle w:val="TableParagraph"/>
                          <w:spacing w:line="191" w:lineRule="exact"/>
                          <w:ind w:left="24" w:right="0"/>
                          <w:jc w:val="left"/>
                          <w:rPr>
                            <w:rFonts w:ascii="宋体" w:hAnsi="宋体" w:cs="宋体" w:eastAsia="宋体" w:hint="default"/>
                            <w:sz w:val="18"/>
                            <w:szCs w:val="18"/>
                          </w:rPr>
                        </w:pPr>
                        <w:r>
                          <w:rPr>
                            <w:rFonts w:ascii="宋体" w:hAnsi="宋体" w:cs="宋体" w:eastAsia="宋体" w:hint="default"/>
                            <w:sz w:val="18"/>
                            <w:szCs w:val="18"/>
                          </w:rPr>
                          <w:t>募集资金投资项目先</w:t>
                        </w:r>
                      </w:p>
                    </w:tc>
                    <w:tc>
                      <w:tcPr>
                        <w:tcW w:w="7798" w:type="dxa"/>
                        <w:tcBorders>
                          <w:top w:val="nil" w:sz="6" w:space="0" w:color="auto"/>
                          <w:left w:val="single" w:sz="4" w:space="0" w:color="000000"/>
                          <w:bottom w:val="single" w:sz="4" w:space="0" w:color="000000"/>
                          <w:right w:val="single" w:sz="4" w:space="0" w:color="000000"/>
                        </w:tcBorders>
                      </w:tcPr>
                      <w:p>
                        <w:pPr/>
                      </w:p>
                    </w:tc>
                  </w:tr>
                  <w:tr>
                    <w:trPr>
                      <w:trHeight w:val="156" w:hRule="exact"/>
                    </w:trPr>
                    <w:tc>
                      <w:tcPr>
                        <w:tcW w:w="1771" w:type="dxa"/>
                        <w:vMerge/>
                        <w:tcBorders>
                          <w:left w:val="single" w:sz="4" w:space="0" w:color="000000"/>
                          <w:bottom w:val="nil" w:sz="6" w:space="0" w:color="auto"/>
                          <w:right w:val="single" w:sz="4" w:space="0" w:color="000000"/>
                        </w:tcBorders>
                        <w:shd w:val="clear" w:color="auto" w:fill="D3D3D3"/>
                      </w:tcPr>
                      <w:p>
                        <w:pPr/>
                      </w:p>
                    </w:tc>
                    <w:tc>
                      <w:tcPr>
                        <w:tcW w:w="7798" w:type="dxa"/>
                        <w:vMerge w:val="restart"/>
                        <w:tcBorders>
                          <w:top w:val="single" w:sz="4" w:space="0" w:color="000000"/>
                          <w:left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日，本公司以自筹资金预先投入募投项目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2,000.70 </w:t>
                        </w:r>
                        <w:r>
                          <w:rPr>
                            <w:rFonts w:ascii="宋体" w:hAnsi="宋体" w:cs="宋体" w:eastAsia="宋体" w:hint="default"/>
                            <w:sz w:val="18"/>
                            <w:szCs w:val="18"/>
                          </w:rPr>
                          <w:t>万元。经本公司第一届董事</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会第八次会议审议通过，以募集资金置换上述先期投入，本公司已于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月完成置换。</w:t>
                        </w:r>
                      </w:p>
                    </w:tc>
                  </w:tr>
                  <w:tr>
                    <w:trPr>
                      <w:trHeight w:val="557" w:hRule="exact"/>
                    </w:trPr>
                    <w:tc>
                      <w:tcPr>
                        <w:tcW w:w="177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期投入及置换情况</w:t>
                        </w:r>
                      </w:p>
                    </w:tc>
                    <w:tc>
                      <w:tcPr>
                        <w:tcW w:w="7798" w:type="dxa"/>
                        <w:vMerge/>
                        <w:tcBorders>
                          <w:left w:val="single" w:sz="4" w:space="0" w:color="000000"/>
                          <w:bottom w:val="single" w:sz="4" w:space="0" w:color="000000"/>
                          <w:right w:val="single" w:sz="4" w:space="0" w:color="000000"/>
                        </w:tcBorders>
                      </w:tcPr>
                      <w:p>
                        <w:pPr/>
                      </w:p>
                    </w:tc>
                  </w:tr>
                  <w:tr>
                    <w:trPr>
                      <w:trHeight w:val="403" w:hRule="exact"/>
                    </w:trPr>
                    <w:tc>
                      <w:tcPr>
                        <w:tcW w:w="1771" w:type="dxa"/>
                        <w:tcBorders>
                          <w:top w:val="single" w:sz="4" w:space="0" w:color="000000"/>
                          <w:left w:val="single" w:sz="4" w:space="0" w:color="000000"/>
                          <w:bottom w:val="nil" w:sz="6" w:space="0" w:color="auto"/>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936" w:hRule="exact"/>
                    </w:trPr>
                    <w:tc>
                      <w:tcPr>
                        <w:tcW w:w="17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用闲置募集资金暂时</w:t>
                        </w:r>
                      </w:p>
                    </w:tc>
                    <w:tc>
                      <w:tcPr>
                        <w:tcW w:w="7798" w:type="dxa"/>
                        <w:vMerge w:val="restart"/>
                        <w:tcBorders>
                          <w:top w:val="single" w:sz="4" w:space="0" w:color="000000"/>
                          <w:left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日公司第二届董事会第九次会议决议通过</w:t>
                        </w:r>
                        <w:r>
                          <w:rPr>
                            <w:rFonts w:ascii="Times New Roman" w:hAnsi="Times New Roman" w:cs="Times New Roman" w:eastAsia="Times New Roman" w:hint="default"/>
                            <w:sz w:val="18"/>
                            <w:szCs w:val="18"/>
                          </w:rPr>
                          <w:t>,</w:t>
                        </w:r>
                        <w:r>
                          <w:rPr>
                            <w:rFonts w:ascii="宋体" w:hAnsi="宋体" w:cs="宋体" w:eastAsia="宋体" w:hint="default"/>
                            <w:sz w:val="18"/>
                            <w:szCs w:val="18"/>
                          </w:rPr>
                          <w:t>同意公司使用暂时闲置募集资金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4"/>
                            <w:sz w:val="18"/>
                            <w:szCs w:val="18"/>
                          </w:rPr>
                          <w:t>万元补充流动资金。截至</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日，公司已将上述用于补充流动资金的募集资金全部归还</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至公司募集资金专户。经公司第二届董事会第十三次会议决议通过，将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万元闲置募集资金用</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于暂时补充流动资金。截至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日，公司已将上述用于补充流动资金的募集资金全部归</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还至公司募集资金专户。经公司第二届董事会第十八次会议决议通过，将</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万元闲置募集资金用</w:t>
                        </w:r>
                      </w:p>
                      <w:p>
                        <w:pPr>
                          <w:pStyle w:val="TableParagraph"/>
                          <w:spacing w:line="300" w:lineRule="auto" w:before="63"/>
                          <w:ind w:left="24" w:right="23"/>
                          <w:jc w:val="left"/>
                          <w:rPr>
                            <w:rFonts w:ascii="宋体" w:hAnsi="宋体" w:cs="宋体" w:eastAsia="宋体" w:hint="default"/>
                            <w:sz w:val="18"/>
                            <w:szCs w:val="18"/>
                          </w:rPr>
                        </w:pPr>
                        <w:r>
                          <w:rPr>
                            <w:rFonts w:ascii="宋体" w:hAnsi="宋体" w:cs="宋体" w:eastAsia="宋体" w:hint="default"/>
                            <w:sz w:val="18"/>
                            <w:szCs w:val="18"/>
                          </w:rPr>
                          <w:t>于暂时补充流动资金。截至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日，公司已将上述用于补充流动资金的募集资金全部归 还至公司募集资金专户。</w:t>
                        </w:r>
                      </w:p>
                    </w:tc>
                  </w:tr>
                  <w:tr>
                    <w:trPr>
                      <w:trHeight w:val="1337" w:hRule="exact"/>
                    </w:trPr>
                    <w:tc>
                      <w:tcPr>
                        <w:tcW w:w="177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补充流动资金情况</w:t>
                        </w:r>
                      </w:p>
                    </w:tc>
                    <w:tc>
                      <w:tcPr>
                        <w:tcW w:w="7798" w:type="dxa"/>
                        <w:vMerge/>
                        <w:tcBorders>
                          <w:left w:val="single" w:sz="4" w:space="0" w:color="000000"/>
                          <w:bottom w:val="single" w:sz="4" w:space="0" w:color="000000"/>
                          <w:right w:val="single" w:sz="4" w:space="0" w:color="000000"/>
                        </w:tcBorders>
                      </w:tcPr>
                      <w:p>
                        <w:pP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p>
      <w:pPr>
        <w:spacing w:before="44"/>
        <w:ind w:left="0" w:right="301"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footerReference w:type="default" r:id="rId15"/>
          <w:pgSz w:w="11910" w:h="16840"/>
          <w:pgMar w:footer="979" w:header="745" w:top="1060" w:bottom="1160" w:left="1020" w:right="840"/>
          <w:pgNumType w:start="20"/>
        </w:sectPr>
      </w:pPr>
    </w:p>
    <w:p>
      <w:pPr>
        <w:spacing w:line="240" w:lineRule="auto" w:before="6"/>
        <w:rPr>
          <w:rFonts w:ascii="宋体" w:hAnsi="宋体" w:cs="宋体" w:eastAsia="宋体" w:hint="default"/>
          <w:sz w:val="28"/>
          <w:szCs w:val="28"/>
        </w:rPr>
      </w:pPr>
      <w:r>
        <w:rPr/>
        <w:pict>
          <v:group style="position:absolute;margin-left:47.639999pt;margin-top:781.919983pt;width:.1pt;height:10.35pt;mso-position-horizontal-relative:page;mso-position-vertical-relative:page;z-index:1840" coordorigin="953,15638" coordsize="2,207">
            <v:shape style="position:absolute;left:953;top:15638;width:2;height:207" coordorigin="953,15638" coordsize="0,207" path="m953,15638l953,15845e" filled="false" stroked="true" strokeweight=".12pt" strokecolor="#000000">
              <v:path arrowok="t"/>
            </v:shape>
            <w10:wrap type="none"/>
          </v:group>
        </w:pict>
      </w:r>
    </w:p>
    <w:tbl>
      <w:tblPr>
        <w:tblW w:w="0" w:type="auto"/>
        <w:jc w:val="left"/>
        <w:tblInd w:w="287" w:type="dxa"/>
        <w:tblLayout w:type="fixed"/>
        <w:tblCellMar>
          <w:top w:w="0" w:type="dxa"/>
          <w:left w:w="0" w:type="dxa"/>
          <w:bottom w:w="0" w:type="dxa"/>
          <w:right w:w="0" w:type="dxa"/>
        </w:tblCellMar>
        <w:tblLook w:val="01E0"/>
      </w:tblPr>
      <w:tblGrid>
        <w:gridCol w:w="1771"/>
        <w:gridCol w:w="7798"/>
      </w:tblGrid>
      <w:tr>
        <w:trPr>
          <w:trHeight w:val="401"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bookmarkStart w:name="（3）募集资金变更项目情况" w:id="35"/>
            <w:bookmarkEnd w:id="35"/>
            <w:r>
              <w:rPr/>
            </w:r>
            <w:r>
              <w:rPr>
                <w:rFonts w:ascii="宋体" w:hAnsi="宋体" w:cs="宋体" w:eastAsia="宋体" w:hint="default"/>
                <w:sz w:val="18"/>
                <w:szCs w:val="18"/>
              </w:rPr>
              <w:t>项目实施出现募集资</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日，本公司所有募集资金使用完毕。</w:t>
            </w:r>
          </w:p>
        </w:tc>
      </w:tr>
      <w:tr>
        <w:trPr>
          <w:trHeight w:val="1025" w:hRule="exact"/>
        </w:trPr>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报告期内无。</w:t>
            </w:r>
          </w:p>
        </w:tc>
      </w:tr>
    </w:tbl>
    <w:p>
      <w:pPr>
        <w:spacing w:line="240" w:lineRule="auto" w:before="5"/>
        <w:rPr>
          <w:rFonts w:ascii="宋体" w:hAnsi="宋体" w:cs="宋体" w:eastAsia="宋体" w:hint="default"/>
          <w:sz w:val="19"/>
          <w:szCs w:val="19"/>
        </w:rPr>
      </w:pPr>
    </w:p>
    <w:p>
      <w:pPr>
        <w:spacing w:line="333" w:lineRule="exact" w:before="0"/>
        <w:ind w:left="292" w:right="279" w:firstLine="0"/>
        <w:jc w:val="left"/>
        <w:rPr>
          <w:rFonts w:ascii="Microsoft JhengHei" w:hAnsi="Microsoft JhengHei" w:cs="Microsoft JhengHei" w:eastAsia="Microsoft JhengHei" w:hint="default"/>
          <w:sz w:val="21"/>
          <w:szCs w:val="21"/>
        </w:rPr>
      </w:pPr>
      <w:r>
        <w:rPr/>
        <w:pict>
          <v:shape style="position:absolute;margin-left:56.759998pt;margin-top:-99.788124pt;width:88.2pt;height:35.4pt;mso-position-horizontal-relative:page;mso-position-vertical-relative:paragraph;z-index:-605320" type="#_x0000_t202" filled="false" stroked="false">
            <v:textbox inset="0,0,0,0">
              <w:txbxContent>
                <w:p>
                  <w:pPr>
                    <w:spacing w:line="198" w:lineRule="exact" w:before="0"/>
                    <w:ind w:left="26" w:right="0" w:firstLine="0"/>
                    <w:jc w:val="left"/>
                    <w:rPr>
                      <w:rFonts w:ascii="宋体" w:hAnsi="宋体" w:cs="宋体" w:eastAsia="宋体" w:hint="default"/>
                      <w:sz w:val="18"/>
                      <w:szCs w:val="18"/>
                    </w:rPr>
                  </w:pPr>
                  <w:r>
                    <w:rPr>
                      <w:rFonts w:ascii="宋体" w:hAnsi="宋体" w:cs="宋体" w:eastAsia="宋体" w:hint="default"/>
                      <w:sz w:val="18"/>
                      <w:szCs w:val="18"/>
                    </w:rPr>
                    <w:t>金结余的金额及原因</w:t>
                  </w:r>
                </w:p>
              </w:txbxContent>
            </v:textbox>
            <w10:wrap type="none"/>
          </v:shape>
        </w:pict>
      </w: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）募集资金变更项目情况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287" w:type="dxa"/>
        <w:tblLayout w:type="fixed"/>
        <w:tblCellMar>
          <w:top w:w="0" w:type="dxa"/>
          <w:left w:w="0" w:type="dxa"/>
          <w:bottom w:w="0" w:type="dxa"/>
          <w:right w:w="0" w:type="dxa"/>
        </w:tblCellMar>
        <w:tblLook w:val="01E0"/>
      </w:tblPr>
      <w:tblGrid>
        <w:gridCol w:w="958"/>
        <w:gridCol w:w="958"/>
        <w:gridCol w:w="958"/>
        <w:gridCol w:w="958"/>
        <w:gridCol w:w="958"/>
        <w:gridCol w:w="955"/>
        <w:gridCol w:w="958"/>
        <w:gridCol w:w="955"/>
        <w:gridCol w:w="958"/>
        <w:gridCol w:w="958"/>
      </w:tblGrid>
      <w:tr>
        <w:trPr>
          <w:trHeight w:val="1339"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84"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12"/>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 </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12"/>
              <w:ind w:left="24" w:right="19"/>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w w:val="100"/>
                <w:sz w:val="18"/>
                <w:szCs w:val="18"/>
              </w:rPr>
              <w:t> </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4"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33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19"/>
              <w:jc w:val="both"/>
              <w:rPr>
                <w:rFonts w:ascii="宋体" w:hAnsi="宋体" w:cs="宋体" w:eastAsia="宋体" w:hint="default"/>
                <w:sz w:val="18"/>
                <w:szCs w:val="18"/>
              </w:rPr>
            </w:pPr>
            <w:r>
              <w:rPr>
                <w:rFonts w:ascii="宋体" w:hAnsi="宋体" w:cs="宋体" w:eastAsia="宋体" w:hint="default"/>
                <w:sz w:val="18"/>
                <w:szCs w:val="18"/>
              </w:rPr>
              <w:t>收购杭州德 创电子有限 公司</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股 权</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融合电 力实时数据 集成应用系 统技改平台</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-1,369.03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杭州德创电 子有限公司 增资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 </w:t>
            </w:r>
            <w:r>
              <w:rPr>
                <w:rFonts w:ascii="宋体" w:hAnsi="宋体" w:cs="宋体" w:eastAsia="宋体" w:hint="default"/>
                <w:sz w:val="18"/>
                <w:szCs w:val="18"/>
              </w:rPr>
              <w:t>万元</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融合电 力实时数据 集成应用系 统技改平台</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1,080.69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1,080.69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杭州德创电 子有限公司 增资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 </w:t>
            </w:r>
            <w:r>
              <w:rPr>
                <w:rFonts w:ascii="宋体" w:hAnsi="宋体" w:cs="宋体" w:eastAsia="宋体" w:hint="default"/>
                <w:sz w:val="18"/>
                <w:szCs w:val="18"/>
              </w:rPr>
              <w:t>万元</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3"/>
              <w:jc w:val="both"/>
              <w:rPr>
                <w:rFonts w:ascii="宋体" w:hAnsi="宋体" w:cs="宋体" w:eastAsia="宋体" w:hint="default"/>
                <w:sz w:val="18"/>
                <w:szCs w:val="18"/>
              </w:rPr>
            </w:pPr>
            <w:r>
              <w:rPr>
                <w:rFonts w:ascii="宋体" w:hAnsi="宋体" w:cs="宋体" w:eastAsia="宋体" w:hint="default"/>
                <w:sz w:val="18"/>
                <w:szCs w:val="18"/>
              </w:rPr>
              <w:t>烟草工商信 息协同系统 技改项目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1,625</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杭州德创电 子有限公司 增资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 </w:t>
            </w:r>
            <w:r>
              <w:rPr>
                <w:rFonts w:ascii="宋体" w:hAnsi="宋体" w:cs="宋体" w:eastAsia="宋体" w:hint="default"/>
                <w:sz w:val="18"/>
                <w:szCs w:val="18"/>
              </w:rPr>
              <w:t>万元</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3"/>
              <w:jc w:val="both"/>
              <w:rPr>
                <w:rFonts w:ascii="宋体" w:hAnsi="宋体" w:cs="宋体" w:eastAsia="宋体" w:hint="default"/>
                <w:sz w:val="18"/>
                <w:szCs w:val="18"/>
              </w:rPr>
            </w:pPr>
            <w:r>
              <w:rPr>
                <w:rFonts w:ascii="宋体" w:hAnsi="宋体" w:cs="宋体" w:eastAsia="宋体" w:hint="default"/>
                <w:sz w:val="18"/>
                <w:szCs w:val="18"/>
              </w:rPr>
              <w:t>研发及客户 支持中心技 改项目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1,294.31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1,294.31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永久补充流 动资金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研发及客户 支持中心</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62.26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62.26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23"/>
              <w:jc w:val="left"/>
              <w:rPr>
                <w:rFonts w:ascii="宋体" w:hAnsi="宋体" w:cs="宋体" w:eastAsia="宋体" w:hint="default"/>
                <w:sz w:val="18"/>
                <w:szCs w:val="18"/>
              </w:rPr>
            </w:pPr>
            <w:r>
              <w:rPr>
                <w:rFonts w:ascii="宋体" w:hAnsi="宋体" w:cs="宋体" w:eastAsia="宋体" w:hint="default"/>
                <w:sz w:val="18"/>
                <w:szCs w:val="18"/>
              </w:rPr>
              <w:t>永久补充流 动资金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融合 电力安全生 产管理系统 技改项目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3,289.9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3,289.9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3,289.9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z w:val="18"/>
                <w:szCs w:val="18"/>
              </w:rPr>
              <w:t>永久补充流 动资金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3"/>
              <w:jc w:val="both"/>
              <w:rPr>
                <w:rFonts w:ascii="宋体" w:hAnsi="宋体" w:cs="宋体" w:eastAsia="宋体" w:hint="default"/>
                <w:sz w:val="18"/>
                <w:szCs w:val="18"/>
              </w:rPr>
            </w:pPr>
            <w:r>
              <w:rPr>
                <w:rFonts w:ascii="宋体" w:hAnsi="宋体" w:cs="宋体" w:eastAsia="宋体" w:hint="default"/>
                <w:sz w:val="18"/>
                <w:szCs w:val="18"/>
              </w:rPr>
              <w:t>烟草电子政 务平台技改 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1,102.53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1,102.53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1,102.53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9,392.43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5,454.69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9,454.69</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-1,369.03</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840" w:right="1020"/>
        </w:sectPr>
      </w:pPr>
    </w:p>
    <w:p>
      <w:pPr>
        <w:spacing w:line="240" w:lineRule="auto" w:before="6"/>
        <w:rPr>
          <w:rFonts w:ascii="宋体" w:hAnsi="宋体" w:cs="宋体" w:eastAsia="宋体" w:hint="default"/>
          <w:sz w:val="28"/>
          <w:szCs w:val="28"/>
        </w:rPr>
      </w:pPr>
      <w:r>
        <w:rPr/>
        <w:pict>
          <v:group style="position:absolute;margin-left:547.559998pt;margin-top:781.919983pt;width:.1pt;height:10.35pt;mso-position-horizontal-relative:page;mso-position-vertical-relative:page;z-index:1864" coordorigin="10951,15638" coordsize="2,207">
            <v:shape style="position:absolute;left:10951;top:15638;width:2;height:207" coordorigin="10951,15638" coordsize="0,207" path="m10951,15638l10951,15845e" filled="false" stroked="true" strokeweight=".12pt" strokecolor="#000000">
              <v:path arrowok="t"/>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2873"/>
        <w:gridCol w:w="6698"/>
      </w:tblGrid>
      <w:tr>
        <w:trPr>
          <w:trHeight w:val="360" w:hRule="exact"/>
        </w:trPr>
        <w:tc>
          <w:tcPr>
            <w:tcW w:w="2873" w:type="dxa"/>
            <w:tcBorders>
              <w:top w:val="single" w:sz="4" w:space="0" w:color="000000"/>
              <w:left w:val="single" w:sz="4" w:space="0" w:color="000000"/>
              <w:bottom w:val="nil" w:sz="6" w:space="0" w:color="auto"/>
              <w:right w:val="single" w:sz="4" w:space="0" w:color="000000"/>
            </w:tcBorders>
            <w:shd w:val="clear" w:color="auto" w:fill="D3D3D3"/>
          </w:tcPr>
          <w:p>
            <w:pPr/>
          </w:p>
        </w:tc>
        <w:tc>
          <w:tcPr>
            <w:tcW w:w="66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bookmarkStart w:name="3、主要子公司、参股公司分析" w:id="36"/>
            <w:bookmarkEnd w:id="36"/>
            <w:r>
              <w:rPr/>
            </w:r>
            <w:r>
              <w:rPr>
                <w:rFonts w:ascii="Times New Roman" w:hAnsi="Times New Roman" w:cs="Times New Roman" w:eastAsia="Times New Roman" w:hint="default"/>
                <w:sz w:val="18"/>
                <w:szCs w:val="18"/>
              </w:rPr>
              <w:t>1</w:t>
            </w:r>
            <w:r>
              <w:rPr>
                <w:rFonts w:ascii="宋体" w:hAnsi="宋体" w:cs="宋体" w:eastAsia="宋体" w:hint="default"/>
                <w:sz w:val="18"/>
                <w:szCs w:val="18"/>
              </w:rPr>
              <w:t>、经公司</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年第一次临时股东大会决议通过，将“</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融合电力实时数据集成应</w:t>
            </w:r>
          </w:p>
        </w:tc>
      </w:tr>
      <w:tr>
        <w:trPr>
          <w:trHeight w:val="312" w:hRule="exact"/>
        </w:trPr>
        <w:tc>
          <w:tcPr>
            <w:tcW w:w="2873" w:type="dxa"/>
            <w:tcBorders>
              <w:top w:val="nil" w:sz="6" w:space="0" w:color="auto"/>
              <w:left w:val="single" w:sz="4" w:space="0" w:color="000000"/>
              <w:bottom w:val="nil" w:sz="6" w:space="0" w:color="auto"/>
              <w:right w:val="single" w:sz="4" w:space="0" w:color="000000"/>
            </w:tcBorders>
            <w:shd w:val="clear" w:color="auto" w:fill="D3D3D3"/>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用系统</w:t>
            </w:r>
            <w:r>
              <w:rPr>
                <w:rFonts w:ascii="宋体" w:hAnsi="宋体" w:cs="宋体" w:eastAsia="宋体" w:hint="default"/>
                <w:spacing w:val="-80"/>
                <w:sz w:val="18"/>
                <w:szCs w:val="18"/>
              </w:rPr>
              <w:t>”</w:t>
            </w:r>
            <w:r>
              <w:rPr>
                <w:rFonts w:ascii="宋体" w:hAnsi="宋体" w:cs="宋体" w:eastAsia="宋体" w:hint="default"/>
                <w:sz w:val="18"/>
                <w:szCs w:val="18"/>
              </w:rPr>
              <w:t>项目剩余募集资金中的</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万元用于收购杭州德创电子有限公司</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股权</w:t>
            </w:r>
            <w:r>
              <w:rPr>
                <w:rFonts w:ascii="宋体" w:hAnsi="宋体" w:cs="宋体" w:eastAsia="宋体" w:hint="default"/>
                <w:w w:val="50"/>
                <w:sz w:val="18"/>
                <w:szCs w:val="18"/>
              </w:rPr>
              <w:t>；</w:t>
            </w:r>
            <w:r>
              <w:rPr>
                <w:rFonts w:ascii="宋体" w:hAnsi="宋体" w:cs="宋体" w:eastAsia="宋体" w:hint="default"/>
                <w:sz w:val="18"/>
                <w:szCs w:val="18"/>
              </w:rPr>
            </w:r>
          </w:p>
        </w:tc>
      </w:tr>
      <w:tr>
        <w:trPr>
          <w:trHeight w:val="313" w:hRule="exact"/>
        </w:trPr>
        <w:tc>
          <w:tcPr>
            <w:tcW w:w="2873" w:type="dxa"/>
            <w:tcBorders>
              <w:top w:val="nil" w:sz="6" w:space="0" w:color="auto"/>
              <w:left w:val="single" w:sz="4" w:space="0" w:color="000000"/>
              <w:bottom w:val="nil" w:sz="6" w:space="0" w:color="auto"/>
              <w:right w:val="single" w:sz="4" w:space="0" w:color="000000"/>
            </w:tcBorders>
            <w:shd w:val="clear" w:color="auto" w:fill="D3D3D3"/>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41"/>
                <w:sz w:val="18"/>
                <w:szCs w:val="18"/>
              </w:rPr>
              <w:t>将</w:t>
            </w:r>
            <w:r>
              <w:rPr>
                <w:rFonts w:ascii="宋体" w:hAnsi="宋体" w:cs="宋体" w:eastAsia="宋体" w:hint="default"/>
                <w:spacing w:val="-3"/>
                <w:sz w:val="18"/>
                <w:szCs w:val="18"/>
              </w:rPr>
              <w:t>“</w:t>
            </w:r>
            <w:r>
              <w:rPr>
                <w:rFonts w:ascii="Times New Roman" w:hAnsi="Times New Roman" w:cs="Times New Roman" w:eastAsia="Times New Roman" w:hint="default"/>
                <w:w w:val="100"/>
                <w:sz w:val="18"/>
                <w:szCs w:val="18"/>
              </w:rPr>
              <w:t>E</w:t>
            </w:r>
            <w:r>
              <w:rPr>
                <w:rFonts w:ascii="Times New Roman" w:hAnsi="Times New Roman" w:cs="Times New Roman" w:eastAsia="Times New Roman" w:hint="default"/>
                <w:spacing w:val="-1"/>
                <w:w w:val="100"/>
                <w:sz w:val="18"/>
                <w:szCs w:val="18"/>
              </w:rPr>
              <w:t>R</w:t>
            </w:r>
            <w:r>
              <w:rPr>
                <w:rFonts w:ascii="Times New Roman" w:hAnsi="Times New Roman" w:cs="Times New Roman" w:eastAsia="Times New Roman" w:hint="default"/>
                <w:w w:val="99"/>
                <w:sz w:val="18"/>
                <w:szCs w:val="18"/>
              </w:rPr>
              <w:t>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融合电力实时数据集成应用系统</w:t>
            </w:r>
            <w:r>
              <w:rPr>
                <w:rFonts w:ascii="宋体" w:hAnsi="宋体" w:cs="宋体" w:eastAsia="宋体" w:hint="default"/>
                <w:spacing w:val="-41"/>
                <w:sz w:val="18"/>
                <w:szCs w:val="18"/>
              </w:rPr>
              <w:t>”</w:t>
            </w:r>
            <w:r>
              <w:rPr>
                <w:rFonts w:ascii="宋体" w:hAnsi="宋体" w:cs="宋体" w:eastAsia="宋体" w:hint="default"/>
                <w:sz w:val="18"/>
                <w:szCs w:val="18"/>
              </w:rPr>
              <w:t>项目剩余募集资金中的</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132"/>
                <w:sz w:val="18"/>
                <w:szCs w:val="18"/>
              </w:rPr>
              <w:t>、</w:t>
            </w:r>
            <w:r>
              <w:rPr>
                <w:rFonts w:ascii="宋体" w:hAnsi="宋体" w:cs="宋体" w:eastAsia="宋体" w:hint="default"/>
                <w:sz w:val="18"/>
                <w:szCs w:val="18"/>
              </w:rPr>
              <w:t>“烟</w:t>
            </w:r>
          </w:p>
        </w:tc>
      </w:tr>
      <w:tr>
        <w:trPr>
          <w:trHeight w:val="312" w:hRule="exact"/>
        </w:trPr>
        <w:tc>
          <w:tcPr>
            <w:tcW w:w="2873" w:type="dxa"/>
            <w:tcBorders>
              <w:top w:val="nil" w:sz="6" w:space="0" w:color="auto"/>
              <w:left w:val="single" w:sz="4" w:space="0" w:color="000000"/>
              <w:bottom w:val="nil" w:sz="6" w:space="0" w:color="auto"/>
              <w:right w:val="single" w:sz="4" w:space="0" w:color="000000"/>
            </w:tcBorders>
            <w:shd w:val="clear" w:color="auto" w:fill="D3D3D3"/>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草工商信息协同系统”项目剩余募集资金</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1,625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万元和</w:t>
            </w:r>
            <w:r>
              <w:rPr>
                <w:rFonts w:ascii="宋体" w:hAnsi="宋体" w:cs="宋体" w:eastAsia="宋体" w:hint="default"/>
                <w:spacing w:val="-41"/>
                <w:sz w:val="18"/>
                <w:szCs w:val="18"/>
              </w:rPr>
              <w:t> </w:t>
            </w:r>
            <w:r>
              <w:rPr>
                <w:rFonts w:ascii="宋体" w:hAnsi="宋体" w:cs="宋体" w:eastAsia="宋体" w:hint="default"/>
                <w:sz w:val="18"/>
                <w:szCs w:val="18"/>
              </w:rPr>
              <w:t>“研发及客户支持中心”项目</w:t>
            </w:r>
          </w:p>
        </w:tc>
      </w:tr>
      <w:tr>
        <w:trPr>
          <w:trHeight w:val="312" w:hRule="exact"/>
        </w:trPr>
        <w:tc>
          <w:tcPr>
            <w:tcW w:w="2873" w:type="dxa"/>
            <w:tcBorders>
              <w:top w:val="nil" w:sz="6" w:space="0" w:color="auto"/>
              <w:left w:val="single" w:sz="4" w:space="0" w:color="000000"/>
              <w:bottom w:val="nil" w:sz="6" w:space="0" w:color="auto"/>
              <w:right w:val="single" w:sz="4" w:space="0" w:color="000000"/>
            </w:tcBorders>
            <w:shd w:val="clear" w:color="auto" w:fill="D3D3D3"/>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w w:val="95"/>
                <w:sz w:val="18"/>
                <w:szCs w:val="18"/>
              </w:rPr>
              <w:t>剩余募集资金中的 </w:t>
            </w:r>
            <w:r>
              <w:rPr>
                <w:rFonts w:ascii="Times New Roman" w:hAnsi="Times New Roman" w:cs="Times New Roman" w:eastAsia="Times New Roman" w:hint="default"/>
                <w:w w:val="95"/>
                <w:sz w:val="18"/>
                <w:szCs w:val="18"/>
              </w:rPr>
              <w:t>1,294.31  </w:t>
            </w:r>
            <w:r>
              <w:rPr>
                <w:rFonts w:ascii="宋体" w:hAnsi="宋体" w:cs="宋体" w:eastAsia="宋体" w:hint="default"/>
                <w:w w:val="95"/>
                <w:sz w:val="18"/>
                <w:szCs w:val="18"/>
              </w:rPr>
              <w:t>万元共计 </w:t>
            </w:r>
            <w:r>
              <w:rPr>
                <w:rFonts w:ascii="Times New Roman" w:hAnsi="Times New Roman" w:cs="Times New Roman" w:eastAsia="Times New Roman" w:hint="default"/>
                <w:w w:val="95"/>
                <w:sz w:val="18"/>
                <w:szCs w:val="18"/>
              </w:rPr>
              <w:t>4,000 </w:t>
            </w:r>
            <w:r>
              <w:rPr>
                <w:rFonts w:ascii="Times New Roman" w:hAnsi="Times New Roman" w:cs="Times New Roman" w:eastAsia="Times New Roman" w:hint="default"/>
                <w:spacing w:val="8"/>
                <w:w w:val="95"/>
                <w:sz w:val="18"/>
                <w:szCs w:val="18"/>
              </w:rPr>
              <w:t> </w:t>
            </w:r>
            <w:r>
              <w:rPr>
                <w:rFonts w:ascii="宋体" w:hAnsi="宋体" w:cs="宋体" w:eastAsia="宋体" w:hint="default"/>
                <w:w w:val="95"/>
                <w:sz w:val="18"/>
                <w:szCs w:val="18"/>
              </w:rPr>
              <w:t>万元用于认购杭州德创电子有限公司增资。</w:t>
            </w:r>
            <w:r>
              <w:rPr>
                <w:rFonts w:ascii="宋体" w:hAnsi="宋体" w:cs="宋体" w:eastAsia="宋体" w:hint="default"/>
                <w:sz w:val="18"/>
                <w:szCs w:val="18"/>
              </w:rPr>
            </w:r>
          </w:p>
        </w:tc>
      </w:tr>
      <w:tr>
        <w:trPr>
          <w:trHeight w:val="955" w:hRule="exact"/>
        </w:trPr>
        <w:tc>
          <w:tcPr>
            <w:tcW w:w="287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316" w:lineRule="auto"/>
              <w:ind w:left="24" w:right="23"/>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日本公司第二届董事会第十五次会议决议及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年年度股东大会审议通过，同意将研发及客户支持中心技改项目节余募集资金</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62.26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万元永久补充流动资金。</w:t>
            </w:r>
          </w:p>
        </w:tc>
      </w:tr>
      <w:tr>
        <w:trPr>
          <w:trHeight w:val="332" w:hRule="exact"/>
        </w:trPr>
        <w:tc>
          <w:tcPr>
            <w:tcW w:w="2873" w:type="dxa"/>
            <w:tcBorders>
              <w:top w:val="nil" w:sz="6" w:space="0" w:color="auto"/>
              <w:left w:val="single" w:sz="4" w:space="0" w:color="000000"/>
              <w:bottom w:val="nil" w:sz="6" w:space="0" w:color="auto"/>
              <w:right w:val="single" w:sz="4" w:space="0" w:color="000000"/>
            </w:tcBorders>
            <w:shd w:val="clear" w:color="auto" w:fill="D3D3D3"/>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4"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、经公司 </w:t>
            </w:r>
            <w:r>
              <w:rPr>
                <w:rFonts w:ascii="Times New Roman" w:hAnsi="Times New Roman" w:cs="Times New Roman" w:eastAsia="Times New Roman" w:hint="default"/>
                <w:sz w:val="18"/>
                <w:szCs w:val="18"/>
              </w:rPr>
              <w:t>2012 </w:t>
            </w:r>
            <w:r>
              <w:rPr>
                <w:rFonts w:ascii="宋体" w:hAnsi="宋体" w:cs="宋体" w:eastAsia="宋体" w:hint="default"/>
                <w:spacing w:val="-3"/>
                <w:sz w:val="18"/>
                <w:szCs w:val="18"/>
              </w:rPr>
              <w:t>年第二次临时股东大会决议通过，将“</w:t>
            </w:r>
            <w:r>
              <w:rPr>
                <w:rFonts w:ascii="Times New Roman" w:hAnsi="Times New Roman" w:cs="Times New Roman" w:eastAsia="Times New Roman" w:hint="default"/>
                <w:spacing w:val="-3"/>
                <w:sz w:val="18"/>
                <w:szCs w:val="18"/>
              </w:rPr>
              <w:t>ERP</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融合电力安全生产管理系</w:t>
            </w:r>
          </w:p>
        </w:tc>
      </w:tr>
      <w:tr>
        <w:trPr>
          <w:trHeight w:val="312" w:hRule="exact"/>
        </w:trPr>
        <w:tc>
          <w:tcPr>
            <w:tcW w:w="2873" w:type="dxa"/>
            <w:tcBorders>
              <w:top w:val="nil" w:sz="6" w:space="0" w:color="auto"/>
              <w:left w:val="single" w:sz="4" w:space="0" w:color="000000"/>
              <w:bottom w:val="nil" w:sz="6" w:space="0" w:color="auto"/>
              <w:right w:val="single" w:sz="4" w:space="0" w:color="000000"/>
            </w:tcBorders>
            <w:shd w:val="clear" w:color="auto" w:fill="D3D3D3"/>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统技改项目”剩余募集资金中的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3289.90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万元及“烟草电子政务平台技改项目”剩余</w:t>
            </w:r>
          </w:p>
        </w:tc>
      </w:tr>
      <w:tr>
        <w:trPr>
          <w:trHeight w:val="312" w:hRule="exact"/>
        </w:trPr>
        <w:tc>
          <w:tcPr>
            <w:tcW w:w="2873" w:type="dxa"/>
            <w:tcBorders>
              <w:top w:val="nil" w:sz="6" w:space="0" w:color="auto"/>
              <w:left w:val="single" w:sz="4" w:space="0" w:color="000000"/>
              <w:bottom w:val="nil" w:sz="6" w:space="0" w:color="auto"/>
              <w:right w:val="single" w:sz="4" w:space="0" w:color="000000"/>
            </w:tcBorders>
            <w:shd w:val="clear" w:color="auto" w:fill="D3D3D3"/>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募集资金中的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1102.53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万元共计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4392.43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万元，联合募集资金利息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722.72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万元（其中</w:t>
            </w:r>
          </w:p>
        </w:tc>
      </w:tr>
      <w:tr>
        <w:trPr>
          <w:trHeight w:val="312" w:hRule="exact"/>
        </w:trPr>
        <w:tc>
          <w:tcPr>
            <w:tcW w:w="2873" w:type="dxa"/>
            <w:tcBorders>
              <w:top w:val="nil" w:sz="6" w:space="0" w:color="auto"/>
              <w:left w:val="single" w:sz="4" w:space="0" w:color="000000"/>
              <w:bottom w:val="nil" w:sz="6" w:space="0" w:color="auto"/>
              <w:right w:val="single" w:sz="4" w:space="0" w:color="000000"/>
            </w:tcBorders>
            <w:shd w:val="clear" w:color="auto" w:fill="D3D3D3"/>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利息</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293.44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万元是</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日募集资金变更基准日起至募集资金专户销户日产</w:t>
            </w:r>
          </w:p>
        </w:tc>
      </w:tr>
      <w:tr>
        <w:trPr>
          <w:trHeight w:val="353" w:hRule="exact"/>
        </w:trPr>
        <w:tc>
          <w:tcPr>
            <w:tcW w:w="2873" w:type="dxa"/>
            <w:tcBorders>
              <w:top w:val="nil" w:sz="6" w:space="0" w:color="auto"/>
              <w:left w:val="single" w:sz="4" w:space="0" w:color="000000"/>
              <w:bottom w:val="single" w:sz="4" w:space="0" w:color="000000"/>
              <w:right w:val="single" w:sz="4" w:space="0" w:color="000000"/>
            </w:tcBorders>
            <w:shd w:val="clear" w:color="auto" w:fill="D3D3D3"/>
          </w:tcPr>
          <w:p>
            <w:pPr/>
          </w:p>
        </w:tc>
        <w:tc>
          <w:tcPr>
            <w:tcW w:w="66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生的利息）共计</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5115.15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万元永久补充流动资金。</w:t>
            </w:r>
          </w:p>
        </w:tc>
      </w:tr>
      <w:tr>
        <w:trPr>
          <w:trHeight w:val="713" w:hRule="exact"/>
        </w:trPr>
        <w:tc>
          <w:tcPr>
            <w:tcW w:w="28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报告期内无。</w:t>
            </w:r>
          </w:p>
        </w:tc>
      </w:tr>
      <w:tr>
        <w:trPr>
          <w:trHeight w:val="715" w:hRule="exact"/>
        </w:trPr>
        <w:tc>
          <w:tcPr>
            <w:tcW w:w="28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报告期内无。</w:t>
            </w:r>
          </w:p>
        </w:tc>
      </w:tr>
    </w:tbl>
    <w:p>
      <w:pPr>
        <w:spacing w:line="240" w:lineRule="auto" w:before="5"/>
        <w:rPr>
          <w:rFonts w:ascii="宋体" w:hAnsi="宋体" w:cs="宋体" w:eastAsia="宋体" w:hint="default"/>
          <w:sz w:val="19"/>
          <w:szCs w:val="19"/>
        </w:rPr>
      </w:pPr>
    </w:p>
    <w:p>
      <w:pPr>
        <w:spacing w:line="333" w:lineRule="exact" w:before="0"/>
        <w:ind w:left="119" w:right="27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、主要子公司、参股公司分析</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946"/>
        <w:gridCol w:w="1075"/>
        <w:gridCol w:w="943"/>
        <w:gridCol w:w="943"/>
        <w:gridCol w:w="943"/>
        <w:gridCol w:w="943"/>
        <w:gridCol w:w="943"/>
        <w:gridCol w:w="943"/>
        <w:gridCol w:w="809"/>
        <w:gridCol w:w="1078"/>
      </w:tblGrid>
      <w:tr>
        <w:trPr>
          <w:trHeight w:val="715" w:hRule="exact"/>
        </w:trPr>
        <w:tc>
          <w:tcPr>
            <w:tcW w:w="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96" w:right="107" w:hanging="92"/>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40" w:lineRule="auto" w:before="76"/>
              <w:ind w:left="196"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净资产</w:t>
            </w:r>
          </w:p>
          <w:p>
            <w:pPr>
              <w:pStyle w:val="TableParagraph"/>
              <w:spacing w:line="240" w:lineRule="auto" w:before="76"/>
              <w:ind w:left="196"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营业利润</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37"/>
              <w:jc w:val="left"/>
              <w:rPr>
                <w:rFonts w:ascii="宋体" w:hAnsi="宋体" w:cs="宋体" w:eastAsia="宋体" w:hint="default"/>
                <w:sz w:val="18"/>
                <w:szCs w:val="18"/>
              </w:rPr>
            </w:pPr>
            <w:r>
              <w:rPr>
                <w:rFonts w:ascii="宋体" w:hAnsi="宋体" w:cs="宋体" w:eastAsia="宋体" w:hint="default"/>
                <w:sz w:val="18"/>
                <w:szCs w:val="18"/>
              </w:rPr>
              <w:t>净利润（元）</w:t>
            </w:r>
          </w:p>
        </w:tc>
      </w:tr>
      <w:tr>
        <w:trPr>
          <w:trHeight w:val="358" w:hRule="exact"/>
        </w:trPr>
        <w:tc>
          <w:tcPr>
            <w:tcW w:w="9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杭州新世</w:t>
            </w:r>
          </w:p>
        </w:tc>
        <w:tc>
          <w:tcPr>
            <w:tcW w:w="1075"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1078"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91"/>
              <w:jc w:val="left"/>
              <w:rPr>
                <w:rFonts w:ascii="宋体" w:hAnsi="宋体" w:cs="宋体" w:eastAsia="宋体" w:hint="default"/>
                <w:sz w:val="18"/>
                <w:szCs w:val="18"/>
              </w:rPr>
            </w:pPr>
            <w:r>
              <w:rPr>
                <w:rFonts w:ascii="宋体" w:hAnsi="宋体" w:cs="宋体" w:eastAsia="宋体" w:hint="default"/>
                <w:sz w:val="18"/>
                <w:szCs w:val="18"/>
              </w:rPr>
              <w:t>纪电子科 技有限公</w:t>
            </w:r>
          </w:p>
        </w:tc>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20"/>
              <w:jc w:val="left"/>
              <w:rPr>
                <w:rFonts w:ascii="宋体" w:hAnsi="宋体" w:cs="宋体" w:eastAsia="宋体" w:hint="default"/>
                <w:sz w:val="18"/>
                <w:szCs w:val="18"/>
              </w:rPr>
            </w:pPr>
            <w:r>
              <w:rPr>
                <w:rFonts w:ascii="宋体" w:hAnsi="宋体" w:cs="宋体" w:eastAsia="宋体" w:hint="default"/>
                <w:w w:val="95"/>
                <w:sz w:val="18"/>
                <w:szCs w:val="18"/>
              </w:rPr>
              <w:t>软件开发、</w:t>
            </w:r>
            <w:r>
              <w:rPr>
                <w:rFonts w:ascii="宋体" w:hAnsi="宋体" w:cs="宋体" w:eastAsia="宋体" w:hint="default"/>
                <w:spacing w:val="-54"/>
                <w:w w:val="95"/>
                <w:sz w:val="18"/>
                <w:szCs w:val="18"/>
              </w:rPr>
              <w:t> </w:t>
            </w:r>
            <w:r>
              <w:rPr>
                <w:rFonts w:ascii="宋体" w:hAnsi="宋体" w:cs="宋体" w:eastAsia="宋体" w:hint="default"/>
                <w:spacing w:val="-54"/>
                <w:w w:val="95"/>
                <w:sz w:val="18"/>
                <w:szCs w:val="18"/>
              </w:rPr>
            </w:r>
            <w:r>
              <w:rPr>
                <w:rFonts w:ascii="宋体" w:hAnsi="宋体" w:cs="宋体" w:eastAsia="宋体" w:hint="default"/>
                <w:sz w:val="18"/>
                <w:szCs w:val="18"/>
              </w:rPr>
              <w:t>系统集成</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51,790,500.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41</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39,377,790.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06</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61,747,957.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86" w:right="0"/>
              <w:jc w:val="left"/>
              <w:rPr>
                <w:rFonts w:ascii="Times New Roman" w:hAnsi="Times New Roman" w:cs="Times New Roman" w:eastAsia="Times New Roman" w:hint="default"/>
                <w:sz w:val="18"/>
                <w:szCs w:val="18"/>
              </w:rPr>
            </w:pPr>
            <w:r>
              <w:rPr>
                <w:rFonts w:ascii="Times New Roman"/>
                <w:sz w:val="18"/>
              </w:rPr>
              <w:t>-1,355,17</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2.96</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-1,219,736.01</w:t>
            </w:r>
          </w:p>
        </w:tc>
      </w:tr>
      <w:tr>
        <w:trPr>
          <w:trHeight w:val="351" w:hRule="exact"/>
        </w:trPr>
        <w:tc>
          <w:tcPr>
            <w:tcW w:w="9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75"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1078" w:type="dxa"/>
            <w:tcBorders>
              <w:top w:val="nil" w:sz="6" w:space="0" w:color="auto"/>
              <w:left w:val="single" w:sz="4" w:space="0" w:color="000000"/>
              <w:bottom w:val="single" w:sz="4" w:space="0" w:color="000000"/>
              <w:right w:val="single" w:sz="4" w:space="0" w:color="000000"/>
            </w:tcBorders>
          </w:tcPr>
          <w:p>
            <w:pPr/>
          </w:p>
        </w:tc>
      </w:tr>
      <w:tr>
        <w:trPr>
          <w:trHeight w:val="1027"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1"/>
              <w:jc w:val="both"/>
              <w:rPr>
                <w:rFonts w:ascii="宋体" w:hAnsi="宋体" w:cs="宋体" w:eastAsia="宋体" w:hint="default"/>
                <w:sz w:val="18"/>
                <w:szCs w:val="18"/>
              </w:rPr>
            </w:pPr>
            <w:r>
              <w:rPr>
                <w:rFonts w:ascii="宋体" w:hAnsi="宋体" w:cs="宋体" w:eastAsia="宋体" w:hint="default"/>
                <w:sz w:val="18"/>
                <w:szCs w:val="18"/>
              </w:rPr>
              <w:t>杭州德创 电子有限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w w:val="95"/>
                <w:sz w:val="18"/>
                <w:szCs w:val="18"/>
              </w:rPr>
              <w:t>软件开发、</w:t>
            </w:r>
            <w:r>
              <w:rPr>
                <w:rFonts w:ascii="宋体" w:hAnsi="宋体" w:cs="宋体" w:eastAsia="宋体" w:hint="default"/>
                <w:spacing w:val="-54"/>
                <w:w w:val="95"/>
                <w:sz w:val="18"/>
                <w:szCs w:val="18"/>
              </w:rPr>
              <w:t> </w:t>
            </w:r>
            <w:r>
              <w:rPr>
                <w:rFonts w:ascii="宋体" w:hAnsi="宋体" w:cs="宋体" w:eastAsia="宋体" w:hint="default"/>
                <w:spacing w:val="-54"/>
                <w:w w:val="95"/>
                <w:sz w:val="18"/>
                <w:szCs w:val="18"/>
              </w:rPr>
            </w:r>
            <w:r>
              <w:rPr>
                <w:rFonts w:ascii="宋体" w:hAnsi="宋体" w:cs="宋体" w:eastAsia="宋体" w:hint="default"/>
                <w:sz w:val="18"/>
                <w:szCs w:val="18"/>
              </w:rPr>
              <w:t>系统集成</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44,887,171.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55</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45,186,391.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64</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14,915,951.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-14,923,4</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17.64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-13,740,278.5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358" w:hRule="exact"/>
        </w:trPr>
        <w:tc>
          <w:tcPr>
            <w:tcW w:w="9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南京江琛</w:t>
            </w:r>
          </w:p>
        </w:tc>
        <w:tc>
          <w:tcPr>
            <w:tcW w:w="1075"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1078"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91"/>
              <w:jc w:val="left"/>
              <w:rPr>
                <w:rFonts w:ascii="宋体" w:hAnsi="宋体" w:cs="宋体" w:eastAsia="宋体" w:hint="default"/>
                <w:sz w:val="18"/>
                <w:szCs w:val="18"/>
              </w:rPr>
            </w:pPr>
            <w:r>
              <w:rPr>
                <w:rFonts w:ascii="宋体" w:hAnsi="宋体" w:cs="宋体" w:eastAsia="宋体" w:hint="default"/>
                <w:sz w:val="18"/>
                <w:szCs w:val="18"/>
              </w:rPr>
              <w:t>自动化系 统有限责</w:t>
            </w:r>
          </w:p>
        </w:tc>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20"/>
              <w:jc w:val="left"/>
              <w:rPr>
                <w:rFonts w:ascii="宋体" w:hAnsi="宋体" w:cs="宋体" w:eastAsia="宋体" w:hint="default"/>
                <w:sz w:val="18"/>
                <w:szCs w:val="18"/>
              </w:rPr>
            </w:pPr>
            <w:r>
              <w:rPr>
                <w:rFonts w:ascii="宋体" w:hAnsi="宋体" w:cs="宋体" w:eastAsia="宋体" w:hint="default"/>
                <w:w w:val="95"/>
                <w:sz w:val="18"/>
                <w:szCs w:val="18"/>
              </w:rPr>
              <w:t>软件开发、</w:t>
            </w:r>
            <w:r>
              <w:rPr>
                <w:rFonts w:ascii="宋体" w:hAnsi="宋体" w:cs="宋体" w:eastAsia="宋体" w:hint="default"/>
                <w:spacing w:val="-54"/>
                <w:w w:val="95"/>
                <w:sz w:val="18"/>
                <w:szCs w:val="18"/>
              </w:rPr>
              <w:t> </w:t>
            </w:r>
            <w:r>
              <w:rPr>
                <w:rFonts w:ascii="宋体" w:hAnsi="宋体" w:cs="宋体" w:eastAsia="宋体" w:hint="default"/>
                <w:spacing w:val="-54"/>
                <w:w w:val="95"/>
                <w:sz w:val="18"/>
                <w:szCs w:val="18"/>
              </w:rPr>
            </w:r>
            <w:r>
              <w:rPr>
                <w:rFonts w:ascii="宋体" w:hAnsi="宋体" w:cs="宋体" w:eastAsia="宋体" w:hint="default"/>
                <w:sz w:val="18"/>
                <w:szCs w:val="18"/>
              </w:rPr>
              <w:t>系统集成</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24,969,453.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47</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24,469,000.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90</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3,147,608.5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86" w:right="0"/>
              <w:jc w:val="left"/>
              <w:rPr>
                <w:rFonts w:ascii="Times New Roman" w:hAnsi="Times New Roman" w:cs="Times New Roman" w:eastAsia="Times New Roman" w:hint="default"/>
                <w:sz w:val="18"/>
                <w:szCs w:val="18"/>
              </w:rPr>
            </w:pPr>
            <w:r>
              <w:rPr>
                <w:rFonts w:ascii="Times New Roman"/>
                <w:sz w:val="18"/>
              </w:rPr>
              <w:t>-2,287,32</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3.24</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-1,945,521.54</w:t>
            </w:r>
          </w:p>
        </w:tc>
      </w:tr>
      <w:tr>
        <w:trPr>
          <w:trHeight w:val="351" w:hRule="exact"/>
        </w:trPr>
        <w:tc>
          <w:tcPr>
            <w:tcW w:w="9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1075"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1078" w:type="dxa"/>
            <w:tcBorders>
              <w:top w:val="nil" w:sz="6" w:space="0" w:color="auto"/>
              <w:left w:val="single" w:sz="4" w:space="0" w:color="000000"/>
              <w:bottom w:val="single" w:sz="4" w:space="0" w:color="000000"/>
              <w:right w:val="single" w:sz="4" w:space="0" w:color="000000"/>
            </w:tcBorders>
          </w:tcPr>
          <w:p>
            <w:pPr/>
          </w:p>
        </w:tc>
      </w:tr>
      <w:tr>
        <w:trPr>
          <w:trHeight w:val="1651"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1"/>
              <w:jc w:val="both"/>
              <w:rPr>
                <w:rFonts w:ascii="宋体" w:hAnsi="宋体" w:cs="宋体" w:eastAsia="宋体" w:hint="default"/>
                <w:sz w:val="18"/>
                <w:szCs w:val="18"/>
              </w:rPr>
            </w:pPr>
            <w:r>
              <w:rPr>
                <w:rFonts w:ascii="宋体" w:hAnsi="宋体" w:cs="宋体" w:eastAsia="宋体" w:hint="default"/>
                <w:sz w:val="18"/>
                <w:szCs w:val="18"/>
              </w:rPr>
              <w:t>杭州市江 干区和瑞 科创小额 贷款有限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187"/>
              <w:jc w:val="both"/>
              <w:rPr>
                <w:rFonts w:ascii="宋体" w:hAnsi="宋体" w:cs="宋体" w:eastAsia="宋体" w:hint="default"/>
                <w:sz w:val="18"/>
                <w:szCs w:val="18"/>
              </w:rPr>
            </w:pPr>
            <w:r>
              <w:rPr>
                <w:rFonts w:ascii="宋体" w:hAnsi="宋体" w:cs="宋体" w:eastAsia="宋体" w:hint="default"/>
                <w:sz w:val="18"/>
                <w:szCs w:val="18"/>
              </w:rPr>
              <w:t>经批准的 小额贷款 公司金融 业务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270,635,76</w:t>
            </w:r>
          </w:p>
          <w:p>
            <w:pPr>
              <w:pStyle w:val="TableParagraph"/>
              <w:spacing w:line="240" w:lineRule="auto" w:before="105"/>
              <w:ind w:left="595" w:right="0"/>
              <w:jc w:val="left"/>
              <w:rPr>
                <w:rFonts w:ascii="Times New Roman" w:hAnsi="Times New Roman" w:cs="Times New Roman" w:eastAsia="Times New Roman" w:hint="default"/>
                <w:sz w:val="18"/>
                <w:szCs w:val="18"/>
              </w:rPr>
            </w:pPr>
            <w:r>
              <w:rPr>
                <w:rFonts w:ascii="Times New Roman"/>
                <w:sz w:val="18"/>
              </w:rPr>
              <w:t>5.55</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265,219,47</w:t>
            </w:r>
          </w:p>
          <w:p>
            <w:pPr>
              <w:pStyle w:val="TableParagraph"/>
              <w:spacing w:line="240" w:lineRule="auto" w:before="105"/>
              <w:ind w:left="595" w:right="0"/>
              <w:jc w:val="left"/>
              <w:rPr>
                <w:rFonts w:ascii="Times New Roman" w:hAnsi="Times New Roman" w:cs="Times New Roman" w:eastAsia="Times New Roman" w:hint="default"/>
                <w:sz w:val="18"/>
                <w:szCs w:val="18"/>
              </w:rPr>
            </w:pPr>
            <w:r>
              <w:rPr>
                <w:rFonts w:ascii="Times New Roman"/>
                <w:sz w:val="18"/>
              </w:rPr>
              <w:t>2.10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38,208,759.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28,563,25</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0.22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21,050,515.4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1025"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1"/>
              <w:jc w:val="both"/>
              <w:rPr>
                <w:rFonts w:ascii="宋体" w:hAnsi="宋体" w:cs="宋体" w:eastAsia="宋体" w:hint="default"/>
                <w:sz w:val="18"/>
                <w:szCs w:val="18"/>
              </w:rPr>
            </w:pPr>
            <w:r>
              <w:rPr>
                <w:rFonts w:ascii="宋体" w:hAnsi="宋体" w:cs="宋体" w:eastAsia="宋体" w:hint="default"/>
                <w:sz w:val="18"/>
                <w:szCs w:val="18"/>
              </w:rPr>
              <w:t>杭州讯能 科技有限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w w:val="95"/>
                <w:sz w:val="18"/>
                <w:szCs w:val="18"/>
              </w:rPr>
              <w:t>软件开发、</w:t>
            </w:r>
            <w:r>
              <w:rPr>
                <w:rFonts w:ascii="宋体" w:hAnsi="宋体" w:cs="宋体" w:eastAsia="宋体" w:hint="default"/>
                <w:spacing w:val="-54"/>
                <w:w w:val="95"/>
                <w:sz w:val="18"/>
                <w:szCs w:val="18"/>
              </w:rPr>
              <w:t> </w:t>
            </w:r>
            <w:r>
              <w:rPr>
                <w:rFonts w:ascii="宋体" w:hAnsi="宋体" w:cs="宋体" w:eastAsia="宋体" w:hint="default"/>
                <w:spacing w:val="-54"/>
                <w:w w:val="95"/>
                <w:sz w:val="18"/>
                <w:szCs w:val="18"/>
              </w:rPr>
            </w:r>
            <w:r>
              <w:rPr>
                <w:rFonts w:ascii="宋体" w:hAnsi="宋体" w:cs="宋体" w:eastAsia="宋体" w:hint="default"/>
                <w:sz w:val="18"/>
                <w:szCs w:val="18"/>
              </w:rPr>
              <w:t>系统集成</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20,607,730.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31</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11,560,239.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65</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2,707,086.4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-4,123,97</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5.33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-4,106,592.12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1020" w:right="84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5"/>
        <w:rPr>
          <w:rFonts w:ascii="Microsoft JhengHei" w:hAnsi="Microsoft JhengHei" w:cs="Microsoft JhengHei" w:eastAsia="Microsoft JhengHei" w:hint="default"/>
          <w:b/>
          <w:bCs/>
          <w:sz w:val="17"/>
          <w:szCs w:val="17"/>
        </w:rPr>
      </w:pPr>
    </w:p>
    <w:p>
      <w:pPr>
        <w:pStyle w:val="BodyText"/>
        <w:spacing w:line="268" w:lineRule="auto" w:before="26"/>
        <w:ind w:left="775" w:right="216"/>
        <w:jc w:val="left"/>
      </w:pPr>
      <w:bookmarkStart w:name="七、公司未来发展的展望" w:id="37"/>
      <w:bookmarkEnd w:id="37"/>
      <w:r>
        <w:rPr/>
      </w:r>
      <w:r>
        <w:rPr/>
        <w:t>主要子公司、参股公司情况说明: </w:t>
      </w:r>
      <w:r>
        <w:rPr>
          <w:spacing w:val="-5"/>
          <w:w w:val="98"/>
        </w:rPr>
        <w:t>1、南京江琛自动化系统有限责任公司本年度亏损194.55万元，主要是由于公司员工流失，</w:t>
      </w:r>
      <w:r>
        <w:rPr>
          <w:spacing w:val="-5"/>
        </w:rPr>
      </w:r>
    </w:p>
    <w:p>
      <w:pPr>
        <w:pStyle w:val="BodyText"/>
        <w:spacing w:line="283" w:lineRule="exact" w:before="0"/>
        <w:ind w:right="0"/>
        <w:jc w:val="both"/>
      </w:pPr>
      <w:r>
        <w:rPr/>
        <w:t>经营环境发生变化，导致营业收入大幅萎缩，从而造成本年度亏损。</w:t>
      </w:r>
    </w:p>
    <w:p>
      <w:pPr>
        <w:pStyle w:val="BodyText"/>
        <w:spacing w:line="312" w:lineRule="exact" w:before="69"/>
        <w:ind w:right="268" w:firstLine="482"/>
        <w:jc w:val="both"/>
      </w:pPr>
      <w:r>
        <w:rPr/>
        <w:t>2、杭州德创电子有限公司本年度亏损1374.03万元，主要原因有二：一是主要产品前期 研发投入较高，预计后期随着产品技术成熟和主营收入放大，将会产生盈利；二是浙江省电 力项目合同在执行过程中发生了较大的变化，导致项目实施成本大幅增加。</w:t>
      </w:r>
    </w:p>
    <w:p>
      <w:pPr>
        <w:pStyle w:val="BodyText"/>
        <w:spacing w:line="312" w:lineRule="exact" w:before="38"/>
        <w:ind w:right="232" w:firstLine="482"/>
        <w:jc w:val="both"/>
      </w:pPr>
      <w:r>
        <w:rPr>
          <w:spacing w:val="-3"/>
        </w:rPr>
        <w:t>3、公司积极响应国家金融改革的政策，参股小额贷款公司，预计今后会产生较好的投资</w:t>
      </w:r>
      <w:r>
        <w:rPr/>
        <w:t> 收益。</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7"/>
          <w:szCs w:val="17"/>
        </w:rPr>
      </w:pPr>
    </w:p>
    <w:p>
      <w:pPr>
        <w:pStyle w:val="Heading3"/>
        <w:spacing w:line="240" w:lineRule="auto"/>
        <w:ind w:left="292" w:right="0"/>
        <w:jc w:val="both"/>
        <w:rPr>
          <w:b w:val="0"/>
          <w:bCs w:val="0"/>
        </w:rPr>
      </w:pPr>
      <w:r>
        <w:rPr/>
        <w:t>七、公司未来发展的展望</w:t>
      </w:r>
      <w:r>
        <w:rPr>
          <w:b w:val="0"/>
          <w:bCs w:val="0"/>
        </w:rPr>
      </w:r>
    </w:p>
    <w:p>
      <w:pPr>
        <w:spacing w:line="240" w:lineRule="auto" w:before="12"/>
        <w:rPr>
          <w:rFonts w:ascii="Microsoft JhengHei" w:hAnsi="Microsoft JhengHei" w:cs="Microsoft JhengHei" w:eastAsia="Microsoft JhengHei" w:hint="default"/>
          <w:b/>
          <w:bCs/>
          <w:sz w:val="15"/>
          <w:szCs w:val="15"/>
        </w:rPr>
      </w:pPr>
    </w:p>
    <w:p>
      <w:pPr>
        <w:spacing w:line="336" w:lineRule="auto" w:before="0"/>
        <w:ind w:left="775" w:right="251" w:firstLine="127"/>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一</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公司所处行业发展趋势</w:t>
      </w:r>
      <w:r>
        <w:rPr>
          <w:rFonts w:ascii="Microsoft JhengHei" w:hAnsi="Microsoft JhengHei" w:cs="Microsoft JhengHei" w:eastAsia="Microsoft JhengHei" w:hint="default"/>
          <w:b/>
          <w:bCs/>
          <w:w w:val="99"/>
          <w:sz w:val="24"/>
          <w:szCs w:val="24"/>
        </w:rPr>
        <w:t> </w:t>
      </w:r>
      <w:r>
        <w:rPr>
          <w:rFonts w:ascii="宋体" w:hAnsi="宋体" w:cs="宋体" w:eastAsia="宋体" w:hint="default"/>
          <w:sz w:val="24"/>
          <w:szCs w:val="24"/>
        </w:rPr>
        <w:t>软件产业作为国家的基础性、战略性产业，在促进国民经济和社会发展信息化中具有重</w:t>
      </w:r>
    </w:p>
    <w:p>
      <w:pPr>
        <w:pStyle w:val="BodyText"/>
        <w:spacing w:line="240" w:lineRule="auto" w:before="58"/>
        <w:ind w:right="0"/>
        <w:jc w:val="both"/>
      </w:pPr>
      <w:r>
        <w:rPr/>
        <w:t>要的地位和作用。</w:t>
      </w:r>
    </w:p>
    <w:p>
      <w:pPr>
        <w:spacing w:line="336" w:lineRule="auto" w:before="116"/>
        <w:ind w:left="775" w:right="96" w:firstLine="7"/>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、电力行业发展状况 </w:t>
      </w:r>
      <w:r>
        <w:rPr>
          <w:rFonts w:ascii="宋体" w:hAnsi="宋体" w:cs="宋体" w:eastAsia="宋体" w:hint="default"/>
          <w:spacing w:val="-2"/>
          <w:sz w:val="24"/>
          <w:szCs w:val="24"/>
        </w:rPr>
        <w:t>未来</w:t>
      </w:r>
      <w:r>
        <w:rPr>
          <w:rFonts w:ascii="Times New Roman" w:hAnsi="Times New Roman" w:cs="Times New Roman" w:eastAsia="Times New Roman" w:hint="default"/>
          <w:spacing w:val="-2"/>
          <w:sz w:val="24"/>
          <w:szCs w:val="24"/>
        </w:rPr>
        <w:t>5</w:t>
      </w:r>
      <w:r>
        <w:rPr>
          <w:rFonts w:ascii="宋体" w:hAnsi="宋体" w:cs="宋体" w:eastAsia="宋体" w:hint="default"/>
          <w:spacing w:val="-2"/>
          <w:sz w:val="24"/>
          <w:szCs w:val="24"/>
        </w:rPr>
        <w:t>年将是电力企业信息化建设蓬勃发展的历史机遇。</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十二五</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期间我国电网建设总投</w:t>
      </w:r>
    </w:p>
    <w:p>
      <w:pPr>
        <w:pStyle w:val="BodyText"/>
        <w:spacing w:line="357" w:lineRule="auto" w:before="29"/>
        <w:ind w:right="271"/>
        <w:jc w:val="both"/>
      </w:pPr>
      <w:r>
        <w:rPr/>
        <w:t>资将出现明显的增长，投资重点在区域和省的主干电网、配电和农村电网的建设。电力信息 化需求中信息化与自动化结合成为趋势。</w:t>
      </w:r>
    </w:p>
    <w:p>
      <w:pPr>
        <w:pStyle w:val="BodyText"/>
        <w:spacing w:line="357" w:lineRule="auto" w:before="77"/>
        <w:ind w:right="268" w:firstLine="482"/>
        <w:jc w:val="both"/>
      </w:pPr>
      <w:r>
        <w:rPr/>
        <w:t>以企业战略绩效管理为代表的管理咨询、专业服务及信息化需求旺盛。以电力营销计量 自动化为代表的信息化与自动化融合投资增长强劲。</w:t>
      </w:r>
    </w:p>
    <w:p>
      <w:pPr>
        <w:pStyle w:val="BodyText"/>
        <w:spacing w:line="324" w:lineRule="auto" w:before="74"/>
        <w:ind w:left="775" w:right="96"/>
        <w:jc w:val="left"/>
      </w:pPr>
      <w:r>
        <w:rPr>
          <w:spacing w:val="-8"/>
        </w:rPr>
        <w:t>因此，电力行业的持续增长、管理变革将导致电力行业</w:t>
      </w:r>
      <w:r>
        <w:rPr>
          <w:rFonts w:ascii="Times New Roman" w:hAnsi="Times New Roman" w:cs="Times New Roman" w:eastAsia="Times New Roman" w:hint="default"/>
          <w:spacing w:val="-8"/>
        </w:rPr>
        <w:t>IT</w:t>
      </w:r>
      <w:r>
        <w:rPr>
          <w:rFonts w:ascii="Times New Roman" w:hAnsi="Times New Roman" w:cs="Times New Roman" w:eastAsia="Times New Roman" w:hint="default"/>
          <w:spacing w:val="22"/>
        </w:rPr>
        <w:t> </w:t>
      </w:r>
      <w:r>
        <w:rPr/>
        <w:t>及自动化装备的投资高速增长。 </w:t>
      </w:r>
      <w:r>
        <w:rPr>
          <w:rFonts w:ascii="Times New Roman" w:hAnsi="Times New Roman" w:cs="Times New Roman" w:eastAsia="Times New Roman" w:hint="default"/>
          <w:b/>
          <w:bCs/>
        </w:rPr>
        <w:t>2</w:t>
      </w:r>
      <w:r>
        <w:rPr>
          <w:rFonts w:ascii="Microsoft JhengHei" w:hAnsi="Microsoft JhengHei" w:cs="Microsoft JhengHei" w:eastAsia="Microsoft JhengHei" w:hint="default"/>
          <w:b/>
          <w:bCs/>
        </w:rPr>
        <w:t>、烟草行业发展状况 </w:t>
      </w:r>
      <w:r>
        <w:rPr/>
        <w:t>烟草业作为中国经济重要组成部分之一，其产量和消费量都居世界首位，每年为国家提</w:t>
      </w:r>
    </w:p>
    <w:p>
      <w:pPr>
        <w:pStyle w:val="BodyText"/>
        <w:spacing w:line="348" w:lineRule="auto" w:before="70"/>
        <w:ind w:right="229"/>
        <w:jc w:val="both"/>
      </w:pPr>
      <w:r>
        <w:rPr>
          <w:spacing w:val="-2"/>
        </w:rPr>
        <w:t>供的税收占全国税收总额的</w:t>
      </w:r>
      <w:r>
        <w:rPr>
          <w:rFonts w:ascii="Times New Roman" w:hAnsi="Times New Roman" w:cs="Times New Roman" w:eastAsia="Times New Roman" w:hint="default"/>
          <w:spacing w:val="-2"/>
        </w:rPr>
        <w:t>10%</w:t>
      </w:r>
      <w:r>
        <w:rPr>
          <w:spacing w:val="-2"/>
        </w:rPr>
        <w:t>以上，其利润基本上每年都以</w:t>
      </w:r>
      <w:r>
        <w:rPr>
          <w:rFonts w:ascii="Times New Roman" w:hAnsi="Times New Roman" w:cs="Times New Roman" w:eastAsia="Times New Roman" w:hint="default"/>
          <w:spacing w:val="-2"/>
        </w:rPr>
        <w:t>30%</w:t>
      </w:r>
      <w:r>
        <w:rPr>
          <w:spacing w:val="-2"/>
        </w:rPr>
        <w:t>、</w:t>
      </w:r>
      <w:r>
        <w:rPr>
          <w:rFonts w:ascii="Times New Roman" w:hAnsi="Times New Roman" w:cs="Times New Roman" w:eastAsia="Times New Roman" w:hint="default"/>
          <w:spacing w:val="-2"/>
        </w:rPr>
        <w:t>40%</w:t>
      </w:r>
      <w:r>
        <w:rPr>
          <w:spacing w:val="-2"/>
        </w:rPr>
        <w:t>的速度在增长。我国</w:t>
      </w:r>
      <w:r>
        <w:rPr>
          <w:spacing w:val="-112"/>
        </w:rPr>
        <w:t> </w:t>
      </w:r>
      <w:r>
        <w:rPr>
          <w:spacing w:val="-112"/>
        </w:rPr>
      </w:r>
      <w:r>
        <w:rPr/>
        <w:t>烟草业在国家烟草专卖制度的保护下稳步快速的发展，尤其是信息化建设的发展速度非常迅 猛。</w:t>
      </w:r>
    </w:p>
    <w:p>
      <w:pPr>
        <w:pStyle w:val="BodyText"/>
        <w:spacing w:line="357" w:lineRule="auto" w:before="84"/>
        <w:ind w:right="237" w:firstLine="482"/>
        <w:jc w:val="both"/>
      </w:pPr>
      <w:r>
        <w:rPr/>
        <w:t>近年来，烟草信息化的快速推进影响和促进了行业发展，在变革管理、改善生产经营活 </w:t>
      </w:r>
      <w:r>
        <w:rPr>
          <w:spacing w:val="6"/>
        </w:rPr>
        <w:t>动等方面发挥了重要作用。根据国家烟草局出台的《烟草行业中长期科技发展规划纲要》</w:t>
      </w:r>
    </w:p>
    <w:p>
      <w:pPr>
        <w:pStyle w:val="BodyText"/>
        <w:spacing w:line="348" w:lineRule="auto"/>
        <w:ind w:right="229"/>
        <w:jc w:val="both"/>
      </w:pPr>
      <w:r>
        <w:rPr/>
        <w:pict>
          <v:group style="position:absolute;margin-left:47.639999pt;margin-top:84.335609pt;width:.1pt;height:10.35pt;mso-position-horizontal-relative:page;mso-position-vertical-relative:paragraph;z-index:1888" coordorigin="953,1687" coordsize="2,207">
            <v:shape style="position:absolute;left:953;top:1687;width:2;height:207" coordorigin="953,1687" coordsize="0,207" path="m953,1687l953,1893e" filled="false" stroked="true" strokeweight=".12pt" strokecolor="#000000">
              <v:path arrowok="t"/>
            </v:shape>
            <w10:wrap type="none"/>
          </v:group>
        </w:pict>
      </w:r>
      <w:r>
        <w:rPr>
          <w:spacing w:val="-1"/>
        </w:rPr>
        <w:t>（</w:t>
      </w:r>
      <w:r>
        <w:rPr>
          <w:rFonts w:ascii="Times New Roman" w:hAnsi="Times New Roman" w:cs="Times New Roman" w:eastAsia="Times New Roman" w:hint="default"/>
          <w:spacing w:val="-1"/>
        </w:rPr>
        <w:t>2006-2020</w:t>
      </w:r>
      <w:r>
        <w:rPr>
          <w:spacing w:val="-1"/>
        </w:rPr>
        <w:t>年），在大力运用先进的信息技术手段，持续完善、不断发展，努力实现用信息</w:t>
      </w:r>
      <w:r>
        <w:rPr>
          <w:spacing w:val="-116"/>
        </w:rPr>
        <w:t> </w:t>
      </w:r>
      <w:r>
        <w:rPr>
          <w:spacing w:val="-116"/>
        </w:rPr>
      </w:r>
      <w:r>
        <w:rPr/>
        <w:t>化带动烟草行业现代化建设的数字烟草方面，通过构建电子商务、电子政务和管理决策三大 应用体系的主体框架，形成覆盖国家局（总公司）、省级局（公司）与工业公司、工商基层</w:t>
      </w:r>
    </w:p>
    <w:p>
      <w:pPr>
        <w:spacing w:after="0" w:line="348" w:lineRule="auto"/>
        <w:jc w:val="both"/>
        <w:sectPr>
          <w:pgSz w:w="11910" w:h="16840"/>
          <w:pgMar w:header="745" w:footer="979" w:top="1060" w:bottom="1160" w:left="840" w:right="900"/>
        </w:sectPr>
      </w:pPr>
    </w:p>
    <w:p>
      <w:pPr>
        <w:spacing w:line="240" w:lineRule="auto" w:before="6"/>
        <w:rPr>
          <w:rFonts w:ascii="宋体" w:hAnsi="宋体" w:cs="宋体" w:eastAsia="宋体" w:hint="default"/>
          <w:sz w:val="29"/>
          <w:szCs w:val="29"/>
        </w:rPr>
      </w:pPr>
    </w:p>
    <w:p>
      <w:pPr>
        <w:pStyle w:val="BodyText"/>
        <w:spacing w:line="367" w:lineRule="auto" w:before="26"/>
        <w:ind w:left="595" w:right="279" w:hanging="483"/>
        <w:jc w:val="left"/>
      </w:pPr>
      <w:r>
        <w:rPr/>
        <w:t>企业三个应用层面的信息化建设应用，支撑</w:t>
      </w:r>
      <w:r>
        <w:rPr>
          <w:rFonts w:ascii="Times New Roman" w:hAnsi="Times New Roman" w:cs="Times New Roman" w:eastAsia="Times New Roman" w:hint="default"/>
        </w:rPr>
        <w:t>“</w:t>
      </w:r>
      <w:r>
        <w:rPr/>
        <w:t>卷烟上水平</w:t>
      </w:r>
      <w:r>
        <w:rPr>
          <w:rFonts w:ascii="Times New Roman" w:hAnsi="Times New Roman" w:cs="Times New Roman" w:eastAsia="Times New Roman" w:hint="default"/>
        </w:rPr>
        <w:t>”</w:t>
      </w:r>
      <w:r>
        <w:rPr/>
        <w:t>。 当前，各省烟草公司正积极响应国家烟草局的号召，全面贯彻和落实</w:t>
      </w:r>
      <w:r>
        <w:rPr>
          <w:spacing w:val="-62"/>
        </w:rPr>
        <w:t> </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信息化规</w:t>
      </w:r>
    </w:p>
    <w:p>
      <w:pPr>
        <w:pStyle w:val="BodyText"/>
        <w:spacing w:line="357" w:lineRule="auto" w:before="0"/>
        <w:ind w:left="112" w:right="331"/>
        <w:jc w:val="both"/>
      </w:pPr>
      <w:r>
        <w:rPr/>
        <w:t>划，围绕着烟草生产企业、商业企业、零售经营户和消费者等整个供应链，逐步推进基础设 施建设、信息化技术应用、资源集成整合、云计算及移动应用和容灾备份等方面的信息化建 设。同时，随着对软件依赖的增加和系统规模、复杂度上的提高，单独依靠烟草内部信息化 力量已无法胜任，使得</w:t>
      </w:r>
      <w:r>
        <w:rPr>
          <w:rFonts w:ascii="Times New Roman" w:hAnsi="Times New Roman" w:cs="Times New Roman" w:eastAsia="Times New Roman" w:hint="default"/>
        </w:rPr>
        <w:t>IT</w:t>
      </w:r>
      <w:r>
        <w:rPr/>
        <w:t>厂商和烟草企业之间已转变为一种紧密的战略合作伙伴关系。</w:t>
      </w:r>
    </w:p>
    <w:p>
      <w:pPr>
        <w:pStyle w:val="BodyText"/>
        <w:spacing w:line="357" w:lineRule="auto" w:before="46"/>
        <w:ind w:left="112" w:right="328" w:firstLine="482"/>
        <w:jc w:val="both"/>
      </w:pPr>
      <w:r>
        <w:rPr/>
        <w:t>另外，烟草行业除了进行新的一轮整合、再造、创新性地改革烟草体制之外，在提高烟 草科技整体水平、实现行业经济增长方式的转变等方面的变化，将为信息化厂商带来巨大的 市场机遇。</w:t>
      </w:r>
    </w:p>
    <w:p>
      <w:pPr>
        <w:pStyle w:val="Heading3"/>
        <w:spacing w:line="292" w:lineRule="auto"/>
        <w:ind w:left="602" w:right="5184"/>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公司未来发展战略及</w:t>
      </w:r>
      <w:r>
        <w:rPr>
          <w:rFonts w:ascii="Times New Roman" w:hAnsi="Times New Roman" w:cs="Times New Roman" w:eastAsia="Times New Roman" w:hint="default"/>
        </w:rPr>
        <w:t>2013</w:t>
      </w:r>
      <w:r>
        <w:rPr/>
        <w:t>年经营计划</w:t>
      </w:r>
      <w:r>
        <w:rPr>
          <w:w w:val="99"/>
        </w:rPr>
        <w:t> </w:t>
      </w:r>
      <w:r>
        <w:rPr>
          <w:rFonts w:ascii="Times New Roman" w:hAnsi="Times New Roman" w:cs="Times New Roman" w:eastAsia="Times New Roman" w:hint="default"/>
        </w:rPr>
        <w:t>1</w:t>
      </w:r>
      <w:r>
        <w:rPr/>
        <w:t>、公司发展战略规划</w:t>
      </w:r>
      <w:r>
        <w:rPr>
          <w:b w:val="0"/>
          <w:bCs w:val="0"/>
        </w:rPr>
      </w:r>
    </w:p>
    <w:p>
      <w:pPr>
        <w:pStyle w:val="BodyText"/>
        <w:spacing w:line="348" w:lineRule="auto" w:before="97"/>
        <w:ind w:left="112" w:right="290" w:firstLine="482"/>
        <w:jc w:val="both"/>
      </w:pPr>
      <w:r>
        <w:rPr>
          <w:spacing w:val="-2"/>
          <w:w w:val="98"/>
        </w:rPr>
        <w:t>公司自成立以来，本着</w:t>
      </w:r>
      <w:r>
        <w:rPr>
          <w:rFonts w:ascii="Times New Roman" w:hAnsi="Times New Roman" w:cs="Times New Roman" w:eastAsia="Times New Roman" w:hint="default"/>
          <w:spacing w:val="-2"/>
          <w:w w:val="98"/>
        </w:rPr>
        <w:t>“</w:t>
      </w:r>
      <w:r>
        <w:rPr>
          <w:spacing w:val="-2"/>
          <w:w w:val="98"/>
        </w:rPr>
        <w:t>不断为伙伴创造价值，成为赢得尊重的高绩效组织</w:t>
      </w:r>
      <w:r>
        <w:rPr>
          <w:rFonts w:ascii="Times New Roman" w:hAnsi="Times New Roman" w:cs="Times New Roman" w:eastAsia="Times New Roman" w:hint="default"/>
          <w:spacing w:val="-2"/>
          <w:w w:val="98"/>
        </w:rPr>
        <w:t>”</w:t>
      </w:r>
      <w:r>
        <w:rPr>
          <w:spacing w:val="-2"/>
          <w:w w:val="98"/>
        </w:rPr>
        <w:t>的发展愿景，</w:t>
      </w:r>
      <w:r>
        <w:rPr>
          <w:w w:val="50"/>
        </w:rPr>
        <w:t> </w:t>
      </w:r>
      <w:r>
        <w:rPr/>
        <w:t>以行业应用软件开发与销售、系统集成和技术支持与服务作为公司的主营业务方向，确立了</w:t>
      </w:r>
      <w:r>
        <w:rPr/>
        <w:t> </w:t>
      </w:r>
      <w:r>
        <w:rPr>
          <w:rFonts w:ascii="Times New Roman" w:hAnsi="Times New Roman" w:cs="Times New Roman" w:eastAsia="Times New Roman" w:hint="default"/>
        </w:rPr>
        <w:t>“</w:t>
      </w:r>
      <w:r>
        <w:rPr/>
        <w:t>以客户价值为导向，做中国一流的</w:t>
      </w:r>
      <w:r>
        <w:rPr>
          <w:rFonts w:ascii="Times New Roman" w:hAnsi="Times New Roman" w:cs="Times New Roman" w:eastAsia="Times New Roman" w:hint="default"/>
        </w:rPr>
        <w:t>IT</w:t>
      </w:r>
      <w:r>
        <w:rPr/>
        <w:t>解决方案和服务提供商</w:t>
      </w:r>
      <w:r>
        <w:rPr>
          <w:rFonts w:ascii="Times New Roman" w:hAnsi="Times New Roman" w:cs="Times New Roman" w:eastAsia="Times New Roman" w:hint="default"/>
        </w:rPr>
        <w:t>”</w:t>
      </w:r>
      <w:r>
        <w:rPr/>
        <w:t>的经营发展战略。</w:t>
      </w:r>
    </w:p>
    <w:p>
      <w:pPr>
        <w:pStyle w:val="Heading3"/>
        <w:spacing w:line="396" w:lineRule="exact"/>
        <w:ind w:left="602" w:right="279"/>
        <w:jc w:val="left"/>
        <w:rPr>
          <w:b w:val="0"/>
          <w:bCs w:val="0"/>
        </w:rPr>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2013</w:t>
      </w:r>
      <w:r>
        <w:rPr/>
        <w:t>年经营计划</w:t>
      </w:r>
      <w:r>
        <w:rPr>
          <w:b w:val="0"/>
          <w:bCs w:val="0"/>
        </w:rPr>
      </w:r>
    </w:p>
    <w:p>
      <w:pPr>
        <w:pStyle w:val="BodyText"/>
        <w:spacing w:line="336" w:lineRule="auto" w:before="170"/>
        <w:ind w:left="595" w:right="311" w:firstLine="7"/>
        <w:jc w:val="left"/>
      </w:pP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市场开拓</w:t>
      </w:r>
      <w:r>
        <w:rPr>
          <w:rFonts w:ascii="Microsoft JhengHei" w:hAnsi="Microsoft JhengHei" w:cs="Microsoft JhengHei" w:eastAsia="Microsoft JhengHei" w:hint="default"/>
          <w:b/>
          <w:bCs/>
          <w:w w:val="99"/>
        </w:rPr>
        <w:t> </w:t>
      </w:r>
      <w:r>
        <w:rPr/>
        <w:t>立足电力和烟草行业，继续紧紧围绕主业做大做强，在精耕细作持续巩固加强浙江电力</w:t>
      </w:r>
    </w:p>
    <w:p>
      <w:pPr>
        <w:pStyle w:val="BodyText"/>
        <w:spacing w:line="348" w:lineRule="auto" w:before="58"/>
        <w:ind w:left="112" w:right="295"/>
        <w:jc w:val="both"/>
      </w:pPr>
      <w:r>
        <w:rPr/>
        <w:t>和烟草业务的同时，积极拓展全国市场，目前公司电力、烟草业务的主要产品已基本形成全 国性市场。同时，公司子公司杭州德创电子有限公司的电力计量业务，将在</w:t>
      </w:r>
      <w:r>
        <w:rPr>
          <w:spacing w:val="-86"/>
        </w:rPr>
        <w:t> </w:t>
      </w:r>
      <w:r>
        <w:rPr>
          <w:rFonts w:ascii="Times New Roman" w:hAnsi="Times New Roman" w:cs="Times New Roman" w:eastAsia="Times New Roman" w:hint="default"/>
        </w:rPr>
        <w:t>2012</w:t>
      </w:r>
      <w:r>
        <w:rPr/>
        <w:t>年顺利完成 浙江电力项目的基础上，积极拓展参与全国市场的竞争，以取得更好的效益。</w:t>
      </w:r>
    </w:p>
    <w:p>
      <w:pPr>
        <w:pStyle w:val="BodyText"/>
        <w:spacing w:line="336" w:lineRule="auto" w:before="89"/>
        <w:ind w:left="595" w:right="270" w:firstLine="7"/>
        <w:jc w:val="left"/>
      </w:pPr>
      <w:r>
        <w:rPr>
          <w:rFonts w:ascii="Times New Roman" w:hAnsi="Times New Roman" w:cs="Times New Roman" w:eastAsia="Times New Roman" w:hint="default"/>
          <w:b/>
          <w:bCs/>
        </w:rPr>
        <w:t>(2)</w:t>
      </w:r>
      <w:r>
        <w:rPr>
          <w:rFonts w:ascii="Microsoft JhengHei" w:hAnsi="Microsoft JhengHei" w:cs="Microsoft JhengHei" w:eastAsia="Microsoft JhengHei" w:hint="default"/>
          <w:b/>
          <w:bCs/>
        </w:rPr>
        <w:t>产品开发</w:t>
      </w:r>
      <w:r>
        <w:rPr>
          <w:rFonts w:ascii="Microsoft JhengHei" w:hAnsi="Microsoft JhengHei" w:cs="Microsoft JhengHei" w:eastAsia="Microsoft JhengHei" w:hint="default"/>
          <w:b/>
          <w:bCs/>
          <w:w w:val="99"/>
        </w:rPr>
        <w:t> </w:t>
      </w:r>
      <w:r>
        <w:rPr>
          <w:spacing w:val="-4"/>
          <w:w w:val="98"/>
        </w:rPr>
        <w:t>坚持以市场导向为原则，积极跟踪客户的需求，同时秉持</w:t>
      </w:r>
      <w:r>
        <w:rPr>
          <w:rFonts w:ascii="Times New Roman" w:hAnsi="Times New Roman" w:cs="Times New Roman" w:eastAsia="Times New Roman" w:hint="default"/>
          <w:spacing w:val="-4"/>
          <w:w w:val="98"/>
        </w:rPr>
        <w:t>“</w:t>
      </w:r>
      <w:r>
        <w:rPr>
          <w:spacing w:val="-4"/>
          <w:w w:val="98"/>
        </w:rPr>
        <w:t>创新</w:t>
      </w:r>
      <w:r>
        <w:rPr>
          <w:rFonts w:ascii="Times New Roman" w:hAnsi="Times New Roman" w:cs="Times New Roman" w:eastAsia="Times New Roman" w:hint="default"/>
          <w:spacing w:val="-4"/>
          <w:w w:val="98"/>
        </w:rPr>
        <w:t>”</w:t>
      </w:r>
      <w:r>
        <w:rPr>
          <w:spacing w:val="-4"/>
          <w:w w:val="98"/>
        </w:rPr>
        <w:t>和</w:t>
      </w:r>
      <w:r>
        <w:rPr>
          <w:rFonts w:ascii="Times New Roman" w:hAnsi="Times New Roman" w:cs="Times New Roman" w:eastAsia="Times New Roman" w:hint="default"/>
          <w:spacing w:val="-4"/>
          <w:w w:val="98"/>
        </w:rPr>
        <w:t>“</w:t>
      </w:r>
      <w:r>
        <w:rPr>
          <w:spacing w:val="-4"/>
          <w:w w:val="98"/>
        </w:rPr>
        <w:t>不断为伙伴创造价值，</w:t>
      </w:r>
      <w:r>
        <w:rPr>
          <w:spacing w:val="-4"/>
        </w:rPr>
      </w:r>
    </w:p>
    <w:p>
      <w:pPr>
        <w:pStyle w:val="BodyText"/>
        <w:spacing w:line="338" w:lineRule="auto" w:before="29"/>
        <w:ind w:left="112" w:right="290"/>
        <w:jc w:val="both"/>
      </w:pPr>
      <w:r>
        <w:rPr>
          <w:spacing w:val="-2"/>
        </w:rPr>
        <w:t>赢得尊重的高绩效组织</w:t>
      </w:r>
      <w:r>
        <w:rPr>
          <w:rFonts w:ascii="Times New Roman" w:hAnsi="Times New Roman" w:cs="Times New Roman" w:eastAsia="Times New Roman" w:hint="default"/>
          <w:spacing w:val="-2"/>
        </w:rPr>
        <w:t>”</w:t>
      </w:r>
      <w:r>
        <w:rPr>
          <w:spacing w:val="-2"/>
        </w:rPr>
        <w:t>的一贯理念，不断追踪和吸收新技术，对公司已有的产品进行更深度</w:t>
      </w:r>
      <w:r>
        <w:rPr>
          <w:spacing w:val="-105"/>
        </w:rPr>
        <w:t> </w:t>
      </w:r>
      <w:r>
        <w:rPr>
          <w:spacing w:val="-105"/>
        </w:rPr>
      </w:r>
      <w:r>
        <w:rPr/>
        <w:t>的开发和完善，来提升产品质量，为客户开发适合其特点的新产品。</w:t>
      </w:r>
    </w:p>
    <w:p>
      <w:pPr>
        <w:pStyle w:val="BodyText"/>
        <w:spacing w:line="362" w:lineRule="auto" w:before="94"/>
        <w:ind w:left="595" w:right="311"/>
        <w:jc w:val="left"/>
      </w:pPr>
      <w:r>
        <w:rPr>
          <w:rFonts w:ascii="Times New Roman" w:hAnsi="Times New Roman" w:cs="Times New Roman" w:eastAsia="Times New Roman" w:hint="default"/>
        </w:rPr>
        <w:t>2013</w:t>
      </w:r>
      <w:r>
        <w:rPr/>
        <w:t>年度，公司的产品开发将紧紧围绕以下几个方面开展： 一、进一步提高烟草业务电子政务平台的产品化程度，进一步提升产品与业务的融合； 二、全力打造绩效管理软件产品，一方面要进一步拓展国家电网中的地盘和提高产品的</w:t>
      </w:r>
    </w:p>
    <w:p>
      <w:pPr>
        <w:pStyle w:val="BodyText"/>
        <w:spacing w:line="240" w:lineRule="auto" w:before="31"/>
        <w:ind w:left="112" w:right="0"/>
        <w:jc w:val="both"/>
      </w:pPr>
      <w:r>
        <w:rPr/>
        <w:pict>
          <v:group style="position:absolute;margin-left:547.559998pt;margin-top:45.685604pt;width:.1pt;height:10.35pt;mso-position-horizontal-relative:page;mso-position-vertical-relative:paragraph;z-index:1912" coordorigin="10951,914" coordsize="2,207">
            <v:shape style="position:absolute;left:10951;top:914;width:2;height:207" coordorigin="10951,914" coordsize="0,207" path="m10951,914l10951,1120e" filled="false" stroked="true" strokeweight=".12pt" strokecolor="#000000">
              <v:path arrowok="t"/>
            </v:shape>
            <w10:wrap type="none"/>
          </v:group>
        </w:pict>
      </w:r>
      <w:r>
        <w:rPr/>
        <w:t>应用层级；另一方面切入烟草、金融等行业，形成新的增长极；</w:t>
      </w:r>
    </w:p>
    <w:p>
      <w:pPr>
        <w:spacing w:after="0" w:line="240" w:lineRule="auto"/>
        <w:jc w:val="both"/>
        <w:sectPr>
          <w:pgSz w:w="11910" w:h="16840"/>
          <w:pgMar w:header="745" w:footer="979" w:top="1060" w:bottom="1160" w:left="1020" w:right="840"/>
        </w:sectPr>
      </w:pPr>
    </w:p>
    <w:p>
      <w:pPr>
        <w:spacing w:line="240" w:lineRule="auto" w:before="6"/>
        <w:rPr>
          <w:rFonts w:ascii="宋体" w:hAnsi="宋体" w:cs="宋体" w:eastAsia="宋体" w:hint="default"/>
          <w:sz w:val="29"/>
          <w:szCs w:val="29"/>
        </w:rPr>
      </w:pPr>
    </w:p>
    <w:p>
      <w:pPr>
        <w:pStyle w:val="BodyText"/>
        <w:spacing w:line="357" w:lineRule="auto" w:before="26"/>
        <w:ind w:left="775" w:right="96"/>
        <w:jc w:val="left"/>
      </w:pPr>
      <w:r>
        <w:rPr/>
        <w:t>三、做大、做强烟草行业的冗灾中心运维业务，并努力争取金融行业； 四、以开发生产监管、物资管理软件为抓手，深入开发烟草工业</w:t>
      </w:r>
      <w:r>
        <w:rPr>
          <w:rFonts w:ascii="Times New Roman" w:hAnsi="Times New Roman" w:cs="Times New Roman" w:eastAsia="Times New Roman" w:hint="default"/>
        </w:rPr>
        <w:t>ERP</w:t>
      </w:r>
      <w:r>
        <w:rPr/>
        <w:t>管理的衍生产品，</w:t>
      </w:r>
    </w:p>
    <w:p>
      <w:pPr>
        <w:pStyle w:val="BodyText"/>
        <w:spacing w:line="357" w:lineRule="auto" w:before="5"/>
        <w:ind w:left="775" w:right="251" w:hanging="483"/>
        <w:jc w:val="left"/>
      </w:pPr>
      <w:r>
        <w:rPr/>
        <w:t>形成新产品、新业务； 五、加强烟草行业云计算应用平台的构建和业务应用的市场开发，推进烟草行业安全运</w:t>
      </w:r>
    </w:p>
    <w:p>
      <w:pPr>
        <w:pStyle w:val="BodyText"/>
        <w:spacing w:line="369" w:lineRule="auto"/>
        <w:ind w:left="775" w:right="3851" w:hanging="483"/>
        <w:jc w:val="left"/>
        <w:rPr>
          <w:rFonts w:ascii="Microsoft JhengHei" w:hAnsi="Microsoft JhengHei" w:cs="Microsoft JhengHei" w:eastAsia="Microsoft JhengHei" w:hint="default"/>
        </w:rPr>
      </w:pPr>
      <w:r>
        <w:rPr/>
        <w:t>维系统的管理服务； 六、推进电力计量自动化检定与测量和二级库业务； 七、推进一卡通安全认证及数据清算中心的业务。 </w:t>
      </w:r>
      <w:r>
        <w:rPr>
          <w:rFonts w:ascii="Times New Roman" w:hAnsi="Times New Roman" w:cs="Times New Roman" w:eastAsia="Times New Roman" w:hint="default"/>
          <w:b/>
          <w:bCs/>
        </w:rPr>
        <w:t>(3)</w:t>
      </w:r>
      <w:r>
        <w:rPr>
          <w:rFonts w:ascii="Microsoft JhengHei" w:hAnsi="Microsoft JhengHei" w:cs="Microsoft JhengHei" w:eastAsia="Microsoft JhengHei" w:hint="default"/>
          <w:b/>
          <w:bCs/>
        </w:rPr>
        <w:t>文化建设</w:t>
      </w:r>
      <w:r>
        <w:rPr>
          <w:rFonts w:ascii="Microsoft JhengHei" w:hAnsi="Microsoft JhengHei" w:cs="Microsoft JhengHei" w:eastAsia="Microsoft JhengHei" w:hint="default"/>
        </w:rPr>
      </w:r>
    </w:p>
    <w:p>
      <w:pPr>
        <w:pStyle w:val="BodyText"/>
        <w:spacing w:line="338" w:lineRule="auto" w:before="0"/>
        <w:ind w:right="96" w:firstLine="482"/>
        <w:jc w:val="left"/>
      </w:pPr>
      <w:r>
        <w:rPr/>
        <w:t>围绕公司文化基本理念，以加强对员工的</w:t>
      </w:r>
      <w:r>
        <w:rPr>
          <w:rFonts w:ascii="Times New Roman" w:hAnsi="Times New Roman" w:cs="Times New Roman" w:eastAsia="Times New Roman" w:hint="default"/>
        </w:rPr>
        <w:t>“</w:t>
      </w:r>
      <w:r>
        <w:rPr/>
        <w:t>两袋</w:t>
      </w:r>
      <w:r>
        <w:rPr>
          <w:rFonts w:ascii="Times New Roman" w:hAnsi="Times New Roman" w:cs="Times New Roman" w:eastAsia="Times New Roman" w:hint="default"/>
        </w:rPr>
        <w:t>”</w:t>
      </w:r>
      <w:r>
        <w:rPr/>
        <w:t>投入为抓手，即通过培训加强对员工的 脑袋投入；通过加薪加强对员工的口袋投入，来营造出更好的物质和精神环境。</w:t>
      </w:r>
    </w:p>
    <w:p>
      <w:pPr>
        <w:pStyle w:val="BodyText"/>
        <w:spacing w:line="336" w:lineRule="auto" w:before="20"/>
        <w:ind w:left="775" w:right="251"/>
        <w:jc w:val="left"/>
      </w:pPr>
      <w:r>
        <w:rPr>
          <w:rFonts w:ascii="Times New Roman" w:hAnsi="Times New Roman" w:cs="Times New Roman" w:eastAsia="Times New Roman" w:hint="default"/>
        </w:rPr>
        <w:t>(4)</w:t>
      </w:r>
      <w:r>
        <w:rPr>
          <w:rFonts w:ascii="Microsoft JhengHei" w:hAnsi="Microsoft JhengHei" w:cs="Microsoft JhengHei" w:eastAsia="Microsoft JhengHei" w:hint="default"/>
          <w:b/>
          <w:bCs/>
        </w:rPr>
        <w:t>投资者关系管理</w:t>
      </w:r>
      <w:r>
        <w:rPr>
          <w:rFonts w:ascii="Microsoft JhengHei" w:hAnsi="Microsoft JhengHei" w:cs="Microsoft JhengHei" w:eastAsia="Microsoft JhengHei" w:hint="default"/>
          <w:b/>
          <w:bCs/>
          <w:w w:val="99"/>
        </w:rPr>
        <w:t> </w:t>
      </w:r>
      <w:r>
        <w:rPr/>
        <w:t>作为公众公司，</w:t>
      </w:r>
      <w:r>
        <w:rPr>
          <w:rFonts w:ascii="Times New Roman" w:hAnsi="Times New Roman" w:cs="Times New Roman" w:eastAsia="Times New Roman" w:hint="default"/>
        </w:rPr>
        <w:t>2013</w:t>
      </w:r>
      <w:r>
        <w:rPr/>
        <w:t>年我们将进一步完善公司的治理结构，建立和健全投资者沟通的平</w:t>
      </w:r>
    </w:p>
    <w:p>
      <w:pPr>
        <w:pStyle w:val="BodyText"/>
        <w:spacing w:line="357" w:lineRule="auto" w:before="29"/>
        <w:ind w:right="271"/>
        <w:jc w:val="both"/>
      </w:pPr>
      <w:r>
        <w:rPr/>
        <w:t>台，规范公司与投资者关系的管理工作，加强公司与投资者和潜在投资者之间的沟通，加深 投资者对公司的了解和认同，促进公司与投资者之间长期、稳定的良好关系，提升公司的诚 信度、核心竞争能力和持续发展能力，实现公司价值最大化和股东利益最大化。</w:t>
      </w:r>
    </w:p>
    <w:p>
      <w:pPr>
        <w:spacing w:line="336" w:lineRule="auto" w:before="0"/>
        <w:ind w:left="775" w:right="96" w:firstLine="7"/>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Microsoft JhengHei" w:hAnsi="Microsoft JhengHei" w:cs="Microsoft JhengHei" w:eastAsia="Microsoft JhengHei" w:hint="default"/>
          <w:b/>
          <w:bCs/>
          <w:sz w:val="24"/>
          <w:szCs w:val="24"/>
        </w:rPr>
        <w:t>、资金需求及使用计划 </w:t>
      </w:r>
      <w:r>
        <w:rPr>
          <w:rFonts w:ascii="宋体" w:hAnsi="宋体" w:cs="宋体" w:eastAsia="宋体" w:hint="default"/>
          <w:spacing w:val="-3"/>
          <w:w w:val="95"/>
          <w:sz w:val="24"/>
          <w:szCs w:val="24"/>
        </w:rPr>
        <w:t>公司将结合战略发展目标，制定切实可行的发展规划和实施计划，合理安排、使用资金。</w:t>
      </w:r>
      <w:r>
        <w:rPr>
          <w:rFonts w:ascii="宋体" w:hAnsi="宋体" w:cs="宋体" w:eastAsia="宋体" w:hint="default"/>
          <w:spacing w:val="-3"/>
          <w:sz w:val="24"/>
          <w:szCs w:val="24"/>
        </w:rPr>
      </w:r>
    </w:p>
    <w:p>
      <w:pPr>
        <w:pStyle w:val="BodyText"/>
        <w:spacing w:line="240" w:lineRule="auto" w:before="58"/>
        <w:ind w:right="96"/>
        <w:jc w:val="left"/>
      </w:pPr>
      <w:r>
        <w:rPr/>
        <w:t>公司资金充足，将努力提高资金的使用效率，为股东创造最大效益。</w:t>
      </w:r>
    </w:p>
    <w:p>
      <w:pPr>
        <w:pStyle w:val="Heading3"/>
        <w:spacing w:line="338" w:lineRule="auto" w:before="116"/>
        <w:ind w:left="782" w:right="7333"/>
        <w:jc w:val="left"/>
        <w:rPr>
          <w:b w:val="0"/>
          <w:bCs w:val="0"/>
        </w:rPr>
      </w:pPr>
      <w:r>
        <w:rPr>
          <w:rFonts w:ascii="Times New Roman" w:hAnsi="Times New Roman" w:cs="Times New Roman" w:eastAsia="Times New Roman" w:hint="default"/>
          <w:spacing w:val="-1"/>
        </w:rPr>
        <w:t>4</w:t>
      </w:r>
      <w:r>
        <w:rPr>
          <w:spacing w:val="-1"/>
        </w:rPr>
        <w:t>、可能面对的风险</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市场风险</w:t>
      </w:r>
      <w:r>
        <w:rPr>
          <w:b w:val="0"/>
          <w:bCs w:val="0"/>
        </w:rPr>
      </w:r>
    </w:p>
    <w:p>
      <w:pPr>
        <w:pStyle w:val="BodyText"/>
        <w:spacing w:line="350" w:lineRule="auto" w:before="115"/>
        <w:ind w:right="96" w:firstLine="482"/>
        <w:jc w:val="left"/>
      </w:pPr>
      <w:r>
        <w:rPr/>
        <w:t>通过多年的努力，公司在电力安全生产管理系统及烟草电子政务等应用软件开发领域， 以及电力和烟草行业的系统集成业务领域均取得了比较明显的竞争优势，特别是公司通过开 发出与</w:t>
      </w:r>
      <w:r>
        <w:rPr>
          <w:rFonts w:ascii="Times New Roman" w:hAnsi="Times New Roman" w:cs="Times New Roman" w:eastAsia="Times New Roman" w:hint="default"/>
        </w:rPr>
        <w:t>SAP</w:t>
      </w:r>
      <w:r>
        <w:rPr/>
        <w:t>公司</w:t>
      </w:r>
      <w:r>
        <w:rPr>
          <w:rFonts w:ascii="Times New Roman" w:hAnsi="Times New Roman" w:cs="Times New Roman" w:eastAsia="Times New Roman" w:hint="default"/>
        </w:rPr>
        <w:t>ERP</w:t>
      </w:r>
      <w:r>
        <w:rPr/>
        <w:t>融合的电力安全生产管理系统一举确立了公司在行业内的技术优势。但</w:t>
      </w:r>
      <w:r>
        <w:rPr>
          <w:spacing w:val="-43"/>
        </w:rPr>
        <w:t> </w:t>
      </w:r>
      <w:r>
        <w:rPr>
          <w:spacing w:val="-43"/>
        </w:rPr>
      </w:r>
      <w:r>
        <w:rPr/>
        <w:t>是公司的主要竞争对手如</w:t>
      </w:r>
      <w:r>
        <w:rPr>
          <w:rFonts w:ascii="Times New Roman" w:hAnsi="Times New Roman" w:cs="Times New Roman" w:eastAsia="Times New Roman" w:hint="default"/>
        </w:rPr>
        <w:t>Amdocs</w:t>
      </w:r>
      <w:r>
        <w:rPr/>
        <w:t>（中国）公司在电力安全生产管理系统的变电业务方面、北 京中软国际信息技术有限公司在烟草电子政务方面仍具备较强的竞争力。随着中国电力和烟 </w:t>
      </w:r>
      <w:r>
        <w:rPr>
          <w:spacing w:val="-2"/>
        </w:rPr>
        <w:t>草行业信息化建设的进一步发展，将有越来越多的企业进入这一市场，市场竞争将日趋激烈。</w:t>
      </w:r>
    </w:p>
    <w:p>
      <w:pPr>
        <w:pStyle w:val="BodyText"/>
        <w:spacing w:line="357" w:lineRule="auto" w:before="163"/>
        <w:ind w:right="96" w:firstLine="482"/>
        <w:jc w:val="left"/>
      </w:pPr>
      <w:r>
        <w:rPr/>
        <w:pict>
          <v:group style="position:absolute;margin-left:47.639999pt;margin-top:71.725609pt;width:.1pt;height:10.35pt;mso-position-horizontal-relative:page;mso-position-vertical-relative:paragraph;z-index:1936" coordorigin="953,1435" coordsize="2,207">
            <v:shape style="position:absolute;left:953;top:1435;width:2;height:207" coordorigin="953,1435" coordsize="0,207" path="m953,1435l953,1641e" filled="false" stroked="true" strokeweight=".12pt" strokecolor="#000000">
              <v:path arrowok="t"/>
            </v:shape>
            <w10:wrap type="none"/>
          </v:group>
        </w:pict>
      </w:r>
      <w:r>
        <w:rPr>
          <w:spacing w:val="-3"/>
          <w:w w:val="95"/>
        </w:rPr>
        <w:t>在烟草应用软件业务中，虽然相对于竞争对手，公司目前拥有的省级烟草客户数量最多，</w:t>
      </w:r>
      <w:r>
        <w:rPr>
          <w:w w:val="50"/>
        </w:rPr>
        <w:t> </w:t>
      </w:r>
      <w:r>
        <w:rPr/>
        <w:t>但随着行业竞争的加剧，如果公司不能进一步在产品技术、功能应用等方面进行提升，将影</w:t>
      </w:r>
    </w:p>
    <w:p>
      <w:pPr>
        <w:spacing w:after="0" w:line="357" w:lineRule="auto"/>
        <w:jc w:val="left"/>
        <w:sectPr>
          <w:pgSz w:w="11910" w:h="16840"/>
          <w:pgMar w:header="745" w:footer="979" w:top="1060" w:bottom="1160" w:left="840" w:right="900"/>
        </w:sectPr>
      </w:pPr>
    </w:p>
    <w:p>
      <w:pPr>
        <w:spacing w:line="240" w:lineRule="auto" w:before="6"/>
        <w:rPr>
          <w:rFonts w:ascii="宋体" w:hAnsi="宋体" w:cs="宋体" w:eastAsia="宋体" w:hint="default"/>
          <w:sz w:val="29"/>
          <w:szCs w:val="29"/>
        </w:rPr>
      </w:pPr>
    </w:p>
    <w:p>
      <w:pPr>
        <w:pStyle w:val="BodyText"/>
        <w:spacing w:line="388" w:lineRule="auto" w:before="26"/>
        <w:ind w:left="595" w:right="279" w:hanging="483"/>
        <w:jc w:val="left"/>
      </w:pPr>
      <w:bookmarkStart w:name="八、与上年度财务报告相比，会计政策、会计估计和核算方法发生变化的情况说明" w:id="38"/>
      <w:bookmarkEnd w:id="38"/>
      <w:r>
        <w:rPr/>
      </w:r>
      <w:bookmarkStart w:name="九、与上年度财务报告相比，合并报表范围发生变化的情况说明" w:id="39"/>
      <w:bookmarkEnd w:id="39"/>
      <w:r>
        <w:rPr/>
      </w:r>
      <w:r>
        <w:rPr/>
        <w:t>响公司市场份额，从而影响到公司未来的经营发展和盈利能力。 不过，电力行业</w:t>
      </w:r>
      <w:r>
        <w:rPr>
          <w:rFonts w:ascii="Times New Roman" w:hAnsi="Times New Roman" w:cs="Times New Roman" w:eastAsia="Times New Roman" w:hint="default"/>
        </w:rPr>
        <w:t>“</w:t>
      </w:r>
      <w:r>
        <w:rPr/>
        <w:t>国进民退</w:t>
      </w:r>
      <w:r>
        <w:rPr>
          <w:rFonts w:ascii="Times New Roman" w:hAnsi="Times New Roman" w:cs="Times New Roman" w:eastAsia="Times New Roman" w:hint="default"/>
        </w:rPr>
        <w:t>”</w:t>
      </w:r>
      <w:r>
        <w:rPr/>
        <w:t>的趋势，以及电力、烟草行业的管理方式的转变，将对公司</w:t>
      </w:r>
    </w:p>
    <w:p>
      <w:pPr>
        <w:pStyle w:val="BodyText"/>
        <w:spacing w:line="285" w:lineRule="exact" w:before="0"/>
        <w:ind w:left="112" w:right="0"/>
        <w:jc w:val="both"/>
      </w:pPr>
      <w:r>
        <w:rPr/>
        <w:t>传统的电力安全生产管理、烟草电子政务产品的产生深刻的影响，也将对公司的营业规模和</w:t>
      </w:r>
    </w:p>
    <w:p>
      <w:pPr>
        <w:pStyle w:val="BodyText"/>
        <w:spacing w:line="240" w:lineRule="auto" w:before="154"/>
        <w:ind w:left="112" w:right="0"/>
        <w:jc w:val="both"/>
      </w:pPr>
      <w:r>
        <w:rPr/>
        <w:t>盈利水平形成一定的压力。</w:t>
      </w:r>
    </w:p>
    <w:p>
      <w:pPr>
        <w:pStyle w:val="Heading3"/>
        <w:spacing w:line="240" w:lineRule="auto" w:before="118"/>
        <w:ind w:left="722" w:right="279"/>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技术风险</w:t>
      </w:r>
      <w:r>
        <w:rPr>
          <w:b w:val="0"/>
          <w:bCs w:val="0"/>
        </w:rPr>
      </w:r>
    </w:p>
    <w:p>
      <w:pPr>
        <w:pStyle w:val="BodyText"/>
        <w:spacing w:line="352" w:lineRule="auto" w:before="165"/>
        <w:ind w:left="112" w:right="290" w:firstLine="482"/>
        <w:jc w:val="both"/>
      </w:pPr>
      <w:r>
        <w:rPr/>
        <w:t>软件技术是更新换代速度很快的技术之一，与其它</w:t>
      </w:r>
      <w:r>
        <w:rPr>
          <w:rFonts w:ascii="Times New Roman" w:hAnsi="Times New Roman" w:cs="Times New Roman" w:eastAsia="Times New Roman" w:hint="default"/>
        </w:rPr>
        <w:t>IT</w:t>
      </w:r>
      <w:r>
        <w:rPr>
          <w:rFonts w:ascii="Times New Roman" w:hAnsi="Times New Roman" w:cs="Times New Roman" w:eastAsia="Times New Roman" w:hint="default"/>
          <w:spacing w:val="37"/>
        </w:rPr>
        <w:t> </w:t>
      </w:r>
      <w:r>
        <w:rPr>
          <w:spacing w:val="-3"/>
        </w:rPr>
        <w:t>企业一样，公司必须适应技术进步</w:t>
      </w:r>
      <w:r>
        <w:rPr/>
        <w:t> 快、产品更新快、市场需求变化快的行业特点。技术及产品开发对公司的市场竞争力和未来 发展具有重要影响。如果公司不能准确地预测软件开发技术的发展趋势，对产品和市场需求 的把握出现偏差、不能及时调整新技术和新产品的开发方向，或开发的新技术、新产品不能 迅速推广应用，将可能使公司面临技术与产品开发的风险。</w:t>
      </w:r>
    </w:p>
    <w:p>
      <w:pPr>
        <w:pStyle w:val="BodyText"/>
        <w:spacing w:line="357" w:lineRule="auto" w:before="161"/>
        <w:ind w:left="112" w:right="331"/>
        <w:jc w:val="both"/>
      </w:pPr>
      <w:r>
        <w:rPr/>
        <w:t>公司现有的主导产品为电力行业信息化软件及烟草行业信息化软件，产品的科技含量较高， 其市场竞争的优势在较大程度上依赖于公司掌握的核心关键技术和公司培养、积累的一大批 经验丰富的既懂电力、烟草行业技术、又懂软件开发的核心技术人员。在目前市场对技术和 人才的激烈争夺中，如果出现技术外泄或者核心技术人员外流情况，将可能会在一定程度上 影响公司的技术创新能力。</w:t>
      </w:r>
    </w:p>
    <w:p>
      <w:pPr>
        <w:pStyle w:val="BodyText"/>
        <w:spacing w:line="381" w:lineRule="auto" w:before="80"/>
        <w:ind w:left="595" w:right="311" w:firstLine="7"/>
        <w:jc w:val="left"/>
      </w:pPr>
      <w:r>
        <w:rPr>
          <w:rFonts w:ascii="Times New Roman" w:hAnsi="Times New Roman" w:cs="Times New Roman" w:eastAsia="Times New Roman" w:hint="default"/>
          <w:b/>
          <w:bCs/>
        </w:rPr>
        <w:t>(3)</w:t>
      </w:r>
      <w:r>
        <w:rPr>
          <w:rFonts w:ascii="Microsoft JhengHei" w:hAnsi="Microsoft JhengHei" w:cs="Microsoft JhengHei" w:eastAsia="Microsoft JhengHei" w:hint="default"/>
          <w:b/>
          <w:bCs/>
        </w:rPr>
        <w:t>管理风险</w:t>
      </w:r>
      <w:r>
        <w:rPr>
          <w:rFonts w:ascii="Microsoft JhengHei" w:hAnsi="Microsoft JhengHei" w:cs="Microsoft JhengHei" w:eastAsia="Microsoft JhengHei" w:hint="default"/>
          <w:b/>
          <w:bCs/>
          <w:w w:val="99"/>
        </w:rPr>
        <w:t> </w:t>
      </w:r>
      <w:r>
        <w:rPr/>
        <w:t>随着公司业务的发展，公司经营规模不断扩大，这要求公司在战略规划、制度建设、组</w:t>
      </w:r>
    </w:p>
    <w:p>
      <w:pPr>
        <w:pStyle w:val="BodyText"/>
        <w:spacing w:line="357" w:lineRule="auto" w:before="12"/>
        <w:ind w:left="112" w:right="331"/>
        <w:jc w:val="both"/>
      </w:pPr>
      <w:r>
        <w:rPr/>
        <w:t>织设置、营运管理、财务管理、内部控制等方面将根据需要随时调整，需要继续完善管理体 系和制度、健全激励与约束机制以及加强执行力度。如果公司管理层不能适时架构适合公司 实际情况的管理体制、或未能很好把握调整时机、或相应职位管理人员的选任失误，都将可 能阻碍公司业务的正常推进或错失发展机遇，从而影响公司的长远发展。</w:t>
      </w:r>
    </w:p>
    <w:p>
      <w:pPr>
        <w:spacing w:line="240" w:lineRule="auto" w:before="0"/>
        <w:rPr>
          <w:rFonts w:ascii="宋体" w:hAnsi="宋体" w:cs="宋体" w:eastAsia="宋体" w:hint="default"/>
          <w:sz w:val="24"/>
          <w:szCs w:val="24"/>
        </w:rPr>
      </w:pPr>
    </w:p>
    <w:p>
      <w:pPr>
        <w:spacing w:line="441" w:lineRule="auto" w:before="181"/>
        <w:ind w:left="595" w:right="1274" w:hanging="483"/>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八、与上年度财务报告相比，会计政策、会计估计和核算方法发生变化的情况说明 </w:t>
      </w:r>
      <w:r>
        <w:rPr>
          <w:rFonts w:ascii="宋体" w:hAnsi="宋体" w:cs="宋体" w:eastAsia="宋体" w:hint="default"/>
          <w:sz w:val="24"/>
          <w:szCs w:val="24"/>
        </w:rPr>
        <w:t>与上年度财务报告相比，会计政策、会计估计和核算方法未发生变化。</w:t>
      </w:r>
    </w:p>
    <w:p>
      <w:pPr>
        <w:spacing w:line="240" w:lineRule="auto" w:before="3"/>
        <w:rPr>
          <w:rFonts w:ascii="宋体" w:hAnsi="宋体" w:cs="宋体" w:eastAsia="宋体" w:hint="default"/>
          <w:sz w:val="31"/>
          <w:szCs w:val="31"/>
        </w:rPr>
      </w:pPr>
    </w:p>
    <w:p>
      <w:pPr>
        <w:spacing w:line="396" w:lineRule="auto" w:before="0"/>
        <w:ind w:left="595" w:right="3191" w:hanging="483"/>
        <w:jc w:val="left"/>
        <w:rPr>
          <w:rFonts w:ascii="宋体" w:hAnsi="宋体" w:cs="宋体" w:eastAsia="宋体" w:hint="default"/>
          <w:sz w:val="24"/>
          <w:szCs w:val="24"/>
        </w:rPr>
      </w:pPr>
      <w:r>
        <w:rPr/>
        <w:pict>
          <v:group style="position:absolute;margin-left:547.559998pt;margin-top:85.03363pt;width:.1pt;height:10.35pt;mso-position-horizontal-relative:page;mso-position-vertical-relative:paragraph;z-index:1960" coordorigin="10951,1701" coordsize="2,207">
            <v:shape style="position:absolute;left:10951;top:1701;width:2;height:207" coordorigin="10951,1701" coordsize="0,207" path="m10951,1701l10951,1907e" filled="false" stroked="true" strokeweight=".12pt" strokecolor="#000000">
              <v:path arrowok="t"/>
            </v:shape>
            <w10:wrap type="none"/>
          </v:group>
        </w:pict>
      </w:r>
      <w:r>
        <w:rPr>
          <w:rFonts w:ascii="Microsoft JhengHei" w:hAnsi="Microsoft JhengHei" w:cs="Microsoft JhengHei" w:eastAsia="Microsoft JhengHei" w:hint="default"/>
          <w:b/>
          <w:bCs/>
          <w:sz w:val="24"/>
          <w:szCs w:val="24"/>
        </w:rPr>
        <w:t>九、与上年度财务报告相比，合并报表范围发生变化的情况说明 </w:t>
      </w:r>
      <w:r>
        <w:rPr>
          <w:rFonts w:ascii="宋体" w:hAnsi="宋体" w:cs="宋体" w:eastAsia="宋体" w:hint="default"/>
          <w:sz w:val="24"/>
          <w:szCs w:val="24"/>
        </w:rPr>
        <w:t>与上年度财务报告相比，合并报表范围无重大变化的情况。</w:t>
      </w:r>
    </w:p>
    <w:p>
      <w:pPr>
        <w:spacing w:after="0" w:line="396" w:lineRule="auto"/>
        <w:jc w:val="left"/>
        <w:rPr>
          <w:rFonts w:ascii="宋体" w:hAnsi="宋体" w:cs="宋体" w:eastAsia="宋体" w:hint="default"/>
          <w:sz w:val="24"/>
          <w:szCs w:val="24"/>
        </w:rPr>
        <w:sectPr>
          <w:pgSz w:w="11910" w:h="16840"/>
          <w:pgMar w:header="745" w:footer="979" w:top="1060" w:bottom="1160" w:left="1020" w:right="840"/>
        </w:sectPr>
      </w:pPr>
    </w:p>
    <w:p>
      <w:pPr>
        <w:spacing w:line="240" w:lineRule="auto" w:before="8"/>
        <w:rPr>
          <w:rFonts w:ascii="宋体" w:hAnsi="宋体" w:cs="宋体" w:eastAsia="宋体" w:hint="default"/>
          <w:sz w:val="23"/>
          <w:szCs w:val="23"/>
        </w:rPr>
      </w:pPr>
      <w:r>
        <w:rPr/>
        <w:pict>
          <v:group style="position:absolute;margin-left:47.639999pt;margin-top:781.919983pt;width:.1pt;height:10.35pt;mso-position-horizontal-relative:page;mso-position-vertical-relative:page;z-index:1984" coordorigin="953,15638" coordsize="2,207">
            <v:shape style="position:absolute;left:953;top:15638;width:2;height:207" coordorigin="953,15638" coordsize="0,207" path="m953,15638l953,15845e" filled="false" stroked="true" strokeweight=".12pt" strokecolor="#000000">
              <v:path arrowok="t"/>
            </v:shape>
            <w10:wrap type="none"/>
          </v:group>
        </w:pict>
      </w:r>
    </w:p>
    <w:p>
      <w:pPr>
        <w:pStyle w:val="Heading3"/>
        <w:spacing w:line="367" w:lineRule="exact"/>
        <w:ind w:left="292" w:right="279"/>
        <w:jc w:val="left"/>
        <w:rPr>
          <w:b w:val="0"/>
          <w:bCs w:val="0"/>
        </w:rPr>
      </w:pPr>
      <w:bookmarkStart w:name="十、公司利润分配及分红派息情况" w:id="40"/>
      <w:bookmarkEnd w:id="40"/>
      <w:r>
        <w:rPr>
          <w:b w:val="0"/>
          <w:bCs w:val="0"/>
        </w:rPr>
      </w:r>
      <w:r>
        <w:rPr/>
        <w:t>十、公司利润分配及分红派息情况</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38" w:lineRule="auto" w:before="0"/>
        <w:ind w:right="148" w:firstLine="482"/>
        <w:jc w:val="both"/>
      </w:pPr>
      <w:r>
        <w:rPr/>
        <w:t>公司已根据中国证监会</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4</w:t>
      </w:r>
      <w:r>
        <w:rPr/>
        <w:t>日发布的《关于进一步落实上市公司现金分红有关事 项的通知》要求，于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26</w:t>
      </w:r>
      <w:r>
        <w:rPr/>
        <w:t>日召开第二届董事会第二十次会议、</w:t>
      </w:r>
      <w:r>
        <w:rPr>
          <w:rFonts w:ascii="Times New Roman" w:hAnsi="Times New Roman" w:cs="Times New Roman" w:eastAsia="Times New Roman" w:hint="default"/>
        </w:rPr>
        <w:t>2012</w:t>
      </w:r>
      <w:r>
        <w:rPr/>
        <w:t>年 </w:t>
      </w:r>
      <w:r>
        <w:rPr>
          <w:rFonts w:ascii="Times New Roman" w:hAnsi="Times New Roman" w:cs="Times New Roman" w:eastAsia="Times New Roman" w:hint="default"/>
        </w:rPr>
        <w:t>8</w:t>
      </w:r>
      <w:r>
        <w:rPr/>
        <w:t>月 </w:t>
      </w:r>
      <w:r>
        <w:rPr>
          <w:rFonts w:ascii="Times New Roman" w:hAnsi="Times New Roman" w:cs="Times New Roman" w:eastAsia="Times New Roman" w:hint="default"/>
        </w:rPr>
        <w:t>23</w:t>
      </w:r>
      <w:r>
        <w:rPr/>
        <w:t>日召开 公司</w:t>
      </w:r>
      <w:r>
        <w:rPr>
          <w:rFonts w:ascii="Times New Roman" w:hAnsi="Times New Roman" w:cs="Times New Roman" w:eastAsia="Times New Roman" w:hint="default"/>
        </w:rPr>
        <w:t>2012</w:t>
      </w:r>
      <w:r>
        <w:rPr/>
        <w:t>年第二次临时股东大会，对公司章程中有关利润分配的条款进行了修订。</w:t>
      </w:r>
    </w:p>
    <w:p>
      <w:pPr>
        <w:spacing w:line="240" w:lineRule="auto" w:before="0"/>
        <w:rPr>
          <w:rFonts w:ascii="宋体" w:hAnsi="宋体" w:cs="宋体" w:eastAsia="宋体" w:hint="default"/>
          <w:sz w:val="2"/>
          <w:szCs w:val="2"/>
        </w:rPr>
      </w:pPr>
    </w:p>
    <w:tbl>
      <w:tblPr>
        <w:tblW w:w="0" w:type="auto"/>
        <w:jc w:val="left"/>
        <w:tblInd w:w="287" w:type="dxa"/>
        <w:tblLayout w:type="fixed"/>
        <w:tblCellMar>
          <w:top w:w="0" w:type="dxa"/>
          <w:left w:w="0" w:type="dxa"/>
          <w:bottom w:w="0" w:type="dxa"/>
          <w:right w:w="0" w:type="dxa"/>
        </w:tblCellMar>
        <w:tblLook w:val="01E0"/>
      </w:tblPr>
      <w:tblGrid>
        <w:gridCol w:w="3718"/>
        <w:gridCol w:w="5851"/>
      </w:tblGrid>
      <w:tr>
        <w:trPr>
          <w:trHeight w:val="401"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w:t>
            </w:r>
          </w:p>
        </w:tc>
      </w:tr>
      <w:tr>
        <w:trPr>
          <w:trHeight w:val="401"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107,000,000.00</w:t>
            </w:r>
          </w:p>
        </w:tc>
      </w:tr>
      <w:tr>
        <w:trPr>
          <w:trHeight w:val="401"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89"/>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12,840,000.00</w:t>
            </w:r>
          </w:p>
        </w:tc>
      </w:tr>
      <w:tr>
        <w:trPr>
          <w:trHeight w:val="403"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111,344,357.95</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69"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1651"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经天健会计师事务所（特殊普通合伙）审计，公司（母公司）</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年度实现净利润</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30,486,683.01</w:t>
            </w:r>
            <w:r>
              <w:rPr>
                <w:rFonts w:ascii="Times New Roman" w:hAnsi="Times New Roman" w:cs="Times New Roman" w:eastAsia="Times New Roman" w:hint="default"/>
                <w:spacing w:val="-12"/>
                <w:sz w:val="18"/>
                <w:szCs w:val="18"/>
              </w:rPr>
              <w:t> </w:t>
            </w:r>
            <w:r>
              <w:rPr>
                <w:rFonts w:ascii="宋体" w:hAnsi="宋体" w:cs="宋体" w:eastAsia="宋体" w:hint="default"/>
                <w:spacing w:val="-4"/>
                <w:sz w:val="18"/>
                <w:szCs w:val="18"/>
              </w:rPr>
              <w:t>元，按</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年度母公司</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实现净利润的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提取法定盈余公积金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3,048,668.30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元，加年初未分配利润</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122,801,940.27</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元，扣除已分配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年度红利</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12,840,000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日止，公司可供分配利润为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111,344,357.95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元。公司本年度进行利润分配，以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  </w:t>
            </w:r>
            <w:r>
              <w:rPr>
                <w:rFonts w:ascii="宋体" w:hAnsi="宋体" w:cs="宋体" w:eastAsia="宋体" w:hint="default"/>
                <w:sz w:val="18"/>
                <w:szCs w:val="18"/>
              </w:rPr>
              <w:t>日的总股本</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  </w:t>
            </w:r>
            <w:r>
              <w:rPr>
                <w:rFonts w:ascii="宋体" w:hAnsi="宋体" w:cs="宋体" w:eastAsia="宋体" w:hint="default"/>
                <w:sz w:val="18"/>
                <w:szCs w:val="18"/>
              </w:rPr>
              <w:t>股为基数，拟按每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股派发现金股利人民币</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，共计</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剩余未分配利润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98,504,357.95</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元结转下年。公司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年度不进行资本公积金转增股本。</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BodyText"/>
        <w:spacing w:line="240" w:lineRule="auto" w:before="26"/>
        <w:ind w:left="775" w:right="279"/>
        <w:jc w:val="left"/>
      </w:pPr>
      <w:r>
        <w:rPr/>
        <w:t>公司近</w:t>
      </w:r>
      <w:r>
        <w:rPr>
          <w:spacing w:val="-63"/>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年（含报告期）的利润分配方案及资本公积金转增股本方案情况具体如下：</w:t>
      </w:r>
    </w:p>
    <w:p>
      <w:pPr>
        <w:pStyle w:val="BodyText"/>
        <w:spacing w:line="322" w:lineRule="exact" w:before="97"/>
        <w:ind w:left="763" w:right="0"/>
        <w:jc w:val="left"/>
      </w:pP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日召开的</w:t>
      </w:r>
      <w:r>
        <w:rPr>
          <w:rFonts w:ascii="Times New Roman" w:hAnsi="Times New Roman" w:cs="Times New Roman" w:eastAsia="Times New Roman" w:hint="default"/>
        </w:rPr>
        <w:t>2010</w:t>
      </w:r>
      <w:r>
        <w:rPr/>
        <w:t>年年度股东大会上审议通过了利润分配方案为：以</w:t>
      </w:r>
    </w:p>
    <w:p>
      <w:pPr>
        <w:pStyle w:val="BodyText"/>
        <w:spacing w:line="312" w:lineRule="exact" w:before="20"/>
        <w:ind w:right="110"/>
        <w:jc w:val="both"/>
      </w:pPr>
      <w:r>
        <w:rPr>
          <w:spacing w:val="-2"/>
        </w:rPr>
        <w:t>2010年12月31日的总股本107,000,000股为基数，拟按每10股派发现金股利人民币2.00元（含</w:t>
      </w:r>
      <w:r>
        <w:rPr>
          <w:spacing w:val="-99"/>
        </w:rPr>
        <w:t> </w:t>
      </w:r>
      <w:r>
        <w:rPr>
          <w:spacing w:val="-99"/>
        </w:rPr>
      </w:r>
      <w:r>
        <w:rPr>
          <w:spacing w:val="-2"/>
        </w:rPr>
        <w:t>税），共计21,400,000元，剩余未分配利润61,832,522.12元结转下年。公司2010年度不进行</w:t>
      </w:r>
      <w:r>
        <w:rPr>
          <w:spacing w:val="-94"/>
        </w:rPr>
        <w:t> </w:t>
      </w:r>
      <w:r>
        <w:rPr>
          <w:spacing w:val="-94"/>
        </w:rPr>
      </w:r>
      <w:r>
        <w:rPr/>
        <w:t>资本公积金转增股本。</w:t>
      </w:r>
    </w:p>
    <w:p>
      <w:pPr>
        <w:pStyle w:val="BodyText"/>
        <w:spacing w:line="313" w:lineRule="exact" w:before="89"/>
        <w:ind w:left="775" w:right="0"/>
        <w:jc w:val="left"/>
      </w:pPr>
      <w:r>
        <w:rPr>
          <w:spacing w:val="3"/>
        </w:rPr>
        <w:t>2、公司于2012年3月7日召开的2011年年度股东大会上审议通过了利润分配方案为：以</w:t>
      </w:r>
    </w:p>
    <w:p>
      <w:pPr>
        <w:pStyle w:val="BodyText"/>
        <w:spacing w:line="312" w:lineRule="exact" w:before="29"/>
        <w:ind w:right="110"/>
        <w:jc w:val="both"/>
      </w:pPr>
      <w:r>
        <w:rPr>
          <w:spacing w:val="-1"/>
        </w:rPr>
        <w:t>2011年12月31日的总股本107,000,000</w:t>
      </w:r>
      <w:r>
        <w:rPr>
          <w:spacing w:val="33"/>
        </w:rPr>
        <w:t> </w:t>
      </w:r>
      <w:r>
        <w:rPr>
          <w:spacing w:val="-8"/>
        </w:rPr>
        <w:t>股为基数，拟按每10股派发现金股利人民币1.20元（含</w:t>
      </w:r>
      <w:r>
        <w:rPr>
          <w:spacing w:val="-117"/>
        </w:rPr>
        <w:t> </w:t>
      </w:r>
      <w:r>
        <w:rPr>
          <w:spacing w:val="-117"/>
        </w:rPr>
      </w:r>
      <w:r>
        <w:rPr>
          <w:spacing w:val="-2"/>
        </w:rPr>
        <w:t>税），共计12,840,000元，剩余未分配利润81,472,175.96元结转下年。公司2011年度不进行</w:t>
      </w:r>
      <w:r>
        <w:rPr>
          <w:spacing w:val="-94"/>
        </w:rPr>
        <w:t> </w:t>
      </w:r>
      <w:r>
        <w:rPr>
          <w:spacing w:val="-94"/>
        </w:rPr>
      </w:r>
      <w:r>
        <w:rPr/>
        <w:t>资本公积金转增股本。</w:t>
      </w:r>
    </w:p>
    <w:p>
      <w:pPr>
        <w:pStyle w:val="BodyText"/>
        <w:spacing w:line="312" w:lineRule="exact" w:before="41"/>
        <w:ind w:right="110" w:firstLine="482"/>
        <w:jc w:val="both"/>
      </w:pPr>
      <w:r>
        <w:rPr/>
        <w:t>3、公司本年度进行利润分配，以2012年12月31日的总股本107,000,000股为基数，拟按 每</w:t>
      </w:r>
      <w:r>
        <w:rPr>
          <w:spacing w:val="-87"/>
        </w:rPr>
        <w:t> </w:t>
      </w:r>
      <w:r>
        <w:rPr/>
        <w:t>10</w:t>
      </w:r>
      <w:r>
        <w:rPr>
          <w:spacing w:val="-87"/>
        </w:rPr>
        <w:t> </w:t>
      </w:r>
      <w:r>
        <w:rPr/>
        <w:t>股</w:t>
      </w:r>
      <w:r>
        <w:rPr>
          <w:spacing w:val="-87"/>
        </w:rPr>
        <w:t> </w:t>
      </w:r>
      <w:r>
        <w:rPr/>
        <w:t>派</w:t>
      </w:r>
      <w:r>
        <w:rPr>
          <w:spacing w:val="-87"/>
        </w:rPr>
        <w:t> </w:t>
      </w:r>
      <w:r>
        <w:rPr/>
        <w:t>发</w:t>
      </w:r>
      <w:r>
        <w:rPr>
          <w:spacing w:val="-87"/>
        </w:rPr>
        <w:t> </w:t>
      </w:r>
      <w:r>
        <w:rPr/>
        <w:t>现</w:t>
      </w:r>
      <w:r>
        <w:rPr>
          <w:spacing w:val="-87"/>
        </w:rPr>
        <w:t> </w:t>
      </w:r>
      <w:r>
        <w:rPr/>
        <w:t>金</w:t>
      </w:r>
      <w:r>
        <w:rPr>
          <w:spacing w:val="-87"/>
        </w:rPr>
        <w:t> </w:t>
      </w:r>
      <w:r>
        <w:rPr/>
        <w:t>股</w:t>
      </w:r>
      <w:r>
        <w:rPr>
          <w:spacing w:val="-87"/>
        </w:rPr>
        <w:t> </w:t>
      </w:r>
      <w:r>
        <w:rPr/>
        <w:t>利</w:t>
      </w:r>
      <w:r>
        <w:rPr>
          <w:spacing w:val="-87"/>
        </w:rPr>
        <w:t> </w:t>
      </w:r>
      <w:r>
        <w:rPr/>
        <w:t>人</w:t>
      </w:r>
      <w:r>
        <w:rPr>
          <w:spacing w:val="-87"/>
        </w:rPr>
        <w:t> </w:t>
      </w:r>
      <w:r>
        <w:rPr/>
        <w:t>民</w:t>
      </w:r>
      <w:r>
        <w:rPr>
          <w:spacing w:val="-87"/>
        </w:rPr>
        <w:t> </w:t>
      </w:r>
      <w:r>
        <w:rPr/>
        <w:t>币</w:t>
      </w:r>
      <w:r>
        <w:rPr>
          <w:spacing w:val="-89"/>
        </w:rPr>
        <w:t> </w:t>
      </w:r>
      <w:r>
        <w:rPr/>
        <w:t>1.20</w:t>
      </w:r>
      <w:r>
        <w:rPr>
          <w:spacing w:val="-87"/>
        </w:rPr>
        <w:t> </w:t>
      </w:r>
      <w:r>
        <w:rPr/>
        <w:t>元</w:t>
      </w:r>
      <w:r>
        <w:rPr>
          <w:spacing w:val="-87"/>
        </w:rPr>
        <w:t> </w:t>
      </w:r>
      <w:r>
        <w:rPr/>
        <w:t>（</w:t>
      </w:r>
      <w:r>
        <w:rPr>
          <w:spacing w:val="-87"/>
        </w:rPr>
        <w:t> </w:t>
      </w:r>
      <w:r>
        <w:rPr/>
        <w:t>含</w:t>
      </w:r>
      <w:r>
        <w:rPr>
          <w:spacing w:val="-87"/>
        </w:rPr>
        <w:t> </w:t>
      </w:r>
      <w:r>
        <w:rPr/>
        <w:t>税</w:t>
      </w:r>
      <w:r>
        <w:rPr>
          <w:spacing w:val="-87"/>
        </w:rPr>
        <w:t> </w:t>
      </w:r>
      <w:r>
        <w:rPr/>
        <w:t>）</w:t>
      </w:r>
      <w:r>
        <w:rPr>
          <w:spacing w:val="-87"/>
        </w:rPr>
        <w:t> </w:t>
      </w:r>
      <w:r>
        <w:rPr/>
        <w:t>，</w:t>
      </w:r>
      <w:r>
        <w:rPr>
          <w:spacing w:val="-87"/>
        </w:rPr>
        <w:t> </w:t>
      </w:r>
      <w:r>
        <w:rPr/>
        <w:t>共</w:t>
      </w:r>
      <w:r>
        <w:rPr>
          <w:spacing w:val="-87"/>
        </w:rPr>
        <w:t> </w:t>
      </w:r>
      <w:r>
        <w:rPr/>
        <w:t>计</w:t>
      </w:r>
      <w:r>
        <w:rPr>
          <w:spacing w:val="-92"/>
        </w:rPr>
        <w:t> </w:t>
      </w:r>
      <w:r>
        <w:rPr/>
        <w:t>12,840,000</w:t>
      </w:r>
      <w:r>
        <w:rPr>
          <w:spacing w:val="-87"/>
        </w:rPr>
        <w:t> </w:t>
      </w:r>
      <w:r>
        <w:rPr/>
        <w:t>元</w:t>
      </w:r>
      <w:r>
        <w:rPr>
          <w:spacing w:val="-87"/>
        </w:rPr>
        <w:t> </w:t>
      </w:r>
      <w:r>
        <w:rPr/>
        <w:t>，</w:t>
      </w:r>
      <w:r>
        <w:rPr>
          <w:spacing w:val="-87"/>
        </w:rPr>
        <w:t> </w:t>
      </w:r>
      <w:r>
        <w:rPr/>
        <w:t>剩</w:t>
      </w:r>
      <w:r>
        <w:rPr>
          <w:spacing w:val="-87"/>
        </w:rPr>
        <w:t> </w:t>
      </w:r>
      <w:r>
        <w:rPr/>
        <w:t>余</w:t>
      </w:r>
      <w:r>
        <w:rPr>
          <w:spacing w:val="-87"/>
        </w:rPr>
        <w:t> </w:t>
      </w:r>
      <w:r>
        <w:rPr/>
        <w:t>未</w:t>
      </w:r>
      <w:r>
        <w:rPr>
          <w:spacing w:val="-87"/>
        </w:rPr>
        <w:t> </w:t>
      </w:r>
      <w:r>
        <w:rPr/>
        <w:t>分</w:t>
      </w:r>
      <w:r>
        <w:rPr>
          <w:spacing w:val="-87"/>
        </w:rPr>
        <w:t> </w:t>
      </w:r>
      <w:r>
        <w:rPr/>
        <w:t>配</w:t>
      </w:r>
      <w:r>
        <w:rPr>
          <w:spacing w:val="-87"/>
        </w:rPr>
        <w:t> </w:t>
      </w:r>
      <w:r>
        <w:rPr/>
        <w:t>利</w:t>
      </w:r>
      <w:r>
        <w:rPr>
          <w:spacing w:val="-87"/>
        </w:rPr>
        <w:t> </w:t>
      </w:r>
      <w:r>
        <w:rPr/>
        <w:t>润</w:t>
      </w:r>
      <w:r>
        <w:rPr/>
        <w:t> </w:t>
      </w:r>
      <w:r>
        <w:rPr>
          <w:spacing w:val="-2"/>
        </w:rPr>
        <w:t>98,504,357.95元结转下年。公司2012年度不进行资本公积金转增股本。公司本年度利润分配</w:t>
      </w:r>
      <w:r>
        <w:rPr>
          <w:spacing w:val="-105"/>
        </w:rPr>
        <w:t> </w:t>
      </w:r>
      <w:r>
        <w:rPr>
          <w:spacing w:val="-105"/>
        </w:rPr>
      </w:r>
      <w:r>
        <w:rPr/>
        <w:t>还需提交2012年年度股东大会审议批准。</w:t>
      </w:r>
    </w:p>
    <w:p>
      <w:pPr>
        <w:pStyle w:val="BodyText"/>
        <w:spacing w:line="240" w:lineRule="auto" w:before="7"/>
        <w:ind w:left="775" w:right="279"/>
        <w:jc w:val="left"/>
      </w:pPr>
      <w:r>
        <w:rPr/>
        <w:t>近三年现金分红及归属于上市公司股东的净利润如下：</w:t>
      </w:r>
    </w:p>
    <w:p>
      <w:pPr>
        <w:spacing w:before="8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287" w:type="dxa"/>
        <w:tblLayout w:type="fixed"/>
        <w:tblCellMar>
          <w:top w:w="0" w:type="dxa"/>
          <w:left w:w="0" w:type="dxa"/>
          <w:bottom w:w="0" w:type="dxa"/>
          <w:right w:w="0" w:type="dxa"/>
        </w:tblCellMar>
        <w:tblLook w:val="01E0"/>
      </w:tblPr>
      <w:tblGrid>
        <w:gridCol w:w="2393"/>
        <w:gridCol w:w="2393"/>
        <w:gridCol w:w="2390"/>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90" w:right="108"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8" w:right="35"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12,840,000.00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4,431,085.96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289.77%</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12,840,000.00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42,799,088.01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840" w:right="1020"/>
        </w:sectPr>
      </w:pPr>
    </w:p>
    <w:p>
      <w:pPr>
        <w:spacing w:line="240" w:lineRule="auto" w:before="6"/>
        <w:rPr>
          <w:rFonts w:ascii="宋体" w:hAnsi="宋体" w:cs="宋体" w:eastAsia="宋体" w:hint="default"/>
          <w:sz w:val="28"/>
          <w:szCs w:val="28"/>
        </w:rPr>
      </w:pPr>
      <w:r>
        <w:rPr/>
        <w:pict>
          <v:group style="position:absolute;margin-left:547.559998pt;margin-top:781.919983pt;width:.1pt;height:10.35pt;mso-position-horizontal-relative:page;mso-position-vertical-relative:page;z-index:2008" coordorigin="10951,15638" coordsize="2,207">
            <v:shape style="position:absolute;left:10951;top:15638;width:2;height:207" coordorigin="10951,15638" coordsize="0,207" path="m10951,15638l10951,15845e" filled="false" stroked="true" strokeweight=".12pt" strokecolor="#000000">
              <v:path arrowok="t"/>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2393"/>
        <w:gridCol w:w="2390"/>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bookmarkStart w:name="十二、报告期内接待调研、沟通、采访等活动登记表" w:id="41"/>
            <w:bookmarkEnd w:id="41"/>
            <w:r>
              <w:rPr/>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4" w:right="0"/>
              <w:jc w:val="left"/>
              <w:rPr>
                <w:rFonts w:ascii="Times New Roman" w:hAnsi="Times New Roman" w:cs="Times New Roman" w:eastAsia="Times New Roman" w:hint="default"/>
                <w:sz w:val="18"/>
                <w:szCs w:val="18"/>
              </w:rPr>
            </w:pPr>
            <w:r>
              <w:rPr>
                <w:rFonts w:ascii="Times New Roman"/>
                <w:sz w:val="18"/>
              </w:rPr>
              <w:t>21,400,000.00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7" w:right="0"/>
              <w:jc w:val="left"/>
              <w:rPr>
                <w:rFonts w:ascii="Times New Roman" w:hAnsi="Times New Roman" w:cs="Times New Roman" w:eastAsia="Times New Roman" w:hint="default"/>
                <w:sz w:val="18"/>
                <w:szCs w:val="18"/>
              </w:rPr>
            </w:pPr>
            <w:r>
              <w:rPr>
                <w:rFonts w:ascii="Times New Roman"/>
                <w:sz w:val="18"/>
              </w:rPr>
              <w:t>40,857,903.52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52.38%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3"/>
        <w:spacing w:line="367" w:lineRule="exact"/>
        <w:ind w:right="279"/>
        <w:jc w:val="left"/>
        <w:rPr>
          <w:b w:val="0"/>
          <w:bCs w:val="0"/>
        </w:rPr>
      </w:pPr>
      <w:r>
        <w:rPr/>
        <w:t>十二、报告期内接待调研、沟通、采访等活动登记表</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07" w:type="dxa"/>
        <w:tblLayout w:type="fixed"/>
        <w:tblCellMar>
          <w:top w:w="0" w:type="dxa"/>
          <w:left w:w="0" w:type="dxa"/>
          <w:bottom w:w="0" w:type="dxa"/>
          <w:right w:w="0" w:type="dxa"/>
        </w:tblCellMar>
        <w:tblLook w:val="01E0"/>
      </w:tblPr>
      <w:tblGrid>
        <w:gridCol w:w="1495"/>
        <w:gridCol w:w="1495"/>
        <w:gridCol w:w="1498"/>
        <w:gridCol w:w="1498"/>
        <w:gridCol w:w="1498"/>
        <w:gridCol w:w="2086"/>
      </w:tblGrid>
      <w:tr>
        <w:trPr>
          <w:trHeight w:val="715" w:hRule="exact"/>
        </w:trPr>
        <w:tc>
          <w:tcPr>
            <w:tcW w:w="1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59" w:right="47"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1025"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49"/>
              <w:jc w:val="both"/>
              <w:rPr>
                <w:rFonts w:ascii="宋体" w:hAnsi="宋体" w:cs="宋体" w:eastAsia="宋体" w:hint="default"/>
                <w:sz w:val="18"/>
                <w:szCs w:val="18"/>
              </w:rPr>
            </w:pPr>
            <w:r>
              <w:rPr>
                <w:rFonts w:ascii="宋体" w:hAnsi="宋体" w:cs="宋体" w:eastAsia="宋体" w:hint="default"/>
                <w:sz w:val="18"/>
                <w:szCs w:val="18"/>
              </w:rPr>
              <w:t>公司年报</w:t>
            </w:r>
            <w:r>
              <w:rPr>
                <w:rFonts w:ascii="Times New Roman" w:hAnsi="Times New Roman" w:cs="Times New Roman" w:eastAsia="Times New Roman" w:hint="default"/>
                <w:sz w:val="18"/>
                <w:szCs w:val="18"/>
              </w:rPr>
              <w:t>\</w:t>
            </w:r>
            <w:r>
              <w:rPr>
                <w:rFonts w:ascii="宋体" w:hAnsi="宋体" w:cs="宋体" w:eastAsia="宋体" w:hint="default"/>
                <w:sz w:val="18"/>
                <w:szCs w:val="18"/>
              </w:rPr>
              <w:t>公司业务</w:t>
            </w:r>
            <w:r>
              <w:rPr>
                <w:rFonts w:ascii="Times New Roman" w:hAnsi="Times New Roman" w:cs="Times New Roman" w:eastAsia="Times New Roman" w:hint="default"/>
                <w:sz w:val="18"/>
                <w:szCs w:val="18"/>
              </w:rPr>
              <w:t>\</w:t>
            </w:r>
            <w:r>
              <w:rPr>
                <w:rFonts w:ascii="宋体" w:hAnsi="宋体" w:cs="宋体" w:eastAsia="宋体" w:hint="default"/>
                <w:sz w:val="18"/>
                <w:szCs w:val="18"/>
              </w:rPr>
              <w:t>公司 发展趋势</w:t>
            </w:r>
            <w:r>
              <w:rPr>
                <w:rFonts w:ascii="Times New Roman" w:hAnsi="Times New Roman" w:cs="Times New Roman" w:eastAsia="Times New Roman" w:hint="default"/>
                <w:sz w:val="18"/>
                <w:szCs w:val="18"/>
              </w:rPr>
              <w:t>\</w:t>
            </w:r>
            <w:r>
              <w:rPr>
                <w:rFonts w:ascii="宋体" w:hAnsi="宋体" w:cs="宋体" w:eastAsia="宋体" w:hint="default"/>
                <w:sz w:val="18"/>
                <w:szCs w:val="18"/>
              </w:rPr>
              <w:t>行业发展状况</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公司业绩等</w:t>
            </w:r>
          </w:p>
        </w:tc>
      </w:tr>
      <w:tr>
        <w:trPr>
          <w:trHeight w:val="715"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公司股票</w:t>
            </w:r>
            <w:r>
              <w:rPr>
                <w:rFonts w:ascii="Times New Roman" w:hAnsi="Times New Roman" w:cs="Times New Roman" w:eastAsia="Times New Roman" w:hint="default"/>
                <w:sz w:val="18"/>
                <w:szCs w:val="18"/>
              </w:rPr>
              <w:t>\</w:t>
            </w:r>
            <w:r>
              <w:rPr>
                <w:rFonts w:ascii="宋体" w:hAnsi="宋体" w:cs="宋体" w:eastAsia="宋体" w:hint="default"/>
                <w:sz w:val="18"/>
                <w:szCs w:val="18"/>
              </w:rPr>
              <w:t>公司业绩</w:t>
            </w:r>
            <w:r>
              <w:rPr>
                <w:rFonts w:ascii="Times New Roman" w:hAnsi="Times New Roman" w:cs="Times New Roman" w:eastAsia="Times New Roman" w:hint="default"/>
                <w:sz w:val="18"/>
                <w:szCs w:val="18"/>
              </w:rPr>
              <w:t>\</w:t>
            </w:r>
            <w:r>
              <w:rPr>
                <w:rFonts w:ascii="宋体" w:hAnsi="宋体" w:cs="宋体" w:eastAsia="宋体" w:hint="default"/>
                <w:sz w:val="18"/>
                <w:szCs w:val="18"/>
              </w:rPr>
              <w:t>公司 发展战略</w:t>
            </w:r>
          </w:p>
        </w:tc>
      </w:tr>
      <w:tr>
        <w:trPr>
          <w:trHeight w:val="713"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公司股票</w:t>
            </w:r>
            <w:r>
              <w:rPr>
                <w:rFonts w:ascii="Times New Roman" w:hAnsi="Times New Roman" w:cs="Times New Roman" w:eastAsia="Times New Roman" w:hint="default"/>
                <w:sz w:val="18"/>
                <w:szCs w:val="18"/>
              </w:rPr>
              <w:t>\</w:t>
            </w:r>
            <w:r>
              <w:rPr>
                <w:rFonts w:ascii="宋体" w:hAnsi="宋体" w:cs="宋体" w:eastAsia="宋体" w:hint="default"/>
                <w:sz w:val="18"/>
                <w:szCs w:val="18"/>
              </w:rPr>
              <w:t>公司业绩</w:t>
            </w:r>
            <w:r>
              <w:rPr>
                <w:rFonts w:ascii="Times New Roman" w:hAnsi="Times New Roman" w:cs="Times New Roman" w:eastAsia="Times New Roman" w:hint="default"/>
                <w:sz w:val="18"/>
                <w:szCs w:val="18"/>
              </w:rPr>
              <w:t>\</w:t>
            </w:r>
            <w:r>
              <w:rPr>
                <w:rFonts w:ascii="宋体" w:hAnsi="宋体" w:cs="宋体" w:eastAsia="宋体" w:hint="default"/>
                <w:sz w:val="18"/>
                <w:szCs w:val="18"/>
              </w:rPr>
              <w:t>公司 发展战略</w:t>
            </w:r>
          </w:p>
        </w:tc>
      </w:tr>
      <w:tr>
        <w:trPr>
          <w:trHeight w:val="715"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公司股票</w:t>
            </w:r>
            <w:r>
              <w:rPr>
                <w:rFonts w:ascii="Times New Roman" w:hAnsi="Times New Roman" w:cs="Times New Roman" w:eastAsia="Times New Roman" w:hint="default"/>
                <w:sz w:val="18"/>
                <w:szCs w:val="18"/>
              </w:rPr>
              <w:t>\</w:t>
            </w:r>
            <w:r>
              <w:rPr>
                <w:rFonts w:ascii="宋体" w:hAnsi="宋体" w:cs="宋体" w:eastAsia="宋体" w:hint="default"/>
                <w:sz w:val="18"/>
                <w:szCs w:val="18"/>
              </w:rPr>
              <w:t>公司业绩</w:t>
            </w:r>
            <w:r>
              <w:rPr>
                <w:rFonts w:ascii="Times New Roman" w:hAnsi="Times New Roman" w:cs="Times New Roman" w:eastAsia="Times New Roman" w:hint="default"/>
                <w:sz w:val="18"/>
                <w:szCs w:val="18"/>
              </w:rPr>
              <w:t>\</w:t>
            </w:r>
            <w:r>
              <w:rPr>
                <w:rFonts w:ascii="宋体" w:hAnsi="宋体" w:cs="宋体" w:eastAsia="宋体" w:hint="default"/>
                <w:sz w:val="18"/>
                <w:szCs w:val="18"/>
              </w:rPr>
              <w:t>公司 发展战略</w:t>
            </w:r>
          </w:p>
        </w:tc>
      </w:tr>
    </w:tbl>
    <w:p>
      <w:pPr>
        <w:spacing w:after="0" w:line="300" w:lineRule="auto"/>
        <w:jc w:val="left"/>
        <w:rPr>
          <w:rFonts w:ascii="宋体" w:hAnsi="宋体" w:cs="宋体" w:eastAsia="宋体" w:hint="default"/>
          <w:sz w:val="18"/>
          <w:szCs w:val="18"/>
        </w:rPr>
        <w:sectPr>
          <w:pgSz w:w="11910" w:h="16840"/>
          <w:pgMar w:header="745" w:footer="979" w:top="1060" w:bottom="1160" w:left="1020" w:right="840"/>
        </w:sectPr>
      </w:pPr>
    </w:p>
    <w:p>
      <w:pPr>
        <w:spacing w:line="240" w:lineRule="auto" w:before="0"/>
        <w:rPr>
          <w:rFonts w:ascii="Microsoft JhengHei" w:hAnsi="Microsoft JhengHei" w:cs="Microsoft JhengHei" w:eastAsia="Microsoft JhengHei" w:hint="default"/>
          <w:b/>
          <w:bCs/>
          <w:sz w:val="20"/>
          <w:szCs w:val="20"/>
        </w:rPr>
      </w:pPr>
      <w:r>
        <w:rPr/>
        <w:pict>
          <v:group style="position:absolute;margin-left:47.639999pt;margin-top:781.919983pt;width:.1pt;height:10.35pt;mso-position-horizontal-relative:page;mso-position-vertical-relative:page;z-index:2032" coordorigin="953,15638" coordsize="2,207">
            <v:shape style="position:absolute;left:953;top:15638;width:2;height:207" coordorigin="953,15638" coordsize="0,207" path="m953,15638l953,15845e" filled="false" stroked="true" strokeweight=".12pt" strokecolor="#000000">
              <v:path arrowok="t"/>
            </v:shape>
            <w10:wrap type="none"/>
          </v:group>
        </w:pict>
      </w:r>
    </w:p>
    <w:p>
      <w:pPr>
        <w:spacing w:line="240" w:lineRule="auto" w:before="5"/>
        <w:rPr>
          <w:rFonts w:ascii="Microsoft JhengHei" w:hAnsi="Microsoft JhengHei" w:cs="Microsoft JhengHei" w:eastAsia="Microsoft JhengHei" w:hint="default"/>
          <w:b/>
          <w:bCs/>
          <w:sz w:val="25"/>
          <w:szCs w:val="25"/>
        </w:rPr>
      </w:pPr>
    </w:p>
    <w:p>
      <w:pPr>
        <w:spacing w:line="456" w:lineRule="exact" w:before="0"/>
        <w:ind w:left="2393" w:right="2213" w:firstLine="0"/>
        <w:jc w:val="center"/>
        <w:rPr>
          <w:rFonts w:ascii="Microsoft JhengHei" w:hAnsi="Microsoft JhengHei" w:cs="Microsoft JhengHei" w:eastAsia="Microsoft JhengHei" w:hint="default"/>
          <w:sz w:val="32"/>
          <w:szCs w:val="32"/>
        </w:rPr>
      </w:pPr>
      <w:bookmarkStart w:name="第五节重要事项" w:id="42"/>
      <w:bookmarkEnd w:id="42"/>
      <w:r>
        <w:rPr/>
      </w:r>
      <w:bookmarkStart w:name="一、重大诉讼仲裁事项" w:id="43"/>
      <w:bookmarkEnd w:id="43"/>
      <w:r>
        <w:rPr/>
      </w:r>
      <w:bookmarkStart w:name="_bookmark4" w:id="44"/>
      <w:bookmarkEnd w:id="44"/>
      <w:r>
        <w:rPr/>
      </w:r>
      <w:r>
        <w:rPr>
          <w:rFonts w:ascii="Microsoft JhengHei" w:hAnsi="Microsoft JhengHei" w:cs="Microsoft JhengHei" w:eastAsia="Microsoft JhengHei" w:hint="default"/>
          <w:b/>
          <w:bCs/>
          <w:sz w:val="32"/>
          <w:szCs w:val="32"/>
        </w:rPr>
        <w:t>第五节 </w:t>
      </w:r>
      <w:r>
        <w:rPr>
          <w:rFonts w:ascii="Microsoft JhengHei" w:hAnsi="Microsoft JhengHei" w:cs="Microsoft JhengHei" w:eastAsia="Microsoft JhengHei" w:hint="default"/>
          <w:b/>
          <w:bCs/>
          <w:spacing w:val="4"/>
          <w:sz w:val="32"/>
          <w:szCs w:val="32"/>
        </w:rPr>
        <w:t> </w:t>
      </w:r>
      <w:r>
        <w:rPr>
          <w:rFonts w:ascii="Microsoft JhengHei" w:hAnsi="Microsoft JhengHei" w:cs="Microsoft JhengHei" w:eastAsia="Microsoft JhengHei" w:hint="default"/>
          <w:b/>
          <w:bCs/>
          <w:sz w:val="32"/>
          <w:szCs w:val="32"/>
        </w:rPr>
        <w:t>重要事项</w:t>
      </w:r>
      <w:r>
        <w:rPr>
          <w:rFonts w:ascii="Microsoft JhengHei" w:hAnsi="Microsoft JhengHei" w:cs="Microsoft JhengHei" w:eastAsia="Microsoft JhengHei" w:hint="default"/>
          <w:sz w:val="32"/>
          <w:szCs w:val="32"/>
        </w:rPr>
      </w:r>
    </w:p>
    <w:p>
      <w:pPr>
        <w:spacing w:line="240" w:lineRule="auto" w:before="10"/>
        <w:rPr>
          <w:rFonts w:ascii="Microsoft JhengHei" w:hAnsi="Microsoft JhengHei" w:cs="Microsoft JhengHei" w:eastAsia="Microsoft JhengHei" w:hint="default"/>
          <w:b/>
          <w:bCs/>
          <w:sz w:val="25"/>
          <w:szCs w:val="25"/>
        </w:rPr>
      </w:pPr>
    </w:p>
    <w:p>
      <w:pPr>
        <w:spacing w:line="367" w:lineRule="exact" w:before="0"/>
        <w:ind w:left="292" w:right="27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一、重大诉讼仲裁事项</w:t>
      </w:r>
      <w:r>
        <w:rPr>
          <w:rFonts w:ascii="Microsoft JhengHei" w:hAnsi="Microsoft JhengHei" w:cs="Microsoft JhengHei" w:eastAsia="Microsoft JhengHei" w:hint="default"/>
          <w:sz w:val="24"/>
          <w:szCs w:val="24"/>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287" w:type="dxa"/>
        <w:tblLayout w:type="fixed"/>
        <w:tblCellMar>
          <w:top w:w="0" w:type="dxa"/>
          <w:left w:w="0" w:type="dxa"/>
          <w:bottom w:w="0" w:type="dxa"/>
          <w:right w:w="0" w:type="dxa"/>
        </w:tblCellMar>
        <w:tblLook w:val="01E0"/>
      </w:tblPr>
      <w:tblGrid>
        <w:gridCol w:w="1452"/>
        <w:gridCol w:w="1085"/>
        <w:gridCol w:w="1265"/>
        <w:gridCol w:w="953"/>
        <w:gridCol w:w="1394"/>
        <w:gridCol w:w="1265"/>
        <w:gridCol w:w="1080"/>
        <w:gridCol w:w="1078"/>
      </w:tblGrid>
      <w:tr>
        <w:trPr>
          <w:trHeight w:val="713" w:hRule="exact"/>
        </w:trPr>
        <w:tc>
          <w:tcPr>
            <w:tcW w:w="1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631" w:right="29" w:hanging="60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57" w:right="19" w:hanging="334"/>
              <w:jc w:val="left"/>
              <w:rPr>
                <w:rFonts w:ascii="宋体" w:hAnsi="宋体" w:cs="宋体" w:eastAsia="宋体" w:hint="default"/>
                <w:sz w:val="18"/>
                <w:szCs w:val="18"/>
              </w:rPr>
            </w:pPr>
            <w:r>
              <w:rPr>
                <w:rFonts w:ascii="宋体" w:hAnsi="宋体" w:cs="宋体" w:eastAsia="宋体" w:hint="default"/>
                <w:spacing w:val="-9"/>
                <w:sz w:val="18"/>
                <w:szCs w:val="18"/>
              </w:rPr>
              <w:t>涉案金额（万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12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48" w:right="84"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92" w:right="48"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2" w:right="89" w:hanging="149"/>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66" w:right="26" w:hanging="238"/>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 执行情况</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25" w:hRule="exact"/>
        </w:trPr>
        <w:tc>
          <w:tcPr>
            <w:tcW w:w="14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公司近日收到浙</w:t>
            </w:r>
          </w:p>
        </w:tc>
        <w:tc>
          <w:tcPr>
            <w:tcW w:w="1085" w:type="dxa"/>
            <w:tcBorders>
              <w:top w:val="single" w:sz="4" w:space="0" w:color="000000"/>
              <w:left w:val="single" w:sz="4" w:space="0" w:color="000000"/>
              <w:bottom w:val="nil" w:sz="6" w:space="0" w:color="auto"/>
              <w:right w:val="single" w:sz="4" w:space="0" w:color="000000"/>
            </w:tcBorders>
          </w:tcPr>
          <w:p>
            <w:pPr/>
          </w:p>
        </w:tc>
        <w:tc>
          <w:tcPr>
            <w:tcW w:w="1265" w:type="dxa"/>
            <w:tcBorders>
              <w:top w:val="single" w:sz="4" w:space="0" w:color="000000"/>
              <w:left w:val="single" w:sz="4" w:space="0" w:color="000000"/>
              <w:bottom w:val="nil" w:sz="6" w:space="0" w:color="auto"/>
              <w:right w:val="single" w:sz="4" w:space="0" w:color="000000"/>
            </w:tcBorders>
          </w:tcPr>
          <w:p>
            <w:pPr/>
          </w:p>
        </w:tc>
        <w:tc>
          <w:tcPr>
            <w:tcW w:w="953" w:type="dxa"/>
            <w:tcBorders>
              <w:top w:val="single" w:sz="4" w:space="0" w:color="000000"/>
              <w:left w:val="single" w:sz="4" w:space="0" w:color="000000"/>
              <w:bottom w:val="nil" w:sz="6" w:space="0" w:color="auto"/>
              <w:right w:val="single" w:sz="4" w:space="0" w:color="000000"/>
            </w:tcBorders>
          </w:tcPr>
          <w:p>
            <w:pPr/>
          </w:p>
        </w:tc>
        <w:tc>
          <w:tcPr>
            <w:tcW w:w="13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本次诉讼，若公</w:t>
            </w:r>
          </w:p>
        </w:tc>
        <w:tc>
          <w:tcPr>
            <w:tcW w:w="1265"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0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452"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4" w:right="0"/>
              <w:jc w:val="left"/>
              <w:rPr>
                <w:rFonts w:ascii="宋体" w:hAnsi="宋体" w:cs="宋体" w:eastAsia="宋体" w:hint="default"/>
                <w:sz w:val="18"/>
                <w:szCs w:val="18"/>
              </w:rPr>
            </w:pPr>
            <w:r>
              <w:rPr>
                <w:rFonts w:ascii="宋体" w:hAnsi="宋体" w:cs="宋体" w:eastAsia="宋体" w:hint="default"/>
                <w:sz w:val="18"/>
                <w:szCs w:val="18"/>
              </w:rPr>
              <w:t>江省杭州市中级</w:t>
            </w:r>
          </w:p>
        </w:tc>
        <w:tc>
          <w:tcPr>
            <w:tcW w:w="1085"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3" w:type="dxa"/>
            <w:tcBorders>
              <w:top w:val="nil" w:sz="6" w:space="0" w:color="auto"/>
              <w:left w:val="single" w:sz="4" w:space="0" w:color="000000"/>
              <w:bottom w:val="nil" w:sz="6" w:space="0" w:color="auto"/>
              <w:right w:val="single" w:sz="4" w:space="0" w:color="000000"/>
            </w:tcBorders>
          </w:tcPr>
          <w:p>
            <w:pPr/>
          </w:p>
        </w:tc>
        <w:tc>
          <w:tcPr>
            <w:tcW w:w="1394"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司胜诉，公司将</w:t>
            </w:r>
          </w:p>
        </w:tc>
        <w:tc>
          <w:tcPr>
            <w:tcW w:w="126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3432" w:hRule="exact"/>
        </w:trPr>
        <w:tc>
          <w:tcPr>
            <w:tcW w:w="1452"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4" w:right="0"/>
              <w:jc w:val="left"/>
              <w:rPr>
                <w:rFonts w:ascii="宋体" w:hAnsi="宋体" w:cs="宋体" w:eastAsia="宋体" w:hint="default"/>
                <w:sz w:val="18"/>
                <w:szCs w:val="18"/>
              </w:rPr>
            </w:pPr>
            <w:r>
              <w:rPr>
                <w:rFonts w:ascii="宋体" w:hAnsi="宋体" w:cs="宋体" w:eastAsia="宋体" w:hint="default"/>
                <w:sz w:val="18"/>
                <w:szCs w:val="18"/>
              </w:rPr>
              <w:t>人民法院开庭传</w:t>
            </w:r>
          </w:p>
          <w:p>
            <w:pPr>
              <w:pStyle w:val="TableParagraph"/>
              <w:spacing w:line="316" w:lineRule="auto" w:before="76"/>
              <w:ind w:left="24" w:right="23"/>
              <w:jc w:val="left"/>
              <w:rPr>
                <w:rFonts w:ascii="宋体" w:hAnsi="宋体" w:cs="宋体" w:eastAsia="宋体" w:hint="default"/>
                <w:sz w:val="18"/>
                <w:szCs w:val="18"/>
              </w:rPr>
            </w:pPr>
            <w:r>
              <w:rPr>
                <w:rFonts w:ascii="宋体" w:hAnsi="宋体" w:cs="宋体" w:eastAsia="宋体" w:hint="default"/>
                <w:spacing w:val="-6"/>
                <w:sz w:val="18"/>
                <w:szCs w:val="18"/>
              </w:rPr>
              <w:t>票，就杭州新世纪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信息技术股份有 限公司反诉南京 江琛自动化系统 有限责任公司股 </w:t>
            </w:r>
            <w:r>
              <w:rPr>
                <w:rFonts w:ascii="宋体" w:hAnsi="宋体" w:cs="宋体" w:eastAsia="宋体" w:hint="default"/>
                <w:w w:val="95"/>
                <w:sz w:val="18"/>
                <w:szCs w:val="18"/>
              </w:rPr>
              <w:t>权转让纠纷一案，</w:t>
            </w:r>
            <w:r>
              <w:rPr>
                <w:rFonts w:ascii="宋体" w:hAnsi="宋体" w:cs="宋体" w:eastAsia="宋体" w:hint="default"/>
                <w:spacing w:val="-61"/>
                <w:w w:val="95"/>
                <w:sz w:val="18"/>
                <w:szCs w:val="18"/>
              </w:rPr>
              <w:t> </w:t>
            </w:r>
            <w:r>
              <w:rPr>
                <w:rFonts w:ascii="宋体" w:hAnsi="宋体" w:cs="宋体" w:eastAsia="宋体" w:hint="default"/>
                <w:spacing w:val="-61"/>
                <w:w w:val="95"/>
                <w:sz w:val="18"/>
                <w:szCs w:val="18"/>
              </w:rPr>
            </w:r>
            <w:r>
              <w:rPr>
                <w:rFonts w:ascii="宋体" w:hAnsi="宋体" w:cs="宋体" w:eastAsia="宋体" w:hint="default"/>
                <w:sz w:val="18"/>
                <w:szCs w:val="18"/>
              </w:rPr>
              <w:t>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9" w:lineRule="auto"/>
              <w:ind w:left="24"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pacing w:val="-14"/>
                <w:sz w:val="18"/>
                <w:szCs w:val="18"/>
              </w:rPr>
              <w:t>日开庭。公司将</w:t>
            </w:r>
            <w:r>
              <w:rPr>
                <w:rFonts w:ascii="宋体" w:hAnsi="宋体" w:cs="宋体" w:eastAsia="宋体" w:hint="default"/>
                <w:sz w:val="18"/>
                <w:szCs w:val="18"/>
              </w:rPr>
              <w:t> 根据案件审理情 </w:t>
            </w:r>
            <w:r>
              <w:rPr>
                <w:rFonts w:ascii="宋体" w:hAnsi="宋体" w:cs="宋体" w:eastAsia="宋体" w:hint="default"/>
                <w:spacing w:val="-6"/>
                <w:sz w:val="18"/>
                <w:szCs w:val="18"/>
              </w:rPr>
              <w:t>况，及时公布进展</w:t>
            </w:r>
          </w:p>
        </w:tc>
        <w:tc>
          <w:tcPr>
            <w:tcW w:w="1085"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22"/>
                <w:szCs w:val="22"/>
              </w:rPr>
            </w:pPr>
          </w:p>
          <w:p>
            <w:pPr>
              <w:pStyle w:val="TableParagraph"/>
              <w:spacing w:line="240" w:lineRule="auto"/>
              <w:ind w:left="24" w:right="0"/>
              <w:jc w:val="both"/>
              <w:rPr>
                <w:rFonts w:ascii="宋体" w:hAnsi="宋体" w:cs="宋体" w:eastAsia="宋体" w:hint="default"/>
                <w:sz w:val="18"/>
                <w:szCs w:val="18"/>
              </w:rPr>
            </w:pPr>
            <w:r>
              <w:rPr>
                <w:rFonts w:ascii="宋体" w:hAnsi="宋体" w:cs="宋体" w:eastAsia="宋体" w:hint="default"/>
                <w:sz w:val="18"/>
                <w:szCs w:val="18"/>
              </w:rPr>
              <w:t>诉讼于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7" w:lineRule="auto" w:before="63"/>
              <w:ind w:left="24" w:right="151"/>
              <w:jc w:val="both"/>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日上午 正式在杭 州市中级</w:t>
            </w:r>
          </w:p>
          <w:p>
            <w:pPr>
              <w:pStyle w:val="TableParagraph"/>
              <w:spacing w:line="240" w:lineRule="auto" w:before="26"/>
              <w:ind w:left="24" w:right="0"/>
              <w:jc w:val="both"/>
              <w:rPr>
                <w:rFonts w:ascii="宋体" w:hAnsi="宋体" w:cs="宋体" w:eastAsia="宋体" w:hint="default"/>
                <w:sz w:val="18"/>
                <w:szCs w:val="18"/>
              </w:rPr>
            </w:pPr>
            <w:r>
              <w:rPr>
                <w:rFonts w:ascii="宋体" w:hAnsi="宋体" w:cs="宋体" w:eastAsia="宋体" w:hint="default"/>
                <w:sz w:val="18"/>
                <w:szCs w:val="18"/>
              </w:rPr>
              <w:t>人民法院</w:t>
            </w:r>
          </w:p>
        </w:tc>
        <w:tc>
          <w:tcPr>
            <w:tcW w:w="1394" w:type="dxa"/>
            <w:tcBorders>
              <w:top w:val="nil" w:sz="6" w:space="0" w:color="auto"/>
              <w:left w:val="single" w:sz="4" w:space="0" w:color="000000"/>
              <w:bottom w:val="nil" w:sz="6" w:space="0" w:color="auto"/>
              <w:right w:val="single" w:sz="4" w:space="0" w:color="000000"/>
            </w:tcBorders>
          </w:tcPr>
          <w:p>
            <w:pPr>
              <w:pStyle w:val="TableParagraph"/>
              <w:spacing w:line="314" w:lineRule="auto" w:before="80"/>
              <w:ind w:left="24" w:right="19"/>
              <w:jc w:val="left"/>
              <w:rPr>
                <w:rFonts w:ascii="宋体" w:hAnsi="宋体" w:cs="宋体" w:eastAsia="宋体" w:hint="default"/>
                <w:sz w:val="18"/>
                <w:szCs w:val="18"/>
              </w:rPr>
            </w:pPr>
            <w:r>
              <w:rPr>
                <w:rFonts w:ascii="宋体" w:hAnsi="宋体" w:cs="宋体" w:eastAsia="宋体" w:hint="default"/>
                <w:sz w:val="18"/>
                <w:szCs w:val="18"/>
              </w:rPr>
              <w:t>向被告退回南京 江琛自动化系统 有限责任公司的 股权，向三被告 收回公司投资款 人民币</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 整，同时预计收 取罚息及违约金 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115.60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 元整。若公司败</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诉则维持原状，</w:t>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诉讼于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日上午正式在</w:t>
            </w:r>
          </w:p>
        </w:tc>
        <w:tc>
          <w:tcPr>
            <w:tcW w:w="1080"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2" w:type="dxa"/>
            <w:tcBorders>
              <w:top w:val="nil" w:sz="6" w:space="0" w:color="auto"/>
              <w:left w:val="single" w:sz="4" w:space="0" w:color="000000"/>
              <w:bottom w:val="nil" w:sz="6" w:space="0" w:color="auto"/>
              <w:right w:val="single" w:sz="4" w:space="0" w:color="000000"/>
            </w:tcBorders>
          </w:tcPr>
          <w:p>
            <w:pPr>
              <w:pStyle w:val="TableParagraph"/>
              <w:spacing w:line="192"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情况。</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p>
        </w:tc>
        <w:tc>
          <w:tcPr>
            <w:tcW w:w="1085"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3"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开庭审理，</w:t>
            </w:r>
          </w:p>
        </w:tc>
        <w:tc>
          <w:tcPr>
            <w:tcW w:w="1394"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尽管自公司收购</w:t>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125"/>
              <w:jc w:val="center"/>
              <w:rPr>
                <w:rFonts w:ascii="宋体" w:hAnsi="宋体" w:cs="宋体" w:eastAsia="宋体" w:hint="default"/>
                <w:sz w:val="18"/>
                <w:szCs w:val="18"/>
              </w:rPr>
            </w:pPr>
            <w:r>
              <w:rPr>
                <w:rFonts w:ascii="宋体" w:hAnsi="宋体" w:cs="宋体" w:eastAsia="宋体" w:hint="default"/>
                <w:sz w:val="18"/>
                <w:szCs w:val="18"/>
              </w:rPr>
              <w:t>杭州市中级人</w:t>
            </w:r>
          </w:p>
        </w:tc>
        <w:tc>
          <w:tcPr>
            <w:tcW w:w="1080"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2"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月，公司与三被告</w:t>
            </w:r>
          </w:p>
        </w:tc>
        <w:tc>
          <w:tcPr>
            <w:tcW w:w="1085"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3"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目前处于</w:t>
            </w:r>
          </w:p>
        </w:tc>
        <w:tc>
          <w:tcPr>
            <w:tcW w:w="1394"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来，南京江琛自</w:t>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125"/>
              <w:jc w:val="center"/>
              <w:rPr>
                <w:rFonts w:ascii="宋体" w:hAnsi="宋体" w:cs="宋体" w:eastAsia="宋体" w:hint="default"/>
                <w:sz w:val="18"/>
                <w:szCs w:val="18"/>
              </w:rPr>
            </w:pPr>
            <w:r>
              <w:rPr>
                <w:rFonts w:ascii="宋体" w:hAnsi="宋体" w:cs="宋体" w:eastAsia="宋体" w:hint="default"/>
                <w:sz w:val="18"/>
                <w:szCs w:val="18"/>
              </w:rPr>
              <w:t>民法院开庭审</w:t>
            </w:r>
          </w:p>
        </w:tc>
        <w:tc>
          <w:tcPr>
            <w:tcW w:w="1080"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52"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4" w:right="0"/>
              <w:jc w:val="left"/>
              <w:rPr>
                <w:rFonts w:ascii="宋体" w:hAnsi="宋体" w:cs="宋体" w:eastAsia="宋体" w:hint="default"/>
                <w:sz w:val="18"/>
                <w:szCs w:val="18"/>
              </w:rPr>
            </w:pPr>
            <w:r>
              <w:rPr>
                <w:rFonts w:ascii="宋体" w:hAnsi="宋体" w:cs="宋体" w:eastAsia="宋体" w:hint="default"/>
                <w:sz w:val="18"/>
                <w:szCs w:val="18"/>
              </w:rPr>
              <w:t>签订关于南京江</w:t>
            </w:r>
          </w:p>
        </w:tc>
        <w:tc>
          <w:tcPr>
            <w:tcW w:w="1085"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953"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证据交换</w:t>
            </w:r>
          </w:p>
        </w:tc>
        <w:tc>
          <w:tcPr>
            <w:tcW w:w="1394"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动化系统有限责</w:t>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pacing w:val="-8"/>
                <w:sz w:val="18"/>
                <w:szCs w:val="18"/>
              </w:rPr>
              <w:t>理，目前处于证</w:t>
            </w:r>
          </w:p>
        </w:tc>
        <w:tc>
          <w:tcPr>
            <w:tcW w:w="1080"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5616" w:hRule="exact"/>
        </w:trPr>
        <w:tc>
          <w:tcPr>
            <w:tcW w:w="1452"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4" w:right="0"/>
              <w:jc w:val="left"/>
              <w:rPr>
                <w:rFonts w:ascii="宋体" w:hAnsi="宋体" w:cs="宋体" w:eastAsia="宋体" w:hint="default"/>
                <w:sz w:val="18"/>
                <w:szCs w:val="18"/>
              </w:rPr>
            </w:pPr>
            <w:r>
              <w:rPr>
                <w:rFonts w:ascii="宋体" w:hAnsi="宋体" w:cs="宋体" w:eastAsia="宋体" w:hint="default"/>
                <w:sz w:val="18"/>
                <w:szCs w:val="18"/>
              </w:rPr>
              <w:t>琛自动化系统有</w:t>
            </w:r>
          </w:p>
          <w:p>
            <w:pPr>
              <w:pStyle w:val="TableParagraph"/>
              <w:spacing w:line="316" w:lineRule="auto" w:before="76"/>
              <w:ind w:left="24" w:right="23"/>
              <w:jc w:val="both"/>
              <w:rPr>
                <w:rFonts w:ascii="宋体" w:hAnsi="宋体" w:cs="宋体" w:eastAsia="宋体" w:hint="default"/>
                <w:sz w:val="18"/>
                <w:szCs w:val="18"/>
              </w:rPr>
            </w:pPr>
            <w:r>
              <w:rPr>
                <w:rFonts w:ascii="宋体" w:hAnsi="宋体" w:cs="宋体" w:eastAsia="宋体" w:hint="default"/>
                <w:spacing w:val="-6"/>
                <w:sz w:val="18"/>
                <w:szCs w:val="18"/>
              </w:rPr>
              <w:t>限责任公司《股权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w w:val="95"/>
                <w:sz w:val="18"/>
                <w:szCs w:val="18"/>
              </w:rPr>
              <w:t>转让协议》一份，</w:t>
            </w:r>
            <w:r>
              <w:rPr>
                <w:rFonts w:ascii="宋体" w:hAnsi="宋体" w:cs="宋体" w:eastAsia="宋体" w:hint="default"/>
                <w:spacing w:val="-61"/>
                <w:w w:val="95"/>
                <w:sz w:val="18"/>
                <w:szCs w:val="18"/>
              </w:rPr>
              <w:t> </w:t>
            </w:r>
            <w:r>
              <w:rPr>
                <w:rFonts w:ascii="宋体" w:hAnsi="宋体" w:cs="宋体" w:eastAsia="宋体" w:hint="default"/>
                <w:spacing w:val="-61"/>
                <w:w w:val="95"/>
                <w:sz w:val="18"/>
                <w:szCs w:val="18"/>
              </w:rPr>
            </w:r>
            <w:r>
              <w:rPr>
                <w:rFonts w:ascii="宋体" w:hAnsi="宋体" w:cs="宋体" w:eastAsia="宋体" w:hint="default"/>
                <w:sz w:val="18"/>
                <w:szCs w:val="18"/>
              </w:rPr>
              <w:t>并于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316" w:lineRule="auto"/>
              <w:ind w:left="24" w:right="2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日召开的第一 届董事会第十一 </w:t>
            </w:r>
            <w:r>
              <w:rPr>
                <w:rFonts w:ascii="宋体" w:hAnsi="宋体" w:cs="宋体" w:eastAsia="宋体" w:hint="default"/>
                <w:w w:val="95"/>
                <w:sz w:val="18"/>
                <w:szCs w:val="18"/>
              </w:rPr>
              <w:t>次会议审议通过，</w:t>
            </w:r>
            <w:r>
              <w:rPr>
                <w:rFonts w:ascii="宋体" w:hAnsi="宋体" w:cs="宋体" w:eastAsia="宋体" w:hint="default"/>
                <w:spacing w:val="-61"/>
                <w:w w:val="95"/>
                <w:sz w:val="18"/>
                <w:szCs w:val="18"/>
              </w:rPr>
              <w:t> </w:t>
            </w:r>
            <w:r>
              <w:rPr>
                <w:rFonts w:ascii="宋体" w:hAnsi="宋体" w:cs="宋体" w:eastAsia="宋体" w:hint="default"/>
                <w:spacing w:val="-61"/>
                <w:w w:val="95"/>
                <w:sz w:val="18"/>
                <w:szCs w:val="18"/>
              </w:rPr>
            </w:r>
            <w:r>
              <w:rPr>
                <w:rFonts w:ascii="宋体" w:hAnsi="宋体" w:cs="宋体" w:eastAsia="宋体" w:hint="default"/>
                <w:spacing w:val="-6"/>
                <w:sz w:val="18"/>
                <w:szCs w:val="18"/>
              </w:rPr>
              <w:t>议案《关于用部分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超额募集资金收 购南京江琛自动 化系统有限责任 </w:t>
            </w:r>
            <w:r>
              <w:rPr>
                <w:rFonts w:ascii="宋体" w:hAnsi="宋体" w:cs="宋体" w:eastAsia="宋体" w:hint="default"/>
                <w:spacing w:val="-12"/>
                <w:sz w:val="18"/>
                <w:szCs w:val="18"/>
              </w:rPr>
              <w:t>公司的议案》，按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p>
          <w:p>
            <w:pPr>
              <w:pStyle w:val="TableParagraph"/>
              <w:spacing w:line="309" w:lineRule="auto"/>
              <w:ind w:left="24" w:right="65"/>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日在信息披 露媒体《证券时 </w:t>
            </w:r>
            <w:r>
              <w:rPr>
                <w:rFonts w:ascii="宋体" w:hAnsi="宋体" w:cs="宋体" w:eastAsia="宋体" w:hint="default"/>
                <w:spacing w:val="-12"/>
                <w:sz w:val="18"/>
                <w:szCs w:val="18"/>
              </w:rPr>
              <w:t>报》、巨潮资讯网</w:t>
            </w:r>
          </w:p>
          <w:p>
            <w:pPr>
              <w:pStyle w:val="TableParagraph"/>
              <w:spacing w:line="300" w:lineRule="auto" w:before="24"/>
              <w:ind w:left="24" w:right="22"/>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1"/>
                <w:sz w:val="18"/>
                <w:szCs w:val="18"/>
              </w:rPr>
              <w:t> </w:t>
            </w:r>
            <w:hyperlink r:id="rId16">
              <w:r>
                <w:rPr>
                  <w:rFonts w:ascii="Times New Roman" w:hAnsi="Times New Roman" w:cs="Times New Roman" w:eastAsia="Times New Roman" w:hint="default"/>
                  <w:sz w:val="18"/>
                  <w:szCs w:val="18"/>
                </w:rPr>
                <w:t>www.cninfo.co</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w w:val="95"/>
                <w:sz w:val="18"/>
                <w:szCs w:val="18"/>
              </w:rPr>
              <w:t>m.cn</w:t>
            </w:r>
            <w:r>
              <w:rPr>
                <w:rFonts w:ascii="宋体" w:hAnsi="宋体" w:cs="宋体" w:eastAsia="宋体" w:hint="default"/>
                <w:spacing w:val="-1"/>
                <w:w w:val="95"/>
                <w:sz w:val="18"/>
                <w:szCs w:val="18"/>
              </w:rPr>
              <w:t>）予以披露。</w:t>
            </w:r>
            <w:r>
              <w:rPr>
                <w:rFonts w:ascii="宋体" w:hAnsi="宋体" w:cs="宋体" w:eastAsia="宋体" w:hint="default"/>
                <w:spacing w:val="-1"/>
                <w:sz w:val="18"/>
                <w:szCs w:val="18"/>
              </w:rPr>
            </w:r>
          </w:p>
        </w:tc>
        <w:tc>
          <w:tcPr>
            <w:tcW w:w="1085"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5"/>
                <w:szCs w:val="15"/>
              </w:rPr>
            </w:pPr>
          </w:p>
          <w:p>
            <w:pPr>
              <w:pStyle w:val="TableParagraph"/>
              <w:spacing w:line="240" w:lineRule="auto"/>
              <w:ind w:left="648" w:right="0"/>
              <w:jc w:val="left"/>
              <w:rPr>
                <w:rFonts w:ascii="Times New Roman" w:hAnsi="Times New Roman" w:cs="Times New Roman" w:eastAsia="Times New Roman" w:hint="default"/>
                <w:sz w:val="18"/>
                <w:szCs w:val="18"/>
              </w:rPr>
            </w:pPr>
            <w:r>
              <w:rPr>
                <w:rFonts w:ascii="Times New Roman"/>
                <w:sz w:val="18"/>
              </w:rPr>
              <w:t>4,000</w:t>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nil" w:sz="6" w:space="0" w:color="auto"/>
              <w:left w:val="single" w:sz="4" w:space="0" w:color="000000"/>
              <w:bottom w:val="nil" w:sz="6" w:space="0" w:color="auto"/>
              <w:right w:val="single" w:sz="4" w:space="0" w:color="000000"/>
            </w:tcBorders>
          </w:tcPr>
          <w:p>
            <w:pPr>
              <w:pStyle w:val="TableParagraph"/>
              <w:spacing w:line="319" w:lineRule="auto" w:before="77"/>
              <w:ind w:left="24" w:right="19"/>
              <w:jc w:val="left"/>
              <w:rPr>
                <w:rFonts w:ascii="宋体" w:hAnsi="宋体" w:cs="宋体" w:eastAsia="宋体" w:hint="default"/>
                <w:sz w:val="18"/>
                <w:szCs w:val="18"/>
              </w:rPr>
            </w:pPr>
            <w:r>
              <w:rPr>
                <w:rFonts w:ascii="宋体" w:hAnsi="宋体" w:cs="宋体" w:eastAsia="宋体" w:hint="default"/>
                <w:sz w:val="18"/>
                <w:szCs w:val="18"/>
              </w:rPr>
              <w:t>即举证、质 证阶段，当 天未继续 进行开庭 审理，下一 步的开庭 审理情况 将会按规 定及时披 露。</w:t>
            </w:r>
          </w:p>
        </w:tc>
        <w:tc>
          <w:tcPr>
            <w:tcW w:w="1394" w:type="dxa"/>
            <w:tcBorders>
              <w:top w:val="nil" w:sz="6" w:space="0" w:color="auto"/>
              <w:left w:val="single" w:sz="4" w:space="0" w:color="000000"/>
              <w:bottom w:val="nil" w:sz="6" w:space="0" w:color="auto"/>
              <w:right w:val="single" w:sz="4" w:space="0" w:color="000000"/>
            </w:tcBorders>
          </w:tcPr>
          <w:p>
            <w:pPr>
              <w:pStyle w:val="TableParagraph"/>
              <w:spacing w:line="319" w:lineRule="auto" w:before="77"/>
              <w:ind w:left="24" w:right="20"/>
              <w:jc w:val="left"/>
              <w:rPr>
                <w:rFonts w:ascii="宋体" w:hAnsi="宋体" w:cs="宋体" w:eastAsia="宋体" w:hint="default"/>
                <w:sz w:val="18"/>
                <w:szCs w:val="18"/>
              </w:rPr>
            </w:pPr>
            <w:r>
              <w:rPr>
                <w:rFonts w:ascii="宋体" w:hAnsi="宋体" w:cs="宋体" w:eastAsia="宋体" w:hint="default"/>
                <w:sz w:val="18"/>
                <w:szCs w:val="18"/>
              </w:rPr>
              <w:t>任公司一直处于 </w:t>
            </w:r>
            <w:r>
              <w:rPr>
                <w:rFonts w:ascii="宋体" w:hAnsi="宋体" w:cs="宋体" w:eastAsia="宋体" w:hint="default"/>
                <w:spacing w:val="-2"/>
                <w:w w:val="90"/>
                <w:sz w:val="18"/>
                <w:szCs w:val="18"/>
              </w:rPr>
              <w:t>盈利状态，但是，</w:t>
            </w:r>
            <w:r>
              <w:rPr>
                <w:rFonts w:ascii="宋体" w:hAnsi="宋体" w:cs="宋体" w:eastAsia="宋体" w:hint="default"/>
                <w:spacing w:val="-23"/>
                <w:w w:val="90"/>
                <w:sz w:val="18"/>
                <w:szCs w:val="18"/>
              </w:rPr>
              <w:t> </w:t>
            </w:r>
            <w:r>
              <w:rPr>
                <w:rFonts w:ascii="宋体" w:hAnsi="宋体" w:cs="宋体" w:eastAsia="宋体" w:hint="default"/>
                <w:spacing w:val="-23"/>
                <w:w w:val="90"/>
                <w:sz w:val="18"/>
                <w:szCs w:val="18"/>
              </w:rPr>
            </w:r>
            <w:r>
              <w:rPr>
                <w:rFonts w:ascii="宋体" w:hAnsi="宋体" w:cs="宋体" w:eastAsia="宋体" w:hint="default"/>
                <w:sz w:val="18"/>
                <w:szCs w:val="18"/>
              </w:rPr>
              <w:t>仍然存在着公司</w:t>
            </w:r>
            <w:r>
              <w:rPr>
                <w:rFonts w:ascii="宋体" w:hAnsi="宋体" w:cs="宋体" w:eastAsia="宋体" w:hint="default"/>
                <w:sz w:val="18"/>
                <w:szCs w:val="18"/>
              </w:rPr>
              <w:t> 经营恶化的可 能，从而按准则 规定需要计提商 誉减值准备，如 全部计提则预计 最大金额为</w:t>
            </w:r>
          </w:p>
          <w:p>
            <w:pPr>
              <w:pStyle w:val="TableParagraph"/>
              <w:spacing w:line="314" w:lineRule="auto" w:before="17"/>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2473.11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万元，此 外，公司还将承 担相关诉讼费 用。公司将根据 有关诉讼的进展 情况及时履行信 息披露义务，请 广大投资者注意</w:t>
            </w:r>
          </w:p>
          <w:p>
            <w:pPr>
              <w:pStyle w:val="TableParagraph"/>
              <w:spacing w:line="240" w:lineRule="auto" w:before="18"/>
              <w:ind w:left="24" w:right="0"/>
              <w:jc w:val="left"/>
              <w:rPr>
                <w:rFonts w:ascii="宋体" w:hAnsi="宋体" w:cs="宋体" w:eastAsia="宋体" w:hint="default"/>
                <w:sz w:val="18"/>
                <w:szCs w:val="18"/>
              </w:rPr>
            </w:pPr>
            <w:r>
              <w:rPr>
                <w:rFonts w:ascii="宋体" w:hAnsi="宋体" w:cs="宋体" w:eastAsia="宋体" w:hint="default"/>
                <w:sz w:val="18"/>
                <w:szCs w:val="18"/>
              </w:rPr>
              <w:t>投资风险。</w:t>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319" w:lineRule="auto" w:before="77"/>
              <w:ind w:left="24" w:right="19"/>
              <w:jc w:val="left"/>
              <w:rPr>
                <w:rFonts w:ascii="宋体" w:hAnsi="宋体" w:cs="宋体" w:eastAsia="宋体" w:hint="default"/>
                <w:sz w:val="18"/>
                <w:szCs w:val="18"/>
              </w:rPr>
            </w:pPr>
            <w:r>
              <w:rPr>
                <w:rFonts w:ascii="宋体" w:hAnsi="宋体" w:cs="宋体" w:eastAsia="宋体" w:hint="default"/>
                <w:w w:val="95"/>
                <w:sz w:val="18"/>
                <w:szCs w:val="18"/>
              </w:rPr>
              <w:t>据交换即举证、</w:t>
            </w:r>
            <w:r>
              <w:rPr>
                <w:rFonts w:ascii="宋体" w:hAnsi="宋体" w:cs="宋体" w:eastAsia="宋体" w:hint="default"/>
                <w:spacing w:val="-73"/>
                <w:w w:val="95"/>
                <w:sz w:val="18"/>
                <w:szCs w:val="18"/>
              </w:rPr>
              <w:t> </w:t>
            </w:r>
            <w:r>
              <w:rPr>
                <w:rFonts w:ascii="宋体" w:hAnsi="宋体" w:cs="宋体" w:eastAsia="宋体" w:hint="default"/>
                <w:spacing w:val="-73"/>
                <w:w w:val="95"/>
                <w:sz w:val="18"/>
                <w:szCs w:val="18"/>
              </w:rPr>
            </w:r>
            <w:r>
              <w:rPr>
                <w:rFonts w:ascii="宋体" w:hAnsi="宋体" w:cs="宋体" w:eastAsia="宋体" w:hint="default"/>
                <w:spacing w:val="-8"/>
                <w:sz w:val="18"/>
                <w:szCs w:val="18"/>
              </w:rPr>
              <w:t>质证阶段，当天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未继续进行开 </w:t>
            </w:r>
            <w:r>
              <w:rPr>
                <w:rFonts w:ascii="宋体" w:hAnsi="宋体" w:cs="宋体" w:eastAsia="宋体" w:hint="default"/>
                <w:spacing w:val="-8"/>
                <w:sz w:val="18"/>
                <w:szCs w:val="18"/>
              </w:rPr>
              <w:t>庭审理，下一步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的开庭审理情 况将会按规定 </w:t>
            </w:r>
            <w:r>
              <w:rPr>
                <w:rFonts w:ascii="宋体" w:hAnsi="宋体" w:cs="宋体" w:eastAsia="宋体" w:hint="default"/>
                <w:spacing w:val="-16"/>
                <w:sz w:val="18"/>
                <w:szCs w:val="18"/>
              </w:rPr>
              <w:t>及时披露。。</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2012-035</w:t>
            </w:r>
          </w:p>
        </w:tc>
      </w:tr>
      <w:tr>
        <w:trPr>
          <w:trHeight w:val="259" w:hRule="exact"/>
        </w:trPr>
        <w:tc>
          <w:tcPr>
            <w:tcW w:w="1452" w:type="dxa"/>
            <w:tcBorders>
              <w:top w:val="nil" w:sz="6" w:space="0" w:color="auto"/>
              <w:left w:val="single" w:sz="4" w:space="0" w:color="000000"/>
              <w:bottom w:val="single" w:sz="4" w:space="0" w:color="000000"/>
              <w:right w:val="single" w:sz="4" w:space="0" w:color="000000"/>
            </w:tcBorders>
          </w:tcPr>
          <w:p>
            <w:pPr>
              <w:pStyle w:val="TableParagraph"/>
              <w:spacing w:line="179" w:lineRule="exact"/>
              <w:ind w:left="24" w:right="0"/>
              <w:jc w:val="left"/>
              <w:rPr>
                <w:rFonts w:ascii="宋体" w:hAnsi="宋体" w:cs="宋体" w:eastAsia="宋体" w:hint="default"/>
                <w:sz w:val="18"/>
                <w:szCs w:val="18"/>
              </w:rPr>
            </w:pPr>
            <w:r>
              <w:rPr>
                <w:rFonts w:ascii="宋体" w:hAnsi="宋体" w:cs="宋体" w:eastAsia="宋体" w:hint="default"/>
                <w:sz w:val="18"/>
                <w:szCs w:val="18"/>
              </w:rPr>
              <w:t>协议约定三被告</w:t>
            </w:r>
          </w:p>
        </w:tc>
        <w:tc>
          <w:tcPr>
            <w:tcW w:w="1085" w:type="dxa"/>
            <w:tcBorders>
              <w:top w:val="nil" w:sz="6" w:space="0" w:color="auto"/>
              <w:left w:val="single" w:sz="4" w:space="0" w:color="000000"/>
              <w:bottom w:val="single" w:sz="4" w:space="0" w:color="000000"/>
              <w:right w:val="single" w:sz="4" w:space="0" w:color="000000"/>
            </w:tcBorders>
          </w:tcPr>
          <w:p>
            <w:pPr/>
          </w:p>
        </w:tc>
        <w:tc>
          <w:tcPr>
            <w:tcW w:w="1265" w:type="dxa"/>
            <w:tcBorders>
              <w:top w:val="nil" w:sz="6" w:space="0" w:color="auto"/>
              <w:left w:val="single" w:sz="4" w:space="0" w:color="000000"/>
              <w:bottom w:val="single" w:sz="4" w:space="0" w:color="000000"/>
              <w:right w:val="single" w:sz="4" w:space="0" w:color="000000"/>
            </w:tcBorders>
          </w:tcPr>
          <w:p>
            <w:pPr/>
          </w:p>
        </w:tc>
        <w:tc>
          <w:tcPr>
            <w:tcW w:w="953" w:type="dxa"/>
            <w:tcBorders>
              <w:top w:val="nil" w:sz="6" w:space="0" w:color="auto"/>
              <w:left w:val="single" w:sz="4" w:space="0" w:color="000000"/>
              <w:bottom w:val="single" w:sz="4" w:space="0" w:color="000000"/>
              <w:right w:val="single" w:sz="4" w:space="0" w:color="000000"/>
            </w:tcBorders>
          </w:tcPr>
          <w:p>
            <w:pPr/>
          </w:p>
        </w:tc>
        <w:tc>
          <w:tcPr>
            <w:tcW w:w="1394" w:type="dxa"/>
            <w:tcBorders>
              <w:top w:val="nil" w:sz="6" w:space="0" w:color="auto"/>
              <w:left w:val="single" w:sz="4" w:space="0" w:color="000000"/>
              <w:bottom w:val="single" w:sz="4" w:space="0" w:color="000000"/>
              <w:right w:val="single" w:sz="4" w:space="0" w:color="000000"/>
            </w:tcBorders>
          </w:tcPr>
          <w:p>
            <w:pPr/>
          </w:p>
        </w:tc>
        <w:tc>
          <w:tcPr>
            <w:tcW w:w="1265"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07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840" w:right="1020"/>
        </w:sectPr>
      </w:pPr>
    </w:p>
    <w:p>
      <w:pPr>
        <w:spacing w:line="240" w:lineRule="auto" w:before="7"/>
        <w:rPr>
          <w:rFonts w:ascii="Microsoft JhengHei" w:hAnsi="Microsoft JhengHei" w:cs="Microsoft JhengHei" w:eastAsia="Microsoft JhengHei" w:hint="default"/>
          <w:b/>
          <w:bCs/>
          <w:sz w:val="21"/>
          <w:szCs w:val="21"/>
        </w:rPr>
      </w:pPr>
      <w:r>
        <w:rPr/>
        <w:pict>
          <v:group style="position:absolute;margin-left:547.559998pt;margin-top:781.919983pt;width:.1pt;height:10.35pt;mso-position-horizontal-relative:page;mso-position-vertical-relative:page;z-index:2056" coordorigin="10951,15638" coordsize="2,207">
            <v:shape style="position:absolute;left:10951;top:15638;width:2;height:207" coordorigin="10951,15638" coordsize="0,207" path="m10951,15638l10951,15845e" filled="false" stroked="true" strokeweight=".12pt" strokecolor="#000000">
              <v:path arrowok="t"/>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1452"/>
        <w:gridCol w:w="1085"/>
        <w:gridCol w:w="1265"/>
        <w:gridCol w:w="953"/>
        <w:gridCol w:w="1394"/>
        <w:gridCol w:w="1265"/>
        <w:gridCol w:w="1080"/>
        <w:gridCol w:w="1078"/>
      </w:tblGrid>
      <w:tr>
        <w:trPr>
          <w:trHeight w:val="317" w:hRule="exact"/>
        </w:trPr>
        <w:tc>
          <w:tcPr>
            <w:tcW w:w="14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bookmarkStart w:name="二、资产交易事项" w:id="45"/>
            <w:bookmarkEnd w:id="45"/>
            <w:r>
              <w:rPr/>
            </w:r>
            <w:bookmarkStart w:name="1、企业合并情况" w:id="46"/>
            <w:bookmarkEnd w:id="46"/>
            <w:r>
              <w:rPr/>
            </w:r>
            <w:bookmarkStart w:name="三、公司股权激励的实施情况及其影响" w:id="47"/>
            <w:bookmarkEnd w:id="47"/>
            <w:r>
              <w:rPr/>
            </w:r>
            <w:bookmarkStart w:name="四、重大合同及其履行情况" w:id="48"/>
            <w:bookmarkEnd w:id="48"/>
            <w:r>
              <w:rPr/>
            </w:r>
            <w:bookmarkStart w:name="1、担保情况" w:id="49"/>
            <w:bookmarkEnd w:id="49"/>
            <w:r>
              <w:rPr/>
            </w:r>
            <w:r>
              <w:rPr>
                <w:rFonts w:ascii="宋体" w:hAnsi="宋体" w:cs="宋体" w:eastAsia="宋体" w:hint="default"/>
                <w:sz w:val="18"/>
                <w:szCs w:val="18"/>
              </w:rPr>
              <w:t>将其所持有的江</w:t>
            </w:r>
          </w:p>
        </w:tc>
        <w:tc>
          <w:tcPr>
            <w:tcW w:w="1085" w:type="dxa"/>
            <w:vMerge w:val="restart"/>
            <w:tcBorders>
              <w:top w:val="single" w:sz="4" w:space="0" w:color="000000"/>
              <w:left w:val="single" w:sz="4" w:space="0" w:color="000000"/>
              <w:right w:val="single" w:sz="4" w:space="0" w:color="000000"/>
            </w:tcBorders>
          </w:tcPr>
          <w:p>
            <w:pPr/>
          </w:p>
        </w:tc>
        <w:tc>
          <w:tcPr>
            <w:tcW w:w="1265" w:type="dxa"/>
            <w:vMerge w:val="restart"/>
            <w:tcBorders>
              <w:top w:val="single" w:sz="4" w:space="0" w:color="000000"/>
              <w:left w:val="single" w:sz="4" w:space="0" w:color="000000"/>
              <w:right w:val="single" w:sz="4" w:space="0" w:color="000000"/>
            </w:tcBorders>
          </w:tcPr>
          <w:p>
            <w:pPr/>
          </w:p>
        </w:tc>
        <w:tc>
          <w:tcPr>
            <w:tcW w:w="953" w:type="dxa"/>
            <w:vMerge w:val="restart"/>
            <w:tcBorders>
              <w:top w:val="single" w:sz="4" w:space="0" w:color="000000"/>
              <w:left w:val="single" w:sz="4" w:space="0" w:color="000000"/>
              <w:right w:val="single" w:sz="4" w:space="0" w:color="000000"/>
            </w:tcBorders>
          </w:tcPr>
          <w:p>
            <w:pPr/>
          </w:p>
        </w:tc>
        <w:tc>
          <w:tcPr>
            <w:tcW w:w="1394" w:type="dxa"/>
            <w:vMerge w:val="restart"/>
            <w:tcBorders>
              <w:top w:val="single" w:sz="4" w:space="0" w:color="000000"/>
              <w:left w:val="single" w:sz="4" w:space="0" w:color="000000"/>
              <w:right w:val="single" w:sz="4" w:space="0" w:color="000000"/>
            </w:tcBorders>
          </w:tcPr>
          <w:p>
            <w:pPr/>
          </w:p>
        </w:tc>
        <w:tc>
          <w:tcPr>
            <w:tcW w:w="1265" w:type="dxa"/>
            <w:vMerge w:val="restart"/>
            <w:tcBorders>
              <w:top w:val="single" w:sz="4" w:space="0" w:color="000000"/>
              <w:left w:val="single" w:sz="4" w:space="0" w:color="000000"/>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
        </w:tc>
        <w:tc>
          <w:tcPr>
            <w:tcW w:w="1078" w:type="dxa"/>
            <w:vMerge w:val="restart"/>
            <w:tcBorders>
              <w:top w:val="single" w:sz="4" w:space="0" w:color="000000"/>
              <w:left w:val="single" w:sz="4" w:space="0" w:color="000000"/>
              <w:right w:val="single" w:sz="4" w:space="0" w:color="000000"/>
            </w:tcBorders>
          </w:tcPr>
          <w:p>
            <w:pPr/>
          </w:p>
        </w:tc>
      </w:tr>
      <w:tr>
        <w:trPr>
          <w:trHeight w:val="316" w:hRule="exact"/>
        </w:trPr>
        <w:tc>
          <w:tcPr>
            <w:tcW w:w="14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琛公司的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w:t>
            </w:r>
          </w:p>
        </w:tc>
        <w:tc>
          <w:tcPr>
            <w:tcW w:w="1085"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1394"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308" w:hRule="exact"/>
        </w:trPr>
        <w:tc>
          <w:tcPr>
            <w:tcW w:w="14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份作价人民币</w:t>
            </w:r>
          </w:p>
        </w:tc>
        <w:tc>
          <w:tcPr>
            <w:tcW w:w="1085"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1394"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316" w:hRule="exact"/>
        </w:trPr>
        <w:tc>
          <w:tcPr>
            <w:tcW w:w="14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万元转让给</w:t>
            </w:r>
          </w:p>
        </w:tc>
        <w:tc>
          <w:tcPr>
            <w:tcW w:w="1085"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1394"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308" w:hRule="exact"/>
        </w:trPr>
        <w:tc>
          <w:tcPr>
            <w:tcW w:w="14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pacing w:val="-6"/>
                <w:sz w:val="18"/>
                <w:szCs w:val="18"/>
              </w:rPr>
              <w:t>原告，该协议同时</w:t>
            </w:r>
          </w:p>
        </w:tc>
        <w:tc>
          <w:tcPr>
            <w:tcW w:w="1085"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1394"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312" w:hRule="exact"/>
        </w:trPr>
        <w:tc>
          <w:tcPr>
            <w:tcW w:w="14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也约定了三被告</w:t>
            </w:r>
          </w:p>
        </w:tc>
        <w:tc>
          <w:tcPr>
            <w:tcW w:w="1085"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1394"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312" w:hRule="exact"/>
        </w:trPr>
        <w:tc>
          <w:tcPr>
            <w:tcW w:w="14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应负的义务及对</w:t>
            </w:r>
          </w:p>
        </w:tc>
        <w:tc>
          <w:tcPr>
            <w:tcW w:w="1085"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1394"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312" w:hRule="exact"/>
        </w:trPr>
        <w:tc>
          <w:tcPr>
            <w:tcW w:w="14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江琛公司现状的</w:t>
            </w:r>
          </w:p>
        </w:tc>
        <w:tc>
          <w:tcPr>
            <w:tcW w:w="1085"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1394"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312" w:hRule="exact"/>
        </w:trPr>
        <w:tc>
          <w:tcPr>
            <w:tcW w:w="14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具体承诺。协议签</w:t>
            </w:r>
          </w:p>
        </w:tc>
        <w:tc>
          <w:tcPr>
            <w:tcW w:w="1085"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1394"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312" w:hRule="exact"/>
        </w:trPr>
        <w:tc>
          <w:tcPr>
            <w:tcW w:w="14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订后，公司依约将</w:t>
            </w:r>
          </w:p>
        </w:tc>
        <w:tc>
          <w:tcPr>
            <w:tcW w:w="1085"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1394"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312" w:hRule="exact"/>
        </w:trPr>
        <w:tc>
          <w:tcPr>
            <w:tcW w:w="14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全部股权转让款</w:t>
            </w:r>
          </w:p>
        </w:tc>
        <w:tc>
          <w:tcPr>
            <w:tcW w:w="1085"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1394"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312" w:hRule="exact"/>
        </w:trPr>
        <w:tc>
          <w:tcPr>
            <w:tcW w:w="14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w w:val="95"/>
                <w:sz w:val="18"/>
                <w:szCs w:val="18"/>
              </w:rPr>
              <w:t>支付给了三被告。</w:t>
            </w:r>
            <w:r>
              <w:rPr>
                <w:rFonts w:ascii="宋体" w:hAnsi="宋体" w:cs="宋体" w:eastAsia="宋体" w:hint="default"/>
                <w:sz w:val="18"/>
                <w:szCs w:val="18"/>
              </w:rPr>
            </w:r>
          </w:p>
        </w:tc>
        <w:tc>
          <w:tcPr>
            <w:tcW w:w="1085"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1394"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312" w:hRule="exact"/>
        </w:trPr>
        <w:tc>
          <w:tcPr>
            <w:tcW w:w="14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公司受让上述股</w:t>
            </w:r>
          </w:p>
        </w:tc>
        <w:tc>
          <w:tcPr>
            <w:tcW w:w="1085"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1394"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312" w:hRule="exact"/>
        </w:trPr>
        <w:tc>
          <w:tcPr>
            <w:tcW w:w="14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权后，发现江琛公</w:t>
            </w:r>
          </w:p>
        </w:tc>
        <w:tc>
          <w:tcPr>
            <w:tcW w:w="1085"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1394"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312" w:hRule="exact"/>
        </w:trPr>
        <w:tc>
          <w:tcPr>
            <w:tcW w:w="14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司存在多处不实</w:t>
            </w:r>
          </w:p>
        </w:tc>
        <w:tc>
          <w:tcPr>
            <w:tcW w:w="1085"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1394"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312" w:hRule="exact"/>
        </w:trPr>
        <w:tc>
          <w:tcPr>
            <w:tcW w:w="14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状况，与《股权转</w:t>
            </w:r>
          </w:p>
        </w:tc>
        <w:tc>
          <w:tcPr>
            <w:tcW w:w="1085"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1394"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312" w:hRule="exact"/>
        </w:trPr>
        <w:tc>
          <w:tcPr>
            <w:tcW w:w="14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6"/>
                <w:sz w:val="18"/>
                <w:szCs w:val="18"/>
              </w:rPr>
              <w:t>让协议》中的约定</w:t>
            </w:r>
          </w:p>
        </w:tc>
        <w:tc>
          <w:tcPr>
            <w:tcW w:w="1085"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953" w:type="dxa"/>
            <w:vMerge/>
            <w:tcBorders>
              <w:left w:val="single" w:sz="4" w:space="0" w:color="000000"/>
              <w:right w:val="single" w:sz="4" w:space="0" w:color="000000"/>
            </w:tcBorders>
          </w:tcPr>
          <w:p>
            <w:pPr/>
          </w:p>
        </w:tc>
        <w:tc>
          <w:tcPr>
            <w:tcW w:w="1394" w:type="dxa"/>
            <w:vMerge/>
            <w:tcBorders>
              <w:left w:val="single" w:sz="4" w:space="0" w:color="000000"/>
              <w:right w:val="single" w:sz="4" w:space="0" w:color="000000"/>
            </w:tcBorders>
          </w:tcPr>
          <w:p>
            <w:pPr/>
          </w:p>
        </w:tc>
        <w:tc>
          <w:tcPr>
            <w:tcW w:w="1265"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r>
      <w:tr>
        <w:trPr>
          <w:trHeight w:val="357" w:hRule="exact"/>
        </w:trPr>
        <w:tc>
          <w:tcPr>
            <w:tcW w:w="14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存多处不符。</w:t>
            </w:r>
          </w:p>
        </w:tc>
        <w:tc>
          <w:tcPr>
            <w:tcW w:w="1085"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953" w:type="dxa"/>
            <w:vMerge/>
            <w:tcBorders>
              <w:left w:val="single" w:sz="4" w:space="0" w:color="000000"/>
              <w:bottom w:val="single" w:sz="4" w:space="0" w:color="000000"/>
              <w:right w:val="single" w:sz="4" w:space="0" w:color="000000"/>
            </w:tcBorders>
          </w:tcPr>
          <w:p>
            <w:pPr/>
          </w:p>
        </w:tc>
        <w:tc>
          <w:tcPr>
            <w:tcW w:w="1394"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078" w:type="dxa"/>
            <w:vMerge/>
            <w:tcBorders>
              <w:left w:val="single" w:sz="4" w:space="0" w:color="000000"/>
              <w:bottom w:val="single" w:sz="4" w:space="0" w:color="000000"/>
              <w:right w:val="single" w:sz="4" w:space="0" w:color="000000"/>
            </w:tcBorders>
          </w:tcPr>
          <w:p>
            <w:pPr/>
          </w:p>
        </w:tc>
      </w:tr>
    </w:tbl>
    <w:p>
      <w:pPr>
        <w:spacing w:line="240" w:lineRule="auto" w:before="10"/>
        <w:rPr>
          <w:rFonts w:ascii="Microsoft JhengHei" w:hAnsi="Microsoft JhengHei" w:cs="Microsoft JhengHei" w:eastAsia="Microsoft JhengHei" w:hint="default"/>
          <w:b/>
          <w:bCs/>
          <w:sz w:val="13"/>
          <w:szCs w:val="13"/>
        </w:rPr>
      </w:pPr>
    </w:p>
    <w:p>
      <w:pPr>
        <w:pStyle w:val="Heading3"/>
        <w:spacing w:line="367" w:lineRule="exact"/>
        <w:ind w:right="279"/>
        <w:jc w:val="left"/>
        <w:rPr>
          <w:b w:val="0"/>
          <w:bCs w:val="0"/>
        </w:rPr>
      </w:pPr>
      <w:r>
        <w:rPr/>
        <w:t>二、资产交易事项</w:t>
      </w:r>
      <w:r>
        <w:rPr>
          <w:b w:val="0"/>
          <w:bCs w:val="0"/>
        </w:rPr>
      </w:r>
    </w:p>
    <w:p>
      <w:pPr>
        <w:spacing w:line="240" w:lineRule="auto" w:before="3"/>
        <w:rPr>
          <w:rFonts w:ascii="Microsoft JhengHei" w:hAnsi="Microsoft JhengHei" w:cs="Microsoft JhengHei" w:eastAsia="Microsoft JhengHei" w:hint="default"/>
          <w:b/>
          <w:bCs/>
          <w:sz w:val="13"/>
          <w:szCs w:val="13"/>
        </w:rPr>
      </w:pPr>
    </w:p>
    <w:p>
      <w:pPr>
        <w:spacing w:before="0"/>
        <w:ind w:left="119" w:right="27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、企业合并情况</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before="0"/>
        <w:ind w:left="595" w:right="279"/>
        <w:jc w:val="left"/>
      </w:pPr>
      <w:r>
        <w:rPr/>
        <w:t>报告期内，公司未发生企业合并事项。</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16"/>
          <w:szCs w:val="16"/>
        </w:rPr>
      </w:pPr>
    </w:p>
    <w:p>
      <w:pPr>
        <w:spacing w:line="396" w:lineRule="auto" w:before="0"/>
        <w:ind w:left="595" w:right="4871" w:hanging="483"/>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三、公司股权激励的实施情况及其影响 </w:t>
      </w:r>
      <w:r>
        <w:rPr>
          <w:rFonts w:ascii="宋体" w:hAnsi="宋体" w:cs="宋体" w:eastAsia="宋体" w:hint="default"/>
          <w:sz w:val="24"/>
          <w:szCs w:val="24"/>
        </w:rPr>
        <w:t>报告期内，公司未实施有关股权激励事项。</w:t>
      </w:r>
    </w:p>
    <w:p>
      <w:pPr>
        <w:spacing w:line="240" w:lineRule="auto" w:before="11"/>
        <w:rPr>
          <w:rFonts w:ascii="宋体" w:hAnsi="宋体" w:cs="宋体" w:eastAsia="宋体" w:hint="default"/>
          <w:sz w:val="28"/>
          <w:szCs w:val="28"/>
        </w:rPr>
      </w:pPr>
    </w:p>
    <w:p>
      <w:pPr>
        <w:pStyle w:val="Heading3"/>
        <w:spacing w:line="240" w:lineRule="auto"/>
        <w:ind w:right="279"/>
        <w:jc w:val="left"/>
        <w:rPr>
          <w:b w:val="0"/>
          <w:bCs w:val="0"/>
        </w:rPr>
      </w:pPr>
      <w:r>
        <w:rPr/>
        <w:t>四、重大合同及其履行情况</w:t>
      </w:r>
      <w:r>
        <w:rPr>
          <w:b w:val="0"/>
          <w:bCs w:val="0"/>
        </w:rPr>
      </w:r>
    </w:p>
    <w:p>
      <w:pPr>
        <w:spacing w:line="240" w:lineRule="auto" w:before="3"/>
        <w:rPr>
          <w:rFonts w:ascii="Microsoft JhengHei" w:hAnsi="Microsoft JhengHei" w:cs="Microsoft JhengHei" w:eastAsia="Microsoft JhengHei" w:hint="default"/>
          <w:b/>
          <w:bCs/>
          <w:sz w:val="13"/>
          <w:szCs w:val="13"/>
        </w:rPr>
      </w:pPr>
    </w:p>
    <w:p>
      <w:pPr>
        <w:spacing w:before="0"/>
        <w:ind w:left="119" w:right="27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、担保情况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29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606"/>
        <w:gridCol w:w="943"/>
        <w:gridCol w:w="934"/>
        <w:gridCol w:w="1212"/>
        <w:gridCol w:w="1176"/>
        <w:gridCol w:w="1097"/>
        <w:gridCol w:w="1018"/>
        <w:gridCol w:w="799"/>
        <w:gridCol w:w="790"/>
      </w:tblGrid>
      <w:tr>
        <w:trPr>
          <w:trHeight w:val="401"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3"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339" w:hRule="exact"/>
        </w:trPr>
        <w:tc>
          <w:tcPr>
            <w:tcW w:w="1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8" w:right="10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6"/>
              <w:ind w:left="420" w:right="149" w:hanging="269"/>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0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6"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 w:right="26"/>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6" w:lineRule="auto" w:before="19"/>
              <w:ind w:left="120" w:right="119"/>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401" w:hRule="exact"/>
        </w:trPr>
        <w:tc>
          <w:tcPr>
            <w:tcW w:w="160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1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0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18"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7"/>
          <w:pgSz w:w="11910" w:h="16840"/>
          <w:pgMar w:footer="979" w:header="745" w:top="1060" w:bottom="1160" w:left="1020" w:right="840"/>
          <w:pgNumType w:start="30"/>
        </w:sectPr>
      </w:pPr>
    </w:p>
    <w:p>
      <w:pPr>
        <w:spacing w:line="240" w:lineRule="auto" w:before="6"/>
        <w:rPr>
          <w:rFonts w:ascii="宋体" w:hAnsi="宋体" w:cs="宋体" w:eastAsia="宋体" w:hint="default"/>
          <w:sz w:val="28"/>
          <w:szCs w:val="28"/>
        </w:rPr>
      </w:pPr>
      <w:r>
        <w:rPr/>
        <w:pict>
          <v:group style="position:absolute;margin-left:47.639999pt;margin-top:781.919983pt;width:.1pt;height:10.35pt;mso-position-horizontal-relative:page;mso-position-vertical-relative:page;z-index:2080" coordorigin="953,15638" coordsize="2,207">
            <v:shape style="position:absolute;left:953;top:15638;width:2;height:207" coordorigin="953,15638" coordsize="0,207" path="m953,15638l953,15845e" filled="false" stroked="true" strokeweight=".12pt" strokecolor="#000000">
              <v:path arrowok="t"/>
            </v:shape>
            <w10:wrap type="none"/>
          </v:group>
        </w:pict>
      </w:r>
    </w:p>
    <w:tbl>
      <w:tblPr>
        <w:tblW w:w="0" w:type="auto"/>
        <w:jc w:val="left"/>
        <w:tblInd w:w="287" w:type="dxa"/>
        <w:tblLayout w:type="fixed"/>
        <w:tblCellMar>
          <w:top w:w="0" w:type="dxa"/>
          <w:left w:w="0" w:type="dxa"/>
          <w:bottom w:w="0" w:type="dxa"/>
          <w:right w:w="0" w:type="dxa"/>
        </w:tblCellMar>
        <w:tblLook w:val="01E0"/>
      </w:tblPr>
      <w:tblGrid>
        <w:gridCol w:w="1606"/>
        <w:gridCol w:w="936"/>
        <w:gridCol w:w="938"/>
        <w:gridCol w:w="1214"/>
        <w:gridCol w:w="1176"/>
        <w:gridCol w:w="1097"/>
        <w:gridCol w:w="1010"/>
        <w:gridCol w:w="806"/>
        <w:gridCol w:w="790"/>
      </w:tblGrid>
      <w:tr>
        <w:trPr>
          <w:trHeight w:val="401"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bookmarkStart w:name="五、承诺事项履行情况" w:id="50"/>
            <w:bookmarkEnd w:id="50"/>
            <w:r>
              <w:rPr/>
            </w:r>
            <w:bookmarkStart w:name="1、公司或持股5%以上股东在报告期内或持续到报告期内的承诺事项" w:id="51"/>
            <w:bookmarkEnd w:id="51"/>
            <w:r>
              <w:rPr/>
            </w:r>
            <w:r>
              <w:rPr>
                <w:rFonts w:ascii="宋体" w:hAnsi="宋体" w:cs="宋体" w:eastAsia="宋体" w:hint="default"/>
                <w:sz w:val="18"/>
                <w:szCs w:val="18"/>
              </w:rPr>
              <w:t>公司对子公司的担保情况</w:t>
            </w:r>
          </w:p>
        </w:tc>
      </w:tr>
      <w:tr>
        <w:trPr>
          <w:trHeight w:val="1339" w:hRule="exact"/>
        </w:trPr>
        <w:tc>
          <w:tcPr>
            <w:tcW w:w="1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5"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6"/>
              <w:ind w:left="422" w:right="149" w:hanging="269"/>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8" w:right="3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 w:right="26"/>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6" w:lineRule="auto" w:before="19"/>
              <w:ind w:left="120" w:right="119"/>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713"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1"/>
              <w:jc w:val="left"/>
              <w:rPr>
                <w:rFonts w:ascii="宋体" w:hAnsi="宋体" w:cs="宋体" w:eastAsia="宋体" w:hint="default"/>
                <w:sz w:val="18"/>
                <w:szCs w:val="18"/>
              </w:rPr>
            </w:pPr>
            <w:r>
              <w:rPr>
                <w:rFonts w:ascii="宋体" w:hAnsi="宋体" w:cs="宋体" w:eastAsia="宋体" w:hint="default"/>
                <w:sz w:val="18"/>
                <w:szCs w:val="18"/>
              </w:rPr>
              <w:t>杭州德创电子有限 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2,899.5</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1"/>
              <w:jc w:val="left"/>
              <w:rPr>
                <w:rFonts w:ascii="宋体" w:hAnsi="宋体" w:cs="宋体" w:eastAsia="宋体" w:hint="default"/>
                <w:sz w:val="18"/>
                <w:szCs w:val="18"/>
              </w:rPr>
            </w:pPr>
            <w:r>
              <w:rPr>
                <w:rFonts w:ascii="宋体" w:hAnsi="宋体" w:cs="宋体" w:eastAsia="宋体" w:hint="default"/>
                <w:sz w:val="18"/>
                <w:szCs w:val="18"/>
              </w:rPr>
              <w:t>杭州新世纪电子科 技有限公司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54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24" w:right="167"/>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w:t>
            </w:r>
          </w:p>
        </w:tc>
        <w:tc>
          <w:tcPr>
            <w:tcW w:w="227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w:t>
            </w:r>
          </w:p>
        </w:tc>
      </w:tr>
      <w:tr>
        <w:trPr>
          <w:trHeight w:val="715" w:hRule="exact"/>
        </w:trPr>
        <w:tc>
          <w:tcPr>
            <w:tcW w:w="254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167"/>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7,500</w:t>
            </w:r>
          </w:p>
        </w:tc>
        <w:tc>
          <w:tcPr>
            <w:tcW w:w="227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5,899.5</w:t>
            </w:r>
          </w:p>
        </w:tc>
      </w:tr>
      <w:tr>
        <w:trPr>
          <w:trHeight w:val="401"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5" w:hRule="exact"/>
        </w:trPr>
        <w:tc>
          <w:tcPr>
            <w:tcW w:w="254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w:t>
            </w:r>
          </w:p>
        </w:tc>
        <w:tc>
          <w:tcPr>
            <w:tcW w:w="227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w:t>
            </w:r>
          </w:p>
        </w:tc>
      </w:tr>
      <w:tr>
        <w:trPr>
          <w:trHeight w:val="713" w:hRule="exact"/>
        </w:trPr>
        <w:tc>
          <w:tcPr>
            <w:tcW w:w="254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67"/>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7,500</w:t>
            </w:r>
          </w:p>
        </w:tc>
        <w:tc>
          <w:tcPr>
            <w:tcW w:w="227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5,899.5</w:t>
            </w:r>
          </w:p>
        </w:tc>
      </w:tr>
      <w:tr>
        <w:trPr>
          <w:trHeight w:val="403" w:hRule="exact"/>
        </w:trPr>
        <w:tc>
          <w:tcPr>
            <w:tcW w:w="469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7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12.3%</w:t>
            </w:r>
          </w:p>
        </w:tc>
      </w:tr>
      <w:tr>
        <w:trPr>
          <w:trHeight w:val="401"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3" w:hRule="exact"/>
        </w:trPr>
        <w:tc>
          <w:tcPr>
            <w:tcW w:w="469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87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469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87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69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87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69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87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469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w:t>
            </w:r>
          </w:p>
        </w:tc>
        <w:tc>
          <w:tcPr>
            <w:tcW w:w="4879"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如果债务人在主合同项下的任何正常还款日或提前还款日未 </w:t>
            </w:r>
            <w:r>
              <w:rPr>
                <w:rFonts w:ascii="宋体" w:hAnsi="宋体" w:cs="宋体" w:eastAsia="宋体" w:hint="default"/>
                <w:spacing w:val="-2"/>
                <w:sz w:val="18"/>
                <w:szCs w:val="18"/>
              </w:rPr>
              <w:t>按约定向债权人进行清偿，债权人有权要求保证人承担保证责</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任。</w:t>
            </w:r>
          </w:p>
        </w:tc>
      </w:tr>
      <w:tr>
        <w:trPr>
          <w:trHeight w:val="401" w:hRule="exact"/>
        </w:trPr>
        <w:tc>
          <w:tcPr>
            <w:tcW w:w="469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w:t>
            </w:r>
          </w:p>
        </w:tc>
        <w:tc>
          <w:tcPr>
            <w:tcW w:w="487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截止报告期末，公司无违反规定对外担保。</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3"/>
        <w:spacing w:line="367" w:lineRule="exact"/>
        <w:ind w:left="292" w:right="279"/>
        <w:jc w:val="left"/>
        <w:rPr>
          <w:b w:val="0"/>
          <w:bCs w:val="0"/>
        </w:rPr>
      </w:pPr>
      <w:r>
        <w:rPr/>
        <w:t>五、承诺事项履行情况</w:t>
      </w:r>
      <w:r>
        <w:rPr>
          <w:b w:val="0"/>
          <w:bCs w:val="0"/>
        </w:rPr>
      </w:r>
    </w:p>
    <w:p>
      <w:pPr>
        <w:spacing w:line="240" w:lineRule="auto" w:before="3"/>
        <w:rPr>
          <w:rFonts w:ascii="Microsoft JhengHei" w:hAnsi="Microsoft JhengHei" w:cs="Microsoft JhengHei" w:eastAsia="Microsoft JhengHei" w:hint="default"/>
          <w:b/>
          <w:bCs/>
          <w:sz w:val="13"/>
          <w:szCs w:val="13"/>
        </w:rPr>
      </w:pPr>
    </w:p>
    <w:p>
      <w:pPr>
        <w:spacing w:before="0"/>
        <w:ind w:left="299" w:right="27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、公司或持股</w:t>
      </w:r>
      <w:r>
        <w:rPr>
          <w:rFonts w:ascii="Microsoft JhengHei" w:hAnsi="Microsoft JhengHei" w:cs="Microsoft JhengHei" w:eastAsia="Microsoft JhengHei" w:hint="default"/>
          <w:b/>
          <w:bCs/>
          <w:spacing w:val="-10"/>
          <w:sz w:val="21"/>
          <w:szCs w:val="21"/>
        </w:rPr>
        <w:t> </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以上股东在报告期内或持续到报告期内的承诺事项</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287" w:type="dxa"/>
        <w:tblLayout w:type="fixed"/>
        <w:tblCellMar>
          <w:top w:w="0" w:type="dxa"/>
          <w:left w:w="0" w:type="dxa"/>
          <w:bottom w:w="0" w:type="dxa"/>
          <w:right w:w="0" w:type="dxa"/>
        </w:tblCellMar>
        <w:tblLook w:val="01E0"/>
      </w:tblPr>
      <w:tblGrid>
        <w:gridCol w:w="1985"/>
        <w:gridCol w:w="1135"/>
        <w:gridCol w:w="3259"/>
        <w:gridCol w:w="1560"/>
        <w:gridCol w:w="850"/>
        <w:gridCol w:w="780"/>
      </w:tblGrid>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8" w:right="0"/>
              <w:jc w:val="left"/>
              <w:rPr>
                <w:rFonts w:ascii="宋体" w:hAnsi="宋体" w:cs="宋体" w:eastAsia="宋体" w:hint="default"/>
                <w:sz w:val="18"/>
                <w:szCs w:val="18"/>
              </w:rPr>
            </w:pPr>
            <w:r>
              <w:rPr>
                <w:rFonts w:ascii="宋体" w:hAnsi="宋体" w:cs="宋体" w:eastAsia="宋体" w:hint="default"/>
                <w:sz w:val="18"/>
                <w:szCs w:val="18"/>
              </w:rPr>
              <w:t>承诺事项</w:t>
            </w:r>
          </w:p>
        </w:tc>
        <w:tc>
          <w:tcPr>
            <w:tcW w:w="11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32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5"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收购报告书或权益变动</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5" w:footer="979" w:top="1060" w:bottom="1160" w:left="840" w:right="1020"/>
        </w:sectPr>
      </w:pPr>
    </w:p>
    <w:p>
      <w:pPr>
        <w:spacing w:line="240" w:lineRule="auto" w:before="7"/>
        <w:rPr>
          <w:rFonts w:ascii="Microsoft JhengHei" w:hAnsi="Microsoft JhengHei" w:cs="Microsoft JhengHei" w:eastAsia="Microsoft JhengHei" w:hint="default"/>
          <w:b/>
          <w:bCs/>
          <w:sz w:val="21"/>
          <w:szCs w:val="21"/>
        </w:rPr>
      </w:pPr>
      <w:r>
        <w:rPr/>
        <w:pict>
          <v:group style="position:absolute;margin-left:547.559998pt;margin-top:781.919983pt;width:.1pt;height:10.35pt;mso-position-horizontal-relative:page;mso-position-vertical-relative:page;z-index:2104" coordorigin="10951,15638" coordsize="2,207">
            <v:shape style="position:absolute;left:10951;top:15638;width:2;height:207" coordorigin="10951,15638" coordsize="0,207" path="m10951,15638l10951,15845e" filled="false" stroked="true" strokeweight=".12pt" strokecolor="#000000">
              <v:path arrowok="t"/>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1985"/>
        <w:gridCol w:w="1135"/>
        <w:gridCol w:w="3259"/>
        <w:gridCol w:w="1560"/>
        <w:gridCol w:w="850"/>
        <w:gridCol w:w="780"/>
      </w:tblGrid>
      <w:tr>
        <w:trPr>
          <w:trHeight w:val="36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bookmarkStart w:name="六、聘任、解聘会计师事务所情况" w:id="52"/>
            <w:bookmarkEnd w:id="52"/>
            <w:r>
              <w:rPr/>
            </w:r>
            <w:r>
              <w:rPr>
                <w:rFonts w:ascii="宋体" w:hAnsi="宋体" w:cs="宋体" w:eastAsia="宋体" w:hint="default"/>
                <w:sz w:val="18"/>
                <w:szCs w:val="18"/>
              </w:rPr>
              <w:t>报告书中所作承诺</w:t>
            </w:r>
          </w:p>
        </w:tc>
        <w:tc>
          <w:tcPr>
            <w:tcW w:w="1135" w:type="dxa"/>
            <w:tcBorders>
              <w:top w:val="single" w:sz="4" w:space="0" w:color="000000"/>
              <w:left w:val="single" w:sz="4" w:space="0" w:color="000000"/>
              <w:bottom w:val="single" w:sz="4" w:space="0" w:color="000000"/>
              <w:right w:val="single" w:sz="4" w:space="0" w:color="000000"/>
            </w:tcBorders>
          </w:tcPr>
          <w:p>
            <w:pPr/>
          </w:p>
        </w:tc>
        <w:tc>
          <w:tcPr>
            <w:tcW w:w="32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019"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149"/>
              <w:jc w:val="left"/>
              <w:rPr>
                <w:rFonts w:ascii="宋体" w:hAnsi="宋体" w:cs="宋体" w:eastAsia="宋体" w:hint="default"/>
                <w:sz w:val="18"/>
                <w:szCs w:val="18"/>
              </w:rPr>
            </w:pPr>
            <w:r>
              <w:rPr>
                <w:rFonts w:ascii="宋体" w:hAnsi="宋体" w:cs="宋体" w:eastAsia="宋体" w:hint="default"/>
                <w:sz w:val="18"/>
                <w:szCs w:val="18"/>
              </w:rPr>
              <w:t>首次公开发行或再融资 时所作承诺</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z w:val="18"/>
                <w:szCs w:val="18"/>
              </w:rPr>
              <w:t>公司控股股 东、公司董 事、监事、高 级管理人员</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、公司控股股东陆燕承诺：自公司股票 </w:t>
            </w:r>
            <w:r>
              <w:rPr>
                <w:rFonts w:ascii="宋体" w:hAnsi="宋体" w:cs="宋体" w:eastAsia="宋体" w:hint="default"/>
                <w:spacing w:val="-2"/>
                <w:sz w:val="18"/>
                <w:szCs w:val="18"/>
              </w:rPr>
              <w:t>上市之日起三十六个月内，不转让或者委</w:t>
            </w:r>
            <w:r>
              <w:rPr>
                <w:rFonts w:ascii="宋体" w:hAnsi="宋体" w:cs="宋体" w:eastAsia="宋体" w:hint="default"/>
                <w:sz w:val="18"/>
                <w:szCs w:val="18"/>
              </w:rPr>
              <w:t> </w:t>
            </w:r>
            <w:r>
              <w:rPr>
                <w:rFonts w:ascii="宋体" w:hAnsi="宋体" w:cs="宋体" w:eastAsia="宋体" w:hint="default"/>
                <w:spacing w:val="-2"/>
                <w:sz w:val="18"/>
                <w:szCs w:val="18"/>
              </w:rPr>
              <w:t>托他人管理所持有的公司股份，也不由公</w:t>
            </w:r>
            <w:r>
              <w:rPr>
                <w:rFonts w:ascii="宋体" w:hAnsi="宋体" w:cs="宋体" w:eastAsia="宋体" w:hint="default"/>
                <w:sz w:val="18"/>
                <w:szCs w:val="18"/>
              </w:rPr>
              <w:t> </w:t>
            </w:r>
            <w:r>
              <w:rPr>
                <w:rFonts w:ascii="宋体" w:hAnsi="宋体" w:cs="宋体" w:eastAsia="宋体" w:hint="default"/>
                <w:w w:val="95"/>
                <w:sz w:val="18"/>
                <w:szCs w:val="18"/>
              </w:rPr>
              <w:t>司回购所持有的股份。前述禁售期满后，</w:t>
            </w:r>
            <w:r>
              <w:rPr>
                <w:rFonts w:ascii="宋体" w:hAnsi="宋体" w:cs="宋体" w:eastAsia="宋体" w:hint="default"/>
                <w:spacing w:val="40"/>
                <w:w w:val="95"/>
                <w:sz w:val="18"/>
                <w:szCs w:val="18"/>
              </w:rPr>
              <w:t> </w:t>
            </w:r>
            <w:r>
              <w:rPr>
                <w:rFonts w:ascii="宋体" w:hAnsi="宋体" w:cs="宋体" w:eastAsia="宋体" w:hint="default"/>
                <w:spacing w:val="40"/>
                <w:w w:val="95"/>
                <w:sz w:val="18"/>
                <w:szCs w:val="18"/>
              </w:rPr>
            </w:r>
            <w:r>
              <w:rPr>
                <w:rFonts w:ascii="宋体" w:hAnsi="宋体" w:cs="宋体" w:eastAsia="宋体" w:hint="default"/>
                <w:sz w:val="18"/>
                <w:szCs w:val="18"/>
              </w:rPr>
              <w:t>在其配偶徐智勇任职期间每年转让的公</w:t>
            </w:r>
            <w:r>
              <w:rPr>
                <w:rFonts w:ascii="宋体" w:hAnsi="宋体" w:cs="宋体" w:eastAsia="宋体" w:hint="default"/>
                <w:sz w:val="18"/>
                <w:szCs w:val="18"/>
              </w:rPr>
              <w:t> 司股份不得超过其所持有的公司股份总 </w:t>
            </w:r>
            <w:r>
              <w:rPr>
                <w:rFonts w:ascii="宋体" w:hAnsi="宋体" w:cs="宋体" w:eastAsia="宋体" w:hint="default"/>
                <w:spacing w:val="-2"/>
                <w:sz w:val="18"/>
                <w:szCs w:val="18"/>
              </w:rPr>
              <w:t>数的百分之二十五；徐智勇从公司离职后</w:t>
            </w:r>
            <w:r>
              <w:rPr>
                <w:rFonts w:ascii="宋体" w:hAnsi="宋体" w:cs="宋体" w:eastAsia="宋体" w:hint="default"/>
                <w:sz w:val="18"/>
                <w:szCs w:val="18"/>
              </w:rPr>
              <w:t> </w:t>
            </w:r>
            <w:r>
              <w:rPr>
                <w:rFonts w:ascii="宋体" w:hAnsi="宋体" w:cs="宋体" w:eastAsia="宋体" w:hint="default"/>
                <w:spacing w:val="-3"/>
                <w:w w:val="95"/>
                <w:sz w:val="18"/>
                <w:szCs w:val="18"/>
              </w:rPr>
              <w:t>半年内，不转让其所持有的公司股份。</w:t>
            </w:r>
            <w:r>
              <w:rPr>
                <w:rFonts w:ascii="Times New Roman" w:hAnsi="Times New Roman" w:cs="Times New Roman" w:eastAsia="Times New Roman" w:hint="default"/>
                <w:spacing w:val="-3"/>
                <w:w w:val="95"/>
                <w:sz w:val="18"/>
                <w:szCs w:val="18"/>
              </w:rPr>
              <w:t>2</w:t>
            </w:r>
            <w:r>
              <w:rPr>
                <w:rFonts w:ascii="宋体" w:hAnsi="宋体" w:cs="宋体" w:eastAsia="宋体" w:hint="default"/>
                <w:spacing w:val="-3"/>
                <w:w w:val="95"/>
                <w:sz w:val="18"/>
                <w:szCs w:val="18"/>
              </w:rPr>
              <w:t>、</w:t>
            </w:r>
            <w:r>
              <w:rPr>
                <w:rFonts w:ascii="宋体" w:hAnsi="宋体" w:cs="宋体" w:eastAsia="宋体" w:hint="default"/>
                <w:spacing w:val="9"/>
                <w:w w:val="95"/>
                <w:sz w:val="18"/>
                <w:szCs w:val="18"/>
              </w:rPr>
              <w:t> </w:t>
            </w:r>
            <w:r>
              <w:rPr>
                <w:rFonts w:ascii="宋体" w:hAnsi="宋体" w:cs="宋体" w:eastAsia="宋体" w:hint="default"/>
                <w:spacing w:val="-3"/>
                <w:sz w:val="18"/>
                <w:szCs w:val="18"/>
              </w:rPr>
              <w:t>公司控股股东滕学军、高雁峰、乔文东和</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股东龚莉蓉承诺：自公司股票上市交易之</w:t>
            </w:r>
            <w:r>
              <w:rPr>
                <w:rFonts w:ascii="宋体" w:hAnsi="宋体" w:cs="宋体" w:eastAsia="宋体" w:hint="default"/>
                <w:sz w:val="18"/>
                <w:szCs w:val="18"/>
              </w:rPr>
              <w:t> </w:t>
            </w:r>
            <w:r>
              <w:rPr>
                <w:rFonts w:ascii="宋体" w:hAnsi="宋体" w:cs="宋体" w:eastAsia="宋体" w:hint="default"/>
                <w:spacing w:val="-2"/>
                <w:sz w:val="18"/>
                <w:szCs w:val="18"/>
              </w:rPr>
              <w:t>日起三十六个月内，不转让或者委托他人</w:t>
            </w:r>
            <w:r>
              <w:rPr>
                <w:rFonts w:ascii="宋体" w:hAnsi="宋体" w:cs="宋体" w:eastAsia="宋体" w:hint="default"/>
                <w:sz w:val="18"/>
                <w:szCs w:val="18"/>
              </w:rPr>
              <w:t> </w:t>
            </w:r>
            <w:r>
              <w:rPr>
                <w:rFonts w:ascii="宋体" w:hAnsi="宋体" w:cs="宋体" w:eastAsia="宋体" w:hint="default"/>
                <w:spacing w:val="-2"/>
                <w:sz w:val="18"/>
                <w:szCs w:val="18"/>
              </w:rPr>
              <w:t>管理所持有的公司股份，也不由公司回购</w:t>
            </w:r>
            <w:r>
              <w:rPr>
                <w:rFonts w:ascii="宋体" w:hAnsi="宋体" w:cs="宋体" w:eastAsia="宋体" w:hint="default"/>
                <w:sz w:val="18"/>
                <w:szCs w:val="18"/>
              </w:rPr>
              <w:t> </w:t>
            </w:r>
            <w:r>
              <w:rPr>
                <w:rFonts w:ascii="宋体" w:hAnsi="宋体" w:cs="宋体" w:eastAsia="宋体" w:hint="default"/>
                <w:spacing w:val="-2"/>
                <w:w w:val="95"/>
                <w:sz w:val="18"/>
                <w:szCs w:val="18"/>
              </w:rPr>
              <w:t>所持有的公司股份。</w:t>
            </w:r>
            <w:r>
              <w:rPr>
                <w:rFonts w:ascii="Times New Roman" w:hAnsi="Times New Roman" w:cs="Times New Roman" w:eastAsia="Times New Roman" w:hint="default"/>
                <w:spacing w:val="-2"/>
                <w:w w:val="95"/>
                <w:sz w:val="18"/>
                <w:szCs w:val="18"/>
              </w:rPr>
              <w:t>3</w:t>
            </w:r>
            <w:r>
              <w:rPr>
                <w:rFonts w:ascii="宋体" w:hAnsi="宋体" w:cs="宋体" w:eastAsia="宋体" w:hint="default"/>
                <w:spacing w:val="-2"/>
                <w:w w:val="95"/>
                <w:sz w:val="18"/>
                <w:szCs w:val="18"/>
              </w:rPr>
              <w:t>、公司董事、监事、</w:t>
            </w:r>
            <w:r>
              <w:rPr>
                <w:rFonts w:ascii="宋体" w:hAnsi="宋体" w:cs="宋体" w:eastAsia="宋体" w:hint="default"/>
                <w:spacing w:val="-9"/>
                <w:w w:val="95"/>
                <w:sz w:val="18"/>
                <w:szCs w:val="18"/>
              </w:rPr>
              <w:t> </w:t>
            </w:r>
            <w:r>
              <w:rPr>
                <w:rFonts w:ascii="宋体" w:hAnsi="宋体" w:cs="宋体" w:eastAsia="宋体" w:hint="default"/>
                <w:spacing w:val="-9"/>
                <w:w w:val="95"/>
                <w:sz w:val="18"/>
                <w:szCs w:val="18"/>
              </w:rPr>
            </w:r>
            <w:r>
              <w:rPr>
                <w:rFonts w:ascii="宋体" w:hAnsi="宋体" w:cs="宋体" w:eastAsia="宋体" w:hint="default"/>
                <w:w w:val="95"/>
                <w:sz w:val="18"/>
                <w:szCs w:val="18"/>
              </w:rPr>
              <w:t>高级管理人员滕学军、高雁峰、乔文东、</w:t>
            </w:r>
            <w:r>
              <w:rPr>
                <w:rFonts w:ascii="宋体" w:hAnsi="宋体" w:cs="宋体" w:eastAsia="宋体" w:hint="default"/>
                <w:spacing w:val="40"/>
                <w:w w:val="95"/>
                <w:sz w:val="18"/>
                <w:szCs w:val="18"/>
              </w:rPr>
              <w:t> </w:t>
            </w:r>
            <w:r>
              <w:rPr>
                <w:rFonts w:ascii="宋体" w:hAnsi="宋体" w:cs="宋体" w:eastAsia="宋体" w:hint="default"/>
                <w:spacing w:val="40"/>
                <w:w w:val="95"/>
                <w:sz w:val="18"/>
                <w:szCs w:val="18"/>
              </w:rPr>
            </w:r>
            <w:r>
              <w:rPr>
                <w:rFonts w:ascii="宋体" w:hAnsi="宋体" w:cs="宋体" w:eastAsia="宋体" w:hint="default"/>
                <w:spacing w:val="-3"/>
                <w:sz w:val="18"/>
                <w:szCs w:val="18"/>
              </w:rPr>
              <w:t>李云水、徐哲、俞竣华、俞育平、陈晖和</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蒋旭谊承诺：禁售期满后，任职期间每年</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转让的公司股份不得超过所持有的公司 </w:t>
            </w:r>
            <w:r>
              <w:rPr>
                <w:rFonts w:ascii="宋体" w:hAnsi="宋体" w:cs="宋体" w:eastAsia="宋体" w:hint="default"/>
                <w:spacing w:val="-2"/>
                <w:sz w:val="18"/>
                <w:szCs w:val="18"/>
              </w:rPr>
              <w:t>股份总数的百分之二十五；在从公司离职</w:t>
            </w:r>
            <w:r>
              <w:rPr>
                <w:rFonts w:ascii="宋体" w:hAnsi="宋体" w:cs="宋体" w:eastAsia="宋体" w:hint="default"/>
                <w:sz w:val="18"/>
                <w:szCs w:val="18"/>
              </w:rPr>
              <w:t> 后半年内，不转让所持有的公司股份。</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其他对公司中小股东所 作承诺</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758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未完成履行的具体原因 及下一步计划</w:t>
            </w:r>
          </w:p>
        </w:tc>
        <w:tc>
          <w:tcPr>
            <w:tcW w:w="758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7"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149"/>
              <w:jc w:val="both"/>
              <w:rPr>
                <w:rFonts w:ascii="宋体" w:hAnsi="宋体" w:cs="宋体" w:eastAsia="宋体" w:hint="default"/>
                <w:sz w:val="18"/>
                <w:szCs w:val="18"/>
              </w:rPr>
            </w:pPr>
            <w:r>
              <w:rPr>
                <w:rFonts w:ascii="宋体" w:hAnsi="宋体" w:cs="宋体" w:eastAsia="宋体" w:hint="default"/>
                <w:sz w:val="18"/>
                <w:szCs w:val="18"/>
              </w:rPr>
              <w:t>是否就导致的同业竞争 和关联交易问题作出承 诺</w:t>
            </w:r>
          </w:p>
        </w:tc>
        <w:tc>
          <w:tcPr>
            <w:tcW w:w="758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758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758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758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5"/>
        <w:rPr>
          <w:rFonts w:ascii="Microsoft JhengHei" w:hAnsi="Microsoft JhengHei" w:cs="Microsoft JhengHei" w:eastAsia="Microsoft JhengHei" w:hint="default"/>
          <w:b/>
          <w:bCs/>
          <w:sz w:val="13"/>
          <w:szCs w:val="13"/>
        </w:rPr>
      </w:pPr>
    </w:p>
    <w:p>
      <w:pPr>
        <w:pStyle w:val="Heading3"/>
        <w:spacing w:line="367" w:lineRule="exact"/>
        <w:ind w:right="279"/>
        <w:jc w:val="left"/>
        <w:rPr>
          <w:b w:val="0"/>
          <w:bCs w:val="0"/>
        </w:rPr>
      </w:pPr>
      <w:r>
        <w:rPr/>
        <w:t>六、聘任、解聘会计师事务所情况</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07" w:type="dxa"/>
        <w:tblLayout w:type="fixed"/>
        <w:tblCellMar>
          <w:top w:w="0" w:type="dxa"/>
          <w:left w:w="0" w:type="dxa"/>
          <w:bottom w:w="0" w:type="dxa"/>
          <w:right w:w="0" w:type="dxa"/>
        </w:tblCellMar>
        <w:tblLook w:val="01E0"/>
      </w:tblPr>
      <w:tblGrid>
        <w:gridCol w:w="3886"/>
        <w:gridCol w:w="5683"/>
      </w:tblGrid>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1"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40</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闾利华、倪秀娟</w:t>
            </w:r>
          </w:p>
        </w:tc>
      </w:tr>
    </w:tbl>
    <w:p>
      <w:pPr>
        <w:spacing w:after="0" w:line="240" w:lineRule="auto"/>
        <w:jc w:val="left"/>
        <w:rPr>
          <w:rFonts w:ascii="宋体" w:hAnsi="宋体" w:cs="宋体" w:eastAsia="宋体" w:hint="default"/>
          <w:sz w:val="18"/>
          <w:szCs w:val="18"/>
        </w:rPr>
        <w:sectPr>
          <w:pgSz w:w="11910" w:h="16840"/>
          <w:pgMar w:header="745" w:footer="979" w:top="1060" w:bottom="1160" w:left="1020" w:right="840"/>
        </w:sectPr>
      </w:pPr>
    </w:p>
    <w:p>
      <w:pPr>
        <w:spacing w:line="240" w:lineRule="auto" w:before="0"/>
        <w:rPr>
          <w:rFonts w:ascii="Microsoft JhengHei" w:hAnsi="Microsoft JhengHei" w:cs="Microsoft JhengHei" w:eastAsia="Microsoft JhengHei" w:hint="default"/>
          <w:b/>
          <w:bCs/>
          <w:sz w:val="20"/>
          <w:szCs w:val="20"/>
        </w:rPr>
      </w:pPr>
      <w:r>
        <w:rPr/>
        <w:pict>
          <v:group style="position:absolute;margin-left:47.639999pt;margin-top:781.919983pt;width:.1pt;height:10.35pt;mso-position-horizontal-relative:page;mso-position-vertical-relative:page;z-index:2128" coordorigin="953,15638" coordsize="2,207">
            <v:shape style="position:absolute;left:953;top:15638;width:2;height:207" coordorigin="953,15638" coordsize="0,207" path="m953,15638l953,15845e" filled="false" stroked="true" strokeweight=".12pt" strokecolor="#000000">
              <v:path arrowok="t"/>
            </v:shape>
            <w10:wrap type="none"/>
          </v:group>
        </w:pict>
      </w:r>
    </w:p>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12"/>
          <w:szCs w:val="12"/>
        </w:rPr>
      </w:pPr>
    </w:p>
    <w:p>
      <w:pPr>
        <w:spacing w:line="367" w:lineRule="exact" w:before="0"/>
        <w:ind w:left="292" w:right="279" w:firstLine="0"/>
        <w:jc w:val="left"/>
        <w:rPr>
          <w:rFonts w:ascii="Microsoft JhengHei" w:hAnsi="Microsoft JhengHei" w:cs="Microsoft JhengHei" w:eastAsia="Microsoft JhengHei" w:hint="default"/>
          <w:sz w:val="24"/>
          <w:szCs w:val="24"/>
        </w:rPr>
      </w:pPr>
      <w:bookmarkStart w:name="七、处罚及整改情况" w:id="53"/>
      <w:bookmarkEnd w:id="53"/>
      <w:r>
        <w:rPr/>
      </w:r>
      <w:bookmarkStart w:name="八、其他重大事项的说明" w:id="54"/>
      <w:bookmarkEnd w:id="54"/>
      <w:r>
        <w:rPr/>
      </w:r>
      <w:bookmarkStart w:name="九、公司子公司重要事项" w:id="55"/>
      <w:bookmarkEnd w:id="55"/>
      <w:r>
        <w:rPr/>
      </w:r>
      <w:bookmarkStart w:name="十、公司发行公司债券的情况" w:id="56"/>
      <w:bookmarkEnd w:id="56"/>
      <w:r>
        <w:rPr/>
      </w:r>
      <w:r>
        <w:rPr>
          <w:rFonts w:ascii="Microsoft JhengHei" w:hAnsi="Microsoft JhengHei" w:cs="Microsoft JhengHei" w:eastAsia="Microsoft JhengHei" w:hint="default"/>
          <w:b/>
          <w:bCs/>
          <w:sz w:val="24"/>
          <w:szCs w:val="24"/>
        </w:rPr>
        <w:t>七、处罚及整改情况</w:t>
      </w:r>
      <w:r>
        <w:rPr>
          <w:rFonts w:ascii="Microsoft JhengHei" w:hAnsi="Microsoft JhengHei" w:cs="Microsoft JhengHei" w:eastAsia="Microsoft JhengHei" w:hint="default"/>
          <w:sz w:val="24"/>
          <w:szCs w:val="24"/>
        </w:rPr>
      </w:r>
    </w:p>
    <w:p>
      <w:pPr>
        <w:spacing w:line="240" w:lineRule="auto" w:before="2"/>
        <w:rPr>
          <w:rFonts w:ascii="Microsoft JhengHei" w:hAnsi="Microsoft JhengHei" w:cs="Microsoft JhengHei" w:eastAsia="Microsoft JhengHei" w:hint="default"/>
          <w:b/>
          <w:bCs/>
          <w:sz w:val="20"/>
          <w:szCs w:val="20"/>
        </w:rPr>
      </w:pPr>
    </w:p>
    <w:p>
      <w:pPr>
        <w:pStyle w:val="BodyText"/>
        <w:spacing w:line="357" w:lineRule="auto" w:before="0"/>
        <w:ind w:right="148" w:firstLine="482"/>
        <w:jc w:val="both"/>
      </w:pPr>
      <w:r>
        <w:rPr/>
        <w:t>报告期内，公司及公司董事、监事、高级管理人员、公司股东、实际控制人、收购人没 有受有权机关调查、司法纪检部门采取强制措施、被移送司法机关或追究刑事责任、中国证 监会稽查、中国证监会行政处罚、证券市场禁入、认定为不适当人选被其他行政管理部门处 罚及证券交易所公开谴责的情形。</w:t>
      </w:r>
    </w:p>
    <w:p>
      <w:pPr>
        <w:spacing w:line="396" w:lineRule="auto" w:before="180"/>
        <w:ind w:left="775" w:right="3971" w:hanging="483"/>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八、其他重大事项的说明 </w:t>
      </w:r>
      <w:r>
        <w:rPr>
          <w:rFonts w:ascii="宋体" w:hAnsi="宋体" w:cs="宋体" w:eastAsia="宋体" w:hint="default"/>
          <w:sz w:val="24"/>
          <w:szCs w:val="24"/>
        </w:rPr>
        <w:t>本报告期内公司无其他应披露而未披露重大事项。</w:t>
      </w:r>
    </w:p>
    <w:p>
      <w:pPr>
        <w:spacing w:line="396" w:lineRule="auto" w:before="65"/>
        <w:ind w:left="775" w:right="3011" w:hanging="483"/>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九、公司子公司重要事项 </w:t>
      </w:r>
      <w:r>
        <w:rPr>
          <w:rFonts w:ascii="宋体" w:hAnsi="宋体" w:cs="宋体" w:eastAsia="宋体" w:hint="default"/>
          <w:sz w:val="24"/>
          <w:szCs w:val="24"/>
        </w:rPr>
        <w:t>本报告期内，公司子公司无其他应披露而未披露重要事项。</w:t>
      </w:r>
    </w:p>
    <w:p>
      <w:pPr>
        <w:spacing w:line="396" w:lineRule="auto" w:before="65"/>
        <w:ind w:left="775" w:right="4211" w:hanging="483"/>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十、公司发行公司债券的情况 </w:t>
      </w:r>
      <w:r>
        <w:rPr>
          <w:rFonts w:ascii="宋体" w:hAnsi="宋体" w:cs="宋体" w:eastAsia="宋体" w:hint="default"/>
          <w:sz w:val="24"/>
          <w:szCs w:val="24"/>
        </w:rPr>
        <w:t>本报告期内，公司不存在发行公司债券的情况。</w:t>
      </w:r>
    </w:p>
    <w:p>
      <w:pPr>
        <w:spacing w:after="0" w:line="396" w:lineRule="auto"/>
        <w:jc w:val="left"/>
        <w:rPr>
          <w:rFonts w:ascii="宋体" w:hAnsi="宋体" w:cs="宋体" w:eastAsia="宋体" w:hint="default"/>
          <w:sz w:val="24"/>
          <w:szCs w:val="24"/>
        </w:rPr>
        <w:sectPr>
          <w:pgSz w:w="11910" w:h="16840"/>
          <w:pgMar w:header="745" w:footer="979" w:top="1060" w:bottom="1160" w:left="84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2"/>
        <w:spacing w:line="456" w:lineRule="exact"/>
        <w:ind w:left="2928" w:right="279"/>
        <w:jc w:val="left"/>
        <w:rPr>
          <w:b w:val="0"/>
          <w:bCs w:val="0"/>
        </w:rPr>
      </w:pPr>
      <w:bookmarkStart w:name="第六节股份变动及股东情况" w:id="57"/>
      <w:bookmarkEnd w:id="57"/>
      <w:r>
        <w:rPr>
          <w:b w:val="0"/>
          <w:bCs w:val="0"/>
        </w:rPr>
      </w:r>
      <w:bookmarkStart w:name="一、股份变动情况" w:id="58"/>
      <w:bookmarkEnd w:id="58"/>
      <w:r>
        <w:rPr>
          <w:b w:val="0"/>
          <w:bCs w:val="0"/>
        </w:rPr>
      </w:r>
      <w:bookmarkStart w:name="二、股东和实际控制人情况" w:id="59"/>
      <w:bookmarkEnd w:id="59"/>
      <w:r>
        <w:rPr>
          <w:b w:val="0"/>
          <w:bCs w:val="0"/>
        </w:rPr>
      </w:r>
      <w:bookmarkStart w:name="1、公司股东数量及持股情况" w:id="60"/>
      <w:bookmarkEnd w:id="60"/>
      <w:r>
        <w:rPr>
          <w:b w:val="0"/>
          <w:bCs w:val="0"/>
        </w:rPr>
      </w:r>
      <w:bookmarkStart w:name="_bookmark5" w:id="61"/>
      <w:bookmarkEnd w:id="61"/>
      <w:r>
        <w:rPr>
          <w:b w:val="0"/>
          <w:bCs w:val="0"/>
        </w:rPr>
      </w:r>
      <w:r>
        <w:rPr/>
        <w:t>第六节 </w:t>
      </w:r>
      <w:r>
        <w:rPr>
          <w:spacing w:val="10"/>
        </w:rPr>
        <w:t> </w:t>
      </w:r>
      <w:r>
        <w:rPr/>
        <w:t>股份变动及股东情况</w:t>
      </w:r>
      <w:r>
        <w:rPr>
          <w:b w:val="0"/>
          <w:bCs w:val="0"/>
        </w:rPr>
      </w:r>
    </w:p>
    <w:p>
      <w:pPr>
        <w:spacing w:line="240" w:lineRule="auto" w:before="10"/>
        <w:rPr>
          <w:rFonts w:ascii="Microsoft JhengHei" w:hAnsi="Microsoft JhengHei" w:cs="Microsoft JhengHei" w:eastAsia="Microsoft JhengHei" w:hint="default"/>
          <w:b/>
          <w:bCs/>
          <w:sz w:val="25"/>
          <w:szCs w:val="25"/>
        </w:rPr>
      </w:pPr>
    </w:p>
    <w:p>
      <w:pPr>
        <w:pStyle w:val="Heading3"/>
        <w:spacing w:line="367" w:lineRule="exact"/>
        <w:ind w:right="279"/>
        <w:jc w:val="left"/>
        <w:rPr>
          <w:b w:val="0"/>
          <w:bCs w:val="0"/>
        </w:rPr>
      </w:pPr>
      <w:r>
        <w:rPr/>
        <w:t>一、股份变动情况</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07" w:type="dxa"/>
        <w:tblLayout w:type="fixed"/>
        <w:tblCellMar>
          <w:top w:w="0" w:type="dxa"/>
          <w:left w:w="0" w:type="dxa"/>
          <w:bottom w:w="0" w:type="dxa"/>
          <w:right w:w="0" w:type="dxa"/>
        </w:tblCellMar>
        <w:tblLook w:val="01E0"/>
      </w:tblPr>
      <w:tblGrid>
        <w:gridCol w:w="2033"/>
        <w:gridCol w:w="946"/>
        <w:gridCol w:w="742"/>
        <w:gridCol w:w="533"/>
        <w:gridCol w:w="566"/>
        <w:gridCol w:w="852"/>
        <w:gridCol w:w="1133"/>
        <w:gridCol w:w="1133"/>
        <w:gridCol w:w="994"/>
        <w:gridCol w:w="634"/>
      </w:tblGrid>
      <w:tr>
        <w:trPr>
          <w:trHeight w:val="403" w:hRule="exact"/>
        </w:trPr>
        <w:tc>
          <w:tcPr>
            <w:tcW w:w="2033" w:type="dxa"/>
            <w:vMerge w:val="restart"/>
            <w:tcBorders>
              <w:top w:val="single" w:sz="4" w:space="0" w:color="000000"/>
              <w:left w:val="single" w:sz="4" w:space="0" w:color="000000"/>
              <w:right w:val="single" w:sz="4" w:space="0" w:color="000000"/>
            </w:tcBorders>
            <w:shd w:val="clear" w:color="auto" w:fill="D3D3D3"/>
          </w:tcPr>
          <w:p>
            <w:pPr/>
          </w:p>
        </w:tc>
        <w:tc>
          <w:tcPr>
            <w:tcW w:w="16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7"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1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3" w:hRule="exact"/>
        </w:trPr>
        <w:tc>
          <w:tcPr>
            <w:tcW w:w="2033" w:type="dxa"/>
            <w:vMerge/>
            <w:tcBorders>
              <w:left w:val="single" w:sz="4" w:space="0" w:color="000000"/>
              <w:bottom w:val="single" w:sz="4" w:space="0" w:color="000000"/>
              <w:right w:val="single" w:sz="4" w:space="0" w:color="000000"/>
            </w:tcBorders>
            <w:shd w:val="clear" w:color="auto" w:fill="D3D3D3"/>
          </w:tcPr>
          <w:p>
            <w:pPr/>
          </w:p>
        </w:tc>
        <w:tc>
          <w:tcPr>
            <w:tcW w:w="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4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5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81" w:right="79"/>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31" w:right="59"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11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0"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71,349,162</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66.68%</w:t>
            </w:r>
          </w:p>
        </w:tc>
        <w:tc>
          <w:tcPr>
            <w:tcW w:w="5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-13,140,977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-13,140,977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58,208,185</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54.4%</w:t>
            </w:r>
          </w:p>
        </w:tc>
      </w:tr>
      <w:tr>
        <w:trPr>
          <w:trHeight w:val="401"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69,597,800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65.04%</w:t>
            </w:r>
          </w:p>
        </w:tc>
        <w:tc>
          <w:tcPr>
            <w:tcW w:w="5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69,597,800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65.04%</w:t>
            </w:r>
          </w:p>
        </w:tc>
        <w:tc>
          <w:tcPr>
            <w:tcW w:w="5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1,751,362</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1.64%</w:t>
            </w:r>
          </w:p>
        </w:tc>
        <w:tc>
          <w:tcPr>
            <w:tcW w:w="5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-13,140,977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-13,140,977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58,208,185</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54.4%</w:t>
            </w:r>
          </w:p>
        </w:tc>
      </w:tr>
      <w:tr>
        <w:trPr>
          <w:trHeight w:val="403"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35,650,838</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33.32%</w:t>
            </w:r>
          </w:p>
        </w:tc>
        <w:tc>
          <w:tcPr>
            <w:tcW w:w="5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13,140,977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13,140,977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48,791,815</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45.6%</w:t>
            </w:r>
          </w:p>
        </w:tc>
      </w:tr>
      <w:tr>
        <w:trPr>
          <w:trHeight w:val="401"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35,650,838</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33.32%</w:t>
            </w:r>
          </w:p>
        </w:tc>
        <w:tc>
          <w:tcPr>
            <w:tcW w:w="5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13,140,977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13,140,977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48,791,815</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45.6%</w:t>
            </w:r>
          </w:p>
        </w:tc>
      </w:tr>
      <w:tr>
        <w:trPr>
          <w:trHeight w:val="715" w:hRule="exact"/>
        </w:trPr>
        <w:tc>
          <w:tcPr>
            <w:tcW w:w="20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107,000,000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12"/>
          <w:szCs w:val="12"/>
        </w:rPr>
      </w:pPr>
    </w:p>
    <w:p>
      <w:pPr>
        <w:pStyle w:val="BodyText"/>
        <w:spacing w:line="386" w:lineRule="auto" w:before="26"/>
        <w:ind w:left="595" w:right="295"/>
        <w:jc w:val="left"/>
      </w:pPr>
      <w:r>
        <w:rPr/>
        <w:t>股份变动的原因如下：                        </w:t>
      </w:r>
      <w:r>
        <w:rPr>
          <w:spacing w:val="24"/>
        </w:rPr>
        <w:t>公司首次公开发行前已发行股份于</w:t>
      </w:r>
      <w:r>
        <w:rPr>
          <w:spacing w:val="-9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3"/>
        </w:rPr>
        <w:t> </w:t>
      </w:r>
      <w:r>
        <w:rPr/>
        <w:t>年</w:t>
      </w:r>
      <w:r>
        <w:rPr>
          <w:spacing w:val="-93"/>
        </w:rPr>
        <w:t> </w:t>
      </w:r>
      <w:r>
        <w:rPr>
          <w:rFonts w:ascii="Times New Roman" w:hAnsi="Times New Roman" w:cs="Times New Roman" w:eastAsia="Times New Roman" w:hint="default"/>
        </w:rPr>
        <w:t>8</w:t>
      </w:r>
      <w:r>
        <w:rPr>
          <w:rFonts w:ascii="Times New Roman" w:hAnsi="Times New Roman" w:cs="Times New Roman" w:eastAsia="Times New Roman" w:hint="default"/>
          <w:spacing w:val="-33"/>
        </w:rPr>
        <w:t> </w:t>
      </w:r>
      <w:r>
        <w:rPr/>
        <w:t>月</w:t>
      </w:r>
      <w:r>
        <w:rPr>
          <w:spacing w:val="-93"/>
        </w:rPr>
        <w:t> </w:t>
      </w:r>
      <w:r>
        <w:rPr>
          <w:rFonts w:ascii="Times New Roman" w:hAnsi="Times New Roman" w:cs="Times New Roman" w:eastAsia="Times New Roman" w:hint="default"/>
        </w:rPr>
        <w:t>21</w:t>
      </w:r>
      <w:r>
        <w:rPr>
          <w:rFonts w:ascii="Times New Roman" w:hAnsi="Times New Roman" w:cs="Times New Roman" w:eastAsia="Times New Roman" w:hint="default"/>
          <w:spacing w:val="-33"/>
        </w:rPr>
        <w:t> </w:t>
      </w:r>
      <w:r>
        <w:rPr>
          <w:spacing w:val="21"/>
        </w:rPr>
        <w:t>日上市流通，</w:t>
      </w:r>
      <w:r>
        <w:rPr>
          <w:spacing w:val="-93"/>
        </w:rPr>
        <w:t> </w:t>
      </w:r>
      <w:r>
        <w:rPr>
          <w:spacing w:val="22"/>
        </w:rPr>
        <w:t>解除限售的数量为</w:t>
      </w:r>
    </w:p>
    <w:p>
      <w:pPr>
        <w:pStyle w:val="BodyText"/>
        <w:spacing w:line="306" w:lineRule="exact" w:before="0"/>
        <w:ind w:left="112" w:right="0"/>
        <w:jc w:val="left"/>
      </w:pPr>
      <w:r>
        <w:rPr>
          <w:rFonts w:ascii="Times New Roman" w:hAnsi="Times New Roman" w:cs="Times New Roman" w:eastAsia="Times New Roman" w:hint="default"/>
        </w:rPr>
        <w:t>69,597,800</w:t>
      </w:r>
      <w:r>
        <w:rPr/>
        <w:t>股，占公司股份总数的</w:t>
      </w:r>
      <w:r>
        <w:rPr>
          <w:rFonts w:ascii="Times New Roman" w:hAnsi="Times New Roman" w:cs="Times New Roman" w:eastAsia="Times New Roman" w:hint="default"/>
        </w:rPr>
        <w:t>65.04%</w:t>
      </w:r>
      <w:r>
        <w:rPr/>
        <w:t>。详见公司于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17</w:t>
      </w:r>
      <w:r>
        <w:rPr/>
        <w:t>日披露的《杭州新世纪信</w:t>
      </w:r>
    </w:p>
    <w:p>
      <w:pPr>
        <w:pStyle w:val="BodyText"/>
        <w:spacing w:line="376" w:lineRule="auto" w:before="138"/>
        <w:ind w:left="595" w:right="279" w:hanging="483"/>
        <w:jc w:val="left"/>
      </w:pPr>
      <w:r>
        <w:rPr/>
        <w:t>息技术股份有限公司限售股份上市流通的提示性公告》（公告编号：</w:t>
      </w:r>
      <w:r>
        <w:rPr>
          <w:rFonts w:ascii="Times New Roman" w:hAnsi="Times New Roman" w:cs="Times New Roman" w:eastAsia="Times New Roman" w:hint="default"/>
        </w:rPr>
        <w:t>2012-042</w:t>
      </w:r>
      <w:r>
        <w:rPr/>
        <w:t>） 股份变动的过户情况如下： </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27</w:t>
      </w:r>
      <w:r>
        <w:rPr>
          <w:spacing w:val="-2"/>
        </w:rPr>
        <w:t>日，本公司披露了公司收到公司实际控制人</w:t>
      </w:r>
      <w:r>
        <w:rPr>
          <w:rFonts w:ascii="Times New Roman" w:hAnsi="Times New Roman" w:cs="Times New Roman" w:eastAsia="Times New Roman" w:hint="default"/>
          <w:spacing w:val="-2"/>
        </w:rPr>
        <w:t>“</w:t>
      </w:r>
      <w:r>
        <w:rPr>
          <w:spacing w:val="-2"/>
        </w:rPr>
        <w:t>徐智勇、陆燕</w:t>
      </w:r>
      <w:r>
        <w:rPr>
          <w:rFonts w:ascii="Times New Roman" w:hAnsi="Times New Roman" w:cs="Times New Roman" w:eastAsia="Times New Roman" w:hint="default"/>
          <w:spacing w:val="-2"/>
        </w:rPr>
        <w:t>”</w:t>
      </w:r>
      <w:r>
        <w:rPr>
          <w:spacing w:val="-2"/>
        </w:rPr>
        <w:t>的通知，徐智勇</w:t>
      </w:r>
    </w:p>
    <w:p>
      <w:pPr>
        <w:pStyle w:val="BodyText"/>
        <w:spacing w:line="317" w:lineRule="exact" w:before="0"/>
        <w:ind w:left="112" w:right="279"/>
        <w:jc w:val="left"/>
      </w:pPr>
      <w:r>
        <w:rPr/>
        <w:t>先生与陆燕女士因为离婚，陆燕将其所持公司</w:t>
      </w:r>
      <w:r>
        <w:rPr>
          <w:rFonts w:ascii="Times New Roman" w:hAnsi="Times New Roman" w:cs="Times New Roman" w:eastAsia="Times New Roman" w:hint="default"/>
        </w:rPr>
        <w:t>23,097,992</w:t>
      </w:r>
      <w:r>
        <w:rPr/>
        <w:t>股股票（占公司现有股本总额的</w:t>
      </w:r>
    </w:p>
    <w:p>
      <w:pPr>
        <w:pStyle w:val="BodyText"/>
        <w:spacing w:line="338" w:lineRule="auto" w:before="135"/>
        <w:ind w:left="112" w:right="292"/>
        <w:jc w:val="both"/>
      </w:pPr>
      <w:r>
        <w:rPr>
          <w:rFonts w:ascii="Times New Roman" w:hAnsi="Times New Roman" w:cs="Times New Roman" w:eastAsia="Times New Roman" w:hint="default"/>
          <w:w w:val="99"/>
        </w:rPr>
        <w:t>21.59</w:t>
      </w:r>
      <w:r>
        <w:rPr>
          <w:rFonts w:ascii="Times New Roman" w:hAnsi="Times New Roman" w:cs="Times New Roman" w:eastAsia="Times New Roman" w:hint="default"/>
          <w:spacing w:val="-1"/>
          <w:w w:val="99"/>
        </w:rPr>
        <w:t>%</w:t>
      </w:r>
      <w:r>
        <w:rPr>
          <w:spacing w:val="-89"/>
          <w:w w:val="99"/>
        </w:rPr>
        <w:t>）</w:t>
      </w:r>
      <w:r>
        <w:rPr>
          <w:w w:val="99"/>
        </w:rPr>
        <w:t>部分分割给徐智勇</w:t>
      </w:r>
      <w:r>
        <w:rPr>
          <w:spacing w:val="-92"/>
          <w:w w:val="99"/>
        </w:rPr>
        <w:t>，</w:t>
      </w:r>
      <w:r>
        <w:rPr>
          <w:w w:val="99"/>
        </w:rPr>
        <w:t>其中</w:t>
      </w:r>
      <w:r>
        <w:rPr>
          <w:spacing w:val="-92"/>
          <w:w w:val="99"/>
        </w:rPr>
        <w:t>，</w:t>
      </w:r>
      <w:r>
        <w:rPr>
          <w:w w:val="99"/>
        </w:rPr>
        <w:t>徐智勇分</w:t>
      </w:r>
      <w:r>
        <w:rPr>
          <w:spacing w:val="2"/>
          <w:w w:val="99"/>
        </w:rPr>
        <w:t>得</w:t>
      </w:r>
      <w:r>
        <w:rPr>
          <w:rFonts w:ascii="Times New Roman" w:hAnsi="Times New Roman" w:cs="Times New Roman" w:eastAsia="Times New Roman" w:hint="default"/>
          <w:w w:val="99"/>
        </w:rPr>
        <w:t>18,097,992</w:t>
      </w:r>
      <w:r>
        <w:rPr>
          <w:spacing w:val="-92"/>
          <w:w w:val="99"/>
        </w:rPr>
        <w:t>股</w:t>
      </w:r>
      <w:r>
        <w:rPr>
          <w:w w:val="99"/>
        </w:rPr>
        <w:t>（占公司现有股本总额的</w:t>
      </w:r>
      <w:r>
        <w:rPr>
          <w:rFonts w:ascii="Times New Roman" w:hAnsi="Times New Roman" w:cs="Times New Roman" w:eastAsia="Times New Roman" w:hint="default"/>
          <w:w w:val="99"/>
        </w:rPr>
        <w:t>16.91</w:t>
      </w:r>
      <w:r>
        <w:rPr>
          <w:rFonts w:ascii="Times New Roman" w:hAnsi="Times New Roman" w:cs="Times New Roman" w:eastAsia="Times New Roman" w:hint="default"/>
          <w:spacing w:val="-1"/>
          <w:w w:val="99"/>
        </w:rPr>
        <w:t>%</w:t>
      </w:r>
      <w:r>
        <w:rPr>
          <w:spacing w:val="-120"/>
          <w:w w:val="99"/>
        </w:rPr>
        <w:t>）</w:t>
      </w:r>
      <w:r>
        <w:rPr>
          <w:w w:val="50"/>
        </w:rPr>
        <w:t>，</w:t>
      </w:r>
      <w:r>
        <w:rPr>
          <w:w w:val="50"/>
        </w:rPr>
        <w:t> </w:t>
      </w:r>
      <w:r>
        <w:rPr>
          <w:spacing w:val="-5"/>
        </w:rPr>
        <w:t>陆燕分得</w:t>
      </w:r>
      <w:r>
        <w:rPr>
          <w:rFonts w:ascii="Times New Roman" w:hAnsi="Times New Roman" w:cs="Times New Roman" w:eastAsia="Times New Roman" w:hint="default"/>
          <w:spacing w:val="-5"/>
        </w:rPr>
        <w:t>5,000,000</w:t>
      </w:r>
      <w:r>
        <w:rPr>
          <w:spacing w:val="-5"/>
        </w:rPr>
        <w:t>股（占公司现有股本总额的</w:t>
      </w:r>
      <w:r>
        <w:rPr>
          <w:rFonts w:ascii="Times New Roman" w:hAnsi="Times New Roman" w:cs="Times New Roman" w:eastAsia="Times New Roman" w:hint="default"/>
          <w:spacing w:val="-5"/>
        </w:rPr>
        <w:t>4.67%</w:t>
      </w:r>
      <w:r>
        <w:rPr>
          <w:spacing w:val="-5"/>
        </w:rPr>
        <w:t>）。详见公司于</w:t>
      </w:r>
      <w:r>
        <w:rPr>
          <w:rFonts w:ascii="Times New Roman" w:hAnsi="Times New Roman" w:cs="Times New Roman" w:eastAsia="Times New Roman" w:hint="default"/>
          <w:spacing w:val="-5"/>
        </w:rPr>
        <w:t>2012</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27</w:t>
      </w:r>
      <w:r>
        <w:rPr>
          <w:spacing w:val="-5"/>
        </w:rPr>
        <w:t>日披露的《杭</w:t>
      </w:r>
      <w:r>
        <w:rPr>
          <w:spacing w:val="-86"/>
        </w:rPr>
        <w:t> </w:t>
      </w:r>
      <w:r>
        <w:rPr>
          <w:spacing w:val="-86"/>
        </w:rPr>
      </w:r>
      <w:r>
        <w:rPr/>
        <w:t>州新世纪信息技术股份有限公司提示性公告》（公告编号：</w:t>
      </w:r>
      <w:r>
        <w:rPr>
          <w:rFonts w:ascii="Times New Roman" w:hAnsi="Times New Roman" w:cs="Times New Roman" w:eastAsia="Times New Roman" w:hint="default"/>
        </w:rPr>
        <w:t>2012-025</w:t>
      </w:r>
      <w:r>
        <w:rPr/>
        <w:t>）</w:t>
      </w:r>
    </w:p>
    <w:p>
      <w:pPr>
        <w:pStyle w:val="Heading3"/>
        <w:spacing w:line="240" w:lineRule="auto" w:before="171"/>
        <w:ind w:right="279"/>
        <w:jc w:val="left"/>
        <w:rPr>
          <w:b w:val="0"/>
          <w:bCs w:val="0"/>
        </w:rPr>
      </w:pPr>
      <w:r>
        <w:rPr/>
        <w:t>二、股东和实际控制人情况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before="0"/>
        <w:ind w:left="119" w:right="27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、公司股东数量及持股情况</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9"/>
          <w:szCs w:val="19"/>
        </w:rPr>
      </w:pPr>
    </w:p>
    <w:p>
      <w:pPr>
        <w:spacing w:before="0"/>
        <w:ind w:left="0" w:right="292" w:firstLine="0"/>
        <w:jc w:val="right"/>
        <w:rPr>
          <w:rFonts w:ascii="宋体" w:hAnsi="宋体" w:cs="宋体" w:eastAsia="宋体" w:hint="default"/>
          <w:sz w:val="18"/>
          <w:szCs w:val="18"/>
        </w:rPr>
      </w:pPr>
      <w:r>
        <w:rPr/>
        <w:pict>
          <v:group style="position:absolute;margin-left:547.559998pt;margin-top:51.431702pt;width:.1pt;height:10.35pt;mso-position-horizontal-relative:page;mso-position-vertical-relative:paragraph;z-index:2152" coordorigin="10951,1029" coordsize="2,207">
            <v:shape style="position:absolute;left:10951;top:1029;width:2;height:207" coordorigin="10951,1029" coordsize="0,207" path="m10951,1029l10951,1235e" filled="false" stroked="true" strokeweight=".12pt" strokecolor="#000000">
              <v:path arrowok="t"/>
            </v:shape>
            <w10:wrap type="none"/>
          </v:group>
        </w:pict>
      </w: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729"/>
        <w:gridCol w:w="1368"/>
        <w:gridCol w:w="4104"/>
        <w:gridCol w:w="1368"/>
      </w:tblGrid>
      <w:tr>
        <w:trPr>
          <w:trHeight w:val="403" w:hRule="exact"/>
        </w:trPr>
        <w:tc>
          <w:tcPr>
            <w:tcW w:w="27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0" w:right="0"/>
              <w:jc w:val="left"/>
              <w:rPr>
                <w:rFonts w:ascii="Times New Roman" w:hAnsi="Times New Roman" w:cs="Times New Roman" w:eastAsia="Times New Roman" w:hint="default"/>
                <w:sz w:val="18"/>
                <w:szCs w:val="18"/>
              </w:rPr>
            </w:pPr>
            <w:r>
              <w:rPr>
                <w:rFonts w:ascii="Times New Roman"/>
                <w:sz w:val="18"/>
              </w:rPr>
              <w:t>12,535</w:t>
            </w:r>
          </w:p>
        </w:tc>
        <w:tc>
          <w:tcPr>
            <w:tcW w:w="41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5" w:right="0"/>
              <w:jc w:val="left"/>
              <w:rPr>
                <w:rFonts w:ascii="Times New Roman" w:hAnsi="Times New Roman" w:cs="Times New Roman" w:eastAsia="Times New Roman" w:hint="default"/>
                <w:sz w:val="18"/>
                <w:szCs w:val="18"/>
              </w:rPr>
            </w:pPr>
            <w:r>
              <w:rPr>
                <w:rFonts w:ascii="Times New Roman"/>
                <w:sz w:val="18"/>
              </w:rPr>
              <w:t>12489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1020" w:right="840"/>
        </w:sectPr>
      </w:pPr>
    </w:p>
    <w:p>
      <w:pPr>
        <w:spacing w:line="240" w:lineRule="auto" w:before="0"/>
        <w:rPr>
          <w:rFonts w:ascii="Times New Roman" w:hAnsi="Times New Roman" w:cs="Times New Roman" w:eastAsia="Times New Roman" w:hint="default"/>
          <w:sz w:val="20"/>
          <w:szCs w:val="20"/>
        </w:rPr>
      </w:pPr>
      <w:r>
        <w:rPr/>
        <w:pict>
          <v:shape style="position:absolute;margin-left:187.199997pt;margin-top:422.76001pt;width:347.8pt;height:35.4pt;mso-position-horizontal-relative:page;mso-position-vertical-relative:page;z-index:-6049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6"/>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47.639999pt;margin-top:781.919983pt;width:.1pt;height:10.35pt;mso-position-horizontal-relative:page;mso-position-vertical-relative:page;z-index:2200" coordorigin="953,15638" coordsize="2,207">
            <v:shape style="position:absolute;left:953;top:15638;width:2;height:207" coordorigin="953,15638" coordsize="0,207" path="m953,15638l953,15845e" filled="false" stroked="true" strokeweight=".12pt" strokecolor="#000000">
              <v:path arrowok="t"/>
            </v:shape>
            <w10:wrap type="none"/>
          </v:group>
        </w:pict>
      </w:r>
      <w:r>
        <w:rPr/>
        <w:pict>
          <v:group style="position:absolute;margin-left:193.199997pt;margin-top:422.76001pt;width:341.8pt;height:35.4pt;mso-position-horizontal-relative:page;mso-position-vertical-relative:page;z-index:-604912" coordorigin="3864,8455" coordsize="6836,708">
            <v:shape style="position:absolute;left:3864;top:8455;width:6836;height:708" coordorigin="3864,8455" coordsize="6836,708" path="m3864,8455l3864,9163,10699,9163,10699,8455,3864,845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287" w:type="dxa"/>
        <w:tblLayout w:type="fixed"/>
        <w:tblCellMar>
          <w:top w:w="0" w:type="dxa"/>
          <w:left w:w="0" w:type="dxa"/>
          <w:bottom w:w="0" w:type="dxa"/>
          <w:right w:w="0" w:type="dxa"/>
        </w:tblCellMar>
        <w:tblLook w:val="01E0"/>
      </w:tblPr>
      <w:tblGrid>
        <w:gridCol w:w="1361"/>
        <w:gridCol w:w="1368"/>
        <w:gridCol w:w="816"/>
        <w:gridCol w:w="1236"/>
        <w:gridCol w:w="684"/>
        <w:gridCol w:w="914"/>
        <w:gridCol w:w="454"/>
        <w:gridCol w:w="538"/>
        <w:gridCol w:w="830"/>
        <w:gridCol w:w="305"/>
        <w:gridCol w:w="1063"/>
      </w:tblGrid>
      <w:tr>
        <w:trPr>
          <w:trHeight w:val="401"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403" w:hRule="exact"/>
        </w:trPr>
        <w:tc>
          <w:tcPr>
            <w:tcW w:w="13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31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434" w:right="71" w:hanging="360"/>
              <w:jc w:val="left"/>
              <w:rPr>
                <w:rFonts w:ascii="宋体" w:hAnsi="宋体" w:cs="宋体" w:eastAsia="宋体" w:hint="default"/>
                <w:sz w:val="18"/>
                <w:szCs w:val="18"/>
              </w:rPr>
            </w:pPr>
            <w:r>
              <w:rPr>
                <w:rFonts w:ascii="宋体" w:hAnsi="宋体" w:cs="宋体" w:eastAsia="宋体" w:hint="default"/>
                <w:sz w:val="18"/>
                <w:szCs w:val="18"/>
              </w:rPr>
              <w:t>报告期末持股 数量</w:t>
            </w: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67" w:right="65"/>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99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43" w:right="36"/>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19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936" w:hRule="exact"/>
        </w:trPr>
        <w:tc>
          <w:tcPr>
            <w:tcW w:w="1361"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816" w:type="dxa"/>
            <w:vMerge/>
            <w:tcBorders>
              <w:left w:val="single" w:sz="4" w:space="0" w:color="000000"/>
              <w:bottom w:val="single" w:sz="4" w:space="0" w:color="000000"/>
              <w:right w:val="single" w:sz="4" w:space="0" w:color="000000"/>
            </w:tcBorders>
            <w:shd w:val="clear" w:color="auto" w:fill="D3D3D3"/>
          </w:tcPr>
          <w:p>
            <w:pPr/>
          </w:p>
        </w:tc>
        <w:tc>
          <w:tcPr>
            <w:tcW w:w="1236"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914" w:type="dxa"/>
            <w:vMerge/>
            <w:tcBorders>
              <w:left w:val="single" w:sz="4" w:space="0" w:color="000000"/>
              <w:bottom w:val="single" w:sz="4" w:space="0" w:color="000000"/>
              <w:right w:val="single" w:sz="4" w:space="0" w:color="000000"/>
            </w:tcBorders>
            <w:shd w:val="clear" w:color="auto" w:fill="D3D3D3"/>
          </w:tcPr>
          <w:p>
            <w:pPr/>
          </w:p>
        </w:tc>
        <w:tc>
          <w:tcPr>
            <w:tcW w:w="991" w:type="dxa"/>
            <w:gridSpan w:val="2"/>
            <w:vMerge/>
            <w:tcBorders>
              <w:left w:val="single" w:sz="4" w:space="0" w:color="000000"/>
              <w:bottom w:val="single" w:sz="4" w:space="0" w:color="000000"/>
              <w:right w:val="single" w:sz="4" w:space="0" w:color="000000"/>
            </w:tcBorders>
            <w:shd w:val="clear" w:color="auto" w:fill="D3D3D3"/>
          </w:tcPr>
          <w:p>
            <w:pPr/>
          </w:p>
        </w:tc>
        <w:tc>
          <w:tcPr>
            <w:tcW w:w="11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04"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徐智勇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16.91%</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18,097,992</w:t>
            </w:r>
          </w:p>
        </w:tc>
        <w:tc>
          <w:tcPr>
            <w:tcW w:w="68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18,097,992</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40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高雁峰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14.46%</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15,469,936</w:t>
            </w:r>
          </w:p>
        </w:tc>
        <w:tc>
          <w:tcPr>
            <w:tcW w:w="68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11,602,452</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0" w:right="0"/>
              <w:jc w:val="left"/>
              <w:rPr>
                <w:rFonts w:ascii="Times New Roman" w:hAnsi="Times New Roman" w:cs="Times New Roman" w:eastAsia="Times New Roman" w:hint="default"/>
                <w:sz w:val="18"/>
                <w:szCs w:val="18"/>
              </w:rPr>
            </w:pPr>
            <w:r>
              <w:rPr>
                <w:rFonts w:ascii="Times New Roman"/>
                <w:sz w:val="18"/>
              </w:rPr>
              <w:t>3,867,484</w:t>
            </w:r>
          </w:p>
        </w:tc>
        <w:tc>
          <w:tcPr>
            <w:tcW w:w="1135"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滕学军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14.46%</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15,469,936</w:t>
            </w:r>
          </w:p>
        </w:tc>
        <w:tc>
          <w:tcPr>
            <w:tcW w:w="68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11,602,452</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3,867,484</w:t>
            </w:r>
          </w:p>
        </w:tc>
        <w:tc>
          <w:tcPr>
            <w:tcW w:w="1135"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乔文东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10.84%</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11,602,452</w:t>
            </w:r>
          </w:p>
        </w:tc>
        <w:tc>
          <w:tcPr>
            <w:tcW w:w="68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11,602,452</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10,850,000</w:t>
            </w:r>
          </w:p>
        </w:tc>
      </w:tr>
      <w:tr>
        <w:trPr>
          <w:trHeight w:val="40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陆燕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3.74%</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3,750,000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4" w:right="0"/>
              <w:jc w:val="left"/>
              <w:rPr>
                <w:rFonts w:ascii="Times New Roman" w:hAnsi="Times New Roman" w:cs="Times New Roman" w:eastAsia="Times New Roman" w:hint="default"/>
                <w:sz w:val="18"/>
                <w:szCs w:val="18"/>
              </w:rPr>
            </w:pPr>
            <w:r>
              <w:rPr>
                <w:rFonts w:ascii="Times New Roman"/>
                <w:sz w:val="18"/>
              </w:rPr>
              <w:t>250,000</w:t>
            </w:r>
          </w:p>
        </w:tc>
        <w:tc>
          <w:tcPr>
            <w:tcW w:w="1135"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徐哲</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1.96%</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2,095,773</w:t>
            </w:r>
          </w:p>
        </w:tc>
        <w:tc>
          <w:tcPr>
            <w:tcW w:w="68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0" w:right="0"/>
              <w:jc w:val="left"/>
              <w:rPr>
                <w:rFonts w:ascii="Times New Roman" w:hAnsi="Times New Roman" w:cs="Times New Roman" w:eastAsia="Times New Roman" w:hint="default"/>
                <w:sz w:val="18"/>
                <w:szCs w:val="18"/>
              </w:rPr>
            </w:pPr>
            <w:r>
              <w:rPr>
                <w:rFonts w:ascii="Times New Roman"/>
                <w:sz w:val="18"/>
              </w:rPr>
              <w:t>2,095,773</w:t>
            </w:r>
          </w:p>
        </w:tc>
        <w:tc>
          <w:tcPr>
            <w:tcW w:w="1135"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李云水</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1.04%</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1,113,950</w:t>
            </w:r>
          </w:p>
        </w:tc>
        <w:tc>
          <w:tcPr>
            <w:tcW w:w="68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1,113,862</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88</w:t>
            </w:r>
          </w:p>
        </w:tc>
        <w:tc>
          <w:tcPr>
            <w:tcW w:w="1135"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both"/>
              <w:rPr>
                <w:rFonts w:ascii="宋体" w:hAnsi="宋体" w:cs="宋体" w:eastAsia="宋体" w:hint="default"/>
                <w:sz w:val="18"/>
                <w:szCs w:val="18"/>
              </w:rPr>
            </w:pPr>
            <w:r>
              <w:rPr>
                <w:rFonts w:ascii="宋体" w:hAnsi="宋体" w:cs="宋体" w:eastAsia="宋体" w:hint="default"/>
                <w:sz w:val="18"/>
                <w:szCs w:val="18"/>
              </w:rPr>
              <w:t>中国建设银行－ 摩根士丹利华鑫 多因子精选策略 股票型证券投资 基金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0.47%</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506,718</w:t>
            </w:r>
          </w:p>
        </w:tc>
        <w:tc>
          <w:tcPr>
            <w:tcW w:w="68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z w:val="18"/>
              </w:rPr>
              <w:t>506,718</w:t>
            </w:r>
          </w:p>
        </w:tc>
        <w:tc>
          <w:tcPr>
            <w:tcW w:w="1135"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陈先红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0.45%</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482,157</w:t>
            </w:r>
          </w:p>
        </w:tc>
        <w:tc>
          <w:tcPr>
            <w:tcW w:w="68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4" w:right="0"/>
              <w:jc w:val="left"/>
              <w:rPr>
                <w:rFonts w:ascii="Times New Roman" w:hAnsi="Times New Roman" w:cs="Times New Roman" w:eastAsia="Times New Roman" w:hint="default"/>
                <w:sz w:val="18"/>
                <w:szCs w:val="18"/>
              </w:rPr>
            </w:pPr>
            <w:r>
              <w:rPr>
                <w:rFonts w:ascii="Times New Roman"/>
                <w:sz w:val="18"/>
              </w:rPr>
              <w:t>482,157</w:t>
            </w:r>
          </w:p>
        </w:tc>
        <w:tc>
          <w:tcPr>
            <w:tcW w:w="1135"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俞国英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0.45%</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477,869</w:t>
            </w:r>
          </w:p>
        </w:tc>
        <w:tc>
          <w:tcPr>
            <w:tcW w:w="684"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4" w:right="0"/>
              <w:jc w:val="left"/>
              <w:rPr>
                <w:rFonts w:ascii="Times New Roman" w:hAnsi="Times New Roman" w:cs="Times New Roman" w:eastAsia="Times New Roman" w:hint="default"/>
                <w:sz w:val="18"/>
                <w:szCs w:val="18"/>
              </w:rPr>
            </w:pPr>
            <w:r>
              <w:rPr>
                <w:rFonts w:ascii="Times New Roman"/>
                <w:sz w:val="18"/>
              </w:rPr>
              <w:t>477,869</w:t>
            </w:r>
          </w:p>
        </w:tc>
        <w:tc>
          <w:tcPr>
            <w:tcW w:w="1135"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7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名股东的情况（如有</w:t>
            </w:r>
          </w:p>
        </w:tc>
        <w:tc>
          <w:tcPr>
            <w:tcW w:w="684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7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0" w:type="dxa"/>
            <w:gridSpan w:val="9"/>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3"/>
              <w:jc w:val="left"/>
              <w:rPr>
                <w:rFonts w:ascii="宋体" w:hAnsi="宋体" w:cs="宋体" w:eastAsia="宋体" w:hint="default"/>
                <w:sz w:val="18"/>
                <w:szCs w:val="18"/>
              </w:rPr>
            </w:pPr>
            <w:r>
              <w:rPr>
                <w:rFonts w:ascii="宋体" w:hAnsi="宋体" w:cs="宋体" w:eastAsia="宋体" w:hint="default"/>
                <w:spacing w:val="-2"/>
                <w:sz w:val="18"/>
                <w:szCs w:val="18"/>
              </w:rPr>
              <w:t>公司前五大限售股东为一致行动人，是公司实际控制人。未知其他股东相互之间是否存</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在关联关系，也未知是否属于《上市公司收购管理办法》中规定的一致行动人。</w:t>
            </w:r>
          </w:p>
        </w:tc>
      </w:tr>
      <w:tr>
        <w:trPr>
          <w:trHeight w:val="401"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3" w:hRule="exact"/>
        </w:trPr>
        <w:tc>
          <w:tcPr>
            <w:tcW w:w="272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4"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年末持有无限售条件股份数量（注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273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1" w:hRule="exact"/>
        </w:trPr>
        <w:tc>
          <w:tcPr>
            <w:tcW w:w="2729" w:type="dxa"/>
            <w:gridSpan w:val="2"/>
            <w:vMerge/>
            <w:tcBorders>
              <w:left w:val="single" w:sz="4" w:space="0" w:color="000000"/>
              <w:bottom w:val="single" w:sz="4" w:space="0" w:color="000000"/>
              <w:right w:val="single" w:sz="4" w:space="0" w:color="000000"/>
            </w:tcBorders>
            <w:shd w:val="clear" w:color="auto" w:fill="D3D3D3"/>
          </w:tcPr>
          <w:p>
            <w:pPr/>
          </w:p>
        </w:tc>
        <w:tc>
          <w:tcPr>
            <w:tcW w:w="4104" w:type="dxa"/>
            <w:gridSpan w:val="5"/>
            <w:vMerge/>
            <w:tcBorders>
              <w:left w:val="single" w:sz="4" w:space="0" w:color="000000"/>
              <w:bottom w:val="single" w:sz="4" w:space="0" w:color="000000"/>
              <w:right w:val="single" w:sz="4" w:space="0" w:color="000000"/>
            </w:tcBorders>
            <w:shd w:val="clear" w:color="auto" w:fill="D3D3D3"/>
          </w:tcPr>
          <w:p>
            <w:pPr/>
          </w:p>
        </w:tc>
        <w:tc>
          <w:tcPr>
            <w:tcW w:w="13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3"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高雁峰</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3,867,484</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6" w:right="0"/>
              <w:jc w:val="left"/>
              <w:rPr>
                <w:rFonts w:ascii="Times New Roman" w:hAnsi="Times New Roman" w:cs="Times New Roman" w:eastAsia="Times New Roman" w:hint="default"/>
                <w:sz w:val="18"/>
                <w:szCs w:val="18"/>
              </w:rPr>
            </w:pPr>
            <w:r>
              <w:rPr>
                <w:rFonts w:ascii="Times New Roman"/>
                <w:sz w:val="18"/>
              </w:rPr>
              <w:t>3,867,484</w:t>
            </w:r>
          </w:p>
        </w:tc>
      </w:tr>
      <w:tr>
        <w:trPr>
          <w:trHeight w:val="401"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滕学军</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3,867,484</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3,867,484</w:t>
            </w:r>
          </w:p>
        </w:tc>
      </w:tr>
      <w:tr>
        <w:trPr>
          <w:trHeight w:val="403"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徐哲</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2,095,773</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6" w:right="0"/>
              <w:jc w:val="left"/>
              <w:rPr>
                <w:rFonts w:ascii="Times New Roman" w:hAnsi="Times New Roman" w:cs="Times New Roman" w:eastAsia="Times New Roman" w:hint="default"/>
                <w:sz w:val="18"/>
                <w:szCs w:val="18"/>
              </w:rPr>
            </w:pPr>
            <w:r>
              <w:rPr>
                <w:rFonts w:ascii="Times New Roman"/>
                <w:sz w:val="18"/>
              </w:rPr>
              <w:t>2,095,773</w:t>
            </w:r>
          </w:p>
        </w:tc>
      </w:tr>
      <w:tr>
        <w:trPr>
          <w:trHeight w:val="1025"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both"/>
              <w:rPr>
                <w:rFonts w:ascii="宋体" w:hAnsi="宋体" w:cs="宋体" w:eastAsia="宋体" w:hint="default"/>
                <w:sz w:val="18"/>
                <w:szCs w:val="18"/>
              </w:rPr>
            </w:pPr>
            <w:r>
              <w:rPr>
                <w:rFonts w:ascii="宋体" w:hAnsi="宋体" w:cs="宋体" w:eastAsia="宋体" w:hint="default"/>
                <w:sz w:val="18"/>
                <w:szCs w:val="18"/>
              </w:rPr>
              <w:t>中国建设银行－摩根士丹利华鑫 多因子精选策略股票型证券投资 基金</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506,718</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506,718</w:t>
            </w:r>
          </w:p>
        </w:tc>
      </w:tr>
      <w:tr>
        <w:trPr>
          <w:trHeight w:val="403"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陈先红</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482,157</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1" w:right="0"/>
              <w:jc w:val="left"/>
              <w:rPr>
                <w:rFonts w:ascii="Times New Roman" w:hAnsi="Times New Roman" w:cs="Times New Roman" w:eastAsia="Times New Roman" w:hint="default"/>
                <w:sz w:val="18"/>
                <w:szCs w:val="18"/>
              </w:rPr>
            </w:pPr>
            <w:r>
              <w:rPr>
                <w:rFonts w:ascii="Times New Roman"/>
                <w:sz w:val="18"/>
              </w:rPr>
              <w:t>482,157</w:t>
            </w:r>
          </w:p>
        </w:tc>
      </w:tr>
      <w:tr>
        <w:trPr>
          <w:trHeight w:val="401"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俞国英</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477,869</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477,869</w:t>
            </w:r>
          </w:p>
        </w:tc>
      </w:tr>
      <w:tr>
        <w:trPr>
          <w:trHeight w:val="403"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曹国熊</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400,000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1" w:right="0"/>
              <w:jc w:val="left"/>
              <w:rPr>
                <w:rFonts w:ascii="Times New Roman" w:hAnsi="Times New Roman" w:cs="Times New Roman" w:eastAsia="Times New Roman" w:hint="default"/>
                <w:sz w:val="18"/>
                <w:szCs w:val="18"/>
              </w:rPr>
            </w:pPr>
            <w:r>
              <w:rPr>
                <w:rFonts w:ascii="Times New Roman"/>
                <w:sz w:val="18"/>
              </w:rPr>
              <w:t>400,000</w:t>
            </w:r>
          </w:p>
        </w:tc>
      </w:tr>
      <w:tr>
        <w:trPr>
          <w:trHeight w:val="401"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石珏</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303,424</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303,424</w:t>
            </w:r>
          </w:p>
        </w:tc>
      </w:tr>
      <w:tr>
        <w:trPr>
          <w:trHeight w:val="403"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陆燕</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250,000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1" w:right="0"/>
              <w:jc w:val="left"/>
              <w:rPr>
                <w:rFonts w:ascii="Times New Roman" w:hAnsi="Times New Roman" w:cs="Times New Roman" w:eastAsia="Times New Roman" w:hint="default"/>
                <w:sz w:val="18"/>
                <w:szCs w:val="18"/>
              </w:rPr>
            </w:pPr>
            <w:r>
              <w:rPr>
                <w:rFonts w:ascii="Times New Roman"/>
                <w:sz w:val="18"/>
              </w:rPr>
              <w:t>250,000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840" w:right="10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2729"/>
        <w:gridCol w:w="4104"/>
        <w:gridCol w:w="1368"/>
        <w:gridCol w:w="1368"/>
      </w:tblGrid>
      <w:tr>
        <w:trPr>
          <w:trHeight w:val="401"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bookmarkStart w:name="2、公司控股股东情况" w:id="62"/>
            <w:bookmarkEnd w:id="62"/>
            <w:r>
              <w:rPr/>
            </w:r>
            <w:bookmarkStart w:name="3、公司实际控制人情况" w:id="63"/>
            <w:bookmarkEnd w:id="63"/>
            <w:r>
              <w:rPr/>
            </w:r>
            <w:r>
              <w:rPr>
                <w:rFonts w:ascii="宋体" w:hAnsi="宋体" w:cs="宋体" w:eastAsia="宋体" w:hint="default"/>
                <w:sz w:val="18"/>
                <w:szCs w:val="18"/>
              </w:rPr>
              <w:t>高志辉</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246,877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246,877</w:t>
            </w:r>
          </w:p>
        </w:tc>
      </w:tr>
      <w:tr>
        <w:trPr>
          <w:trHeight w:val="363" w:hRule="exact"/>
        </w:trPr>
        <w:tc>
          <w:tcPr>
            <w:tcW w:w="2729"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tc>
        <w:tc>
          <w:tcPr>
            <w:tcW w:w="6840" w:type="dxa"/>
            <w:gridSpan w:val="3"/>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72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tc>
        <w:tc>
          <w:tcPr>
            <w:tcW w:w="6840"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2"/>
                <w:sz w:val="18"/>
                <w:szCs w:val="18"/>
              </w:rPr>
              <w:t>前十名无限售条件股东之间，未知是否存在关联关系，也未知是否属于《上市公司收购</w:t>
            </w:r>
          </w:p>
        </w:tc>
      </w:tr>
      <w:tr>
        <w:trPr>
          <w:trHeight w:val="312" w:hRule="exact"/>
        </w:trPr>
        <w:tc>
          <w:tcPr>
            <w:tcW w:w="272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w:t>
            </w:r>
          </w:p>
        </w:tc>
        <w:tc>
          <w:tcPr>
            <w:tcW w:w="6840"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管理办法》中规定的一致行动人。</w:t>
            </w:r>
          </w:p>
        </w:tc>
      </w:tr>
      <w:tr>
        <w:trPr>
          <w:trHeight w:val="353" w:hRule="exact"/>
        </w:trPr>
        <w:tc>
          <w:tcPr>
            <w:tcW w:w="2729"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行动的说明</w:t>
            </w:r>
          </w:p>
        </w:tc>
        <w:tc>
          <w:tcPr>
            <w:tcW w:w="6840" w:type="dxa"/>
            <w:gridSpan w:val="3"/>
            <w:tcBorders>
              <w:top w:val="nil" w:sz="6" w:space="0" w:color="auto"/>
              <w:left w:val="single" w:sz="4" w:space="0" w:color="000000"/>
              <w:bottom w:val="single" w:sz="4" w:space="0" w:color="000000"/>
              <w:right w:val="single" w:sz="4" w:space="0" w:color="000000"/>
            </w:tcBorders>
          </w:tcPr>
          <w:p>
            <w:pPr/>
          </w:p>
        </w:tc>
      </w:tr>
      <w:tr>
        <w:trPr>
          <w:trHeight w:val="713" w:hRule="exact"/>
        </w:trPr>
        <w:tc>
          <w:tcPr>
            <w:tcW w:w="27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8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Times New Roman" w:hAnsi="Times New Roman" w:cs="Times New Roman" w:eastAsia="Times New Roman" w:hint="default"/>
          <w:sz w:val="22"/>
          <w:szCs w:val="22"/>
        </w:rPr>
      </w:pPr>
    </w:p>
    <w:p>
      <w:pPr>
        <w:spacing w:line="333" w:lineRule="exact" w:before="0"/>
        <w:ind w:left="119" w:right="27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、公司控股股东情况</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3336"/>
        <w:gridCol w:w="2057"/>
        <w:gridCol w:w="4176"/>
      </w:tblGrid>
      <w:tr>
        <w:trPr>
          <w:trHeight w:val="401" w:hRule="exact"/>
        </w:trPr>
        <w:tc>
          <w:tcPr>
            <w:tcW w:w="3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徐智勇</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滕学军</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高雁峰</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乔文东</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陆燕</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3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、徐智勇</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9"/>
                <w:sz w:val="18"/>
                <w:szCs w:val="18"/>
              </w:rPr>
              <w:t> </w:t>
            </w:r>
            <w:r>
              <w:rPr>
                <w:rFonts w:ascii="宋体" w:hAnsi="宋体" w:cs="宋体" w:eastAsia="宋体" w:hint="default"/>
                <w:spacing w:val="-3"/>
                <w:sz w:val="18"/>
                <w:szCs w:val="18"/>
              </w:rPr>
              <w:t>年起担任公司董事长、总经理，</w:t>
            </w:r>
            <w:r>
              <w:rPr>
                <w:rFonts w:ascii="Times New Roman" w:hAnsi="Times New Roman" w:cs="Times New Roman" w:eastAsia="Times New Roman" w:hint="default"/>
                <w:spacing w:val="-3"/>
                <w:sz w:val="18"/>
                <w:szCs w:val="18"/>
              </w:rPr>
              <w:t>2009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月起担任公司董事长；</w:t>
            </w:r>
          </w:p>
          <w:p>
            <w:pPr>
              <w:pStyle w:val="TableParagraph"/>
              <w:spacing w:line="300" w:lineRule="auto" w:before="63"/>
              <w:ind w:left="24"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、滕学军一直担任公司副董事长</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月起兼任公司总经理；</w:t>
            </w:r>
            <w:r>
              <w:rPr>
                <w:rFonts w:ascii="Times New Roman" w:hAnsi="Times New Roman" w:cs="Times New Roman" w:eastAsia="Times New Roman" w:hint="default"/>
                <w:sz w:val="18"/>
                <w:szCs w:val="18"/>
              </w:rPr>
              <w:t>3</w:t>
            </w:r>
            <w:r>
              <w:rPr>
                <w:rFonts w:ascii="宋体" w:hAnsi="宋体" w:cs="宋体" w:eastAsia="宋体" w:hint="default"/>
                <w:sz w:val="18"/>
                <w:szCs w:val="18"/>
              </w:rPr>
              <w:t>、高雁峰一 </w:t>
            </w:r>
            <w:r>
              <w:rPr>
                <w:rFonts w:ascii="宋体" w:hAnsi="宋体" w:cs="宋体" w:eastAsia="宋体" w:hint="default"/>
                <w:spacing w:val="-1"/>
                <w:sz w:val="18"/>
                <w:szCs w:val="18"/>
              </w:rPr>
              <w:t>直担任公司董事兼副总经理；</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、乔文东曾任杭州新世纪信息技术有限公司总经</w:t>
            </w:r>
            <w:r>
              <w:rPr>
                <w:rFonts w:ascii="宋体" w:hAnsi="宋体" w:cs="宋体" w:eastAsia="宋体" w:hint="default"/>
                <w:sz w:val="18"/>
                <w:szCs w:val="18"/>
              </w:rPr>
              <w:t> 理、副总经理，现任公司董事；</w:t>
            </w:r>
            <w:r>
              <w:rPr>
                <w:rFonts w:ascii="Times New Roman" w:hAnsi="Times New Roman" w:cs="Times New Roman" w:eastAsia="Times New Roman" w:hint="default"/>
                <w:sz w:val="18"/>
                <w:szCs w:val="18"/>
              </w:rPr>
              <w:t>5</w:t>
            </w:r>
            <w:r>
              <w:rPr>
                <w:rFonts w:ascii="宋体" w:hAnsi="宋体" w:cs="宋体" w:eastAsia="宋体" w:hint="default"/>
                <w:sz w:val="18"/>
                <w:szCs w:val="18"/>
              </w:rPr>
              <w:t>、陆燕不在公司担任职务。</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7"/>
        <w:rPr>
          <w:rFonts w:ascii="Microsoft JhengHei" w:hAnsi="Microsoft JhengHei" w:cs="Microsoft JhengHei" w:eastAsia="Microsoft JhengHei" w:hint="default"/>
          <w:b/>
          <w:bCs/>
          <w:sz w:val="14"/>
          <w:szCs w:val="14"/>
        </w:rPr>
      </w:pPr>
    </w:p>
    <w:p>
      <w:pPr>
        <w:spacing w:line="333" w:lineRule="exact" w:before="0"/>
        <w:ind w:left="119" w:right="27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、公司实际控制人情况</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3336"/>
        <w:gridCol w:w="2057"/>
        <w:gridCol w:w="4176"/>
      </w:tblGrid>
      <w:tr>
        <w:trPr>
          <w:trHeight w:val="403" w:hRule="exact"/>
        </w:trPr>
        <w:tc>
          <w:tcPr>
            <w:tcW w:w="3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3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徐智勇</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滕学军</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高雁峰</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乔文东</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陆燕</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9" w:hRule="exact"/>
        </w:trPr>
        <w:tc>
          <w:tcPr>
            <w:tcW w:w="3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、徐智勇</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9"/>
                <w:sz w:val="18"/>
                <w:szCs w:val="18"/>
              </w:rPr>
              <w:t> </w:t>
            </w:r>
            <w:r>
              <w:rPr>
                <w:rFonts w:ascii="宋体" w:hAnsi="宋体" w:cs="宋体" w:eastAsia="宋体" w:hint="default"/>
                <w:spacing w:val="-3"/>
                <w:sz w:val="18"/>
                <w:szCs w:val="18"/>
              </w:rPr>
              <w:t>年起担任公司董事长、总经理，</w:t>
            </w:r>
            <w:r>
              <w:rPr>
                <w:rFonts w:ascii="Times New Roman" w:hAnsi="Times New Roman" w:cs="Times New Roman" w:eastAsia="Times New Roman" w:hint="default"/>
                <w:spacing w:val="-3"/>
                <w:sz w:val="18"/>
                <w:szCs w:val="18"/>
              </w:rPr>
              <w:t>2009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月起担任公司董事长；</w:t>
            </w:r>
          </w:p>
          <w:p>
            <w:pPr>
              <w:pStyle w:val="TableParagraph"/>
              <w:spacing w:line="300" w:lineRule="auto" w:before="63"/>
              <w:ind w:left="24"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、滕学军一直担任公司副董事长</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月起兼任公司总经理；</w:t>
            </w:r>
            <w:r>
              <w:rPr>
                <w:rFonts w:ascii="Times New Roman" w:hAnsi="Times New Roman" w:cs="Times New Roman" w:eastAsia="Times New Roman" w:hint="default"/>
                <w:sz w:val="18"/>
                <w:szCs w:val="18"/>
              </w:rPr>
              <w:t>3</w:t>
            </w:r>
            <w:r>
              <w:rPr>
                <w:rFonts w:ascii="宋体" w:hAnsi="宋体" w:cs="宋体" w:eastAsia="宋体" w:hint="default"/>
                <w:sz w:val="18"/>
                <w:szCs w:val="18"/>
              </w:rPr>
              <w:t>、高雁峰一 </w:t>
            </w:r>
            <w:r>
              <w:rPr>
                <w:rFonts w:ascii="宋体" w:hAnsi="宋体" w:cs="宋体" w:eastAsia="宋体" w:hint="default"/>
                <w:spacing w:val="-1"/>
                <w:sz w:val="18"/>
                <w:szCs w:val="18"/>
              </w:rPr>
              <w:t>直担任公司董事兼副总经理；</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、乔文东曾任杭州新世纪信息技术有限公司总经</w:t>
            </w:r>
            <w:r>
              <w:rPr>
                <w:rFonts w:ascii="宋体" w:hAnsi="宋体" w:cs="宋体" w:eastAsia="宋体" w:hint="default"/>
                <w:sz w:val="18"/>
                <w:szCs w:val="18"/>
              </w:rPr>
              <w:t> 理、副总经理，现任公司董事；</w:t>
            </w:r>
            <w:r>
              <w:rPr>
                <w:rFonts w:ascii="Times New Roman" w:hAnsi="Times New Roman" w:cs="Times New Roman" w:eastAsia="Times New Roman" w:hint="default"/>
                <w:sz w:val="18"/>
                <w:szCs w:val="18"/>
              </w:rPr>
              <w:t>5</w:t>
            </w:r>
            <w:r>
              <w:rPr>
                <w:rFonts w:ascii="宋体" w:hAnsi="宋体" w:cs="宋体" w:eastAsia="宋体" w:hint="default"/>
                <w:sz w:val="18"/>
                <w:szCs w:val="18"/>
              </w:rPr>
              <w:t>、陆燕不在公司担任职务。</w:t>
            </w:r>
          </w:p>
        </w:tc>
      </w:tr>
      <w:tr>
        <w:trPr>
          <w:trHeight w:val="401" w:hRule="exact"/>
        </w:trPr>
        <w:tc>
          <w:tcPr>
            <w:tcW w:w="3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6"/>
        <w:rPr>
          <w:rFonts w:ascii="Microsoft JhengHei" w:hAnsi="Microsoft JhengHei" w:cs="Microsoft JhengHei" w:eastAsia="Microsoft JhengHei" w:hint="default"/>
          <w:b/>
          <w:bCs/>
          <w:sz w:val="18"/>
          <w:szCs w:val="18"/>
        </w:rPr>
      </w:pPr>
    </w:p>
    <w:p>
      <w:pPr>
        <w:pStyle w:val="BodyText"/>
        <w:spacing w:line="240" w:lineRule="auto" w:before="26"/>
        <w:ind w:left="595" w:right="279"/>
        <w:jc w:val="left"/>
      </w:pPr>
      <w:r>
        <w:rPr/>
        <w:pict>
          <v:group style="position:absolute;margin-left:547.559998pt;margin-top:62.835606pt;width:.1pt;height:10.35pt;mso-position-horizontal-relative:page;mso-position-vertical-relative:paragraph;z-index:2248" coordorigin="10951,1257" coordsize="2,207">
            <v:shape style="position:absolute;left:10951;top:1257;width:2;height:207" coordorigin="10951,1257" coordsize="0,207" path="m10951,1257l10951,1463e" filled="false" stroked="true" strokeweight=".12pt" strokecolor="#000000">
              <v:path arrowok="t"/>
            </v:shape>
            <w10:wrap type="none"/>
          </v:group>
        </w:pict>
      </w:r>
      <w:r>
        <w:rPr/>
        <w:t>公司与实际控制人之间的产权及控制关系的如下图：</w:t>
      </w:r>
    </w:p>
    <w:p>
      <w:pPr>
        <w:spacing w:after="0" w:line="240" w:lineRule="auto"/>
        <w:jc w:val="left"/>
        <w:sectPr>
          <w:pgSz w:w="11910" w:h="16840"/>
          <w:pgMar w:header="745" w:footer="979" w:top="1060" w:bottom="1160" w:left="1020" w:right="840"/>
        </w:sectPr>
      </w:pPr>
    </w:p>
    <w:p>
      <w:pPr>
        <w:spacing w:line="240" w:lineRule="auto" w:before="0"/>
        <w:rPr>
          <w:rFonts w:ascii="宋体" w:hAnsi="宋体" w:cs="宋体" w:eastAsia="宋体" w:hint="default"/>
          <w:sz w:val="20"/>
          <w:szCs w:val="20"/>
        </w:rPr>
      </w:pPr>
      <w:r>
        <w:rPr/>
        <w:pict>
          <v:group style="position:absolute;margin-left:47.639999pt;margin-top:781.919983pt;width:.1pt;height:10.35pt;mso-position-horizontal-relative:page;mso-position-vertical-relative:page;z-index:2272" coordorigin="953,15638" coordsize="2,207">
            <v:shape style="position:absolute;left:953;top:15638;width:2;height:207" coordorigin="953,15638" coordsize="0,207" path="m953,15638l953,15845e" filled="false" stroked="true" strokeweight=".12pt" strokecolor="#000000">
              <v:path arrowok="t"/>
            </v:shape>
            <w10:wrap type="none"/>
          </v:group>
        </w:pict>
      </w:r>
    </w:p>
    <w:p>
      <w:pPr>
        <w:spacing w:line="240" w:lineRule="auto" w:before="11"/>
        <w:rPr>
          <w:rFonts w:ascii="宋体" w:hAnsi="宋体" w:cs="宋体" w:eastAsia="宋体" w:hint="default"/>
          <w:sz w:val="17"/>
          <w:szCs w:val="17"/>
        </w:rPr>
      </w:pPr>
    </w:p>
    <w:p>
      <w:pPr>
        <w:spacing w:line="2574" w:lineRule="exact"/>
        <w:ind w:left="432" w:right="0" w:firstLine="0"/>
        <w:rPr>
          <w:rFonts w:ascii="宋体" w:hAnsi="宋体" w:cs="宋体" w:eastAsia="宋体" w:hint="default"/>
          <w:sz w:val="20"/>
          <w:szCs w:val="20"/>
        </w:rPr>
      </w:pPr>
      <w:r>
        <w:rPr>
          <w:rFonts w:ascii="宋体" w:hAnsi="宋体" w:cs="宋体" w:eastAsia="宋体" w:hint="default"/>
          <w:position w:val="-50"/>
          <w:sz w:val="20"/>
          <w:szCs w:val="20"/>
        </w:rPr>
        <w:drawing>
          <wp:inline distT="0" distB="0" distL="0" distR="0">
            <wp:extent cx="5966117" cy="163449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8" cstate="print"/>
                    <a:stretch>
                      <a:fillRect/>
                    </a:stretch>
                  </pic:blipFill>
                  <pic:spPr>
                    <a:xfrm>
                      <a:off x="0" y="0"/>
                      <a:ext cx="5966117" cy="1634490"/>
                    </a:xfrm>
                    <a:prstGeom prst="rect">
                      <a:avLst/>
                    </a:prstGeom>
                  </pic:spPr>
                </pic:pic>
              </a:graphicData>
            </a:graphic>
          </wp:inline>
        </w:drawing>
      </w:r>
      <w:r>
        <w:rPr>
          <w:rFonts w:ascii="宋体" w:hAnsi="宋体" w:cs="宋体" w:eastAsia="宋体" w:hint="default"/>
          <w:position w:val="-50"/>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2"/>
        <w:spacing w:line="456" w:lineRule="exact"/>
        <w:ind w:left="1823" w:right="279"/>
        <w:jc w:val="left"/>
        <w:rPr>
          <w:b w:val="0"/>
          <w:bCs w:val="0"/>
        </w:rPr>
      </w:pPr>
      <w:bookmarkStart w:name="第七节董事、监事、高级管理人员和员工情况" w:id="64"/>
      <w:bookmarkEnd w:id="64"/>
      <w:r>
        <w:rPr>
          <w:b w:val="0"/>
          <w:bCs w:val="0"/>
        </w:rPr>
      </w:r>
      <w:bookmarkStart w:name="一、董事、监事和高级管理人员持股变动" w:id="65"/>
      <w:bookmarkEnd w:id="65"/>
      <w:r>
        <w:rPr>
          <w:b w:val="0"/>
          <w:bCs w:val="0"/>
        </w:rPr>
      </w:r>
      <w:bookmarkStart w:name="_bookmark6" w:id="66"/>
      <w:bookmarkEnd w:id="66"/>
      <w:r>
        <w:rPr>
          <w:b w:val="0"/>
          <w:bCs w:val="0"/>
        </w:rPr>
      </w:r>
      <w:r>
        <w:rPr/>
        <w:t>第七节 </w:t>
      </w:r>
      <w:r>
        <w:rPr>
          <w:spacing w:val="17"/>
        </w:rPr>
        <w:t> </w:t>
      </w:r>
      <w:r>
        <w:rPr/>
        <w:t>董事、监事、高级管理人员和员工情况</w:t>
      </w:r>
      <w:r>
        <w:rPr>
          <w:b w:val="0"/>
          <w:bCs w:val="0"/>
        </w:rPr>
      </w:r>
    </w:p>
    <w:p>
      <w:pPr>
        <w:spacing w:line="240" w:lineRule="auto" w:before="12"/>
        <w:rPr>
          <w:rFonts w:ascii="Microsoft JhengHei" w:hAnsi="Microsoft JhengHei" w:cs="Microsoft JhengHei" w:eastAsia="Microsoft JhengHei" w:hint="default"/>
          <w:b/>
          <w:bCs/>
          <w:sz w:val="22"/>
          <w:szCs w:val="22"/>
        </w:rPr>
      </w:pPr>
    </w:p>
    <w:p>
      <w:pPr>
        <w:pStyle w:val="Heading3"/>
        <w:spacing w:line="240" w:lineRule="auto"/>
        <w:ind w:left="292" w:right="279"/>
        <w:jc w:val="left"/>
        <w:rPr>
          <w:b w:val="0"/>
          <w:bCs w:val="0"/>
        </w:rPr>
      </w:pPr>
      <w:r>
        <w:rPr/>
        <w:t>一、董事、监事和高级管理人员持股变动</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287" w:type="dxa"/>
        <w:tblLayout w:type="fixed"/>
        <w:tblCellMar>
          <w:top w:w="0" w:type="dxa"/>
          <w:left w:w="0" w:type="dxa"/>
          <w:bottom w:w="0" w:type="dxa"/>
          <w:right w:w="0" w:type="dxa"/>
        </w:tblCellMar>
        <w:tblLook w:val="01E0"/>
      </w:tblPr>
      <w:tblGrid>
        <w:gridCol w:w="871"/>
        <w:gridCol w:w="869"/>
        <w:gridCol w:w="871"/>
        <w:gridCol w:w="869"/>
        <w:gridCol w:w="871"/>
        <w:gridCol w:w="866"/>
        <w:gridCol w:w="869"/>
        <w:gridCol w:w="871"/>
        <w:gridCol w:w="869"/>
        <w:gridCol w:w="869"/>
        <w:gridCol w:w="869"/>
      </w:tblGrid>
      <w:tr>
        <w:trPr>
          <w:trHeight w:val="1025" w:hRule="exact"/>
        </w:trPr>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47"/>
              <w:jc w:val="right"/>
              <w:rPr>
                <w:rFonts w:ascii="宋体" w:hAnsi="宋体" w:cs="宋体" w:eastAsia="宋体" w:hint="default"/>
                <w:sz w:val="18"/>
                <w:szCs w:val="18"/>
              </w:rPr>
            </w:pPr>
            <w:r>
              <w:rPr>
                <w:rFonts w:ascii="宋体" w:hAnsi="宋体" w:cs="宋体" w:eastAsia="宋体" w:hint="default"/>
                <w:sz w:val="18"/>
                <w:szCs w:val="18"/>
              </w:rPr>
              <w:t>姓名</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49" w:right="65"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52" w:right="65"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72" w:right="67"/>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9" w:right="67"/>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5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9" w:right="67"/>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5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5"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95"/>
              <w:jc w:val="right"/>
              <w:rPr>
                <w:rFonts w:ascii="宋体" w:hAnsi="宋体" w:cs="宋体" w:eastAsia="宋体" w:hint="default"/>
                <w:sz w:val="18"/>
                <w:szCs w:val="18"/>
              </w:rPr>
            </w:pPr>
            <w:r>
              <w:rPr>
                <w:rFonts w:ascii="宋体" w:hAnsi="宋体" w:cs="宋体" w:eastAsia="宋体" w:hint="default"/>
                <w:sz w:val="18"/>
                <w:szCs w:val="18"/>
              </w:rPr>
              <w:t>徐智勇</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18,097,992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18,097,992</w:t>
            </w:r>
          </w:p>
        </w:tc>
      </w:tr>
      <w:tr>
        <w:trPr>
          <w:trHeight w:val="713"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295"/>
              <w:jc w:val="right"/>
              <w:rPr>
                <w:rFonts w:ascii="宋体" w:hAnsi="宋体" w:cs="宋体" w:eastAsia="宋体" w:hint="default"/>
                <w:sz w:val="18"/>
                <w:szCs w:val="18"/>
              </w:rPr>
            </w:pPr>
            <w:r>
              <w:rPr>
                <w:rFonts w:ascii="宋体" w:hAnsi="宋体" w:cs="宋体" w:eastAsia="宋体" w:hint="default"/>
                <w:sz w:val="18"/>
                <w:szCs w:val="18"/>
              </w:rPr>
              <w:t>滕学军</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w w:val="90"/>
                <w:sz w:val="18"/>
                <w:szCs w:val="18"/>
              </w:rPr>
              <w:t>副董事长、</w:t>
            </w:r>
            <w:r>
              <w:rPr>
                <w:rFonts w:ascii="宋体" w:hAnsi="宋体" w:cs="宋体" w:eastAsia="宋体" w:hint="default"/>
                <w:spacing w:val="-78"/>
                <w:w w:val="90"/>
                <w:sz w:val="18"/>
                <w:szCs w:val="18"/>
              </w:rPr>
              <w:t> </w:t>
            </w:r>
            <w:r>
              <w:rPr>
                <w:rFonts w:ascii="宋体" w:hAnsi="宋体" w:cs="宋体" w:eastAsia="宋体" w:hint="default"/>
                <w:spacing w:val="-78"/>
                <w:w w:val="90"/>
                <w:sz w:val="18"/>
                <w:szCs w:val="18"/>
              </w:rPr>
            </w:r>
            <w:r>
              <w:rPr>
                <w:rFonts w:ascii="宋体" w:hAnsi="宋体" w:cs="宋体" w:eastAsia="宋体" w:hint="default"/>
                <w:sz w:val="18"/>
                <w:szCs w:val="18"/>
              </w:rPr>
              <w:t>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15,469,936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15,469,936</w:t>
            </w:r>
          </w:p>
        </w:tc>
      </w:tr>
      <w:tr>
        <w:trPr>
          <w:trHeight w:val="715"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95"/>
              <w:jc w:val="right"/>
              <w:rPr>
                <w:rFonts w:ascii="宋体" w:hAnsi="宋体" w:cs="宋体" w:eastAsia="宋体" w:hint="default"/>
                <w:sz w:val="18"/>
                <w:szCs w:val="18"/>
              </w:rPr>
            </w:pPr>
            <w:r>
              <w:rPr>
                <w:rFonts w:ascii="宋体" w:hAnsi="宋体" w:cs="宋体" w:eastAsia="宋体" w:hint="default"/>
                <w:sz w:val="18"/>
                <w:szCs w:val="18"/>
              </w:rPr>
              <w:t>高雁峰</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15,469,936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15,469,936</w:t>
            </w:r>
          </w:p>
        </w:tc>
      </w:tr>
      <w:tr>
        <w:trPr>
          <w:trHeight w:val="713"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295"/>
              <w:jc w:val="right"/>
              <w:rPr>
                <w:rFonts w:ascii="宋体" w:hAnsi="宋体" w:cs="宋体" w:eastAsia="宋体" w:hint="default"/>
                <w:sz w:val="18"/>
                <w:szCs w:val="18"/>
              </w:rPr>
            </w:pPr>
            <w:r>
              <w:rPr>
                <w:rFonts w:ascii="宋体" w:hAnsi="宋体" w:cs="宋体" w:eastAsia="宋体" w:hint="default"/>
                <w:sz w:val="18"/>
                <w:szCs w:val="18"/>
              </w:rPr>
              <w:t>乔文东</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15,469,936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3,867,484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11,602,452</w:t>
            </w:r>
          </w:p>
        </w:tc>
      </w:tr>
      <w:tr>
        <w:trPr>
          <w:trHeight w:val="715"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95"/>
              <w:jc w:val="right"/>
              <w:rPr>
                <w:rFonts w:ascii="宋体" w:hAnsi="宋体" w:cs="宋体" w:eastAsia="宋体" w:hint="default"/>
                <w:sz w:val="18"/>
                <w:szCs w:val="18"/>
              </w:rPr>
            </w:pPr>
            <w:r>
              <w:rPr>
                <w:rFonts w:ascii="宋体" w:hAnsi="宋体" w:cs="宋体" w:eastAsia="宋体" w:hint="default"/>
                <w:sz w:val="18"/>
                <w:szCs w:val="18"/>
              </w:rPr>
              <w:t>魏光耀</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295"/>
              <w:jc w:val="right"/>
              <w:rPr>
                <w:rFonts w:ascii="宋体" w:hAnsi="宋体" w:cs="宋体" w:eastAsia="宋体" w:hint="default"/>
                <w:sz w:val="18"/>
                <w:szCs w:val="18"/>
              </w:rPr>
            </w:pPr>
            <w:r>
              <w:rPr>
                <w:rFonts w:ascii="宋体" w:hAnsi="宋体" w:cs="宋体" w:eastAsia="宋体" w:hint="default"/>
                <w:sz w:val="18"/>
                <w:szCs w:val="18"/>
              </w:rPr>
              <w:t>蔡家楣</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95"/>
              <w:jc w:val="right"/>
              <w:rPr>
                <w:rFonts w:ascii="宋体" w:hAnsi="宋体" w:cs="宋体" w:eastAsia="宋体" w:hint="default"/>
                <w:sz w:val="18"/>
                <w:szCs w:val="18"/>
              </w:rPr>
            </w:pPr>
            <w:r>
              <w:rPr>
                <w:rFonts w:ascii="宋体" w:hAnsi="宋体" w:cs="宋体" w:eastAsia="宋体" w:hint="default"/>
                <w:sz w:val="18"/>
                <w:szCs w:val="18"/>
              </w:rPr>
              <w:t>陆国华</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295"/>
              <w:jc w:val="right"/>
              <w:rPr>
                <w:rFonts w:ascii="宋体" w:hAnsi="宋体" w:cs="宋体" w:eastAsia="宋体" w:hint="default"/>
                <w:sz w:val="18"/>
                <w:szCs w:val="18"/>
              </w:rPr>
            </w:pPr>
            <w:r>
              <w:rPr>
                <w:rFonts w:ascii="宋体" w:hAnsi="宋体" w:cs="宋体" w:eastAsia="宋体" w:hint="default"/>
                <w:sz w:val="18"/>
                <w:szCs w:val="18"/>
              </w:rPr>
              <w:t>高宝勇</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3"/>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95"/>
              <w:jc w:val="right"/>
              <w:rPr>
                <w:rFonts w:ascii="宋体" w:hAnsi="宋体" w:cs="宋体" w:eastAsia="宋体" w:hint="default"/>
                <w:sz w:val="18"/>
                <w:szCs w:val="18"/>
              </w:rPr>
            </w:pPr>
            <w:r>
              <w:rPr>
                <w:rFonts w:ascii="宋体" w:hAnsi="宋体" w:cs="宋体" w:eastAsia="宋体" w:hint="default"/>
                <w:sz w:val="18"/>
                <w:szCs w:val="18"/>
              </w:rPr>
              <w:t>葛广鹏</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295"/>
              <w:jc w:val="right"/>
              <w:rPr>
                <w:rFonts w:ascii="宋体" w:hAnsi="宋体" w:cs="宋体" w:eastAsia="宋体" w:hint="default"/>
                <w:sz w:val="18"/>
                <w:szCs w:val="18"/>
              </w:rPr>
            </w:pPr>
            <w:r>
              <w:rPr>
                <w:rFonts w:ascii="宋体" w:hAnsi="宋体" w:cs="宋体" w:eastAsia="宋体" w:hint="default"/>
                <w:sz w:val="18"/>
                <w:szCs w:val="18"/>
              </w:rPr>
              <w:t>钱丽琴</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3"/>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5"/>
              <w:jc w:val="right"/>
              <w:rPr>
                <w:rFonts w:ascii="宋体" w:hAnsi="宋体" w:cs="宋体" w:eastAsia="宋体" w:hint="default"/>
                <w:sz w:val="18"/>
                <w:szCs w:val="18"/>
              </w:rPr>
            </w:pPr>
            <w:r>
              <w:rPr>
                <w:rFonts w:ascii="宋体" w:hAnsi="宋体" w:cs="宋体" w:eastAsia="宋体" w:hint="default"/>
                <w:sz w:val="18"/>
                <w:szCs w:val="18"/>
              </w:rPr>
              <w:t>张凯平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监事会主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840" w:right="102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07" w:type="dxa"/>
        <w:tblLayout w:type="fixed"/>
        <w:tblCellMar>
          <w:top w:w="0" w:type="dxa"/>
          <w:left w:w="0" w:type="dxa"/>
          <w:bottom w:w="0" w:type="dxa"/>
          <w:right w:w="0" w:type="dxa"/>
        </w:tblCellMar>
        <w:tblLook w:val="01E0"/>
      </w:tblPr>
      <w:tblGrid>
        <w:gridCol w:w="871"/>
        <w:gridCol w:w="869"/>
        <w:gridCol w:w="871"/>
        <w:gridCol w:w="869"/>
        <w:gridCol w:w="871"/>
        <w:gridCol w:w="866"/>
        <w:gridCol w:w="869"/>
        <w:gridCol w:w="869"/>
        <w:gridCol w:w="871"/>
        <w:gridCol w:w="869"/>
        <w:gridCol w:w="869"/>
      </w:tblGrid>
      <w:tr>
        <w:trPr>
          <w:trHeight w:val="362" w:hRule="exact"/>
        </w:trPr>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bookmarkStart w:name="二、任职情况" w:id="67"/>
            <w:bookmarkEnd w:id="67"/>
            <w:r>
              <w:rPr/>
            </w:r>
            <w:r>
              <w:rPr>
                <w:rFonts w:ascii="宋体" w:hAnsi="宋体" w:cs="宋体" w:eastAsia="宋体" w:hint="default"/>
                <w:sz w:val="18"/>
                <w:szCs w:val="18"/>
              </w:rPr>
              <w:t>席</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董轶凡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陆献尧</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李云水</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1,485,150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371,200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1,113,950</w:t>
            </w:r>
          </w:p>
        </w:tc>
      </w:tr>
      <w:tr>
        <w:trPr>
          <w:trHeight w:val="715"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邵阳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345,300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82,800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262,500</w:t>
            </w:r>
          </w:p>
        </w:tc>
      </w:tr>
      <w:tr>
        <w:trPr>
          <w:trHeight w:val="713"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李建凯</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席伟</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w:t>
            </w:r>
          </w:p>
        </w:tc>
      </w:tr>
      <w:tr>
        <w:trPr>
          <w:trHeight w:val="1337"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俞竣华</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w w:val="90"/>
                <w:sz w:val="18"/>
                <w:szCs w:val="18"/>
              </w:rPr>
              <w:t>副总经理、</w:t>
            </w:r>
            <w:r>
              <w:rPr>
                <w:rFonts w:ascii="宋体" w:hAnsi="宋体" w:cs="宋体" w:eastAsia="宋体" w:hint="default"/>
                <w:spacing w:val="-78"/>
                <w:w w:val="90"/>
                <w:sz w:val="18"/>
                <w:szCs w:val="18"/>
              </w:rPr>
              <w:t> </w:t>
            </w:r>
            <w:r>
              <w:rPr>
                <w:rFonts w:ascii="宋体" w:hAnsi="宋体" w:cs="宋体" w:eastAsia="宋体" w:hint="default"/>
                <w:spacing w:val="-78"/>
                <w:w w:val="90"/>
                <w:sz w:val="18"/>
                <w:szCs w:val="18"/>
              </w:rPr>
            </w:r>
            <w:r>
              <w:rPr>
                <w:rFonts w:ascii="宋体" w:hAnsi="宋体" w:cs="宋体" w:eastAsia="宋体" w:hint="default"/>
                <w:w w:val="90"/>
                <w:sz w:val="18"/>
                <w:szCs w:val="18"/>
              </w:rPr>
              <w:t>财务总监、</w:t>
            </w:r>
            <w:r>
              <w:rPr>
                <w:rFonts w:ascii="宋体" w:hAnsi="宋体" w:cs="宋体" w:eastAsia="宋体" w:hint="default"/>
                <w:spacing w:val="-78"/>
                <w:w w:val="90"/>
                <w:sz w:val="18"/>
                <w:szCs w:val="18"/>
              </w:rPr>
              <w:t> </w:t>
            </w:r>
            <w:r>
              <w:rPr>
                <w:rFonts w:ascii="宋体" w:hAnsi="宋体" w:cs="宋体" w:eastAsia="宋体" w:hint="default"/>
                <w:spacing w:val="-78"/>
                <w:w w:val="90"/>
                <w:sz w:val="18"/>
                <w:szCs w:val="18"/>
              </w:rPr>
            </w:r>
            <w:r>
              <w:rPr>
                <w:rFonts w:ascii="宋体" w:hAnsi="宋体" w:cs="宋体" w:eastAsia="宋体" w:hint="default"/>
                <w:sz w:val="18"/>
                <w:szCs w:val="18"/>
              </w:rPr>
              <w:t>董事会秘</w:t>
            </w:r>
            <w:r>
              <w:rPr>
                <w:rFonts w:ascii="宋体" w:hAnsi="宋体" w:cs="宋体" w:eastAsia="宋体" w:hint="default"/>
                <w:sz w:val="18"/>
                <w:szCs w:val="18"/>
              </w:rPr>
              <w:t> 书</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w:t>
            </w:r>
          </w:p>
        </w:tc>
      </w:tr>
      <w:tr>
        <w:trPr>
          <w:trHeight w:val="403" w:hRule="exact"/>
        </w:trPr>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48,480,258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18,097,992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4,371,484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62,206,766</w:t>
            </w:r>
          </w:p>
        </w:tc>
      </w:tr>
    </w:tbl>
    <w:p>
      <w:pPr>
        <w:spacing w:line="240" w:lineRule="auto" w:before="10"/>
        <w:rPr>
          <w:rFonts w:ascii="Microsoft JhengHei" w:hAnsi="Microsoft JhengHei" w:cs="Microsoft JhengHei" w:eastAsia="Microsoft JhengHei" w:hint="default"/>
          <w:b/>
          <w:bCs/>
          <w:sz w:val="13"/>
          <w:szCs w:val="13"/>
        </w:rPr>
      </w:pPr>
    </w:p>
    <w:p>
      <w:pPr>
        <w:spacing w:line="367" w:lineRule="exact" w:before="0"/>
        <w:ind w:left="112" w:right="27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二、任职情况</w:t>
      </w:r>
      <w:r>
        <w:rPr>
          <w:rFonts w:ascii="Microsoft JhengHei" w:hAnsi="Microsoft JhengHei" w:cs="Microsoft JhengHei" w:eastAsia="Microsoft JhengHei" w:hint="default"/>
          <w:sz w:val="24"/>
          <w:szCs w:val="24"/>
        </w:rPr>
      </w:r>
    </w:p>
    <w:p>
      <w:pPr>
        <w:spacing w:line="240" w:lineRule="auto" w:before="2"/>
        <w:rPr>
          <w:rFonts w:ascii="Microsoft JhengHei" w:hAnsi="Microsoft JhengHei" w:cs="Microsoft JhengHei" w:eastAsia="Microsoft JhengHei" w:hint="default"/>
          <w:b/>
          <w:bCs/>
          <w:sz w:val="20"/>
          <w:szCs w:val="20"/>
        </w:rPr>
      </w:pPr>
    </w:p>
    <w:p>
      <w:pPr>
        <w:pStyle w:val="BodyText"/>
        <w:spacing w:line="240" w:lineRule="auto" w:before="0"/>
        <w:ind w:left="595" w:right="279"/>
        <w:jc w:val="left"/>
      </w:pPr>
      <w:r>
        <w:rPr/>
        <w:t>公司现任董事、监事、高级管理人员最近</w:t>
      </w:r>
      <w:r>
        <w:rPr>
          <w:spacing w:val="-60"/>
        </w:rPr>
        <w:t> </w:t>
      </w:r>
      <w:r>
        <w:rPr>
          <w:rFonts w:ascii="Times New Roman" w:hAnsi="Times New Roman" w:cs="Times New Roman" w:eastAsia="Times New Roman" w:hint="default"/>
        </w:rPr>
        <w:t>5 </w:t>
      </w:r>
      <w:r>
        <w:rPr/>
        <w:t>年的主要工作经历情况如下：</w:t>
      </w:r>
    </w:p>
    <w:p>
      <w:pPr>
        <w:pStyle w:val="BodyText"/>
        <w:spacing w:line="240" w:lineRule="auto" w:before="174"/>
        <w:ind w:left="595" w:right="279"/>
        <w:jc w:val="left"/>
      </w:pPr>
      <w:r>
        <w:rPr>
          <w:rFonts w:ascii="Times New Roman" w:hAnsi="Times New Roman" w:cs="Times New Roman" w:eastAsia="Times New Roman" w:hint="default"/>
        </w:rPr>
        <w:t>1</w:t>
      </w:r>
      <w:r>
        <w:rPr/>
        <w:t>、公司董事、监事及高级管理人员未在股东单位任职</w:t>
      </w:r>
    </w:p>
    <w:p>
      <w:pPr>
        <w:pStyle w:val="BodyText"/>
        <w:spacing w:line="338" w:lineRule="auto" w:before="135"/>
        <w:ind w:left="112" w:right="312" w:firstLine="482"/>
        <w:jc w:val="left"/>
      </w:pPr>
      <w:r>
        <w:rPr>
          <w:rFonts w:ascii="Times New Roman" w:hAnsi="Times New Roman" w:cs="Times New Roman" w:eastAsia="Times New Roman" w:hint="default"/>
        </w:rPr>
        <w:t>2</w:t>
      </w:r>
      <w:r>
        <w:rPr/>
        <w:t>、公司董事、监事、高级管理人员最近</w:t>
      </w:r>
      <w:r>
        <w:rPr>
          <w:rFonts w:ascii="Times New Roman" w:hAnsi="Times New Roman" w:cs="Times New Roman" w:eastAsia="Times New Roman" w:hint="default"/>
        </w:rPr>
        <w:t>5</w:t>
      </w:r>
      <w:r>
        <w:rPr/>
        <w:t>年的主要工作经历及在除股东单位外的其它单 位的任职或兼职情况如下：</w:t>
      </w:r>
    </w:p>
    <w:p>
      <w:pPr>
        <w:pStyle w:val="BodyText"/>
        <w:spacing w:line="240" w:lineRule="auto" w:before="55"/>
        <w:ind w:left="595" w:right="279"/>
        <w:jc w:val="left"/>
      </w:pPr>
      <w:r>
        <w:rPr/>
        <w:t>（</w:t>
      </w:r>
      <w:r>
        <w:rPr>
          <w:rFonts w:ascii="Times New Roman" w:hAnsi="Times New Roman" w:cs="Times New Roman" w:eastAsia="Times New Roman" w:hint="default"/>
        </w:rPr>
        <w:t>1</w:t>
      </w:r>
      <w:r>
        <w:rPr/>
        <w:t>）董事</w:t>
      </w:r>
    </w:p>
    <w:p>
      <w:pPr>
        <w:pStyle w:val="BodyText"/>
        <w:spacing w:line="338" w:lineRule="auto" w:before="135"/>
        <w:ind w:left="112" w:right="279" w:firstLine="482"/>
        <w:jc w:val="left"/>
      </w:pPr>
      <w:r>
        <w:rPr>
          <w:w w:val="95"/>
        </w:rPr>
        <w:t>徐智勇先生，</w:t>
      </w:r>
      <w:r>
        <w:rPr>
          <w:spacing w:val="3"/>
          <w:w w:val="95"/>
        </w:rPr>
        <w:t> </w:t>
      </w:r>
      <w:r>
        <w:rPr>
          <w:rFonts w:ascii="Times New Roman" w:hAnsi="Times New Roman" w:cs="Times New Roman" w:eastAsia="Times New Roman" w:hint="default"/>
          <w:w w:val="95"/>
        </w:rPr>
        <w:t>2002</w:t>
      </w:r>
      <w:r>
        <w:rPr>
          <w:w w:val="95"/>
        </w:rPr>
        <w:t>年</w:t>
      </w:r>
      <w:r>
        <w:rPr>
          <w:rFonts w:ascii="Times New Roman" w:hAnsi="Times New Roman" w:cs="Times New Roman" w:eastAsia="Times New Roman" w:hint="default"/>
          <w:w w:val="95"/>
        </w:rPr>
        <w:t>7</w:t>
      </w:r>
      <w:r>
        <w:rPr>
          <w:w w:val="95"/>
        </w:rPr>
        <w:t>月参与组建新世纪有限公司，并一直担任新世纪有限公司董事长，</w:t>
      </w:r>
      <w:r>
        <w:rPr>
          <w:w w:val="50"/>
        </w:rPr>
        <w:t> </w:t>
      </w:r>
      <w:r>
        <w:rPr/>
        <w:t>杭州新世纪电子科技有限公司董事长。</w:t>
      </w:r>
    </w:p>
    <w:p>
      <w:pPr>
        <w:pStyle w:val="BodyText"/>
        <w:spacing w:line="357" w:lineRule="auto" w:before="55"/>
        <w:ind w:left="112" w:right="312" w:firstLine="482"/>
        <w:jc w:val="left"/>
      </w:pPr>
      <w:r>
        <w:rPr/>
        <w:t>滕学军先生，现任本公司副董事长及总经理、杭州新世纪电子科技有限公司董事兼总经 理、南京江琛自动化系统有限责任公司执行董事、杭州德创电子科技有限公司董事长。</w:t>
      </w:r>
    </w:p>
    <w:p>
      <w:pPr>
        <w:pStyle w:val="BodyText"/>
        <w:spacing w:line="357" w:lineRule="auto"/>
        <w:ind w:left="112" w:right="312" w:firstLine="482"/>
        <w:jc w:val="left"/>
      </w:pPr>
      <w:r>
        <w:rPr/>
        <w:t>高雁峰先生，现任本公司董事、杭州新世纪电子科技有限公司董事兼副总经理、杭州讯 能科技有限公司董事。</w:t>
      </w:r>
    </w:p>
    <w:p>
      <w:pPr>
        <w:pStyle w:val="BodyText"/>
        <w:spacing w:line="357" w:lineRule="auto"/>
        <w:ind w:left="595" w:right="311"/>
        <w:jc w:val="left"/>
      </w:pPr>
      <w:r>
        <w:rPr/>
        <w:pict>
          <v:group style="position:absolute;margin-left:547.559998pt;margin-top:84.935616pt;width:.1pt;height:10.35pt;mso-position-horizontal-relative:page;mso-position-vertical-relative:paragraph;z-index:2296" coordorigin="10951,1699" coordsize="2,207">
            <v:shape style="position:absolute;left:10951;top:1699;width:2;height:207" coordorigin="10951,1699" coordsize="0,207" path="m10951,1699l10951,1905e" filled="false" stroked="true" strokeweight=".12pt" strokecolor="#000000">
              <v:path arrowok="t"/>
            </v:shape>
            <w10:wrap type="none"/>
          </v:group>
        </w:pict>
      </w:r>
      <w:r>
        <w:rPr/>
        <w:t>乔文东先生，现任本公司董事、杭州新世纪电子科技有限公司董事。 魏光耀先生，现任本公司独立董事、北京双杰电气股份有限公司独立董事。 蔡家楣先生，现任本公司独立董事、浙江工业大学教授、浙江工大盈码科技发展有限公</w:t>
      </w:r>
    </w:p>
    <w:p>
      <w:pPr>
        <w:spacing w:after="0" w:line="357" w:lineRule="auto"/>
        <w:jc w:val="left"/>
        <w:sectPr>
          <w:pgSz w:w="11910" w:h="16840"/>
          <w:pgMar w:header="745" w:footer="979" w:top="1060" w:bottom="1160" w:left="1020" w:right="840"/>
        </w:sectPr>
      </w:pPr>
    </w:p>
    <w:p>
      <w:pPr>
        <w:spacing w:line="240" w:lineRule="auto" w:before="6"/>
        <w:rPr>
          <w:rFonts w:ascii="宋体" w:hAnsi="宋体" w:cs="宋体" w:eastAsia="宋体" w:hint="default"/>
          <w:sz w:val="29"/>
          <w:szCs w:val="29"/>
        </w:rPr>
      </w:pPr>
      <w:r>
        <w:rPr/>
        <w:pict>
          <v:group style="position:absolute;margin-left:47.639999pt;margin-top:781.919983pt;width:.1pt;height:10.35pt;mso-position-horizontal-relative:page;mso-position-vertical-relative:page;z-index:2320" coordorigin="953,15638" coordsize="2,207">
            <v:shape style="position:absolute;left:953;top:15638;width:2;height:207" coordorigin="953,15638" coordsize="0,207" path="m953,15638l953,15845e" filled="false" stroked="true" strokeweight=".12pt" strokecolor="#000000">
              <v:path arrowok="t"/>
            </v:shape>
            <w10:wrap type="none"/>
          </v:group>
        </w:pict>
      </w:r>
    </w:p>
    <w:p>
      <w:pPr>
        <w:pStyle w:val="BodyText"/>
        <w:spacing w:line="240" w:lineRule="auto" w:before="26"/>
        <w:ind w:right="279"/>
        <w:jc w:val="left"/>
      </w:pPr>
      <w:r>
        <w:rPr/>
        <w:t>司副董事长。</w:t>
      </w:r>
    </w:p>
    <w:p>
      <w:pPr>
        <w:pStyle w:val="BodyText"/>
        <w:spacing w:line="338" w:lineRule="auto" w:before="154"/>
        <w:ind w:right="0" w:firstLine="482"/>
        <w:jc w:val="left"/>
      </w:pPr>
      <w:r>
        <w:rPr>
          <w:spacing w:val="-3"/>
        </w:rPr>
        <w:t>陆国华先生，现任本公司独立董事、注册会计师。</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5</w:t>
      </w:r>
      <w:r>
        <w:rPr>
          <w:spacing w:val="-3"/>
        </w:rPr>
        <w:t>月至今，担任杭州先锋电子技</w:t>
      </w:r>
      <w:r>
        <w:rPr/>
        <w:t> 术股份有限公司财务副总监。</w:t>
      </w:r>
    </w:p>
    <w:p>
      <w:pPr>
        <w:pStyle w:val="BodyText"/>
        <w:spacing w:line="357" w:lineRule="auto" w:before="55"/>
        <w:ind w:right="132" w:firstLine="482"/>
        <w:jc w:val="left"/>
      </w:pPr>
      <w:r>
        <w:rPr/>
        <w:t>张凯平先生：现任本公司监事会主席，曾任万向集团财务有限公司预算主管、财务经理 助理，浙江华策汽车有限公司审计主管。</w:t>
      </w:r>
      <w:r>
        <w:rPr>
          <w:rFonts w:ascii="Times New Roman" w:hAnsi="Times New Roman" w:cs="Times New Roman" w:eastAsia="Times New Roman" w:hint="default"/>
        </w:rPr>
        <w:t>2011</w:t>
      </w:r>
      <w:r>
        <w:rPr/>
        <w:t>年至今一直在公司从事财务工作。</w:t>
      </w:r>
    </w:p>
    <w:p>
      <w:pPr>
        <w:pStyle w:val="BodyText"/>
        <w:spacing w:line="338" w:lineRule="auto" w:before="5"/>
        <w:ind w:right="100" w:firstLine="482"/>
        <w:jc w:val="left"/>
      </w:pPr>
      <w:r>
        <w:rPr/>
        <w:t>董轶凡女士，现任本公司监事，</w:t>
      </w:r>
      <w:r>
        <w:rPr>
          <w:rFonts w:ascii="Times New Roman" w:hAnsi="Times New Roman" w:cs="Times New Roman" w:eastAsia="Times New Roman" w:hint="default"/>
        </w:rPr>
        <w:t>2010</w:t>
      </w:r>
      <w:r>
        <w:rPr/>
        <w:t>年至今一直在公司从事证券事务工作。 </w:t>
      </w:r>
      <w:r>
        <w:rPr>
          <w:spacing w:val="-2"/>
        </w:rPr>
        <w:t>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7</w:t>
      </w:r>
      <w:r>
        <w:rPr>
          <w:spacing w:val="-2"/>
        </w:rPr>
        <w:t>月参加深圳证券交易所中小企业板上市公司董秘培训班（第九期）并取得董事会秘</w:t>
      </w:r>
      <w:r>
        <w:rPr>
          <w:spacing w:val="-117"/>
        </w:rPr>
        <w:t> </w:t>
      </w:r>
      <w:r>
        <w:rPr>
          <w:spacing w:val="-117"/>
        </w:rPr>
      </w:r>
      <w:r>
        <w:rPr/>
        <w:t>书资格证书。</w:t>
      </w:r>
    </w:p>
    <w:p>
      <w:pPr>
        <w:pStyle w:val="BodyText"/>
        <w:spacing w:line="338" w:lineRule="auto" w:before="55"/>
        <w:ind w:right="92" w:firstLine="482"/>
        <w:jc w:val="left"/>
      </w:pPr>
      <w:r>
        <w:rPr/>
        <w:t>钱丽琴女士，现任本公司职工监事，</w:t>
      </w:r>
      <w:r>
        <w:rPr>
          <w:spacing w:val="-80"/>
        </w:rPr>
        <w:t> </w:t>
      </w:r>
      <w:r>
        <w:rPr>
          <w:rFonts w:ascii="Times New Roman" w:hAnsi="Times New Roman" w:cs="Times New Roman" w:eastAsia="Times New Roman" w:hint="default"/>
        </w:rPr>
        <w:t>2002</w:t>
      </w:r>
      <w:r>
        <w:rPr/>
        <w:t>年加入公司从事市场推广工作，</w:t>
      </w:r>
      <w:r>
        <w:rPr>
          <w:rFonts w:ascii="Times New Roman" w:hAnsi="Times New Roman" w:cs="Times New Roman" w:eastAsia="Times New Roman" w:hint="default"/>
        </w:rPr>
        <w:t>2005</w:t>
      </w:r>
      <w:r>
        <w:rPr/>
        <w:t>年至今在 公司商务部从事采购工作。</w:t>
      </w:r>
    </w:p>
    <w:p>
      <w:pPr>
        <w:pStyle w:val="BodyText"/>
        <w:spacing w:line="338" w:lineRule="auto" w:before="55"/>
        <w:ind w:left="775" w:right="4451"/>
        <w:jc w:val="left"/>
      </w:pPr>
      <w:r>
        <w:rPr/>
        <w:t>（</w:t>
      </w:r>
      <w:r>
        <w:rPr>
          <w:rFonts w:ascii="Times New Roman" w:hAnsi="Times New Roman" w:cs="Times New Roman" w:eastAsia="Times New Roman" w:hint="default"/>
        </w:rPr>
        <w:t>3</w:t>
      </w:r>
      <w:r>
        <w:rPr/>
        <w:t>）高级管理人员 滕学军先生，现任本公司总经理，简历见上。</w:t>
      </w:r>
    </w:p>
    <w:p>
      <w:pPr>
        <w:pStyle w:val="BodyText"/>
        <w:spacing w:line="348" w:lineRule="auto" w:before="55"/>
        <w:ind w:right="110" w:firstLine="482"/>
        <w:jc w:val="both"/>
      </w:pPr>
      <w:r>
        <w:rPr/>
        <w:t>李云水先生，现任本公司副总经理、杭州新世纪电子科技有限公司副总经理、杭州德创 </w:t>
      </w:r>
      <w:r>
        <w:rPr>
          <w:spacing w:val="-2"/>
        </w:rPr>
        <w:t>电子科技有限公司董事。成功主持开发具有国内领先水平的</w:t>
      </w:r>
      <w:r>
        <w:rPr>
          <w:rFonts w:ascii="Times New Roman" w:hAnsi="Times New Roman" w:cs="Times New Roman" w:eastAsia="Times New Roman" w:hint="default"/>
          <w:spacing w:val="-2"/>
        </w:rPr>
        <w:t>“</w:t>
      </w:r>
      <w:r>
        <w:rPr>
          <w:spacing w:val="-2"/>
        </w:rPr>
        <w:t>基于</w:t>
      </w:r>
      <w:r>
        <w:rPr>
          <w:rFonts w:ascii="Times New Roman" w:hAnsi="Times New Roman" w:cs="Times New Roman" w:eastAsia="Times New Roman" w:hint="default"/>
          <w:spacing w:val="-2"/>
        </w:rPr>
        <w:t>SVG</w:t>
      </w:r>
      <w:r>
        <w:rPr>
          <w:spacing w:val="-2"/>
        </w:rPr>
        <w:t>技术的电力系统图形管</w:t>
      </w:r>
      <w:r>
        <w:rPr>
          <w:spacing w:val="-106"/>
        </w:rPr>
        <w:t> </w:t>
      </w:r>
      <w:r>
        <w:rPr/>
        <w:t>理软件</w:t>
      </w:r>
      <w:r>
        <w:rPr>
          <w:rFonts w:ascii="Times New Roman" w:hAnsi="Times New Roman" w:cs="Times New Roman" w:eastAsia="Times New Roman" w:hint="default"/>
        </w:rPr>
        <w:t>”</w:t>
      </w:r>
      <w:r>
        <w:rPr/>
        <w:t>，并获国家创新基金。</w:t>
      </w:r>
    </w:p>
    <w:p>
      <w:pPr>
        <w:pStyle w:val="BodyText"/>
        <w:spacing w:line="338" w:lineRule="auto" w:before="16"/>
        <w:ind w:right="0" w:firstLine="482"/>
        <w:jc w:val="left"/>
      </w:pPr>
      <w:r>
        <w:rPr/>
        <w:t>邵阳先生，现任本公司副总经理，具有超过</w:t>
      </w:r>
      <w:r>
        <w:rPr>
          <w:rFonts w:ascii="Times New Roman" w:hAnsi="Times New Roman" w:cs="Times New Roman" w:eastAsia="Times New Roman" w:hint="default"/>
        </w:rPr>
        <w:t>10</w:t>
      </w:r>
      <w:r>
        <w:rPr/>
        <w:t>年从事烟草行业信息化的管理经验。曾任 浙江创联信息技术股份有限公司副总经理，杭州香溢信息系统工程有限公司总经理。</w:t>
      </w:r>
    </w:p>
    <w:p>
      <w:pPr>
        <w:pStyle w:val="BodyText"/>
        <w:spacing w:line="357" w:lineRule="auto" w:before="55"/>
        <w:ind w:right="132" w:firstLine="482"/>
        <w:jc w:val="left"/>
      </w:pPr>
      <w:r>
        <w:rPr/>
        <w:t>李建凯先生，现任本公司副总经理，曾任杭州朗新信息科技有限公司副总裁兼电力事业 部总经理。</w:t>
      </w:r>
    </w:p>
    <w:p>
      <w:pPr>
        <w:pStyle w:val="BodyText"/>
        <w:spacing w:line="357" w:lineRule="auto"/>
        <w:ind w:right="132" w:firstLine="482"/>
        <w:jc w:val="left"/>
      </w:pPr>
      <w:r>
        <w:rPr/>
        <w:t>席伟先生，现任本公司副总经理，曾任浙江华立科技股份有限公司区域总监、杭州天丽 科技有限公司销售经理、浙大网新兰德股份有限公司销售经理等职务。</w:t>
      </w:r>
    </w:p>
    <w:p>
      <w:pPr>
        <w:pStyle w:val="BodyText"/>
        <w:spacing w:line="357" w:lineRule="auto" w:before="77"/>
        <w:ind w:right="132" w:firstLine="482"/>
        <w:jc w:val="left"/>
      </w:pPr>
      <w:r>
        <w:rPr/>
        <w:t>俞竣华先生，会计师、中国注册税务师、经济师。现任本公司副总经理兼财务总监、董 事会秘书、杭州新世纪电子科技有限公司财务总监、上海阿波罗机械股份有限公司董事。</w:t>
      </w:r>
    </w:p>
    <w:p>
      <w:pPr>
        <w:pStyle w:val="BodyText"/>
        <w:spacing w:line="240" w:lineRule="auto" w:before="77"/>
        <w:ind w:left="775" w:right="279"/>
        <w:jc w:val="left"/>
      </w:pPr>
      <w:r>
        <w:rPr/>
        <w:t>3、在其他单位任职情况</w:t>
      </w:r>
    </w:p>
    <w:p>
      <w:pPr>
        <w:spacing w:line="240" w:lineRule="auto" w:before="8"/>
        <w:rPr>
          <w:rFonts w:ascii="宋体" w:hAnsi="宋体" w:cs="宋体" w:eastAsia="宋体" w:hint="default"/>
          <w:sz w:val="8"/>
          <w:szCs w:val="8"/>
        </w:rPr>
      </w:pPr>
    </w:p>
    <w:tbl>
      <w:tblPr>
        <w:tblW w:w="0" w:type="auto"/>
        <w:jc w:val="left"/>
        <w:tblInd w:w="287" w:type="dxa"/>
        <w:tblLayout w:type="fixed"/>
        <w:tblCellMar>
          <w:top w:w="0" w:type="dxa"/>
          <w:left w:w="0" w:type="dxa"/>
          <w:bottom w:w="0" w:type="dxa"/>
          <w:right w:w="0" w:type="dxa"/>
        </w:tblCellMar>
        <w:tblLook w:val="01E0"/>
      </w:tblPr>
      <w:tblGrid>
        <w:gridCol w:w="1202"/>
        <w:gridCol w:w="3190"/>
        <w:gridCol w:w="1063"/>
        <w:gridCol w:w="1195"/>
        <w:gridCol w:w="1325"/>
        <w:gridCol w:w="1594"/>
      </w:tblGrid>
      <w:tr>
        <w:trPr>
          <w:trHeight w:val="715"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6" w:right="7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3"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魏光耀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北京双杰电气股份有限公司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蔡家楣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浙江工业大学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蔡家楣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担任浙江工大盈码科技发展有限公司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79" w:top="1060" w:bottom="1160" w:left="840" w:right="1020"/>
        </w:sectPr>
      </w:pPr>
    </w:p>
    <w:p>
      <w:pPr>
        <w:spacing w:line="240" w:lineRule="auto" w:before="6"/>
        <w:rPr>
          <w:rFonts w:ascii="宋体" w:hAnsi="宋体" w:cs="宋体" w:eastAsia="宋体" w:hint="default"/>
          <w:sz w:val="28"/>
          <w:szCs w:val="28"/>
        </w:rPr>
      </w:pPr>
      <w:r>
        <w:rPr/>
        <w:pict>
          <v:group style="position:absolute;margin-left:547.559998pt;margin-top:781.919983pt;width:.1pt;height:10.35pt;mso-position-horizontal-relative:page;mso-position-vertical-relative:page;z-index:2344" coordorigin="10951,15638" coordsize="2,207">
            <v:shape style="position:absolute;left:10951;top:15638;width:2;height:207" coordorigin="10951,15638" coordsize="0,207" path="m10951,15638l10951,15845e" filled="false" stroked="true" strokeweight=".12pt" strokecolor="#000000">
              <v:path arrowok="t"/>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1200"/>
        <w:gridCol w:w="3192"/>
        <w:gridCol w:w="1063"/>
        <w:gridCol w:w="1195"/>
        <w:gridCol w:w="1325"/>
        <w:gridCol w:w="1594"/>
      </w:tblGrid>
      <w:tr>
        <w:trPr>
          <w:trHeight w:val="362" w:hRule="exact"/>
        </w:trPr>
        <w:tc>
          <w:tcPr>
            <w:tcW w:w="1200"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bookmarkStart w:name="三、董事、监事、高级管理人员报酬情况" w:id="68"/>
            <w:bookmarkEnd w:id="68"/>
            <w:r>
              <w:rPr/>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陆国华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担任杭州先锋电子技术股份有限公司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财务副总监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3"/>
        <w:spacing w:line="367" w:lineRule="exact"/>
        <w:ind w:right="279"/>
        <w:jc w:val="left"/>
        <w:rPr>
          <w:b w:val="0"/>
          <w:bCs w:val="0"/>
        </w:rPr>
      </w:pPr>
      <w:r>
        <w:rPr/>
        <w:t>三、董事、监事、高级管理人员报酬情况</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67" w:lineRule="auto" w:before="0"/>
        <w:ind w:left="595" w:right="311"/>
        <w:jc w:val="left"/>
      </w:pPr>
      <w:r>
        <w:rPr>
          <w:rFonts w:ascii="Times New Roman" w:hAnsi="Times New Roman" w:cs="Times New Roman" w:eastAsia="Times New Roman" w:hint="default"/>
        </w:rPr>
        <w:t>1</w:t>
      </w:r>
      <w:r>
        <w:rPr/>
        <w:t>、报酬的决策程序和报酬确定依据： 公司按照《公司章程》的规定确定董事、监事和高级管理人员的报酬。在公司任职的董</w:t>
      </w:r>
    </w:p>
    <w:p>
      <w:pPr>
        <w:pStyle w:val="BodyText"/>
        <w:spacing w:line="357" w:lineRule="auto" w:before="26"/>
        <w:ind w:left="112" w:right="314"/>
        <w:jc w:val="left"/>
      </w:pPr>
      <w:r>
        <w:rPr/>
        <w:t>事、监事、高级管理人员按其职务根据公司现行的薪酬制度、参考公司经营业绩和个人绩效 领取报酬。</w:t>
      </w:r>
    </w:p>
    <w:p>
      <w:pPr>
        <w:pStyle w:val="BodyText"/>
        <w:spacing w:line="309" w:lineRule="auto" w:before="74"/>
        <w:ind w:left="595" w:right="551"/>
        <w:jc w:val="left"/>
      </w:pPr>
      <w:r>
        <w:rPr>
          <w:rFonts w:ascii="Times New Roman" w:hAnsi="Times New Roman" w:cs="Times New Roman" w:eastAsia="Times New Roman" w:hint="default"/>
        </w:rPr>
        <w:t>2</w:t>
      </w:r>
      <w:r>
        <w:rPr/>
        <w:t>、报酬的实际支付情况 公司严格按照董事、监事、高级管理人员薪酬的决策程序与确定依据按时支付薪酬。</w:t>
      </w:r>
    </w:p>
    <w:p>
      <w:pPr>
        <w:spacing w:before="17"/>
        <w:ind w:left="0" w:right="29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198"/>
        <w:gridCol w:w="1195"/>
        <w:gridCol w:w="1195"/>
        <w:gridCol w:w="1198"/>
        <w:gridCol w:w="1195"/>
        <w:gridCol w:w="1195"/>
        <w:gridCol w:w="1198"/>
        <w:gridCol w:w="1195"/>
      </w:tblGrid>
      <w:tr>
        <w:trPr>
          <w:trHeight w:val="713"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从公司获得的 应付报酬总额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5" w:right="50"/>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获得报酬</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徐智勇</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31.05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31.05</w:t>
            </w:r>
          </w:p>
        </w:tc>
      </w:tr>
      <w:tr>
        <w:trPr>
          <w:trHeight w:val="71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滕学军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83"/>
              <w:jc w:val="left"/>
              <w:rPr>
                <w:rFonts w:ascii="宋体" w:hAnsi="宋体" w:cs="宋体" w:eastAsia="宋体" w:hint="default"/>
                <w:sz w:val="18"/>
                <w:szCs w:val="18"/>
              </w:rPr>
            </w:pPr>
            <w:r>
              <w:rPr>
                <w:rFonts w:ascii="宋体" w:hAnsi="宋体" w:cs="宋体" w:eastAsia="宋体" w:hint="default"/>
                <w:sz w:val="18"/>
                <w:szCs w:val="18"/>
              </w:rPr>
              <w:t>副董事长、总 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31.05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31.05</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高雁峰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31.35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31.35</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乔文东</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魏光耀</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蔡家楣</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陆国华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高宝勇</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葛光鹏</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3.84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3.84</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钱丽琴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张凯平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10.55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10.55</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董轶凡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5.79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陆献尧</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w w:val="95"/>
                <w:sz w:val="18"/>
              </w:rPr>
              <w:t>12</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李云水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40.85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40.85</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邵阳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40.85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40.85</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李建凯</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40.85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40.85</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席伟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52.55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52.55</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俞竣华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1" w:right="0"/>
              <w:jc w:val="left"/>
              <w:rPr>
                <w:rFonts w:ascii="宋体" w:hAnsi="宋体" w:cs="宋体" w:eastAsia="宋体" w:hint="default"/>
                <w:sz w:val="18"/>
                <w:szCs w:val="18"/>
              </w:rPr>
            </w:pPr>
            <w:r>
              <w:rPr>
                <w:rFonts w:ascii="宋体" w:hAnsi="宋体" w:cs="宋体" w:eastAsia="宋体" w:hint="default"/>
                <w:sz w:val="18"/>
                <w:szCs w:val="18"/>
              </w:rPr>
              <w:t>副总经理、财</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40.85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40.85</w:t>
            </w:r>
          </w:p>
        </w:tc>
      </w:tr>
    </w:tbl>
    <w:p>
      <w:pPr>
        <w:spacing w:after="0" w:line="240" w:lineRule="auto"/>
        <w:jc w:val="right"/>
        <w:rPr>
          <w:rFonts w:ascii="Times New Roman" w:hAnsi="Times New Roman" w:cs="Times New Roman" w:eastAsia="Times New Roman" w:hint="default"/>
          <w:sz w:val="18"/>
          <w:szCs w:val="18"/>
        </w:rPr>
        <w:sectPr>
          <w:footerReference w:type="default" r:id="rId19"/>
          <w:pgSz w:w="11910" w:h="16840"/>
          <w:pgMar w:footer="979" w:header="745" w:top="1060" w:bottom="1160" w:left="1020" w:right="840"/>
          <w:pgNumType w:start="40"/>
        </w:sectPr>
      </w:pPr>
    </w:p>
    <w:p>
      <w:pPr>
        <w:spacing w:line="240" w:lineRule="auto" w:before="6"/>
        <w:rPr>
          <w:rFonts w:ascii="宋体" w:hAnsi="宋体" w:cs="宋体" w:eastAsia="宋体" w:hint="default"/>
          <w:sz w:val="28"/>
          <w:szCs w:val="28"/>
        </w:rPr>
      </w:pPr>
      <w:r>
        <w:rPr/>
        <w:pict>
          <v:group style="position:absolute;margin-left:47.639999pt;margin-top:781.919983pt;width:.1pt;height:10.35pt;mso-position-horizontal-relative:page;mso-position-vertical-relative:page;z-index:2368" coordorigin="953,15638" coordsize="2,207">
            <v:shape style="position:absolute;left:953;top:15638;width:2;height:207" coordorigin="953,15638" coordsize="0,207" path="m953,15638l953,15845e" filled="false" stroked="true" strokeweight=".12pt" strokecolor="#000000">
              <v:path arrowok="t"/>
            </v:shape>
            <w10:wrap type="none"/>
          </v:group>
        </w:pict>
      </w:r>
    </w:p>
    <w:tbl>
      <w:tblPr>
        <w:tblW w:w="0" w:type="auto"/>
        <w:jc w:val="left"/>
        <w:tblInd w:w="287" w:type="dxa"/>
        <w:tblLayout w:type="fixed"/>
        <w:tblCellMar>
          <w:top w:w="0" w:type="dxa"/>
          <w:left w:w="0" w:type="dxa"/>
          <w:bottom w:w="0" w:type="dxa"/>
          <w:right w:w="0" w:type="dxa"/>
        </w:tblCellMar>
        <w:tblLook w:val="01E0"/>
      </w:tblPr>
      <w:tblGrid>
        <w:gridCol w:w="1195"/>
        <w:gridCol w:w="1198"/>
        <w:gridCol w:w="1195"/>
        <w:gridCol w:w="1195"/>
        <w:gridCol w:w="1198"/>
        <w:gridCol w:w="1195"/>
        <w:gridCol w:w="1195"/>
        <w:gridCol w:w="1198"/>
      </w:tblGrid>
      <w:tr>
        <w:trPr>
          <w:trHeight w:val="674" w:hRule="exact"/>
        </w:trPr>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9"/>
              <w:ind w:left="24" w:right="83"/>
              <w:jc w:val="left"/>
              <w:rPr>
                <w:rFonts w:ascii="宋体" w:hAnsi="宋体" w:cs="宋体" w:eastAsia="宋体" w:hint="default"/>
                <w:sz w:val="18"/>
                <w:szCs w:val="18"/>
              </w:rPr>
            </w:pPr>
            <w:bookmarkStart w:name="四、公司董事、监事、高级管理人员离职和解聘情况" w:id="69"/>
            <w:bookmarkEnd w:id="69"/>
            <w:r>
              <w:rPr/>
            </w:r>
            <w:bookmarkStart w:name="五、报告期核心技术团队或关键技术人员变动情况（非董事、监事、高级管理人员）" w:id="70"/>
            <w:bookmarkEnd w:id="70"/>
            <w:r>
              <w:rPr/>
            </w:r>
            <w:bookmarkStart w:name="六、公司员工情况" w:id="71"/>
            <w:bookmarkEnd w:id="71"/>
            <w:r>
              <w:rPr/>
            </w:r>
            <w:r>
              <w:rPr>
                <w:rFonts w:ascii="宋体" w:hAnsi="宋体" w:cs="宋体" w:eastAsia="宋体" w:hint="default"/>
                <w:sz w:val="18"/>
                <w:szCs w:val="18"/>
              </w:rPr>
              <w:t>务总监、董事 会秘书</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9" w:right="0"/>
              <w:jc w:val="left"/>
              <w:rPr>
                <w:rFonts w:ascii="Times New Roman" w:hAnsi="Times New Roman" w:cs="Times New Roman" w:eastAsia="Times New Roman" w:hint="default"/>
                <w:sz w:val="18"/>
                <w:szCs w:val="18"/>
              </w:rPr>
            </w:pPr>
            <w:r>
              <w:rPr>
                <w:rFonts w:ascii="Times New Roman"/>
                <w:sz w:val="18"/>
              </w:rPr>
              <w:t>372.21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9" w:right="0"/>
              <w:jc w:val="left"/>
              <w:rPr>
                <w:rFonts w:ascii="Times New Roman" w:hAnsi="Times New Roman" w:cs="Times New Roman" w:eastAsia="Times New Roman" w:hint="default"/>
                <w:sz w:val="18"/>
                <w:szCs w:val="18"/>
              </w:rPr>
            </w:pPr>
            <w:r>
              <w:rPr>
                <w:rFonts w:ascii="Times New Roman"/>
                <w:sz w:val="18"/>
              </w:rPr>
              <w:t>372.21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3"/>
        <w:spacing w:line="367" w:lineRule="exact"/>
        <w:ind w:left="292" w:right="279"/>
        <w:jc w:val="left"/>
        <w:rPr>
          <w:b w:val="0"/>
          <w:bCs w:val="0"/>
        </w:rPr>
      </w:pPr>
      <w:r>
        <w:rPr/>
        <w:t>四、公司董事、监事、高级管理人员离职和解聘情况</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287" w:type="dxa"/>
        <w:tblLayout w:type="fixed"/>
        <w:tblCellMar>
          <w:top w:w="0" w:type="dxa"/>
          <w:left w:w="0" w:type="dxa"/>
          <w:bottom w:w="0" w:type="dxa"/>
          <w:right w:w="0" w:type="dxa"/>
        </w:tblCellMar>
        <w:tblLook w:val="01E0"/>
      </w:tblPr>
      <w:tblGrid>
        <w:gridCol w:w="1330"/>
        <w:gridCol w:w="1330"/>
        <w:gridCol w:w="1330"/>
        <w:gridCol w:w="1330"/>
        <w:gridCol w:w="4248"/>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陆献尧</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陆献尧先生因个人原因申请辞去公司总经理职务</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高宝勇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5"/>
              <w:jc w:val="left"/>
              <w:rPr>
                <w:rFonts w:ascii="宋体" w:hAnsi="宋体" w:cs="宋体" w:eastAsia="宋体" w:hint="default"/>
                <w:sz w:val="18"/>
                <w:szCs w:val="18"/>
              </w:rPr>
            </w:pPr>
            <w:r>
              <w:rPr>
                <w:rFonts w:ascii="宋体" w:hAnsi="宋体" w:cs="宋体" w:eastAsia="宋体" w:hint="default"/>
                <w:sz w:val="18"/>
                <w:szCs w:val="18"/>
              </w:rPr>
              <w:t>证券事务代表、 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高宝勇先生因个人原因申请辞去公司证券事务代表、 监事会主席职务</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葛广鹏</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葛广鹏先生因个人原因申请辞去公司监事职务。</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李建凯</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李建凯因个人原因申请辞去公司副总经理职务</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5"/>
        <w:rPr>
          <w:rFonts w:ascii="Microsoft JhengHei" w:hAnsi="Microsoft JhengHei" w:cs="Microsoft JhengHei" w:eastAsia="Microsoft JhengHei" w:hint="default"/>
          <w:b/>
          <w:bCs/>
          <w:sz w:val="13"/>
          <w:szCs w:val="13"/>
        </w:rPr>
      </w:pPr>
    </w:p>
    <w:p>
      <w:pPr>
        <w:spacing w:line="367" w:lineRule="exact" w:before="0"/>
        <w:ind w:left="292" w:right="27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五、报告期核心技术团队或关键技术人员变动情况（非董事、监事、高级管理人员）</w:t>
      </w:r>
      <w:r>
        <w:rPr>
          <w:rFonts w:ascii="Microsoft JhengHei" w:hAnsi="Microsoft JhengHei" w:cs="Microsoft JhengHei" w:eastAsia="Microsoft JhengHei" w:hint="default"/>
          <w:sz w:val="24"/>
          <w:szCs w:val="24"/>
        </w:rPr>
      </w:r>
    </w:p>
    <w:p>
      <w:pPr>
        <w:spacing w:line="240" w:lineRule="auto" w:before="2"/>
        <w:rPr>
          <w:rFonts w:ascii="Microsoft JhengHei" w:hAnsi="Microsoft JhengHei" w:cs="Microsoft JhengHei" w:eastAsia="Microsoft JhengHei" w:hint="default"/>
          <w:b/>
          <w:bCs/>
          <w:sz w:val="20"/>
          <w:szCs w:val="20"/>
        </w:rPr>
      </w:pPr>
    </w:p>
    <w:p>
      <w:pPr>
        <w:pStyle w:val="BodyText"/>
        <w:spacing w:line="240" w:lineRule="auto" w:before="0"/>
        <w:ind w:left="775" w:right="279"/>
        <w:jc w:val="left"/>
      </w:pPr>
      <w:r>
        <w:rPr/>
        <w:t>报告期内核心技术团队或关键技术人员无变动。</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2"/>
          <w:szCs w:val="22"/>
        </w:rPr>
      </w:pPr>
    </w:p>
    <w:p>
      <w:pPr>
        <w:spacing w:line="396" w:lineRule="auto" w:before="0"/>
        <w:ind w:left="775" w:right="4331" w:hanging="483"/>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六、公司员工情况 </w:t>
      </w:r>
      <w:r>
        <w:rPr>
          <w:rFonts w:ascii="宋体" w:hAnsi="宋体" w:cs="宋体" w:eastAsia="宋体" w:hint="default"/>
          <w:sz w:val="24"/>
          <w:szCs w:val="24"/>
        </w:rPr>
        <w:t>截止</w:t>
      </w:r>
      <w:r>
        <w:rPr>
          <w:rFonts w:ascii="Times New Roman" w:hAnsi="Times New Roman" w:cs="Times New Roman" w:eastAsia="Times New Roman" w:hint="default"/>
          <w:sz w:val="24"/>
          <w:szCs w:val="24"/>
        </w:rPr>
        <w:t>2012</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31</w:t>
      </w:r>
      <w:r>
        <w:rPr>
          <w:rFonts w:ascii="宋体" w:hAnsi="宋体" w:cs="宋体" w:eastAsia="宋体" w:hint="default"/>
          <w:sz w:val="24"/>
          <w:szCs w:val="24"/>
        </w:rPr>
        <w:t>日，本公司拥有员工</w:t>
      </w:r>
      <w:r>
        <w:rPr>
          <w:rFonts w:ascii="Times New Roman" w:hAnsi="Times New Roman" w:cs="Times New Roman" w:eastAsia="Times New Roman" w:hint="default"/>
          <w:sz w:val="24"/>
          <w:szCs w:val="24"/>
        </w:rPr>
        <w:t>310</w:t>
      </w:r>
      <w:r>
        <w:rPr>
          <w:rFonts w:ascii="宋体" w:hAnsi="宋体" w:cs="宋体" w:eastAsia="宋体" w:hint="default"/>
          <w:sz w:val="24"/>
          <w:szCs w:val="24"/>
        </w:rPr>
        <w:t>名。</w:t>
      </w:r>
    </w:p>
    <w:p>
      <w:pPr>
        <w:spacing w:line="240" w:lineRule="auto" w:before="11"/>
        <w:rPr>
          <w:rFonts w:ascii="宋体" w:hAnsi="宋体" w:cs="宋体" w:eastAsia="宋体" w:hint="default"/>
          <w:sz w:val="11"/>
          <w:szCs w:val="11"/>
        </w:rPr>
      </w:pPr>
    </w:p>
    <w:tbl>
      <w:tblPr>
        <w:tblW w:w="0" w:type="auto"/>
        <w:jc w:val="left"/>
        <w:tblInd w:w="285" w:type="dxa"/>
        <w:tblLayout w:type="fixed"/>
        <w:tblCellMar>
          <w:top w:w="0" w:type="dxa"/>
          <w:left w:w="0" w:type="dxa"/>
          <w:bottom w:w="0" w:type="dxa"/>
          <w:right w:w="0" w:type="dxa"/>
        </w:tblCellMar>
        <w:tblLook w:val="01E0"/>
      </w:tblPr>
      <w:tblGrid>
        <w:gridCol w:w="4411"/>
        <w:gridCol w:w="1402"/>
        <w:gridCol w:w="1277"/>
        <w:gridCol w:w="1274"/>
        <w:gridCol w:w="1135"/>
      </w:tblGrid>
      <w:tr>
        <w:trPr>
          <w:trHeight w:val="348" w:hRule="exact"/>
        </w:trPr>
        <w:tc>
          <w:tcPr>
            <w:tcW w:w="4411" w:type="dxa"/>
            <w:tcBorders>
              <w:top w:val="single" w:sz="6" w:space="0" w:color="000000"/>
              <w:left w:val="single" w:sz="6" w:space="0" w:color="000000"/>
              <w:bottom w:val="single" w:sz="6" w:space="0" w:color="000000"/>
              <w:right w:val="single" w:sz="6" w:space="0" w:color="000000"/>
            </w:tcBorders>
          </w:tcPr>
          <w:p>
            <w:pPr>
              <w:pStyle w:val="TableParagraph"/>
              <w:spacing w:line="315"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人员构成</w:t>
            </w:r>
            <w:r>
              <w:rPr>
                <w:rFonts w:ascii="Microsoft JhengHei" w:hAnsi="Microsoft JhengHei" w:cs="Microsoft JhengHei" w:eastAsia="Microsoft JhengHei" w:hint="default"/>
                <w:sz w:val="24"/>
                <w:szCs w:val="24"/>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315" w:lineRule="exact"/>
              <w:ind w:left="213"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股份公司</w:t>
            </w:r>
            <w:r>
              <w:rPr>
                <w:rFonts w:ascii="Microsoft JhengHei" w:hAnsi="Microsoft JhengHei" w:cs="Microsoft JhengHei" w:eastAsia="Microsoft JhengHei" w:hint="default"/>
                <w:sz w:val="24"/>
                <w:szCs w:val="24"/>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315" w:lineRule="exact"/>
              <w:ind w:left="15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电子科技</w:t>
            </w:r>
            <w:r>
              <w:rPr>
                <w:rFonts w:ascii="Microsoft JhengHei" w:hAnsi="Microsoft JhengHei" w:cs="Microsoft JhengHei" w:eastAsia="Microsoft JhengHei" w:hint="default"/>
                <w:sz w:val="24"/>
                <w:szCs w:val="24"/>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315" w:lineRule="exact"/>
              <w:ind w:left="15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德创电子</w:t>
            </w:r>
            <w:r>
              <w:rPr>
                <w:rFonts w:ascii="Microsoft JhengHei" w:hAnsi="Microsoft JhengHei" w:cs="Microsoft JhengHei" w:eastAsia="Microsoft JhengHei" w:hint="default"/>
                <w:sz w:val="24"/>
                <w:szCs w:val="24"/>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315" w:lineRule="exact"/>
              <w:ind w:left="32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r>
      <w:tr>
        <w:trPr>
          <w:trHeight w:val="348" w:hRule="exact"/>
        </w:trPr>
        <w:tc>
          <w:tcPr>
            <w:tcW w:w="4411"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4"/>
                <w:szCs w:val="24"/>
              </w:rPr>
            </w:pPr>
            <w:r>
              <w:rPr>
                <w:rFonts w:ascii="宋体" w:hAnsi="宋体" w:cs="宋体" w:eastAsia="宋体" w:hint="default"/>
                <w:sz w:val="24"/>
                <w:szCs w:val="24"/>
              </w:rPr>
              <w:t>在职员工人数</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 w:right="0"/>
              <w:jc w:val="left"/>
              <w:rPr>
                <w:rFonts w:ascii="Times New Roman" w:hAnsi="Times New Roman" w:cs="Times New Roman" w:eastAsia="Times New Roman" w:hint="default"/>
                <w:sz w:val="24"/>
                <w:szCs w:val="24"/>
              </w:rPr>
            </w:pPr>
            <w:r>
              <w:rPr>
                <w:rFonts w:ascii="Times New Roman"/>
                <w:sz w:val="24"/>
              </w:rPr>
              <w:t>233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 w:right="0"/>
              <w:jc w:val="left"/>
              <w:rPr>
                <w:rFonts w:ascii="Times New Roman" w:hAnsi="Times New Roman" w:cs="Times New Roman" w:eastAsia="Times New Roman" w:hint="default"/>
                <w:sz w:val="24"/>
                <w:szCs w:val="24"/>
              </w:rPr>
            </w:pPr>
            <w:r>
              <w:rPr>
                <w:rFonts w:ascii="Times New Roman"/>
                <w:sz w:val="24"/>
              </w:rPr>
              <w:t>18</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 w:right="0"/>
              <w:jc w:val="left"/>
              <w:rPr>
                <w:rFonts w:ascii="Times New Roman" w:hAnsi="Times New Roman" w:cs="Times New Roman" w:eastAsia="Times New Roman" w:hint="default"/>
                <w:sz w:val="24"/>
                <w:szCs w:val="24"/>
              </w:rPr>
            </w:pPr>
            <w:r>
              <w:rPr>
                <w:rFonts w:ascii="Times New Roman"/>
                <w:sz w:val="24"/>
              </w:rPr>
              <w:t>59</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 w:right="0"/>
              <w:jc w:val="left"/>
              <w:rPr>
                <w:rFonts w:ascii="Times New Roman" w:hAnsi="Times New Roman" w:cs="Times New Roman" w:eastAsia="Times New Roman" w:hint="default"/>
                <w:sz w:val="24"/>
                <w:szCs w:val="24"/>
              </w:rPr>
            </w:pPr>
            <w:r>
              <w:rPr>
                <w:rFonts w:ascii="Times New Roman"/>
                <w:sz w:val="24"/>
              </w:rPr>
              <w:t>310</w:t>
            </w:r>
          </w:p>
        </w:tc>
      </w:tr>
      <w:tr>
        <w:trPr>
          <w:trHeight w:val="346" w:hRule="exact"/>
        </w:trPr>
        <w:tc>
          <w:tcPr>
            <w:tcW w:w="441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其中公司需承担费用的离退休职工人数</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 w:right="0"/>
              <w:jc w:val="left"/>
              <w:rPr>
                <w:rFonts w:ascii="Times New Roman" w:hAnsi="Times New Roman" w:cs="Times New Roman" w:eastAsia="Times New Roman" w:hint="default"/>
                <w:sz w:val="24"/>
                <w:szCs w:val="24"/>
              </w:rPr>
            </w:pPr>
            <w:r>
              <w:rPr>
                <w:rFonts w:ascii="Times New Roman"/>
                <w:sz w:val="24"/>
              </w:rPr>
              <w:t>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 w:right="0"/>
              <w:jc w:val="left"/>
              <w:rPr>
                <w:rFonts w:ascii="Times New Roman" w:hAnsi="Times New Roman" w:cs="Times New Roman" w:eastAsia="Times New Roman" w:hint="default"/>
                <w:sz w:val="24"/>
                <w:szCs w:val="24"/>
              </w:rPr>
            </w:pPr>
            <w:r>
              <w:rPr>
                <w:rFonts w:ascii="Times New Roman"/>
                <w:sz w:val="24"/>
              </w:rPr>
              <w:t>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 w:right="0"/>
              <w:jc w:val="left"/>
              <w:rPr>
                <w:rFonts w:ascii="Times New Roman" w:hAnsi="Times New Roman" w:cs="Times New Roman" w:eastAsia="Times New Roman" w:hint="default"/>
                <w:sz w:val="24"/>
                <w:szCs w:val="24"/>
              </w:rPr>
            </w:pPr>
            <w:r>
              <w:rPr>
                <w:rFonts w:ascii="Times New Roman"/>
                <w:sz w:val="24"/>
              </w:rPr>
              <w:t>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 w:right="0"/>
              <w:jc w:val="left"/>
              <w:rPr>
                <w:rFonts w:ascii="Times New Roman" w:hAnsi="Times New Roman" w:cs="Times New Roman" w:eastAsia="Times New Roman" w:hint="default"/>
                <w:sz w:val="24"/>
                <w:szCs w:val="24"/>
              </w:rPr>
            </w:pPr>
            <w:r>
              <w:rPr>
                <w:rFonts w:ascii="Times New Roman"/>
                <w:sz w:val="24"/>
              </w:rPr>
              <w:t>0</w:t>
            </w:r>
          </w:p>
        </w:tc>
      </w:tr>
      <w:tr>
        <w:trPr>
          <w:trHeight w:val="348" w:hRule="exact"/>
        </w:trPr>
        <w:tc>
          <w:tcPr>
            <w:tcW w:w="4411" w:type="dxa"/>
            <w:tcBorders>
              <w:top w:val="single" w:sz="6" w:space="0" w:color="000000"/>
              <w:left w:val="single" w:sz="6" w:space="0" w:color="000000"/>
              <w:bottom w:val="single" w:sz="6" w:space="0" w:color="000000"/>
              <w:right w:val="single" w:sz="6" w:space="0" w:color="000000"/>
            </w:tcBorders>
          </w:tcPr>
          <w:p>
            <w:pPr>
              <w:pStyle w:val="TableParagraph"/>
              <w:spacing w:line="315"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专业构成类别</w:t>
            </w:r>
            <w:r>
              <w:rPr>
                <w:rFonts w:ascii="Microsoft JhengHei" w:hAnsi="Microsoft JhengHei" w:cs="Microsoft JhengHei" w:eastAsia="Microsoft JhengHei" w:hint="default"/>
                <w:sz w:val="24"/>
                <w:szCs w:val="24"/>
              </w:rPr>
            </w:r>
          </w:p>
        </w:tc>
        <w:tc>
          <w:tcPr>
            <w:tcW w:w="5088" w:type="dxa"/>
            <w:gridSpan w:val="4"/>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441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生产人员</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 w:right="0"/>
              <w:jc w:val="left"/>
              <w:rPr>
                <w:rFonts w:ascii="Times New Roman" w:hAnsi="Times New Roman" w:cs="Times New Roman" w:eastAsia="Times New Roman" w:hint="default"/>
                <w:sz w:val="24"/>
                <w:szCs w:val="24"/>
              </w:rPr>
            </w:pPr>
            <w:r>
              <w:rPr>
                <w:rFonts w:ascii="Times New Roman"/>
                <w:sz w:val="24"/>
              </w:rPr>
              <w:t>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 w:right="0"/>
              <w:jc w:val="left"/>
              <w:rPr>
                <w:rFonts w:ascii="Times New Roman" w:hAnsi="Times New Roman" w:cs="Times New Roman" w:eastAsia="Times New Roman" w:hint="default"/>
                <w:sz w:val="24"/>
                <w:szCs w:val="24"/>
              </w:rPr>
            </w:pPr>
            <w:r>
              <w:rPr>
                <w:rFonts w:ascii="Times New Roman"/>
                <w:sz w:val="24"/>
              </w:rPr>
              <w:t>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 w:right="0"/>
              <w:jc w:val="left"/>
              <w:rPr>
                <w:rFonts w:ascii="Times New Roman" w:hAnsi="Times New Roman" w:cs="Times New Roman" w:eastAsia="Times New Roman" w:hint="default"/>
                <w:sz w:val="24"/>
                <w:szCs w:val="24"/>
              </w:rPr>
            </w:pPr>
            <w:r>
              <w:rPr>
                <w:rFonts w:ascii="Times New Roman"/>
                <w:sz w:val="24"/>
              </w:rPr>
              <w:t>14</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 w:right="0"/>
              <w:jc w:val="left"/>
              <w:rPr>
                <w:rFonts w:ascii="Times New Roman" w:hAnsi="Times New Roman" w:cs="Times New Roman" w:eastAsia="Times New Roman" w:hint="default"/>
                <w:sz w:val="24"/>
                <w:szCs w:val="24"/>
              </w:rPr>
            </w:pPr>
            <w:r>
              <w:rPr>
                <w:rFonts w:ascii="Times New Roman"/>
                <w:sz w:val="24"/>
              </w:rPr>
              <w:t>14</w:t>
            </w:r>
          </w:p>
        </w:tc>
      </w:tr>
      <w:tr>
        <w:trPr>
          <w:trHeight w:val="348" w:hRule="exact"/>
        </w:trPr>
        <w:tc>
          <w:tcPr>
            <w:tcW w:w="4411"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4"/>
                <w:szCs w:val="24"/>
              </w:rPr>
            </w:pPr>
            <w:r>
              <w:rPr>
                <w:rFonts w:ascii="宋体" w:hAnsi="宋体" w:cs="宋体" w:eastAsia="宋体" w:hint="default"/>
                <w:sz w:val="24"/>
                <w:szCs w:val="24"/>
              </w:rPr>
              <w:t>销售人员</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4" w:right="0"/>
              <w:jc w:val="left"/>
              <w:rPr>
                <w:rFonts w:ascii="Times New Roman" w:hAnsi="Times New Roman" w:cs="Times New Roman" w:eastAsia="Times New Roman" w:hint="default"/>
                <w:sz w:val="24"/>
                <w:szCs w:val="24"/>
              </w:rPr>
            </w:pPr>
            <w:r>
              <w:rPr>
                <w:rFonts w:ascii="Times New Roman"/>
                <w:sz w:val="24"/>
              </w:rPr>
              <w:t>16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 w:right="0"/>
              <w:jc w:val="left"/>
              <w:rPr>
                <w:rFonts w:ascii="Times New Roman" w:hAnsi="Times New Roman" w:cs="Times New Roman" w:eastAsia="Times New Roman" w:hint="default"/>
                <w:sz w:val="24"/>
                <w:szCs w:val="24"/>
              </w:rPr>
            </w:pPr>
            <w:r>
              <w:rPr>
                <w:rFonts w:ascii="Times New Roman"/>
                <w:sz w:val="24"/>
              </w:rPr>
              <w:t>1</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 w:right="0"/>
              <w:jc w:val="left"/>
              <w:rPr>
                <w:rFonts w:ascii="Times New Roman" w:hAnsi="Times New Roman" w:cs="Times New Roman" w:eastAsia="Times New Roman" w:hint="default"/>
                <w:sz w:val="24"/>
                <w:szCs w:val="24"/>
              </w:rPr>
            </w:pPr>
            <w:r>
              <w:rPr>
                <w:rFonts w:ascii="Times New Roman"/>
                <w:sz w:val="24"/>
              </w:rPr>
              <w:t>1</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4" w:right="0"/>
              <w:jc w:val="left"/>
              <w:rPr>
                <w:rFonts w:ascii="Times New Roman" w:hAnsi="Times New Roman" w:cs="Times New Roman" w:eastAsia="Times New Roman" w:hint="default"/>
                <w:sz w:val="24"/>
                <w:szCs w:val="24"/>
              </w:rPr>
            </w:pPr>
            <w:r>
              <w:rPr>
                <w:rFonts w:ascii="Times New Roman"/>
                <w:sz w:val="24"/>
              </w:rPr>
              <w:t>18</w:t>
            </w:r>
          </w:p>
        </w:tc>
      </w:tr>
      <w:tr>
        <w:trPr>
          <w:trHeight w:val="348" w:hRule="exact"/>
        </w:trPr>
        <w:tc>
          <w:tcPr>
            <w:tcW w:w="4411"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4"/>
                <w:szCs w:val="24"/>
              </w:rPr>
            </w:pPr>
            <w:r>
              <w:rPr>
                <w:rFonts w:ascii="宋体" w:hAnsi="宋体" w:cs="宋体" w:eastAsia="宋体" w:hint="default"/>
                <w:sz w:val="24"/>
                <w:szCs w:val="24"/>
              </w:rPr>
              <w:t>技术人员</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 w:right="0"/>
              <w:jc w:val="left"/>
              <w:rPr>
                <w:rFonts w:ascii="Times New Roman" w:hAnsi="Times New Roman" w:cs="Times New Roman" w:eastAsia="Times New Roman" w:hint="default"/>
                <w:sz w:val="24"/>
                <w:szCs w:val="24"/>
              </w:rPr>
            </w:pPr>
            <w:r>
              <w:rPr>
                <w:rFonts w:ascii="Times New Roman"/>
                <w:sz w:val="24"/>
              </w:rPr>
              <w:t>186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 w:right="0"/>
              <w:jc w:val="left"/>
              <w:rPr>
                <w:rFonts w:ascii="Times New Roman" w:hAnsi="Times New Roman" w:cs="Times New Roman" w:eastAsia="Times New Roman" w:hint="default"/>
                <w:sz w:val="24"/>
                <w:szCs w:val="24"/>
              </w:rPr>
            </w:pPr>
            <w:r>
              <w:rPr>
                <w:rFonts w:ascii="Times New Roman"/>
                <w:sz w:val="24"/>
              </w:rPr>
              <w:t>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 w:right="0"/>
              <w:jc w:val="left"/>
              <w:rPr>
                <w:rFonts w:ascii="Times New Roman" w:hAnsi="Times New Roman" w:cs="Times New Roman" w:eastAsia="Times New Roman" w:hint="default"/>
                <w:sz w:val="24"/>
                <w:szCs w:val="24"/>
              </w:rPr>
            </w:pPr>
            <w:r>
              <w:rPr>
                <w:rFonts w:ascii="Times New Roman"/>
                <w:sz w:val="24"/>
              </w:rPr>
              <w:t>32</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 w:right="0"/>
              <w:jc w:val="left"/>
              <w:rPr>
                <w:rFonts w:ascii="Times New Roman" w:hAnsi="Times New Roman" w:cs="Times New Roman" w:eastAsia="Times New Roman" w:hint="default"/>
                <w:sz w:val="24"/>
                <w:szCs w:val="24"/>
              </w:rPr>
            </w:pPr>
            <w:r>
              <w:rPr>
                <w:rFonts w:ascii="Times New Roman"/>
                <w:sz w:val="24"/>
              </w:rPr>
              <w:t>223</w:t>
            </w:r>
          </w:p>
        </w:tc>
      </w:tr>
      <w:tr>
        <w:trPr>
          <w:trHeight w:val="346" w:hRule="exact"/>
        </w:trPr>
        <w:tc>
          <w:tcPr>
            <w:tcW w:w="441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财务人员</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 w:right="0"/>
              <w:jc w:val="left"/>
              <w:rPr>
                <w:rFonts w:ascii="Times New Roman" w:hAnsi="Times New Roman" w:cs="Times New Roman" w:eastAsia="Times New Roman" w:hint="default"/>
                <w:sz w:val="24"/>
                <w:szCs w:val="24"/>
              </w:rPr>
            </w:pPr>
            <w:r>
              <w:rPr>
                <w:rFonts w:ascii="Times New Roman"/>
                <w:sz w:val="24"/>
              </w:rPr>
              <w:t>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 w:right="0"/>
              <w:jc w:val="left"/>
              <w:rPr>
                <w:rFonts w:ascii="Times New Roman" w:hAnsi="Times New Roman" w:cs="Times New Roman" w:eastAsia="Times New Roman" w:hint="default"/>
                <w:sz w:val="24"/>
                <w:szCs w:val="24"/>
              </w:rPr>
            </w:pPr>
            <w:r>
              <w:rPr>
                <w:rFonts w:ascii="Times New Roman"/>
                <w:sz w:val="24"/>
              </w:rPr>
              <w:t>2</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 w:right="0"/>
              <w:jc w:val="left"/>
              <w:rPr>
                <w:rFonts w:ascii="Times New Roman" w:hAnsi="Times New Roman" w:cs="Times New Roman" w:eastAsia="Times New Roman" w:hint="default"/>
                <w:sz w:val="24"/>
                <w:szCs w:val="24"/>
              </w:rPr>
            </w:pPr>
            <w:r>
              <w:rPr>
                <w:rFonts w:ascii="Times New Roman"/>
                <w:sz w:val="24"/>
              </w:rPr>
              <w:t>1</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 w:right="0"/>
              <w:jc w:val="left"/>
              <w:rPr>
                <w:rFonts w:ascii="Times New Roman" w:hAnsi="Times New Roman" w:cs="Times New Roman" w:eastAsia="Times New Roman" w:hint="default"/>
                <w:sz w:val="24"/>
                <w:szCs w:val="24"/>
              </w:rPr>
            </w:pPr>
            <w:r>
              <w:rPr>
                <w:rFonts w:ascii="Times New Roman"/>
                <w:sz w:val="24"/>
              </w:rPr>
              <w:t>12</w:t>
            </w:r>
          </w:p>
        </w:tc>
      </w:tr>
      <w:tr>
        <w:trPr>
          <w:trHeight w:val="348" w:hRule="exact"/>
        </w:trPr>
        <w:tc>
          <w:tcPr>
            <w:tcW w:w="4411"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4"/>
                <w:szCs w:val="24"/>
              </w:rPr>
            </w:pPr>
            <w:r>
              <w:rPr>
                <w:rFonts w:ascii="宋体" w:hAnsi="宋体" w:cs="宋体" w:eastAsia="宋体" w:hint="default"/>
                <w:sz w:val="24"/>
                <w:szCs w:val="24"/>
              </w:rPr>
              <w:t>行政人员</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 w:right="0"/>
              <w:jc w:val="left"/>
              <w:rPr>
                <w:rFonts w:ascii="Times New Roman" w:hAnsi="Times New Roman" w:cs="Times New Roman" w:eastAsia="Times New Roman" w:hint="default"/>
                <w:sz w:val="24"/>
                <w:szCs w:val="24"/>
              </w:rPr>
            </w:pPr>
            <w:r>
              <w:rPr>
                <w:rFonts w:ascii="Times New Roman"/>
                <w:sz w:val="24"/>
              </w:rPr>
              <w:t>22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 w:right="0"/>
              <w:jc w:val="left"/>
              <w:rPr>
                <w:rFonts w:ascii="Times New Roman" w:hAnsi="Times New Roman" w:cs="Times New Roman" w:eastAsia="Times New Roman" w:hint="default"/>
                <w:sz w:val="24"/>
                <w:szCs w:val="24"/>
              </w:rPr>
            </w:pPr>
            <w:r>
              <w:rPr>
                <w:rFonts w:ascii="Times New Roman"/>
                <w:sz w:val="24"/>
              </w:rPr>
              <w:t>10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 w:right="0"/>
              <w:jc w:val="left"/>
              <w:rPr>
                <w:rFonts w:ascii="Times New Roman" w:hAnsi="Times New Roman" w:cs="Times New Roman" w:eastAsia="Times New Roman" w:hint="default"/>
                <w:sz w:val="24"/>
                <w:szCs w:val="24"/>
              </w:rPr>
            </w:pPr>
            <w:r>
              <w:rPr>
                <w:rFonts w:ascii="Times New Roman"/>
                <w:sz w:val="24"/>
              </w:rPr>
              <w:t>11</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 w:right="0"/>
              <w:jc w:val="left"/>
              <w:rPr>
                <w:rFonts w:ascii="Times New Roman" w:hAnsi="Times New Roman" w:cs="Times New Roman" w:eastAsia="Times New Roman" w:hint="default"/>
                <w:sz w:val="24"/>
                <w:szCs w:val="24"/>
              </w:rPr>
            </w:pPr>
            <w:r>
              <w:rPr>
                <w:rFonts w:ascii="Times New Roman"/>
                <w:sz w:val="24"/>
              </w:rPr>
              <w:t>43</w:t>
            </w:r>
          </w:p>
        </w:tc>
      </w:tr>
      <w:tr>
        <w:trPr>
          <w:trHeight w:val="346" w:hRule="exact"/>
        </w:trPr>
        <w:tc>
          <w:tcPr>
            <w:tcW w:w="4411" w:type="dxa"/>
            <w:tcBorders>
              <w:top w:val="single" w:sz="6" w:space="0" w:color="000000"/>
              <w:left w:val="single" w:sz="6" w:space="0" w:color="000000"/>
              <w:bottom w:val="single" w:sz="6" w:space="0" w:color="000000"/>
              <w:right w:val="single" w:sz="6" w:space="0" w:color="000000"/>
            </w:tcBorders>
          </w:tcPr>
          <w:p>
            <w:pPr>
              <w:pStyle w:val="TableParagraph"/>
              <w:spacing w:line="313"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教育程度类别</w:t>
            </w:r>
            <w:r>
              <w:rPr>
                <w:rFonts w:ascii="Microsoft JhengHei" w:hAnsi="Microsoft JhengHei" w:cs="Microsoft JhengHei" w:eastAsia="Microsoft JhengHei" w:hint="default"/>
                <w:sz w:val="24"/>
                <w:szCs w:val="24"/>
              </w:rPr>
            </w:r>
          </w:p>
        </w:tc>
        <w:tc>
          <w:tcPr>
            <w:tcW w:w="5088" w:type="dxa"/>
            <w:gridSpan w:val="4"/>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411"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4"/>
                <w:szCs w:val="24"/>
              </w:rPr>
            </w:pPr>
            <w:r>
              <w:rPr>
                <w:rFonts w:ascii="宋体" w:hAnsi="宋体" w:cs="宋体" w:eastAsia="宋体" w:hint="default"/>
                <w:sz w:val="24"/>
                <w:szCs w:val="24"/>
              </w:rPr>
              <w:t>硕士及以上</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 w:right="0"/>
              <w:jc w:val="left"/>
              <w:rPr>
                <w:rFonts w:ascii="Times New Roman" w:hAnsi="Times New Roman" w:cs="Times New Roman" w:eastAsia="Times New Roman" w:hint="default"/>
                <w:sz w:val="24"/>
                <w:szCs w:val="24"/>
              </w:rPr>
            </w:pPr>
            <w:r>
              <w:rPr>
                <w:rFonts w:ascii="Times New Roman"/>
                <w:sz w:val="24"/>
              </w:rPr>
              <w:t>21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 w:right="0"/>
              <w:jc w:val="left"/>
              <w:rPr>
                <w:rFonts w:ascii="Times New Roman" w:hAnsi="Times New Roman" w:cs="Times New Roman" w:eastAsia="Times New Roman" w:hint="default"/>
                <w:sz w:val="24"/>
                <w:szCs w:val="24"/>
              </w:rPr>
            </w:pPr>
            <w:r>
              <w:rPr>
                <w:rFonts w:ascii="Times New Roman"/>
                <w:sz w:val="24"/>
              </w:rPr>
              <w:t>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 w:right="0"/>
              <w:jc w:val="left"/>
              <w:rPr>
                <w:rFonts w:ascii="Times New Roman" w:hAnsi="Times New Roman" w:cs="Times New Roman" w:eastAsia="Times New Roman" w:hint="default"/>
                <w:sz w:val="24"/>
                <w:szCs w:val="24"/>
              </w:rPr>
            </w:pPr>
            <w:r>
              <w:rPr>
                <w:rFonts w:ascii="Times New Roman"/>
                <w:sz w:val="24"/>
              </w:rPr>
              <w:t>1</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 w:right="0"/>
              <w:jc w:val="left"/>
              <w:rPr>
                <w:rFonts w:ascii="Times New Roman" w:hAnsi="Times New Roman" w:cs="Times New Roman" w:eastAsia="Times New Roman" w:hint="default"/>
                <w:sz w:val="24"/>
                <w:szCs w:val="24"/>
              </w:rPr>
            </w:pPr>
            <w:r>
              <w:rPr>
                <w:rFonts w:ascii="Times New Roman"/>
                <w:sz w:val="24"/>
              </w:rPr>
              <w:t>22</w:t>
            </w:r>
          </w:p>
        </w:tc>
      </w:tr>
      <w:tr>
        <w:trPr>
          <w:trHeight w:val="346" w:hRule="exact"/>
        </w:trPr>
        <w:tc>
          <w:tcPr>
            <w:tcW w:w="441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本科</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 w:right="0"/>
              <w:jc w:val="left"/>
              <w:rPr>
                <w:rFonts w:ascii="Times New Roman" w:hAnsi="Times New Roman" w:cs="Times New Roman" w:eastAsia="Times New Roman" w:hint="default"/>
                <w:sz w:val="24"/>
                <w:szCs w:val="24"/>
              </w:rPr>
            </w:pPr>
            <w:r>
              <w:rPr>
                <w:rFonts w:ascii="Times New Roman"/>
                <w:sz w:val="24"/>
              </w:rPr>
              <w:t>160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 w:right="0"/>
              <w:jc w:val="left"/>
              <w:rPr>
                <w:rFonts w:ascii="Times New Roman" w:hAnsi="Times New Roman" w:cs="Times New Roman" w:eastAsia="Times New Roman" w:hint="default"/>
                <w:sz w:val="24"/>
                <w:szCs w:val="24"/>
              </w:rPr>
            </w:pPr>
            <w:r>
              <w:rPr>
                <w:rFonts w:ascii="Times New Roman"/>
                <w:sz w:val="24"/>
              </w:rPr>
              <w:t>8</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 w:right="0"/>
              <w:jc w:val="left"/>
              <w:rPr>
                <w:rFonts w:ascii="Times New Roman" w:hAnsi="Times New Roman" w:cs="Times New Roman" w:eastAsia="Times New Roman" w:hint="default"/>
                <w:sz w:val="24"/>
                <w:szCs w:val="24"/>
              </w:rPr>
            </w:pPr>
            <w:r>
              <w:rPr>
                <w:rFonts w:ascii="Times New Roman"/>
                <w:sz w:val="24"/>
              </w:rPr>
              <w:t>17</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 w:right="0"/>
              <w:jc w:val="left"/>
              <w:rPr>
                <w:rFonts w:ascii="Times New Roman" w:hAnsi="Times New Roman" w:cs="Times New Roman" w:eastAsia="Times New Roman" w:hint="default"/>
                <w:sz w:val="24"/>
                <w:szCs w:val="24"/>
              </w:rPr>
            </w:pPr>
            <w:r>
              <w:rPr>
                <w:rFonts w:ascii="Times New Roman"/>
                <w:sz w:val="24"/>
              </w:rPr>
              <w:t>185</w:t>
            </w:r>
          </w:p>
        </w:tc>
      </w:tr>
      <w:tr>
        <w:trPr>
          <w:trHeight w:val="348" w:hRule="exact"/>
        </w:trPr>
        <w:tc>
          <w:tcPr>
            <w:tcW w:w="4411"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4"/>
                <w:szCs w:val="24"/>
              </w:rPr>
            </w:pPr>
            <w:r>
              <w:rPr>
                <w:rFonts w:ascii="宋体" w:hAnsi="宋体" w:cs="宋体" w:eastAsia="宋体" w:hint="default"/>
                <w:sz w:val="24"/>
                <w:szCs w:val="24"/>
              </w:rPr>
              <w:t>专科</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4" w:right="0"/>
              <w:jc w:val="left"/>
              <w:rPr>
                <w:rFonts w:ascii="Times New Roman" w:hAnsi="Times New Roman" w:cs="Times New Roman" w:eastAsia="Times New Roman" w:hint="default"/>
                <w:sz w:val="24"/>
                <w:szCs w:val="24"/>
              </w:rPr>
            </w:pPr>
            <w:r>
              <w:rPr>
                <w:rFonts w:ascii="Times New Roman"/>
                <w:sz w:val="24"/>
              </w:rPr>
              <w:t>39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 w:right="0"/>
              <w:jc w:val="left"/>
              <w:rPr>
                <w:rFonts w:ascii="Times New Roman" w:hAnsi="Times New Roman" w:cs="Times New Roman" w:eastAsia="Times New Roman" w:hint="default"/>
                <w:sz w:val="24"/>
                <w:szCs w:val="24"/>
              </w:rPr>
            </w:pPr>
            <w:r>
              <w:rPr>
                <w:rFonts w:ascii="Times New Roman"/>
                <w:sz w:val="24"/>
              </w:rPr>
              <w:t>6</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 w:right="0"/>
              <w:jc w:val="left"/>
              <w:rPr>
                <w:rFonts w:ascii="Times New Roman" w:hAnsi="Times New Roman" w:cs="Times New Roman" w:eastAsia="Times New Roman" w:hint="default"/>
                <w:sz w:val="24"/>
                <w:szCs w:val="24"/>
              </w:rPr>
            </w:pPr>
            <w:r>
              <w:rPr>
                <w:rFonts w:ascii="Times New Roman"/>
                <w:sz w:val="24"/>
              </w:rPr>
              <w:t>21</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4" w:right="0"/>
              <w:jc w:val="left"/>
              <w:rPr>
                <w:rFonts w:ascii="Times New Roman" w:hAnsi="Times New Roman" w:cs="Times New Roman" w:eastAsia="Times New Roman" w:hint="default"/>
                <w:sz w:val="24"/>
                <w:szCs w:val="24"/>
              </w:rPr>
            </w:pPr>
            <w:r>
              <w:rPr>
                <w:rFonts w:ascii="Times New Roman"/>
                <w:sz w:val="24"/>
              </w:rPr>
              <w:t>66</w:t>
            </w:r>
          </w:p>
        </w:tc>
      </w:tr>
    </w:tbl>
    <w:p>
      <w:pPr>
        <w:spacing w:after="0" w:line="240" w:lineRule="auto"/>
        <w:jc w:val="left"/>
        <w:rPr>
          <w:rFonts w:ascii="Times New Roman" w:hAnsi="Times New Roman" w:cs="Times New Roman" w:eastAsia="Times New Roman" w:hint="default"/>
          <w:sz w:val="24"/>
          <w:szCs w:val="24"/>
        </w:rPr>
        <w:sectPr>
          <w:pgSz w:w="11910" w:h="16840"/>
          <w:pgMar w:header="745" w:footer="979" w:top="1060" w:bottom="1160" w:left="840" w:right="102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4411"/>
        <w:gridCol w:w="1402"/>
        <w:gridCol w:w="1274"/>
        <w:gridCol w:w="1277"/>
        <w:gridCol w:w="1135"/>
      </w:tblGrid>
      <w:tr>
        <w:trPr>
          <w:trHeight w:val="346" w:hRule="exact"/>
        </w:trPr>
        <w:tc>
          <w:tcPr>
            <w:tcW w:w="441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 w:right="0"/>
              <w:jc w:val="left"/>
              <w:rPr>
                <w:rFonts w:ascii="Times New Roman" w:hAnsi="Times New Roman" w:cs="Times New Roman" w:eastAsia="Times New Roman" w:hint="default"/>
                <w:sz w:val="24"/>
                <w:szCs w:val="24"/>
              </w:rPr>
            </w:pPr>
            <w:r>
              <w:rPr>
                <w:rFonts w:ascii="Times New Roman"/>
                <w:sz w:val="24"/>
              </w:rPr>
              <w:t>13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 w:right="0"/>
              <w:jc w:val="left"/>
              <w:rPr>
                <w:rFonts w:ascii="Times New Roman" w:hAnsi="Times New Roman" w:cs="Times New Roman" w:eastAsia="Times New Roman" w:hint="default"/>
                <w:sz w:val="24"/>
                <w:szCs w:val="24"/>
              </w:rPr>
            </w:pPr>
            <w:r>
              <w:rPr>
                <w:rFonts w:ascii="Times New Roman"/>
                <w:sz w:val="24"/>
              </w:rPr>
              <w:t>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 w:right="0"/>
              <w:jc w:val="left"/>
              <w:rPr>
                <w:rFonts w:ascii="Times New Roman" w:hAnsi="Times New Roman" w:cs="Times New Roman" w:eastAsia="Times New Roman" w:hint="default"/>
                <w:sz w:val="24"/>
                <w:szCs w:val="24"/>
              </w:rPr>
            </w:pPr>
            <w:r>
              <w:rPr>
                <w:rFonts w:ascii="Times New Roman"/>
                <w:sz w:val="24"/>
              </w:rPr>
              <w:t>20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 w:right="0"/>
              <w:jc w:val="left"/>
              <w:rPr>
                <w:rFonts w:ascii="Times New Roman" w:hAnsi="Times New Roman" w:cs="Times New Roman" w:eastAsia="Times New Roman" w:hint="default"/>
                <w:sz w:val="24"/>
                <w:szCs w:val="24"/>
              </w:rPr>
            </w:pPr>
            <w:r>
              <w:rPr>
                <w:rFonts w:ascii="Times New Roman"/>
                <w:sz w:val="24"/>
              </w:rPr>
              <w:t>37</w:t>
            </w:r>
          </w:p>
        </w:tc>
      </w:tr>
      <w:tr>
        <w:trPr>
          <w:trHeight w:val="348" w:hRule="exact"/>
        </w:trPr>
        <w:tc>
          <w:tcPr>
            <w:tcW w:w="4411"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3880" w:lineRule="exact"/>
        <w:ind w:left="115" w:right="0" w:firstLine="0"/>
        <w:rPr>
          <w:rFonts w:ascii="宋体" w:hAnsi="宋体" w:cs="宋体" w:eastAsia="宋体" w:hint="default"/>
          <w:sz w:val="20"/>
          <w:szCs w:val="20"/>
        </w:rPr>
      </w:pPr>
      <w:r>
        <w:rPr>
          <w:rFonts w:ascii="宋体" w:hAnsi="宋体" w:cs="宋体" w:eastAsia="宋体" w:hint="default"/>
          <w:position w:val="-77"/>
          <w:sz w:val="20"/>
          <w:szCs w:val="20"/>
        </w:rPr>
        <w:drawing>
          <wp:inline distT="0" distB="0" distL="0" distR="0">
            <wp:extent cx="5225428" cy="2464307"/>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20" cstate="print"/>
                    <a:stretch>
                      <a:fillRect/>
                    </a:stretch>
                  </pic:blipFill>
                  <pic:spPr>
                    <a:xfrm>
                      <a:off x="0" y="0"/>
                      <a:ext cx="5225428" cy="2464307"/>
                    </a:xfrm>
                    <a:prstGeom prst="rect">
                      <a:avLst/>
                    </a:prstGeom>
                  </pic:spPr>
                </pic:pic>
              </a:graphicData>
            </a:graphic>
          </wp:inline>
        </w:drawing>
      </w:r>
      <w:r>
        <w:rPr>
          <w:rFonts w:ascii="宋体" w:hAnsi="宋体" w:cs="宋体" w:eastAsia="宋体" w:hint="default"/>
          <w:position w:val="-77"/>
          <w:sz w:val="20"/>
          <w:szCs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line="3915" w:lineRule="exact"/>
        <w:ind w:left="115" w:right="0" w:firstLine="0"/>
        <w:rPr>
          <w:rFonts w:ascii="宋体" w:hAnsi="宋体" w:cs="宋体" w:eastAsia="宋体" w:hint="default"/>
          <w:sz w:val="20"/>
          <w:szCs w:val="20"/>
        </w:rPr>
      </w:pPr>
      <w:r>
        <w:rPr>
          <w:rFonts w:ascii="宋体" w:hAnsi="宋体" w:cs="宋体" w:eastAsia="宋体" w:hint="default"/>
          <w:position w:val="-77"/>
          <w:sz w:val="20"/>
          <w:szCs w:val="20"/>
        </w:rPr>
        <w:drawing>
          <wp:inline distT="0" distB="0" distL="0" distR="0">
            <wp:extent cx="4886692" cy="2486025"/>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21" cstate="print"/>
                    <a:stretch>
                      <a:fillRect/>
                    </a:stretch>
                  </pic:blipFill>
                  <pic:spPr>
                    <a:xfrm>
                      <a:off x="0" y="0"/>
                      <a:ext cx="4886692" cy="2486025"/>
                    </a:xfrm>
                    <a:prstGeom prst="rect">
                      <a:avLst/>
                    </a:prstGeom>
                  </pic:spPr>
                </pic:pic>
              </a:graphicData>
            </a:graphic>
          </wp:inline>
        </w:drawing>
      </w:r>
      <w:r>
        <w:rPr>
          <w:rFonts w:ascii="宋体" w:hAnsi="宋体" w:cs="宋体" w:eastAsia="宋体" w:hint="default"/>
          <w:position w:val="-77"/>
          <w:sz w:val="20"/>
          <w:szCs w:val="20"/>
        </w:rPr>
      </w:r>
    </w:p>
    <w:p>
      <w:pPr>
        <w:spacing w:line="240" w:lineRule="auto" w:before="0"/>
        <w:rPr>
          <w:rFonts w:ascii="宋体" w:hAnsi="宋体" w:cs="宋体" w:eastAsia="宋体" w:hint="default"/>
          <w:sz w:val="20"/>
          <w:szCs w:val="20"/>
        </w:rPr>
      </w:pPr>
    </w:p>
    <w:p>
      <w:pPr>
        <w:pStyle w:val="BodyText"/>
        <w:spacing w:line="350" w:lineRule="auto" w:before="160"/>
        <w:ind w:left="112" w:right="290" w:firstLine="482"/>
        <w:jc w:val="both"/>
      </w:pPr>
      <w:r>
        <w:rPr/>
        <w:pict>
          <v:group style="position:absolute;margin-left:547.559998pt;margin-top:228.055603pt;width:.1pt;height:10.35pt;mso-position-horizontal-relative:page;mso-position-vertical-relative:paragraph;z-index:2392" coordorigin="10951,4561" coordsize="2,207">
            <v:shape style="position:absolute;left:10951;top:4561;width:2;height:207" coordorigin="10951,4561" coordsize="0,207" path="m10951,4561l10951,4768e" filled="false" stroked="true" strokeweight=".12pt" strokecolor="#000000">
              <v:path arrowok="t"/>
            </v:shape>
            <w10:wrap type="none"/>
          </v:group>
        </w:pict>
      </w:r>
      <w:r>
        <w:rPr>
          <w:rFonts w:ascii="Times New Roman" w:hAnsi="Times New Roman" w:cs="Times New Roman" w:eastAsia="Times New Roman" w:hint="default"/>
        </w:rPr>
        <w:t>2012</w:t>
      </w:r>
      <w:r>
        <w:rPr/>
        <w:t>年公司以</w:t>
      </w:r>
      <w:r>
        <w:rPr>
          <w:rFonts w:ascii="Times New Roman" w:hAnsi="Times New Roman" w:cs="Times New Roman" w:eastAsia="Times New Roman" w:hint="default"/>
        </w:rPr>
        <w:t>“</w:t>
      </w:r>
      <w:r>
        <w:rPr/>
        <w:t>诚信、平等、和谐、创新</w:t>
      </w:r>
      <w:r>
        <w:rPr>
          <w:rFonts w:ascii="Times New Roman" w:hAnsi="Times New Roman" w:cs="Times New Roman" w:eastAsia="Times New Roman" w:hint="default"/>
        </w:rPr>
        <w:t>”</w:t>
      </w:r>
      <w:r>
        <w:rPr/>
        <w:t>的企业文化氛围为基础，采取多种方式、多种 </w:t>
      </w:r>
      <w:r>
        <w:rPr>
          <w:spacing w:val="-4"/>
          <w:w w:val="98"/>
        </w:rPr>
        <w:t>渠道开展企业文化活动，切实增强了公司员工的凝聚力和向心力；同时公司采取事业部</w:t>
      </w:r>
      <w:r>
        <w:rPr>
          <w:rFonts w:ascii="Times New Roman" w:hAnsi="Times New Roman" w:cs="Times New Roman" w:eastAsia="Times New Roman" w:hint="default"/>
          <w:spacing w:val="-4"/>
          <w:w w:val="98"/>
        </w:rPr>
        <w:t>/</w:t>
      </w:r>
      <w:r>
        <w:rPr>
          <w:spacing w:val="-4"/>
          <w:w w:val="98"/>
        </w:rPr>
        <w:t>部门、</w:t>
      </w:r>
      <w:r>
        <w:rPr>
          <w:spacing w:val="-101"/>
          <w:w w:val="98"/>
        </w:rPr>
        <w:t> </w:t>
      </w:r>
      <w:r>
        <w:rPr>
          <w:spacing w:val="-101"/>
          <w:w w:val="98"/>
        </w:rPr>
      </w:r>
      <w:r>
        <w:rPr/>
        <w:t>员工层层分解绩效考核量化指标的方式，通过管理层、职能层、执行层的协同性与统一性，</w:t>
      </w:r>
      <w:r>
        <w:rPr/>
        <w:t> 有效的保证了公司整体绩效目标的完成，从而进一步完善了公司以</w:t>
      </w:r>
      <w:r>
        <w:rPr>
          <w:spacing w:val="-64"/>
        </w:rPr>
        <w:t> </w:t>
      </w:r>
      <w:r>
        <w:rPr>
          <w:rFonts w:ascii="Times New Roman" w:hAnsi="Times New Roman" w:cs="Times New Roman" w:eastAsia="Times New Roman" w:hint="default"/>
        </w:rPr>
        <w:t>“</w:t>
      </w:r>
      <w:r>
        <w:rPr/>
        <w:t>绩效为导向</w:t>
      </w:r>
      <w:r>
        <w:rPr>
          <w:rFonts w:ascii="Times New Roman" w:hAnsi="Times New Roman" w:cs="Times New Roman" w:eastAsia="Times New Roman" w:hint="default"/>
        </w:rPr>
        <w:t>”</w:t>
      </w:r>
      <w:r>
        <w:rPr/>
        <w:t>的现代人力</w:t>
      </w:r>
      <w:r>
        <w:rPr>
          <w:spacing w:val="-117"/>
        </w:rPr>
        <w:t> </w:t>
      </w:r>
      <w:r>
        <w:rPr>
          <w:spacing w:val="-117"/>
        </w:rPr>
      </w:r>
      <w:r>
        <w:rPr/>
        <w:t>资源管理体系。在员工培训方面公司建立了制度性的培训体系，并以制度为基础夯实公司培 训管理平台；建立并完善内部培训师制度，组建了内部培训师队伍，培养了一大批不同层次 的内部培训讲师；同时结合公司发展的需求有针对性的开展如项目管理、技术开发平台、业 务咨询等切实有效的培训课程，从而切实提高各类人员的专业水平；在岗位薪酬方面以岗位 体系标准为基础，并结合内外部相关薪酬数据，进一步提升公司薪酬体系的竞争力。</w:t>
      </w:r>
    </w:p>
    <w:p>
      <w:pPr>
        <w:spacing w:after="0" w:line="350" w:lineRule="auto"/>
        <w:jc w:val="both"/>
        <w:sectPr>
          <w:pgSz w:w="11910" w:h="16840"/>
          <w:pgMar w:header="745" w:footer="979" w:top="1060" w:bottom="1160" w:left="1020" w:right="8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2"/>
        <w:spacing w:line="456" w:lineRule="exact"/>
        <w:ind w:left="3891" w:right="3831"/>
        <w:jc w:val="center"/>
        <w:rPr>
          <w:b w:val="0"/>
          <w:bCs w:val="0"/>
        </w:rPr>
      </w:pPr>
      <w:bookmarkStart w:name="第八节公司治理" w:id="72"/>
      <w:bookmarkEnd w:id="72"/>
      <w:r>
        <w:rPr>
          <w:b w:val="0"/>
          <w:bCs w:val="0"/>
        </w:rPr>
      </w:r>
      <w:bookmarkStart w:name="一、公司治理的基本状况" w:id="73"/>
      <w:bookmarkEnd w:id="73"/>
      <w:r>
        <w:rPr>
          <w:b w:val="0"/>
          <w:bCs w:val="0"/>
        </w:rPr>
      </w:r>
      <w:bookmarkStart w:name="_bookmark7" w:id="74"/>
      <w:bookmarkEnd w:id="74"/>
      <w:r>
        <w:rPr>
          <w:b w:val="0"/>
          <w:bCs w:val="0"/>
        </w:rPr>
      </w:r>
      <w:r>
        <w:rPr/>
        <w:t>第八节 </w:t>
      </w:r>
      <w:r>
        <w:rPr>
          <w:spacing w:val="4"/>
        </w:rPr>
        <w:t> </w:t>
      </w:r>
      <w:r>
        <w:rPr/>
        <w:t>公司治理</w:t>
      </w:r>
      <w:r>
        <w:rPr>
          <w:b w:val="0"/>
          <w:bCs w:val="0"/>
        </w:rPr>
      </w:r>
    </w:p>
    <w:p>
      <w:pPr>
        <w:spacing w:line="240" w:lineRule="auto" w:before="10"/>
        <w:rPr>
          <w:rFonts w:ascii="Microsoft JhengHei" w:hAnsi="Microsoft JhengHei" w:cs="Microsoft JhengHei" w:eastAsia="Microsoft JhengHei" w:hint="default"/>
          <w:b/>
          <w:bCs/>
          <w:sz w:val="25"/>
          <w:szCs w:val="25"/>
        </w:rPr>
      </w:pPr>
    </w:p>
    <w:p>
      <w:pPr>
        <w:pStyle w:val="Heading3"/>
        <w:spacing w:line="367" w:lineRule="exact"/>
        <w:ind w:left="292" w:right="96"/>
        <w:jc w:val="left"/>
        <w:rPr>
          <w:b w:val="0"/>
          <w:bCs w:val="0"/>
        </w:rPr>
      </w:pPr>
      <w:r>
        <w:rPr/>
        <w:t>一、公司治理的基本状况</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57" w:lineRule="auto" w:before="0"/>
        <w:ind w:right="268" w:firstLine="482"/>
        <w:jc w:val="both"/>
      </w:pPr>
      <w:r>
        <w:rPr/>
        <w:t>报告期内，公司严格按照《公司法》、《证券法》、《上市公司治理准则》、《深圳证 券交易所股票上市规则》和中国证监会有关法律法规等的要求，不断地完善公司治理结构， 建立健全内部管理和控制制度，持续深入开展公司治理活动，以进一步规范公司运作，提高 了公司治理水平。</w:t>
      </w:r>
    </w:p>
    <w:p>
      <w:pPr>
        <w:pStyle w:val="BodyText"/>
        <w:spacing w:line="357" w:lineRule="auto" w:before="77"/>
        <w:ind w:right="268" w:firstLine="482"/>
        <w:jc w:val="both"/>
      </w:pPr>
      <w:r>
        <w:rPr/>
        <w:t>截至报告期末，公司治理的实际状况基本符合中国证监会发布的有关上市公司治理的规 范性文件。</w:t>
      </w:r>
    </w:p>
    <w:p>
      <w:pPr>
        <w:pStyle w:val="BodyText"/>
        <w:spacing w:line="348" w:lineRule="auto" w:before="77"/>
        <w:ind w:right="232" w:firstLine="482"/>
        <w:jc w:val="both"/>
      </w:pPr>
      <w:r>
        <w:rPr>
          <w:rFonts w:ascii="Times New Roman" w:hAnsi="Times New Roman" w:cs="Times New Roman" w:eastAsia="Times New Roman" w:hint="default"/>
          <w:spacing w:val="-3"/>
        </w:rPr>
        <w:t>1</w:t>
      </w:r>
      <w:r>
        <w:rPr>
          <w:spacing w:val="-3"/>
        </w:rPr>
        <w:t>、关于股东与股东大会：公司严格按照《上市公司股东大会规则》和《公司股东大会议</w:t>
      </w:r>
      <w:r>
        <w:rPr/>
        <w:t> 事规则》等的规定和要求，召集、召开股东大会，能够确保全体股东特别是中小股东享有平 等地位，充分行使自己的权力。</w:t>
      </w:r>
    </w:p>
    <w:p>
      <w:pPr>
        <w:pStyle w:val="BodyText"/>
        <w:spacing w:line="348" w:lineRule="auto" w:before="84"/>
        <w:ind w:right="96" w:firstLine="482"/>
        <w:jc w:val="left"/>
      </w:pPr>
      <w:r>
        <w:rPr>
          <w:rFonts w:ascii="Times New Roman" w:hAnsi="Times New Roman" w:cs="Times New Roman" w:eastAsia="Times New Roman" w:hint="default"/>
        </w:rPr>
        <w:t>2</w:t>
      </w:r>
      <w:r>
        <w:rPr/>
        <w:t>、关于公司与控股股东：公司拥有独立的业务和经营自主能力，在业务、人员、资产、</w:t>
      </w:r>
      <w:r>
        <w:rPr>
          <w:w w:val="65"/>
        </w:rPr>
        <w:t> </w:t>
      </w:r>
      <w:r>
        <w:rPr/>
        <w:t>机构、财务上独立于控股股东，公司董事会、监事会和内部机构独立运作。公司控股股东能</w:t>
      </w:r>
      <w:r>
        <w:rPr/>
        <w:t> </w:t>
      </w:r>
      <w:r>
        <w:rPr>
          <w:spacing w:val="-2"/>
        </w:rPr>
        <w:t>严格规范自己的行为，没有超越公司股东大会直接或间接干预公司的决策和经营活动的行为。</w:t>
      </w:r>
    </w:p>
    <w:p>
      <w:pPr>
        <w:pStyle w:val="BodyText"/>
        <w:spacing w:line="352" w:lineRule="auto" w:before="86"/>
        <w:ind w:right="229" w:firstLine="482"/>
        <w:jc w:val="both"/>
      </w:pPr>
      <w:r>
        <w:rPr>
          <w:rFonts w:ascii="Times New Roman" w:hAnsi="Times New Roman" w:cs="Times New Roman" w:eastAsia="Times New Roman" w:hint="default"/>
          <w:spacing w:val="-3"/>
        </w:rPr>
        <w:t>3</w:t>
      </w:r>
      <w:r>
        <w:rPr>
          <w:spacing w:val="-3"/>
        </w:rPr>
        <w:t>、关于董事与董事会：公司严格按照《公司章程》规定的选聘程序选举董事；公司目前</w:t>
      </w:r>
      <w:r>
        <w:rPr/>
        <w:t> </w:t>
      </w:r>
      <w:r>
        <w:rPr>
          <w:spacing w:val="-5"/>
        </w:rPr>
        <w:t>有独立董事三名，占全体董事的三分之一以上，董事会的人数及人员构成符合法律法规和《公</w:t>
      </w:r>
      <w:r>
        <w:rPr>
          <w:spacing w:val="-117"/>
        </w:rPr>
        <w:t> </w:t>
      </w:r>
      <w:r>
        <w:rPr>
          <w:spacing w:val="-117"/>
        </w:rPr>
      </w:r>
      <w:r>
        <w:rPr>
          <w:spacing w:val="-5"/>
        </w:rPr>
        <w:t>司章程》的要求。公司全体董事能够依据《董事会议事规则》、《独立董事工作制度》、《中</w:t>
      </w:r>
      <w:r>
        <w:rPr>
          <w:spacing w:val="-116"/>
        </w:rPr>
        <w:t> </w:t>
      </w:r>
      <w:r>
        <w:rPr>
          <w:spacing w:val="-116"/>
        </w:rPr>
      </w:r>
      <w:r>
        <w:rPr/>
        <w:t>小企业板块上市公司董事行为指引》等开展工作，认真出席董事会和股东大会，积极参加相 关知识的培训，熟悉有关法律法规。</w:t>
      </w:r>
    </w:p>
    <w:p>
      <w:pPr>
        <w:pStyle w:val="BodyText"/>
        <w:spacing w:line="357" w:lineRule="auto" w:before="82"/>
        <w:ind w:right="268" w:firstLine="482"/>
        <w:jc w:val="both"/>
      </w:pPr>
      <w:r>
        <w:rPr/>
        <w:t>为了完善公司治理结构，公司董事会根据《上市公司治理准则》设立了战略委员会、提 名委员会、审计委员会和薪酬与考核委员会四个专业委员会，为董事会的决策提供了科学和 专业的意见和参考。</w:t>
      </w:r>
    </w:p>
    <w:p>
      <w:pPr>
        <w:pStyle w:val="BodyText"/>
        <w:spacing w:line="352" w:lineRule="auto" w:before="74"/>
        <w:ind w:right="225" w:firstLine="482"/>
        <w:jc w:val="both"/>
      </w:pPr>
      <w:r>
        <w:rPr/>
        <w:pict>
          <v:group style="position:absolute;margin-left:47.639999pt;margin-top:146.955612pt;width:.1pt;height:10.35pt;mso-position-horizontal-relative:page;mso-position-vertical-relative:paragraph;z-index:2416" coordorigin="953,2939" coordsize="2,207">
            <v:shape style="position:absolute;left:953;top:2939;width:2;height:207" coordorigin="953,2939" coordsize="0,207" path="m953,2939l953,3146e" filled="false" stroked="true" strokeweight=".12pt" strokecolor="#000000">
              <v:path arrowok="t"/>
            </v:shape>
            <w10:wrap type="none"/>
          </v:group>
        </w:pict>
      </w:r>
      <w:r>
        <w:rPr>
          <w:rFonts w:ascii="Times New Roman" w:hAnsi="Times New Roman" w:cs="Times New Roman" w:eastAsia="Times New Roman" w:hint="default"/>
          <w:spacing w:val="-5"/>
          <w:w w:val="95"/>
        </w:rPr>
        <w:t>4</w:t>
      </w:r>
      <w:r>
        <w:rPr>
          <w:spacing w:val="-5"/>
          <w:w w:val="95"/>
        </w:rPr>
        <w:t>、关于监事与监事会：公司严格按照《公司法》、《公司章程》等的有关规定产生监事，</w:t>
      </w:r>
      <w:r>
        <w:rPr>
          <w:w w:val="50"/>
        </w:rPr>
        <w:t> </w:t>
      </w:r>
      <w:r>
        <w:rPr/>
        <w:t>公司监事会由三名监事组成，其中职工代表监事一名，占全体监事的三分之一。监事会的人</w:t>
      </w:r>
      <w:r>
        <w:rPr/>
        <w:t> 数及构成符合法律、法规的要求。公司监事能够按照《监事会议事规则》等的要求，认真履 行自己的职责，对公司重大事项、关联交易、财务状况、董事和经理的履职情况等进行有效 监督并发表独立意见。</w:t>
      </w:r>
    </w:p>
    <w:p>
      <w:pPr>
        <w:spacing w:after="0" w:line="352" w:lineRule="auto"/>
        <w:jc w:val="both"/>
        <w:sectPr>
          <w:pgSz w:w="11910" w:h="16840"/>
          <w:pgMar w:header="745" w:footer="979" w:top="1060" w:bottom="1160" w:left="840" w:right="900"/>
        </w:sectPr>
      </w:pPr>
    </w:p>
    <w:p>
      <w:pPr>
        <w:spacing w:line="240" w:lineRule="auto" w:before="6"/>
        <w:rPr>
          <w:rFonts w:ascii="宋体" w:hAnsi="宋体" w:cs="宋体" w:eastAsia="宋体" w:hint="default"/>
          <w:sz w:val="29"/>
          <w:szCs w:val="29"/>
        </w:rPr>
      </w:pPr>
      <w:r>
        <w:rPr/>
        <w:pict>
          <v:group style="position:absolute;margin-left:547.559998pt;margin-top:781.919983pt;width:.1pt;height:10.35pt;mso-position-horizontal-relative:page;mso-position-vertical-relative:page;z-index:2440" coordorigin="10951,15638" coordsize="2,207">
            <v:shape style="position:absolute;left:10951;top:15638;width:2;height:207" coordorigin="10951,15638" coordsize="0,207" path="m10951,15638l10951,15845e" filled="false" stroked="true" strokeweight=".12pt" strokecolor="#000000">
              <v:path arrowok="t"/>
            </v:shape>
            <w10:wrap type="none"/>
          </v:group>
        </w:pict>
      </w:r>
    </w:p>
    <w:p>
      <w:pPr>
        <w:pStyle w:val="BodyText"/>
        <w:spacing w:line="348" w:lineRule="auto" w:before="26"/>
        <w:ind w:left="112" w:right="292" w:firstLine="482"/>
        <w:jc w:val="both"/>
      </w:pPr>
      <w:bookmarkStart w:name="二、报告期内召开的年度股东大会和临时股东大会的有关情况" w:id="75"/>
      <w:bookmarkEnd w:id="75"/>
      <w:r>
        <w:rPr/>
      </w:r>
      <w:bookmarkStart w:name="1、本报告期年度股东大会情况" w:id="76"/>
      <w:bookmarkEnd w:id="76"/>
      <w:r>
        <w:rPr/>
      </w:r>
      <w:r>
        <w:rPr>
          <w:rFonts w:ascii="Times New Roman" w:hAnsi="Times New Roman" w:cs="Times New Roman" w:eastAsia="Times New Roman" w:hint="default"/>
          <w:spacing w:val="-3"/>
        </w:rPr>
        <w:t>5</w:t>
      </w:r>
      <w:r>
        <w:rPr>
          <w:spacing w:val="-3"/>
        </w:rPr>
        <w:t>、关于绩效评价和激励约束机制：公司正逐步建立和完善公正、透明的董事、监事和经</w:t>
      </w:r>
      <w:r>
        <w:rPr/>
        <w:t> 理人员的绩效评价标准和激励约束机制，公司经理人员的聘任公开、透明，符合法律法规的 规定。</w:t>
      </w:r>
    </w:p>
    <w:p>
      <w:pPr>
        <w:pStyle w:val="BodyText"/>
        <w:spacing w:line="338" w:lineRule="auto" w:before="86"/>
        <w:ind w:left="112" w:right="292" w:firstLine="482"/>
        <w:jc w:val="both"/>
      </w:pPr>
      <w:r>
        <w:rPr>
          <w:rFonts w:ascii="Times New Roman" w:hAnsi="Times New Roman" w:cs="Times New Roman" w:eastAsia="Times New Roman" w:hint="default"/>
          <w:spacing w:val="-3"/>
        </w:rPr>
        <w:t>6</w:t>
      </w:r>
      <w:r>
        <w:rPr>
          <w:spacing w:val="-3"/>
        </w:rPr>
        <w:t>、关于相关利益者：公司充分尊重和维护相关利益者的合法权益，实现社会、股东、公</w:t>
      </w:r>
      <w:r>
        <w:rPr/>
        <w:t> 司、员工等各方利益的协调平衡，共同推动公司持续、稳健发展。</w:t>
      </w:r>
    </w:p>
    <w:p>
      <w:pPr>
        <w:pStyle w:val="BodyText"/>
        <w:spacing w:line="345" w:lineRule="auto" w:before="96"/>
        <w:ind w:left="112" w:right="292" w:firstLine="482"/>
        <w:jc w:val="both"/>
      </w:pPr>
      <w:r>
        <w:rPr>
          <w:rFonts w:ascii="Times New Roman" w:hAnsi="Times New Roman" w:cs="Times New Roman" w:eastAsia="Times New Roman" w:hint="default"/>
          <w:spacing w:val="-3"/>
        </w:rPr>
        <w:t>7</w:t>
      </w:r>
      <w:r>
        <w:rPr>
          <w:spacing w:val="-3"/>
        </w:rPr>
        <w:t>、关于信息披露与透明度：公司严格按照有关法律法规的规定和《公司信息披露管理制</w:t>
      </w:r>
      <w:r>
        <w:rPr/>
        <w:t> 度》的规定，加强信息披露事务管理，履行信息披露义务，并指定《证券时报》和巨潮资讯 网（</w:t>
      </w:r>
      <w:hyperlink r:id="rId13">
        <w:r>
          <w:rPr>
            <w:rFonts w:ascii="Times New Roman" w:hAnsi="Times New Roman" w:cs="Times New Roman" w:eastAsia="Times New Roman" w:hint="default"/>
          </w:rPr>
          <w:t>www.cninfo.com.cn</w:t>
        </w:r>
      </w:hyperlink>
      <w:r>
        <w:rPr/>
        <w:t>）为公司信息披露的报纸和网站，真实、准确、及时、完整地披露信 息，确保所有投资者公平获取公司信息。</w:t>
      </w:r>
    </w:p>
    <w:p>
      <w:pPr>
        <w:pStyle w:val="BodyText"/>
        <w:spacing w:line="240" w:lineRule="auto" w:before="86"/>
        <w:ind w:left="595" w:right="279"/>
        <w:jc w:val="left"/>
      </w:pPr>
      <w:r>
        <w:rPr/>
        <w:t>综上，公司治理与《公司法》和中国证监会相关规定的要求不存在差异。</w:t>
      </w:r>
    </w:p>
    <w:p>
      <w:pPr>
        <w:pStyle w:val="BodyText"/>
        <w:spacing w:line="338" w:lineRule="auto" w:before="194"/>
        <w:ind w:left="112" w:right="292" w:firstLine="482"/>
        <w:jc w:val="both"/>
      </w:pPr>
      <w:r>
        <w:rPr/>
        <w:t>经</w:t>
      </w:r>
      <w:r>
        <w:rPr>
          <w:spacing w:val="-63"/>
        </w:rPr>
        <w:t> </w:t>
      </w:r>
      <w:r>
        <w:rPr>
          <w:rFonts w:ascii="Times New Roman" w:hAnsi="Times New Roman" w:cs="Times New Roman" w:eastAsia="Times New Roman" w:hint="default"/>
        </w:rPr>
        <w:t>2012 </w:t>
      </w:r>
      <w:r>
        <w:rPr/>
        <w:t>年</w:t>
      </w:r>
      <w:r>
        <w:rPr>
          <w:spacing w:val="-58"/>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25 </w:t>
      </w:r>
      <w:r>
        <w:rPr/>
        <w:t>日公司召开的第二届董事会第十八次会议审议通过</w:t>
      </w:r>
      <w:r>
        <w:rPr>
          <w:spacing w:val="-99"/>
        </w:rPr>
        <w:t>了</w:t>
      </w:r>
      <w:r>
        <w:rPr/>
        <w:t>《关于修订</w:t>
      </w:r>
      <w:r>
        <w:rPr>
          <w:rFonts w:ascii="Times New Roman" w:hAnsi="Times New Roman" w:cs="Times New Roman" w:eastAsia="Times New Roman" w:hint="default"/>
          <w:spacing w:val="-1"/>
        </w:rPr>
        <w:t>&lt;</w:t>
      </w:r>
      <w:r>
        <w:rPr/>
        <w:t>内幕 信息知情人登记管理制度</w:t>
      </w:r>
      <w:r>
        <w:rPr>
          <w:rFonts w:ascii="Times New Roman" w:hAnsi="Times New Roman" w:cs="Times New Roman" w:eastAsia="Times New Roman" w:hint="default"/>
          <w:spacing w:val="1"/>
        </w:rPr>
        <w:t>&gt;</w:t>
      </w:r>
      <w:r>
        <w:rPr/>
        <w:t>》的议案</w:t>
      </w:r>
      <w:r>
        <w:rPr>
          <w:spacing w:val="-120"/>
        </w:rPr>
        <w:t>，</w:t>
      </w:r>
      <w:r>
        <w:rPr/>
        <w:t>《内幕信息知情人登记管理制度》详见公司信息披露媒</w:t>
      </w:r>
      <w:r>
        <w:rPr/>
        <w:t> 体巨潮资讯网（</w:t>
      </w:r>
      <w:r>
        <w:rPr>
          <w:spacing w:val="2"/>
        </w:rPr>
        <w:t> </w:t>
      </w:r>
      <w:r>
        <w:rPr>
          <w:rFonts w:ascii="Times New Roman" w:hAnsi="Times New Roman" w:cs="Times New Roman" w:eastAsia="Times New Roman" w:hint="default"/>
          <w:color w:val="0000FF"/>
          <w:spacing w:val="2"/>
          <w:w w:val="99"/>
        </w:rPr>
      </w:r>
      <w:hyperlink r:id="rId13">
        <w:r>
          <w:rPr>
            <w:rFonts w:ascii="Times New Roman" w:hAnsi="Times New Roman" w:cs="Times New Roman" w:eastAsia="Times New Roman" w:hint="default"/>
            <w:color w:val="0000FF"/>
            <w:spacing w:val="-1"/>
            <w:w w:val="99"/>
            <w:u w:val="single" w:color="0000FF"/>
          </w:rPr>
          <w:t>ww</w:t>
        </w:r>
        <w:r>
          <w:rPr>
            <w:rFonts w:ascii="Times New Roman" w:hAnsi="Times New Roman" w:cs="Times New Roman" w:eastAsia="Times New Roman" w:hint="default"/>
            <w:color w:val="0000FF"/>
            <w:spacing w:val="-13"/>
            <w:w w:val="99"/>
            <w:u w:val="single" w:color="0000FF"/>
          </w:rPr>
          <w:t>w</w:t>
        </w:r>
        <w:r>
          <w:rPr>
            <w:rFonts w:ascii="Times New Roman" w:hAnsi="Times New Roman" w:cs="Times New Roman" w:eastAsia="Times New Roman" w:hint="default"/>
            <w:color w:val="0000FF"/>
            <w:spacing w:val="-3"/>
            <w:u w:val="single" w:color="0000FF"/>
          </w:rPr>
          <w:t>.</w:t>
        </w:r>
        <w:r>
          <w:rPr>
            <w:rFonts w:ascii="Times New Roman" w:hAnsi="Times New Roman" w:cs="Times New Roman" w:eastAsia="Times New Roman" w:hint="default"/>
            <w:color w:val="0000FF"/>
            <w:spacing w:val="-1"/>
            <w:w w:val="100"/>
            <w:u w:val="single" w:color="0000FF"/>
          </w:rPr>
          <w:t>c</w:t>
        </w:r>
        <w:r>
          <w:rPr>
            <w:rFonts w:ascii="Times New Roman" w:hAnsi="Times New Roman" w:cs="Times New Roman" w:eastAsia="Times New Roman" w:hint="default"/>
            <w:color w:val="0000FF"/>
            <w:w w:val="100"/>
            <w:u w:val="single" w:color="0000FF"/>
          </w:rPr>
          <w:t>ni</w:t>
        </w:r>
        <w:r>
          <w:rPr>
            <w:rFonts w:ascii="Times New Roman" w:hAnsi="Times New Roman" w:cs="Times New Roman" w:eastAsia="Times New Roman" w:hint="default"/>
            <w:color w:val="0000FF"/>
            <w:w w:val="99"/>
            <w:u w:val="single" w:color="0000FF"/>
          </w:rPr>
          <w:t>n</w:t>
        </w:r>
        <w:r>
          <w:rPr>
            <w:rFonts w:ascii="Times New Roman" w:hAnsi="Times New Roman" w:cs="Times New Roman" w:eastAsia="Times New Roman" w:hint="default"/>
            <w:color w:val="0000FF"/>
            <w:spacing w:val="-1"/>
            <w:w w:val="99"/>
            <w:u w:val="single" w:color="0000FF"/>
          </w:rPr>
          <w:t>f</w:t>
        </w:r>
        <w:r>
          <w:rPr>
            <w:rFonts w:ascii="Times New Roman" w:hAnsi="Times New Roman" w:cs="Times New Roman" w:eastAsia="Times New Roman" w:hint="default"/>
            <w:color w:val="0000FF"/>
            <w:w w:val="100"/>
            <w:u w:val="single" w:color="0000FF"/>
          </w:rPr>
          <w:t>o.</w:t>
        </w:r>
        <w:r>
          <w:rPr>
            <w:rFonts w:ascii="Times New Roman" w:hAnsi="Times New Roman" w:cs="Times New Roman" w:eastAsia="Times New Roman" w:hint="default"/>
            <w:color w:val="0000FF"/>
            <w:spacing w:val="-1"/>
            <w:w w:val="100"/>
            <w:u w:val="single" w:color="0000FF"/>
          </w:rPr>
          <w:t>c</w:t>
        </w:r>
        <w:r>
          <w:rPr>
            <w:rFonts w:ascii="Times New Roman" w:hAnsi="Times New Roman" w:cs="Times New Roman" w:eastAsia="Times New Roman" w:hint="default"/>
            <w:color w:val="0000FF"/>
            <w:u w:val="single" w:color="0000FF"/>
          </w:rPr>
          <w:t>om</w:t>
        </w:r>
        <w:r>
          <w:rPr>
            <w:rFonts w:ascii="Times New Roman" w:hAnsi="Times New Roman" w:cs="Times New Roman" w:eastAsia="Times New Roman" w:hint="default"/>
            <w:color w:val="0000FF"/>
            <w:w w:val="100"/>
            <w:u w:val="single" w:color="0000FF"/>
          </w:rPr>
          <w:t>.</w:t>
        </w:r>
        <w:r>
          <w:rPr>
            <w:rFonts w:ascii="Times New Roman" w:hAnsi="Times New Roman" w:cs="Times New Roman" w:eastAsia="Times New Roman" w:hint="default"/>
            <w:color w:val="0000FF"/>
            <w:spacing w:val="-1"/>
            <w:w w:val="100"/>
            <w:u w:val="single" w:color="0000FF"/>
          </w:rPr>
          <w:t>c</w:t>
        </w:r>
        <w:r>
          <w:rPr>
            <w:rFonts w:ascii="Times New Roman" w:hAnsi="Times New Roman" w:cs="Times New Roman" w:eastAsia="Times New Roman" w:hint="default"/>
            <w:color w:val="0000FF"/>
            <w:spacing w:val="2"/>
            <w:u w:val="single" w:color="0000FF"/>
          </w:rPr>
          <w:t>n</w:t>
        </w:r>
        <w:r>
          <w:rPr>
            <w:rFonts w:ascii="Times New Roman" w:hAnsi="Times New Roman" w:cs="Times New Roman" w:eastAsia="Times New Roman" w:hint="default"/>
            <w:color w:val="0000FF"/>
            <w:spacing w:val="2"/>
          </w:rPr>
        </w:r>
      </w:hyperlink>
      <w:r>
        <w:rPr>
          <w:spacing w:val="-120"/>
        </w:rPr>
        <w:t>）</w:t>
      </w:r>
      <w:r>
        <w:rPr/>
        <w:t>。</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7"/>
          <w:szCs w:val="27"/>
        </w:rPr>
      </w:pPr>
    </w:p>
    <w:p>
      <w:pPr>
        <w:pStyle w:val="Heading3"/>
        <w:spacing w:line="240" w:lineRule="auto"/>
        <w:ind w:right="279"/>
        <w:jc w:val="left"/>
        <w:rPr>
          <w:b w:val="0"/>
          <w:bCs w:val="0"/>
        </w:rPr>
      </w:pPr>
      <w:r>
        <w:rPr/>
        <w:t>二、报告期内召开的年度股东大会和临时股东大会的有关情况</w:t>
      </w:r>
      <w:r>
        <w:rPr>
          <w:b w:val="0"/>
          <w:bCs w:val="0"/>
        </w:rPr>
      </w:r>
    </w:p>
    <w:p>
      <w:pPr>
        <w:spacing w:line="240" w:lineRule="auto" w:before="3"/>
        <w:rPr>
          <w:rFonts w:ascii="Microsoft JhengHei" w:hAnsi="Microsoft JhengHei" w:cs="Microsoft JhengHei" w:eastAsia="Microsoft JhengHei" w:hint="default"/>
          <w:b/>
          <w:bCs/>
          <w:sz w:val="13"/>
          <w:szCs w:val="13"/>
        </w:rPr>
      </w:pPr>
    </w:p>
    <w:p>
      <w:pPr>
        <w:spacing w:before="0"/>
        <w:ind w:left="119" w:right="27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、本报告期年度股东大会情况</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7" w:type="dxa"/>
        <w:tblLayout w:type="fixed"/>
        <w:tblCellMar>
          <w:top w:w="0" w:type="dxa"/>
          <w:left w:w="0" w:type="dxa"/>
          <w:bottom w:w="0" w:type="dxa"/>
          <w:right w:w="0" w:type="dxa"/>
        </w:tblCellMar>
        <w:tblLook w:val="01E0"/>
      </w:tblPr>
      <w:tblGrid>
        <w:gridCol w:w="1135"/>
        <w:gridCol w:w="991"/>
        <w:gridCol w:w="2659"/>
        <w:gridCol w:w="2160"/>
        <w:gridCol w:w="1027"/>
        <w:gridCol w:w="1594"/>
      </w:tblGrid>
      <w:tr>
        <w:trPr>
          <w:trHeight w:val="401" w:hRule="exact"/>
        </w:trPr>
        <w:tc>
          <w:tcPr>
            <w:tcW w:w="11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2"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2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15"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0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8"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3" w:hRule="exact"/>
        </w:trPr>
        <w:tc>
          <w:tcPr>
            <w:tcW w:w="1135"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26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、关于《</w:t>
            </w:r>
            <w:r>
              <w:rPr>
                <w:rFonts w:ascii="Times New Roman" w:hAnsi="Times New Roman" w:cs="Times New Roman" w:eastAsia="Times New Roman" w:hint="default"/>
                <w:spacing w:val="-6"/>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年度董事会工作报</w:t>
            </w:r>
          </w:p>
        </w:tc>
        <w:tc>
          <w:tcPr>
            <w:tcW w:w="2160" w:type="dxa"/>
            <w:tcBorders>
              <w:top w:val="single" w:sz="4" w:space="0" w:color="000000"/>
              <w:left w:val="single" w:sz="4" w:space="0" w:color="000000"/>
              <w:bottom w:val="nil" w:sz="6" w:space="0" w:color="auto"/>
              <w:right w:val="single" w:sz="4" w:space="0" w:color="000000"/>
            </w:tcBorders>
          </w:tcPr>
          <w:p>
            <w:pPr/>
          </w:p>
        </w:tc>
        <w:tc>
          <w:tcPr>
            <w:tcW w:w="1027"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r>
      <w:tr>
        <w:trPr>
          <w:trHeight w:val="302" w:hRule="exact"/>
        </w:trPr>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pacing w:val="-4"/>
                <w:sz w:val="18"/>
                <w:szCs w:val="18"/>
              </w:rPr>
              <w:t>告》的议案；</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、关于《</w:t>
            </w:r>
            <w:r>
              <w:rPr>
                <w:rFonts w:ascii="Times New Roman" w:hAnsi="Times New Roman" w:cs="Times New Roman" w:eastAsia="Times New Roman" w:hint="default"/>
                <w:spacing w:val="-4"/>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tc>
        <w:tc>
          <w:tcPr>
            <w:tcW w:w="2160" w:type="dxa"/>
            <w:tcBorders>
              <w:top w:val="nil" w:sz="6" w:space="0" w:color="auto"/>
              <w:left w:val="single" w:sz="4" w:space="0" w:color="000000"/>
              <w:bottom w:val="nil" w:sz="6" w:space="0" w:color="auto"/>
              <w:right w:val="single" w:sz="4" w:space="0" w:color="000000"/>
            </w:tcBorders>
          </w:tcPr>
          <w:p>
            <w:pPr/>
          </w:p>
        </w:tc>
        <w:tc>
          <w:tcPr>
            <w:tcW w:w="1027"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59"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监事会工作报告》的议案；</w:t>
            </w:r>
            <w:r>
              <w:rPr>
                <w:rFonts w:ascii="Times New Roman" w:hAnsi="Times New Roman" w:cs="Times New Roman" w:eastAsia="Times New Roman" w:hint="default"/>
                <w:sz w:val="18"/>
                <w:szCs w:val="18"/>
              </w:rPr>
              <w:t>3</w:t>
            </w:r>
            <w:r>
              <w:rPr>
                <w:rFonts w:ascii="宋体" w:hAnsi="宋体" w:cs="宋体" w:eastAsia="宋体" w:hint="default"/>
                <w:sz w:val="18"/>
                <w:szCs w:val="18"/>
              </w:rPr>
              <w:t>、关</w:t>
            </w:r>
          </w:p>
        </w:tc>
        <w:tc>
          <w:tcPr>
            <w:tcW w:w="2160"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564" w:right="0"/>
              <w:jc w:val="left"/>
              <w:rPr>
                <w:rFonts w:ascii="宋体" w:hAnsi="宋体" w:cs="宋体" w:eastAsia="宋体" w:hint="default"/>
                <w:sz w:val="18"/>
                <w:szCs w:val="18"/>
              </w:rPr>
            </w:pPr>
            <w:r>
              <w:rPr>
                <w:rFonts w:ascii="宋体" w:hAnsi="宋体" w:cs="宋体" w:eastAsia="宋体" w:hint="default"/>
                <w:sz w:val="18"/>
                <w:szCs w:val="18"/>
              </w:rPr>
              <w:t>所有议案决议情况</w:t>
            </w:r>
          </w:p>
        </w:tc>
        <w:tc>
          <w:tcPr>
            <w:tcW w:w="1027"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59"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41"/>
              <w:jc w:val="center"/>
              <w:rPr>
                <w:rFonts w:ascii="宋体" w:hAnsi="宋体" w:cs="宋体" w:eastAsia="宋体" w:hint="default"/>
                <w:sz w:val="18"/>
                <w:szCs w:val="18"/>
              </w:rPr>
            </w:pPr>
            <w:r>
              <w:rPr>
                <w:rFonts w:ascii="宋体" w:hAnsi="宋体" w:cs="宋体" w:eastAsia="宋体" w:hint="default"/>
                <w:sz w:val="18"/>
                <w:szCs w:val="18"/>
              </w:rPr>
              <w:t>于《</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年年度报告及其摘要》</w:t>
            </w:r>
          </w:p>
        </w:tc>
        <w:tc>
          <w:tcPr>
            <w:tcW w:w="2160"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4" w:right="0"/>
              <w:jc w:val="left"/>
              <w:rPr>
                <w:rFonts w:ascii="宋体" w:hAnsi="宋体" w:cs="宋体" w:eastAsia="宋体" w:hint="default"/>
                <w:sz w:val="18"/>
                <w:szCs w:val="18"/>
              </w:rPr>
            </w:pPr>
            <w:r>
              <w:rPr>
                <w:rFonts w:ascii="宋体" w:hAnsi="宋体" w:cs="宋体" w:eastAsia="宋体" w:hint="default"/>
                <w:w w:val="95"/>
                <w:sz w:val="18"/>
                <w:szCs w:val="18"/>
              </w:rPr>
              <w:t>均如下：</w:t>
            </w:r>
            <w:r>
              <w:rPr>
                <w:rFonts w:ascii="Times New Roman" w:hAnsi="Times New Roman" w:cs="Times New Roman" w:eastAsia="Times New Roman" w:hint="default"/>
                <w:w w:val="95"/>
                <w:sz w:val="18"/>
                <w:szCs w:val="18"/>
              </w:rPr>
              <w:t>71458150</w:t>
            </w:r>
            <w:r>
              <w:rPr>
                <w:rFonts w:ascii="Times New Roman" w:hAnsi="Times New Roman" w:cs="Times New Roman" w:eastAsia="Times New Roman" w:hint="default"/>
                <w:spacing w:val="5"/>
                <w:w w:val="95"/>
                <w:sz w:val="18"/>
                <w:szCs w:val="18"/>
              </w:rPr>
              <w:t> </w:t>
            </w:r>
            <w:r>
              <w:rPr>
                <w:rFonts w:ascii="宋体" w:hAnsi="宋体" w:cs="宋体" w:eastAsia="宋体" w:hint="default"/>
                <w:w w:val="95"/>
                <w:sz w:val="18"/>
                <w:szCs w:val="18"/>
              </w:rPr>
              <w:t>股同意，</w:t>
            </w:r>
            <w:r>
              <w:rPr>
                <w:rFonts w:ascii="宋体" w:hAnsi="宋体" w:cs="宋体" w:eastAsia="宋体" w:hint="default"/>
                <w:sz w:val="18"/>
                <w:szCs w:val="18"/>
              </w:rPr>
            </w:r>
          </w:p>
        </w:tc>
        <w:tc>
          <w:tcPr>
            <w:tcW w:w="1027"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482" w:right="0"/>
              <w:jc w:val="left"/>
              <w:rPr>
                <w:rFonts w:ascii="宋体" w:hAnsi="宋体" w:cs="宋体" w:eastAsia="宋体" w:hint="default"/>
                <w:sz w:val="18"/>
                <w:szCs w:val="18"/>
              </w:rPr>
            </w:pPr>
            <w:r>
              <w:rPr>
                <w:rFonts w:ascii="宋体" w:hAnsi="宋体" w:cs="宋体" w:eastAsia="宋体" w:hint="default"/>
                <w:sz w:val="18"/>
                <w:szCs w:val="18"/>
              </w:rPr>
              <w:t>《杭州新世纪</w:t>
            </w:r>
          </w:p>
        </w:tc>
      </w:tr>
      <w:tr>
        <w:trPr>
          <w:trHeight w:val="312" w:hRule="exact"/>
        </w:trPr>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59"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pacing w:val="-5"/>
                <w:sz w:val="18"/>
                <w:szCs w:val="18"/>
              </w:rPr>
              <w:t>的议案；</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、关于《</w:t>
            </w:r>
            <w:r>
              <w:rPr>
                <w:rFonts w:ascii="Times New Roman" w:hAnsi="Times New Roman" w:cs="Times New Roman" w:eastAsia="Times New Roman" w:hint="default"/>
                <w:spacing w:val="-5"/>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年度财务</w:t>
            </w:r>
          </w:p>
        </w:tc>
        <w:tc>
          <w:tcPr>
            <w:tcW w:w="2160"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占出席会议有效表决权股</w:t>
            </w:r>
          </w:p>
        </w:tc>
        <w:tc>
          <w:tcPr>
            <w:tcW w:w="1027"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信息技术股份有限</w:t>
            </w:r>
          </w:p>
        </w:tc>
      </w:tr>
      <w:tr>
        <w:trPr>
          <w:trHeight w:val="312" w:hRule="exact"/>
        </w:trPr>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59"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18"/>
                <w:szCs w:val="18"/>
              </w:rPr>
            </w:pPr>
            <w:r>
              <w:rPr>
                <w:rFonts w:ascii="宋体" w:hAnsi="宋体" w:cs="宋体" w:eastAsia="宋体" w:hint="default"/>
                <w:spacing w:val="-11"/>
                <w:sz w:val="18"/>
                <w:szCs w:val="18"/>
              </w:rPr>
              <w:t>决算报告》的议案；</w:t>
            </w:r>
            <w:r>
              <w:rPr>
                <w:rFonts w:ascii="Times New Roman" w:hAnsi="Times New Roman" w:cs="Times New Roman" w:eastAsia="Times New Roman" w:hint="default"/>
                <w:spacing w:val="-11"/>
                <w:sz w:val="18"/>
                <w:szCs w:val="18"/>
              </w:rPr>
              <w:t>5</w:t>
            </w:r>
            <w:r>
              <w:rPr>
                <w:rFonts w:ascii="宋体" w:hAnsi="宋体" w:cs="宋体" w:eastAsia="宋体" w:hint="default"/>
                <w:spacing w:val="-11"/>
                <w:sz w:val="18"/>
                <w:szCs w:val="18"/>
              </w:rPr>
              <w:t>、关于《</w:t>
            </w:r>
            <w:r>
              <w:rPr>
                <w:rFonts w:ascii="Times New Roman" w:hAnsi="Times New Roman" w:cs="Times New Roman" w:eastAsia="Times New Roman" w:hint="default"/>
                <w:spacing w:val="-11"/>
                <w:sz w:val="18"/>
                <w:szCs w:val="18"/>
              </w:rPr>
              <w:t>2011</w:t>
            </w:r>
          </w:p>
        </w:tc>
        <w:tc>
          <w:tcPr>
            <w:tcW w:w="2160"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4" w:right="0"/>
              <w:jc w:val="left"/>
              <w:rPr>
                <w:rFonts w:ascii="宋体" w:hAnsi="宋体" w:cs="宋体" w:eastAsia="宋体" w:hint="default"/>
                <w:sz w:val="18"/>
                <w:szCs w:val="18"/>
              </w:rPr>
            </w:pPr>
            <w:r>
              <w:rPr>
                <w:rFonts w:ascii="宋体" w:hAnsi="宋体" w:cs="宋体" w:eastAsia="宋体" w:hint="default"/>
                <w:w w:val="95"/>
                <w:sz w:val="18"/>
                <w:szCs w:val="18"/>
              </w:rPr>
              <w:t>份总数的 </w:t>
            </w:r>
            <w:r>
              <w:rPr>
                <w:rFonts w:ascii="Times New Roman" w:hAnsi="Times New Roman" w:cs="Times New Roman" w:eastAsia="Times New Roman" w:hint="default"/>
                <w:spacing w:val="-5"/>
                <w:w w:val="95"/>
                <w:sz w:val="18"/>
                <w:szCs w:val="18"/>
              </w:rPr>
              <w:t>100%</w:t>
            </w:r>
            <w:r>
              <w:rPr>
                <w:rFonts w:ascii="宋体" w:hAnsi="宋体" w:cs="宋体" w:eastAsia="宋体" w:hint="default"/>
                <w:spacing w:val="-5"/>
                <w:w w:val="95"/>
                <w:sz w:val="18"/>
                <w:szCs w:val="18"/>
              </w:rPr>
              <w:t>；</w:t>
            </w:r>
            <w:r>
              <w:rPr>
                <w:rFonts w:ascii="Times New Roman" w:hAnsi="Times New Roman" w:cs="Times New Roman" w:eastAsia="Times New Roman" w:hint="default"/>
                <w:spacing w:val="-5"/>
                <w:w w:val="95"/>
                <w:sz w:val="18"/>
                <w:szCs w:val="18"/>
              </w:rPr>
              <w:t>0</w:t>
            </w:r>
            <w:r>
              <w:rPr>
                <w:rFonts w:ascii="Times New Roman" w:hAnsi="Times New Roman" w:cs="Times New Roman" w:eastAsia="Times New Roman" w:hint="default"/>
                <w:spacing w:val="-21"/>
                <w:w w:val="95"/>
                <w:sz w:val="18"/>
                <w:szCs w:val="18"/>
              </w:rPr>
              <w:t> </w:t>
            </w:r>
            <w:r>
              <w:rPr>
                <w:rFonts w:ascii="宋体" w:hAnsi="宋体" w:cs="宋体" w:eastAsia="宋体" w:hint="default"/>
                <w:w w:val="95"/>
                <w:sz w:val="18"/>
                <w:szCs w:val="18"/>
              </w:rPr>
              <w:t>股反对，</w:t>
            </w:r>
            <w:r>
              <w:rPr>
                <w:rFonts w:ascii="宋体" w:hAnsi="宋体" w:cs="宋体" w:eastAsia="宋体" w:hint="default"/>
                <w:sz w:val="18"/>
                <w:szCs w:val="18"/>
              </w:rPr>
            </w:r>
          </w:p>
        </w:tc>
        <w:tc>
          <w:tcPr>
            <w:tcW w:w="1027"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年年度股</w:t>
            </w:r>
          </w:p>
        </w:tc>
      </w:tr>
      <w:tr>
        <w:trPr>
          <w:trHeight w:val="312" w:hRule="exact"/>
        </w:trPr>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59"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年度利润分配》的议案；</w:t>
            </w:r>
            <w:r>
              <w:rPr>
                <w:rFonts w:ascii="Times New Roman" w:hAnsi="Times New Roman" w:cs="Times New Roman" w:eastAsia="Times New Roman" w:hint="default"/>
                <w:sz w:val="18"/>
                <w:szCs w:val="18"/>
              </w:rPr>
              <w:t>6</w:t>
            </w:r>
            <w:r>
              <w:rPr>
                <w:rFonts w:ascii="宋体" w:hAnsi="宋体" w:cs="宋体" w:eastAsia="宋体" w:hint="default"/>
                <w:sz w:val="18"/>
                <w:szCs w:val="18"/>
              </w:rPr>
              <w:t>、关于</w:t>
            </w:r>
          </w:p>
        </w:tc>
        <w:tc>
          <w:tcPr>
            <w:tcW w:w="2160"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占出席会议有效表决权股</w:t>
            </w:r>
          </w:p>
        </w:tc>
        <w:tc>
          <w:tcPr>
            <w:tcW w:w="1027"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东大会决议公告</w:t>
            </w:r>
            <w:r>
              <w:rPr>
                <w:rFonts w:ascii="宋体" w:hAnsi="宋体" w:cs="宋体" w:eastAsia="宋体" w:hint="default"/>
                <w:spacing w:val="-82"/>
                <w:sz w:val="18"/>
                <w:szCs w:val="18"/>
              </w:rPr>
              <w:t>》</w:t>
            </w:r>
            <w:r>
              <w:rPr>
                <w:rFonts w:ascii="宋体" w:hAnsi="宋体" w:cs="宋体" w:eastAsia="宋体" w:hint="default"/>
                <w:sz w:val="18"/>
                <w:szCs w:val="18"/>
              </w:rPr>
              <w:t>详</w:t>
            </w:r>
          </w:p>
        </w:tc>
      </w:tr>
      <w:tr>
        <w:trPr>
          <w:trHeight w:val="312" w:hRule="exact"/>
        </w:trPr>
        <w:tc>
          <w:tcPr>
            <w:tcW w:w="1135"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tc>
        <w:tc>
          <w:tcPr>
            <w:tcW w:w="2659"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《关于续聘</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年度审计机构》</w:t>
            </w:r>
          </w:p>
        </w:tc>
        <w:tc>
          <w:tcPr>
            <w:tcW w:w="2160"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4" w:right="0"/>
              <w:jc w:val="left"/>
              <w:rPr>
                <w:rFonts w:ascii="宋体" w:hAnsi="宋体" w:cs="宋体" w:eastAsia="宋体" w:hint="default"/>
                <w:sz w:val="18"/>
                <w:szCs w:val="18"/>
              </w:rPr>
            </w:pPr>
            <w:r>
              <w:rPr>
                <w:rFonts w:ascii="宋体" w:hAnsi="宋体" w:cs="宋体" w:eastAsia="宋体" w:hint="default"/>
                <w:sz w:val="18"/>
                <w:szCs w:val="18"/>
              </w:rPr>
              <w:t>份总数的</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股弃权，</w:t>
            </w:r>
          </w:p>
        </w:tc>
        <w:tc>
          <w:tcPr>
            <w:tcW w:w="1027"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见公司信息披露媒</w:t>
            </w:r>
          </w:p>
        </w:tc>
      </w:tr>
      <w:tr>
        <w:trPr>
          <w:trHeight w:val="312" w:hRule="exact"/>
        </w:trPr>
        <w:tc>
          <w:tcPr>
            <w:tcW w:w="1135"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59"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的议案；</w:t>
            </w:r>
            <w:r>
              <w:rPr>
                <w:rFonts w:ascii="Times New Roman" w:hAnsi="Times New Roman" w:cs="Times New Roman" w:eastAsia="Times New Roman" w:hint="default"/>
                <w:sz w:val="18"/>
                <w:szCs w:val="18"/>
              </w:rPr>
              <w:t>7</w:t>
            </w:r>
            <w:r>
              <w:rPr>
                <w:rFonts w:ascii="宋体" w:hAnsi="宋体" w:cs="宋体" w:eastAsia="宋体" w:hint="default"/>
                <w:sz w:val="18"/>
                <w:szCs w:val="18"/>
              </w:rPr>
              <w:t>、关于《公司独立董事</w:t>
            </w:r>
          </w:p>
        </w:tc>
        <w:tc>
          <w:tcPr>
            <w:tcW w:w="2160"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占出席会议有效表决权股</w:t>
            </w:r>
          </w:p>
        </w:tc>
        <w:tc>
          <w:tcPr>
            <w:tcW w:w="1027"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体《证券时报</w:t>
            </w:r>
            <w:r>
              <w:rPr>
                <w:rFonts w:ascii="宋体" w:hAnsi="宋体" w:cs="宋体" w:eastAsia="宋体" w:hint="default"/>
                <w:spacing w:val="-92"/>
                <w:sz w:val="18"/>
                <w:szCs w:val="18"/>
              </w:rPr>
              <w:t>》</w:t>
            </w:r>
            <w:r>
              <w:rPr>
                <w:rFonts w:ascii="宋体" w:hAnsi="宋体" w:cs="宋体" w:eastAsia="宋体" w:hint="default"/>
                <w:sz w:val="18"/>
                <w:szCs w:val="18"/>
              </w:rPr>
              <w:t>、巨</w:t>
            </w:r>
          </w:p>
        </w:tc>
      </w:tr>
      <w:tr>
        <w:trPr>
          <w:trHeight w:val="312" w:hRule="exact"/>
        </w:trPr>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59"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pacing w:val="-5"/>
                <w:sz w:val="18"/>
                <w:szCs w:val="18"/>
              </w:rPr>
              <w:t>年度津贴》的议案；</w:t>
            </w:r>
            <w:r>
              <w:rPr>
                <w:rFonts w:ascii="Times New Roman" w:hAnsi="Times New Roman" w:cs="Times New Roman" w:eastAsia="Times New Roman" w:hint="default"/>
                <w:spacing w:val="-5"/>
                <w:sz w:val="18"/>
                <w:szCs w:val="18"/>
              </w:rPr>
              <w:t>8</w:t>
            </w:r>
            <w:r>
              <w:rPr>
                <w:rFonts w:ascii="宋体" w:hAnsi="宋体" w:cs="宋体" w:eastAsia="宋体" w:hint="default"/>
                <w:spacing w:val="-5"/>
                <w:sz w:val="18"/>
                <w:szCs w:val="18"/>
              </w:rPr>
              <w:t>、关于</w:t>
            </w:r>
          </w:p>
        </w:tc>
        <w:tc>
          <w:tcPr>
            <w:tcW w:w="2160"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4" w:right="0"/>
              <w:jc w:val="left"/>
              <w:rPr>
                <w:rFonts w:ascii="宋体" w:hAnsi="宋体" w:cs="宋体" w:eastAsia="宋体" w:hint="default"/>
                <w:sz w:val="18"/>
                <w:szCs w:val="18"/>
              </w:rPr>
            </w:pPr>
            <w:r>
              <w:rPr>
                <w:rFonts w:ascii="宋体" w:hAnsi="宋体" w:cs="宋体" w:eastAsia="宋体" w:hint="default"/>
                <w:sz w:val="18"/>
                <w:szCs w:val="18"/>
              </w:rPr>
              <w:t>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。同意的股份</w:t>
            </w:r>
          </w:p>
        </w:tc>
        <w:tc>
          <w:tcPr>
            <w:tcW w:w="1027"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潮资讯网</w:t>
            </w:r>
          </w:p>
        </w:tc>
      </w:tr>
      <w:tr>
        <w:trPr>
          <w:trHeight w:val="307" w:hRule="exact"/>
        </w:trPr>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59"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79"/>
              <w:jc w:val="center"/>
              <w:rPr>
                <w:rFonts w:ascii="宋体" w:hAnsi="宋体" w:cs="宋体" w:eastAsia="宋体" w:hint="default"/>
                <w:sz w:val="18"/>
                <w:szCs w:val="18"/>
              </w:rPr>
            </w:pPr>
            <w:r>
              <w:rPr>
                <w:rFonts w:ascii="宋体" w:hAnsi="宋体" w:cs="宋体" w:eastAsia="宋体" w:hint="default"/>
                <w:sz w:val="18"/>
                <w:szCs w:val="18"/>
              </w:rPr>
              <w:t>《关于将研发及客户支持中心技</w:t>
            </w:r>
          </w:p>
        </w:tc>
        <w:tc>
          <w:tcPr>
            <w:tcW w:w="2160"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pacing w:val="-5"/>
                <w:sz w:val="18"/>
                <w:szCs w:val="18"/>
              </w:rPr>
              <w:t>数占出席会议的股东（或其</w:t>
            </w:r>
          </w:p>
        </w:tc>
        <w:tc>
          <w:tcPr>
            <w:tcW w:w="1027"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18"/>
                <w:sz w:val="18"/>
                <w:szCs w:val="18"/>
              </w:rPr>
              <w:t> </w:t>
            </w:r>
            <w:hyperlink r:id="rId22">
              <w:r>
                <w:rPr>
                  <w:rFonts w:ascii="Times New Roman" w:hAnsi="Times New Roman" w:cs="Times New Roman" w:eastAsia="Times New Roman" w:hint="default"/>
                  <w:sz w:val="18"/>
                  <w:szCs w:val="18"/>
                </w:rPr>
                <w:t>www.cninfo.com</w:t>
              </w:r>
            </w:hyperlink>
          </w:p>
        </w:tc>
      </w:tr>
      <w:tr>
        <w:trPr>
          <w:trHeight w:val="312" w:hRule="exact"/>
        </w:trPr>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5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79"/>
              <w:jc w:val="center"/>
              <w:rPr>
                <w:rFonts w:ascii="宋体" w:hAnsi="宋体" w:cs="宋体" w:eastAsia="宋体" w:hint="default"/>
                <w:sz w:val="18"/>
                <w:szCs w:val="18"/>
              </w:rPr>
            </w:pPr>
            <w:r>
              <w:rPr>
                <w:rFonts w:ascii="宋体" w:hAnsi="宋体" w:cs="宋体" w:eastAsia="宋体" w:hint="default"/>
                <w:sz w:val="18"/>
                <w:szCs w:val="18"/>
              </w:rPr>
              <w:t>改项目节余募集资金永久补充流</w:t>
            </w:r>
          </w:p>
        </w:tc>
        <w:tc>
          <w:tcPr>
            <w:tcW w:w="216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pacing w:val="-5"/>
                <w:sz w:val="18"/>
                <w:szCs w:val="18"/>
              </w:rPr>
              <w:t>授权代表）所持的有表决权</w:t>
            </w:r>
          </w:p>
        </w:tc>
        <w:tc>
          <w:tcPr>
            <w:tcW w:w="1027"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w w:val="100"/>
                <w:sz w:val="18"/>
                <w:szCs w:val="18"/>
              </w:rPr>
              <w:t>c</w:t>
            </w:r>
            <w:r>
              <w:rPr>
                <w:rFonts w:ascii="Times New Roman" w:hAnsi="Times New Roman" w:cs="Times New Roman" w:eastAsia="Times New Roman" w:hint="default"/>
                <w:spacing w:val="-2"/>
                <w:sz w:val="18"/>
                <w:szCs w:val="18"/>
              </w:rPr>
              <w:t>n</w:t>
            </w:r>
            <w:r>
              <w:rPr>
                <w:rFonts w:ascii="宋体" w:hAnsi="宋体" w:cs="宋体" w:eastAsia="宋体" w:hint="default"/>
                <w:spacing w:val="-92"/>
                <w:sz w:val="18"/>
                <w:szCs w:val="18"/>
              </w:rPr>
              <w:t>）</w:t>
            </w:r>
            <w:r>
              <w:rPr>
                <w:rFonts w:ascii="宋体" w:hAnsi="宋体" w:cs="宋体" w:eastAsia="宋体" w:hint="default"/>
                <w:sz w:val="18"/>
                <w:szCs w:val="18"/>
              </w:rPr>
              <w:t>，公告编号</w:t>
            </w:r>
            <w:r>
              <w:rPr>
                <w:rFonts w:ascii="宋体" w:hAnsi="宋体" w:cs="宋体" w:eastAsia="宋体" w:hint="default"/>
                <w:spacing w:val="2"/>
                <w:sz w:val="18"/>
                <w:szCs w:val="18"/>
              </w:rPr>
              <w:t>为</w:t>
            </w:r>
            <w:r>
              <w:rPr>
                <w:rFonts w:ascii="宋体" w:hAnsi="宋体" w:cs="宋体" w:eastAsia="宋体" w:hint="default"/>
                <w:w w:val="85"/>
                <w:sz w:val="18"/>
                <w:szCs w:val="18"/>
              </w:rPr>
              <w:t>：</w:t>
            </w:r>
            <w:r>
              <w:rPr>
                <w:rFonts w:ascii="宋体" w:hAnsi="宋体" w:cs="宋体" w:eastAsia="宋体" w:hint="default"/>
                <w:sz w:val="18"/>
                <w:szCs w:val="18"/>
              </w:rPr>
            </w:r>
          </w:p>
        </w:tc>
      </w:tr>
      <w:tr>
        <w:trPr>
          <w:trHeight w:val="317" w:hRule="exact"/>
        </w:trPr>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5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动资金》的议案；</w:t>
            </w:r>
            <w:r>
              <w:rPr>
                <w:rFonts w:ascii="Times New Roman" w:hAnsi="Times New Roman" w:cs="Times New Roman" w:eastAsia="Times New Roman" w:hint="default"/>
                <w:sz w:val="18"/>
                <w:szCs w:val="18"/>
              </w:rPr>
              <w:t>9</w:t>
            </w:r>
            <w:r>
              <w:rPr>
                <w:rFonts w:ascii="宋体" w:hAnsi="宋体" w:cs="宋体" w:eastAsia="宋体" w:hint="default"/>
                <w:sz w:val="18"/>
                <w:szCs w:val="18"/>
              </w:rPr>
              <w:t>、关于《关于</w:t>
            </w:r>
          </w:p>
        </w:tc>
        <w:tc>
          <w:tcPr>
            <w:tcW w:w="216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股份总数的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，表决结</w:t>
            </w:r>
          </w:p>
        </w:tc>
        <w:tc>
          <w:tcPr>
            <w:tcW w:w="1027"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24" w:right="0"/>
              <w:jc w:val="left"/>
              <w:rPr>
                <w:rFonts w:ascii="Times New Roman" w:hAnsi="Times New Roman" w:cs="Times New Roman" w:eastAsia="Times New Roman" w:hint="default"/>
                <w:sz w:val="18"/>
                <w:szCs w:val="18"/>
              </w:rPr>
            </w:pPr>
            <w:r>
              <w:rPr>
                <w:rFonts w:ascii="Times New Roman"/>
                <w:sz w:val="18"/>
              </w:rPr>
              <w:t>2012-008</w:t>
            </w:r>
          </w:p>
        </w:tc>
      </w:tr>
      <w:tr>
        <w:trPr>
          <w:trHeight w:val="317" w:hRule="exact"/>
        </w:trPr>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59"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79"/>
              <w:jc w:val="center"/>
              <w:rPr>
                <w:rFonts w:ascii="宋体" w:hAnsi="宋体" w:cs="宋体" w:eastAsia="宋体" w:hint="default"/>
                <w:sz w:val="18"/>
                <w:szCs w:val="18"/>
              </w:rPr>
            </w:pPr>
            <w:r>
              <w:rPr>
                <w:rFonts w:ascii="宋体" w:hAnsi="宋体" w:cs="宋体" w:eastAsia="宋体" w:hint="default"/>
                <w:sz w:val="18"/>
                <w:szCs w:val="18"/>
              </w:rPr>
              <w:t>修改＜公司章程＞部分条款》的</w:t>
            </w:r>
          </w:p>
        </w:tc>
        <w:tc>
          <w:tcPr>
            <w:tcW w:w="2160"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果为通过。</w:t>
            </w:r>
          </w:p>
        </w:tc>
        <w:tc>
          <w:tcPr>
            <w:tcW w:w="1027"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6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9"/>
              <w:jc w:val="center"/>
              <w:rPr>
                <w:rFonts w:ascii="宋体" w:hAnsi="宋体" w:cs="宋体" w:eastAsia="宋体" w:hint="default"/>
                <w:sz w:val="18"/>
                <w:szCs w:val="18"/>
              </w:rPr>
            </w:pPr>
            <w:r>
              <w:rPr>
                <w:rFonts w:ascii="宋体" w:hAnsi="宋体" w:cs="宋体" w:eastAsia="宋体" w:hint="default"/>
                <w:sz w:val="18"/>
                <w:szCs w:val="18"/>
              </w:rPr>
              <w:t>议案；</w:t>
            </w:r>
            <w:r>
              <w:rPr>
                <w:rFonts w:ascii="Times New Roman" w:hAnsi="Times New Roman" w:cs="Times New Roman" w:eastAsia="Times New Roman" w:hint="default"/>
                <w:sz w:val="18"/>
                <w:szCs w:val="18"/>
              </w:rPr>
              <w:t>10</w:t>
            </w:r>
            <w:r>
              <w:rPr>
                <w:rFonts w:ascii="宋体" w:hAnsi="宋体" w:cs="宋体" w:eastAsia="宋体" w:hint="default"/>
                <w:sz w:val="18"/>
                <w:szCs w:val="18"/>
              </w:rPr>
              <w:t>、关于《关于修改＜股</w:t>
            </w:r>
          </w:p>
        </w:tc>
        <w:tc>
          <w:tcPr>
            <w:tcW w:w="2160" w:type="dxa"/>
            <w:tcBorders>
              <w:top w:val="nil" w:sz="6" w:space="0" w:color="auto"/>
              <w:left w:val="single" w:sz="4" w:space="0" w:color="000000"/>
              <w:bottom w:val="nil" w:sz="6" w:space="0" w:color="auto"/>
              <w:right w:val="single" w:sz="4" w:space="0" w:color="000000"/>
            </w:tcBorders>
          </w:tcPr>
          <w:p>
            <w:pPr/>
          </w:p>
        </w:tc>
        <w:tc>
          <w:tcPr>
            <w:tcW w:w="1027"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21" w:hRule="exact"/>
        </w:trPr>
        <w:tc>
          <w:tcPr>
            <w:tcW w:w="1135"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26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79"/>
              <w:jc w:val="center"/>
              <w:rPr>
                <w:rFonts w:ascii="宋体" w:hAnsi="宋体" w:cs="宋体" w:eastAsia="宋体" w:hint="default"/>
                <w:sz w:val="18"/>
                <w:szCs w:val="18"/>
              </w:rPr>
            </w:pPr>
            <w:r>
              <w:rPr>
                <w:rFonts w:ascii="宋体" w:hAnsi="宋体" w:cs="宋体" w:eastAsia="宋体" w:hint="default"/>
                <w:sz w:val="18"/>
                <w:szCs w:val="18"/>
              </w:rPr>
              <w:t>东大会议事规则＞部分条款》的</w:t>
            </w:r>
          </w:p>
        </w:tc>
        <w:tc>
          <w:tcPr>
            <w:tcW w:w="2160" w:type="dxa"/>
            <w:tcBorders>
              <w:top w:val="nil" w:sz="6" w:space="0" w:color="auto"/>
              <w:left w:val="single" w:sz="4" w:space="0" w:color="000000"/>
              <w:bottom w:val="single" w:sz="4" w:space="0" w:color="000000"/>
              <w:right w:val="single" w:sz="4" w:space="0" w:color="000000"/>
            </w:tcBorders>
          </w:tcPr>
          <w:p>
            <w:pPr/>
          </w:p>
        </w:tc>
        <w:tc>
          <w:tcPr>
            <w:tcW w:w="1027"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1020" w:right="840"/>
        </w:sectPr>
      </w:pPr>
    </w:p>
    <w:p>
      <w:pPr>
        <w:spacing w:line="240" w:lineRule="auto" w:before="7"/>
        <w:rPr>
          <w:rFonts w:ascii="Microsoft JhengHei" w:hAnsi="Microsoft JhengHei" w:cs="Microsoft JhengHei" w:eastAsia="Microsoft JhengHei" w:hint="default"/>
          <w:b/>
          <w:bCs/>
          <w:sz w:val="21"/>
          <w:szCs w:val="21"/>
        </w:rPr>
      </w:pPr>
      <w:r>
        <w:rPr/>
        <w:pict>
          <v:group style="position:absolute;margin-left:47.639999pt;margin-top:781.919983pt;width:.1pt;height:10.35pt;mso-position-horizontal-relative:page;mso-position-vertical-relative:page;z-index:2464" coordorigin="953,15638" coordsize="2,207">
            <v:shape style="position:absolute;left:953;top:15638;width:2;height:207" coordorigin="953,15638" coordsize="0,207" path="m953,15638l953,15845e" filled="false" stroked="true" strokeweight=".12pt" strokecolor="#000000">
              <v:path arrowok="t"/>
            </v:shape>
            <w10:wrap type="none"/>
          </v:group>
        </w:pict>
      </w:r>
    </w:p>
    <w:tbl>
      <w:tblPr>
        <w:tblW w:w="0" w:type="auto"/>
        <w:jc w:val="left"/>
        <w:tblInd w:w="287" w:type="dxa"/>
        <w:tblLayout w:type="fixed"/>
        <w:tblCellMar>
          <w:top w:w="0" w:type="dxa"/>
          <w:left w:w="0" w:type="dxa"/>
          <w:bottom w:w="0" w:type="dxa"/>
          <w:right w:w="0" w:type="dxa"/>
        </w:tblCellMar>
        <w:tblLook w:val="01E0"/>
      </w:tblPr>
      <w:tblGrid>
        <w:gridCol w:w="1135"/>
        <w:gridCol w:w="991"/>
        <w:gridCol w:w="2657"/>
        <w:gridCol w:w="2162"/>
        <w:gridCol w:w="1027"/>
        <w:gridCol w:w="1594"/>
      </w:tblGrid>
      <w:tr>
        <w:trPr>
          <w:trHeight w:val="362" w:hRule="exact"/>
        </w:trPr>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bookmarkStart w:name="2、本报告期临时股东大会情况" w:id="77"/>
            <w:bookmarkEnd w:id="77"/>
            <w:r>
              <w:rPr/>
            </w:r>
            <w:bookmarkStart w:name="三、报告期内独立董事履行职责的情况" w:id="78"/>
            <w:bookmarkEnd w:id="78"/>
            <w:r>
              <w:rPr/>
            </w:r>
            <w:bookmarkStart w:name="1、独立董事出席董事会及股东大会的情况" w:id="79"/>
            <w:bookmarkEnd w:id="79"/>
            <w:r>
              <w:rPr/>
            </w:r>
            <w:r>
              <w:rPr>
                <w:rFonts w:ascii="宋体" w:hAnsi="宋体" w:cs="宋体" w:eastAsia="宋体" w:hint="default"/>
                <w:sz w:val="18"/>
                <w:szCs w:val="18"/>
              </w:rPr>
              <w:t>议案。</w:t>
            </w:r>
          </w:p>
        </w:tc>
        <w:tc>
          <w:tcPr>
            <w:tcW w:w="2162"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Microsoft JhengHei" w:hAnsi="Microsoft JhengHei" w:cs="Microsoft JhengHei" w:eastAsia="Microsoft JhengHei" w:hint="default"/>
          <w:b/>
          <w:bCs/>
          <w:sz w:val="14"/>
          <w:szCs w:val="14"/>
        </w:rPr>
      </w:pPr>
    </w:p>
    <w:p>
      <w:pPr>
        <w:spacing w:line="333" w:lineRule="exact" w:before="0"/>
        <w:ind w:left="299" w:right="27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、本报告期临时股东大会情况</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287" w:type="dxa"/>
        <w:tblLayout w:type="fixed"/>
        <w:tblCellMar>
          <w:top w:w="0" w:type="dxa"/>
          <w:left w:w="0" w:type="dxa"/>
          <w:bottom w:w="0" w:type="dxa"/>
          <w:right w:w="0" w:type="dxa"/>
        </w:tblCellMar>
        <w:tblLook w:val="01E0"/>
      </w:tblPr>
      <w:tblGrid>
        <w:gridCol w:w="852"/>
        <w:gridCol w:w="991"/>
        <w:gridCol w:w="2942"/>
        <w:gridCol w:w="2018"/>
        <w:gridCol w:w="1169"/>
        <w:gridCol w:w="1594"/>
      </w:tblGrid>
      <w:tr>
        <w:trPr>
          <w:trHeight w:val="403" w:hRule="exact"/>
        </w:trPr>
        <w:tc>
          <w:tcPr>
            <w:tcW w:w="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2"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6"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20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45"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1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5" w:hRule="exact"/>
        </w:trPr>
        <w:tc>
          <w:tcPr>
            <w:tcW w:w="852"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2942" w:type="dxa"/>
            <w:tcBorders>
              <w:top w:val="single" w:sz="4" w:space="0" w:color="000000"/>
              <w:left w:val="single" w:sz="4" w:space="0" w:color="000000"/>
              <w:bottom w:val="nil" w:sz="6" w:space="0" w:color="auto"/>
              <w:right w:val="single" w:sz="4" w:space="0" w:color="000000"/>
            </w:tcBorders>
          </w:tcPr>
          <w:p>
            <w:pPr/>
          </w:p>
        </w:tc>
        <w:tc>
          <w:tcPr>
            <w:tcW w:w="2018" w:type="dxa"/>
            <w:tcBorders>
              <w:top w:val="single" w:sz="4" w:space="0" w:color="000000"/>
              <w:left w:val="single" w:sz="4" w:space="0" w:color="000000"/>
              <w:bottom w:val="nil" w:sz="6" w:space="0" w:color="auto"/>
              <w:right w:val="single" w:sz="4" w:space="0" w:color="000000"/>
            </w:tcBorders>
          </w:tcPr>
          <w:p>
            <w:pPr/>
          </w:p>
        </w:tc>
        <w:tc>
          <w:tcPr>
            <w:tcW w:w="1169"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《杭州新世纪信息</w:t>
            </w:r>
          </w:p>
        </w:tc>
      </w:tr>
      <w:tr>
        <w:trPr>
          <w:trHeight w:val="312" w:hRule="exact"/>
        </w:trPr>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942" w:type="dxa"/>
            <w:tcBorders>
              <w:top w:val="nil" w:sz="6" w:space="0" w:color="auto"/>
              <w:left w:val="single" w:sz="4" w:space="0" w:color="000000"/>
              <w:bottom w:val="nil" w:sz="6" w:space="0" w:color="auto"/>
              <w:right w:val="single" w:sz="4" w:space="0" w:color="000000"/>
            </w:tcBorders>
          </w:tcPr>
          <w:p>
            <w:pPr/>
          </w:p>
        </w:tc>
        <w:tc>
          <w:tcPr>
            <w:tcW w:w="20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82"/>
              <w:jc w:val="right"/>
              <w:rPr>
                <w:rFonts w:ascii="宋体" w:hAnsi="宋体" w:cs="宋体" w:eastAsia="宋体" w:hint="default"/>
                <w:sz w:val="18"/>
                <w:szCs w:val="18"/>
              </w:rPr>
            </w:pPr>
            <w:r>
              <w:rPr>
                <w:rFonts w:ascii="宋体" w:hAnsi="宋体" w:cs="宋体" w:eastAsia="宋体" w:hint="default"/>
                <w:sz w:val="18"/>
                <w:szCs w:val="18"/>
              </w:rPr>
              <w:t>所有议案决议情</w:t>
            </w:r>
          </w:p>
        </w:tc>
        <w:tc>
          <w:tcPr>
            <w:tcW w:w="1169"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技术股份有限公司</w:t>
            </w:r>
          </w:p>
        </w:tc>
      </w:tr>
      <w:tr>
        <w:trPr>
          <w:trHeight w:val="317" w:hRule="exact"/>
        </w:trPr>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942" w:type="dxa"/>
            <w:tcBorders>
              <w:top w:val="nil" w:sz="6" w:space="0" w:color="auto"/>
              <w:left w:val="single" w:sz="4" w:space="0" w:color="000000"/>
              <w:bottom w:val="nil" w:sz="6" w:space="0" w:color="auto"/>
              <w:right w:val="single" w:sz="4" w:space="0" w:color="000000"/>
            </w:tcBorders>
          </w:tcPr>
          <w:p>
            <w:pPr/>
          </w:p>
        </w:tc>
        <w:tc>
          <w:tcPr>
            <w:tcW w:w="20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5"/>
                <w:sz w:val="18"/>
                <w:szCs w:val="18"/>
              </w:rPr>
              <w:t>况均如下：</w:t>
            </w:r>
            <w:r>
              <w:rPr>
                <w:rFonts w:ascii="Times New Roman" w:hAnsi="Times New Roman" w:cs="Times New Roman" w:eastAsia="Times New Roman" w:hint="default"/>
                <w:spacing w:val="-5"/>
                <w:sz w:val="18"/>
                <w:szCs w:val="18"/>
              </w:rPr>
              <w:t>51107564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股同</w:t>
            </w:r>
          </w:p>
        </w:tc>
        <w:tc>
          <w:tcPr>
            <w:tcW w:w="1169"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w:t>
            </w:r>
          </w:p>
        </w:tc>
      </w:tr>
      <w:tr>
        <w:trPr>
          <w:trHeight w:val="1243" w:hRule="exact"/>
        </w:trPr>
        <w:tc>
          <w:tcPr>
            <w:tcW w:w="852" w:type="dxa"/>
            <w:tcBorders>
              <w:top w:val="nil" w:sz="6" w:space="0" w:color="auto"/>
              <w:left w:val="single" w:sz="4" w:space="0" w:color="000000"/>
              <w:bottom w:val="nil" w:sz="6" w:space="0" w:color="auto"/>
              <w:right w:val="single" w:sz="4" w:space="0" w:color="000000"/>
            </w:tcBorders>
          </w:tcPr>
          <w:p>
            <w:pPr>
              <w:pStyle w:val="TableParagraph"/>
              <w:spacing w:line="309" w:lineRule="auto" w:before="161"/>
              <w:ind w:left="24" w:right="50"/>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 股东大会</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42" w:type="dxa"/>
            <w:tcBorders>
              <w:top w:val="nil" w:sz="6" w:space="0" w:color="auto"/>
              <w:left w:val="single" w:sz="4" w:space="0" w:color="000000"/>
              <w:bottom w:val="nil" w:sz="6" w:space="0" w:color="auto"/>
              <w:right w:val="single" w:sz="4" w:space="0" w:color="000000"/>
            </w:tcBorders>
          </w:tcPr>
          <w:p>
            <w:pPr>
              <w:pStyle w:val="TableParagraph"/>
              <w:spacing w:line="300" w:lineRule="auto" w:before="161"/>
              <w:ind w:left="24" w:right="20" w:firstLine="540"/>
              <w:jc w:val="both"/>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、《关于选举张凯平为监事》</w:t>
            </w:r>
            <w:r>
              <w:rPr>
                <w:rFonts w:ascii="宋体" w:hAnsi="宋体" w:cs="宋体" w:eastAsia="宋体" w:hint="default"/>
                <w:sz w:val="18"/>
                <w:szCs w:val="18"/>
              </w:rPr>
              <w:t> </w:t>
            </w:r>
            <w:r>
              <w:rPr>
                <w:rFonts w:ascii="宋体" w:hAnsi="宋体" w:cs="宋体" w:eastAsia="宋体" w:hint="default"/>
                <w:spacing w:val="-10"/>
                <w:w w:val="97"/>
                <w:sz w:val="18"/>
                <w:szCs w:val="18"/>
              </w:rPr>
              <w:t>的议案；</w:t>
            </w:r>
            <w:r>
              <w:rPr>
                <w:rFonts w:ascii="Times New Roman" w:hAnsi="Times New Roman" w:cs="Times New Roman" w:eastAsia="Times New Roman" w:hint="default"/>
                <w:spacing w:val="-10"/>
                <w:w w:val="97"/>
                <w:sz w:val="18"/>
                <w:szCs w:val="18"/>
              </w:rPr>
              <w:t>2</w:t>
            </w:r>
            <w:r>
              <w:rPr>
                <w:rFonts w:ascii="宋体" w:hAnsi="宋体" w:cs="宋体" w:eastAsia="宋体" w:hint="default"/>
                <w:spacing w:val="-10"/>
                <w:w w:val="97"/>
                <w:sz w:val="18"/>
                <w:szCs w:val="18"/>
              </w:rPr>
              <w:t>、《关于选举董轶凡为监事》</w:t>
            </w:r>
            <w:r>
              <w:rPr>
                <w:rFonts w:ascii="宋体" w:hAnsi="宋体" w:cs="宋体" w:eastAsia="宋体" w:hint="default"/>
                <w:spacing w:val="-85"/>
                <w:w w:val="97"/>
                <w:sz w:val="18"/>
                <w:szCs w:val="18"/>
              </w:rPr>
              <w:t> </w:t>
            </w:r>
            <w:r>
              <w:rPr>
                <w:rFonts w:ascii="宋体" w:hAnsi="宋体" w:cs="宋体" w:eastAsia="宋体" w:hint="default"/>
                <w:spacing w:val="-85"/>
                <w:w w:val="97"/>
                <w:sz w:val="18"/>
                <w:szCs w:val="18"/>
              </w:rPr>
            </w:r>
            <w:r>
              <w:rPr>
                <w:rFonts w:ascii="宋体" w:hAnsi="宋体" w:cs="宋体" w:eastAsia="宋体" w:hint="default"/>
                <w:sz w:val="18"/>
                <w:szCs w:val="18"/>
              </w:rPr>
              <w:t>的议案。</w:t>
            </w:r>
          </w:p>
        </w:tc>
        <w:tc>
          <w:tcPr>
            <w:tcW w:w="2018" w:type="dxa"/>
            <w:tcBorders>
              <w:top w:val="nil" w:sz="6" w:space="0" w:color="auto"/>
              <w:left w:val="single" w:sz="4" w:space="0" w:color="000000"/>
              <w:bottom w:val="nil" w:sz="6" w:space="0" w:color="auto"/>
              <w:right w:val="single" w:sz="4" w:space="0" w:color="000000"/>
            </w:tcBorders>
          </w:tcPr>
          <w:p>
            <w:pPr>
              <w:pStyle w:val="TableParagraph"/>
              <w:spacing w:line="312" w:lineRule="auto" w:before="5"/>
              <w:ind w:left="24" w:right="19"/>
              <w:jc w:val="left"/>
              <w:rPr>
                <w:rFonts w:ascii="宋体" w:hAnsi="宋体" w:cs="宋体" w:eastAsia="宋体" w:hint="default"/>
                <w:sz w:val="18"/>
                <w:szCs w:val="18"/>
              </w:rPr>
            </w:pPr>
            <w:r>
              <w:rPr>
                <w:rFonts w:ascii="宋体" w:hAnsi="宋体" w:cs="宋体" w:eastAsia="宋体" w:hint="default"/>
                <w:spacing w:val="-19"/>
                <w:sz w:val="18"/>
                <w:szCs w:val="18"/>
              </w:rPr>
              <w:t>意；</w:t>
            </w:r>
            <w:r>
              <w:rPr>
                <w:rFonts w:ascii="Times New Roman" w:hAnsi="Times New Roman" w:cs="Times New Roman" w:eastAsia="Times New Roman" w:hint="default"/>
                <w:spacing w:val="-19"/>
                <w:sz w:val="18"/>
                <w:szCs w:val="18"/>
              </w:rPr>
              <w:t>0</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股反对；</w:t>
            </w:r>
            <w:r>
              <w:rPr>
                <w:rFonts w:ascii="宋体" w:hAnsi="宋体" w:cs="宋体" w:eastAsia="宋体" w:hint="default"/>
                <w:spacing w:val="-77"/>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股弃权。</w:t>
            </w:r>
            <w:r>
              <w:rPr>
                <w:rFonts w:ascii="宋体" w:hAnsi="宋体" w:cs="宋体" w:eastAsia="宋体" w:hint="default"/>
                <w:w w:val="50"/>
                <w:sz w:val="18"/>
                <w:szCs w:val="18"/>
              </w:rPr>
              <w:t> </w:t>
            </w:r>
            <w:r>
              <w:rPr>
                <w:rFonts w:ascii="宋体" w:hAnsi="宋体" w:cs="宋体" w:eastAsia="宋体" w:hint="default"/>
                <w:sz w:val="18"/>
                <w:szCs w:val="18"/>
              </w:rPr>
              <w:t>同意的股份数占出席会</w:t>
            </w:r>
            <w:r>
              <w:rPr>
                <w:rFonts w:ascii="宋体" w:hAnsi="宋体" w:cs="宋体" w:eastAsia="宋体" w:hint="default"/>
                <w:sz w:val="18"/>
                <w:szCs w:val="18"/>
              </w:rPr>
              <w:t> 议的股东（或其授权代 </w:t>
            </w:r>
            <w:r>
              <w:rPr>
                <w:rFonts w:ascii="宋体" w:hAnsi="宋体" w:cs="宋体" w:eastAsia="宋体" w:hint="default"/>
                <w:spacing w:val="-2"/>
                <w:sz w:val="18"/>
                <w:szCs w:val="18"/>
              </w:rPr>
              <w:t>表）所持的有表决权股份</w:t>
            </w:r>
          </w:p>
        </w:tc>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4" w:right="20"/>
              <w:jc w:val="left"/>
              <w:rPr>
                <w:rFonts w:ascii="宋体" w:hAnsi="宋体" w:cs="宋体" w:eastAsia="宋体" w:hint="default"/>
                <w:sz w:val="18"/>
                <w:szCs w:val="18"/>
              </w:rPr>
            </w:pPr>
            <w:r>
              <w:rPr>
                <w:rFonts w:ascii="宋体" w:hAnsi="宋体" w:cs="宋体" w:eastAsia="宋体" w:hint="default"/>
                <w:w w:val="95"/>
                <w:sz w:val="18"/>
                <w:szCs w:val="18"/>
              </w:rPr>
              <w:t>股东大会决议公告》</w:t>
            </w:r>
            <w:r>
              <w:rPr>
                <w:rFonts w:ascii="宋体" w:hAnsi="宋体" w:cs="宋体" w:eastAsia="宋体" w:hint="default"/>
                <w:w w:val="54"/>
                <w:sz w:val="18"/>
                <w:szCs w:val="18"/>
              </w:rPr>
              <w:t> </w:t>
            </w:r>
            <w:r>
              <w:rPr>
                <w:rFonts w:ascii="宋体" w:hAnsi="宋体" w:cs="宋体" w:eastAsia="宋体" w:hint="default"/>
                <w:sz w:val="18"/>
                <w:szCs w:val="18"/>
              </w:rPr>
              <w:t>详见公司信息披露</w:t>
            </w:r>
            <w:r>
              <w:rPr>
                <w:rFonts w:ascii="宋体" w:hAnsi="宋体" w:cs="宋体" w:eastAsia="宋体" w:hint="default"/>
                <w:sz w:val="18"/>
                <w:szCs w:val="18"/>
              </w:rPr>
              <w:t> </w:t>
            </w:r>
            <w:r>
              <w:rPr>
                <w:rFonts w:ascii="宋体" w:hAnsi="宋体" w:cs="宋体" w:eastAsia="宋体" w:hint="default"/>
                <w:spacing w:val="-11"/>
                <w:sz w:val="18"/>
                <w:szCs w:val="18"/>
              </w:rPr>
              <w:t>媒体《证券时报》、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巨潮资讯网</w:t>
            </w:r>
          </w:p>
        </w:tc>
      </w:tr>
      <w:tr>
        <w:trPr>
          <w:trHeight w:val="317" w:hRule="exact"/>
        </w:trPr>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942" w:type="dxa"/>
            <w:tcBorders>
              <w:top w:val="nil" w:sz="6" w:space="0" w:color="auto"/>
              <w:left w:val="single" w:sz="4" w:space="0" w:color="000000"/>
              <w:bottom w:val="nil" w:sz="6" w:space="0" w:color="auto"/>
              <w:right w:val="single" w:sz="4" w:space="0" w:color="000000"/>
            </w:tcBorders>
          </w:tcPr>
          <w:p>
            <w:pPr/>
          </w:p>
        </w:tc>
        <w:tc>
          <w:tcPr>
            <w:tcW w:w="20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总数的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，表决结果</w:t>
            </w:r>
          </w:p>
        </w:tc>
        <w:tc>
          <w:tcPr>
            <w:tcW w:w="1169"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18"/>
                <w:sz w:val="18"/>
                <w:szCs w:val="18"/>
              </w:rPr>
              <w:t> </w:t>
            </w:r>
            <w:hyperlink r:id="rId22">
              <w:r>
                <w:rPr>
                  <w:rFonts w:ascii="Times New Roman" w:hAnsi="Times New Roman" w:cs="Times New Roman" w:eastAsia="Times New Roman" w:hint="default"/>
                  <w:sz w:val="18"/>
                  <w:szCs w:val="18"/>
                </w:rPr>
                <w:t>www.cninfo.com</w:t>
              </w:r>
            </w:hyperlink>
          </w:p>
        </w:tc>
      </w:tr>
      <w:tr>
        <w:trPr>
          <w:trHeight w:val="317" w:hRule="exact"/>
        </w:trPr>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2942" w:type="dxa"/>
            <w:tcBorders>
              <w:top w:val="nil" w:sz="6" w:space="0" w:color="auto"/>
              <w:left w:val="single" w:sz="4" w:space="0" w:color="000000"/>
              <w:bottom w:val="nil" w:sz="6" w:space="0" w:color="auto"/>
              <w:right w:val="single" w:sz="4" w:space="0" w:color="000000"/>
            </w:tcBorders>
          </w:tcPr>
          <w:p>
            <w:pPr/>
          </w:p>
        </w:tc>
        <w:tc>
          <w:tcPr>
            <w:tcW w:w="20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为通过。</w:t>
            </w:r>
          </w:p>
        </w:tc>
        <w:tc>
          <w:tcPr>
            <w:tcW w:w="1169"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w w:val="100"/>
                <w:sz w:val="18"/>
                <w:szCs w:val="18"/>
              </w:rPr>
              <w:t>c</w:t>
            </w:r>
            <w:r>
              <w:rPr>
                <w:rFonts w:ascii="Times New Roman" w:hAnsi="Times New Roman" w:cs="Times New Roman" w:eastAsia="Times New Roman" w:hint="default"/>
                <w:spacing w:val="-2"/>
                <w:sz w:val="18"/>
                <w:szCs w:val="18"/>
              </w:rPr>
              <w:t>n</w:t>
            </w:r>
            <w:r>
              <w:rPr>
                <w:rFonts w:ascii="宋体" w:hAnsi="宋体" w:cs="宋体" w:eastAsia="宋体" w:hint="default"/>
                <w:spacing w:val="-92"/>
                <w:sz w:val="18"/>
                <w:szCs w:val="18"/>
              </w:rPr>
              <w:t>）</w:t>
            </w:r>
            <w:r>
              <w:rPr>
                <w:rFonts w:ascii="宋体" w:hAnsi="宋体" w:cs="宋体" w:eastAsia="宋体" w:hint="default"/>
                <w:sz w:val="18"/>
                <w:szCs w:val="18"/>
              </w:rPr>
              <w:t>，公告编号</w:t>
            </w:r>
            <w:r>
              <w:rPr>
                <w:rFonts w:ascii="宋体" w:hAnsi="宋体" w:cs="宋体" w:eastAsia="宋体" w:hint="default"/>
                <w:spacing w:val="2"/>
                <w:sz w:val="18"/>
                <w:szCs w:val="18"/>
              </w:rPr>
              <w:t>为</w:t>
            </w:r>
            <w:r>
              <w:rPr>
                <w:rFonts w:ascii="宋体" w:hAnsi="宋体" w:cs="宋体" w:eastAsia="宋体" w:hint="default"/>
                <w:w w:val="85"/>
                <w:sz w:val="18"/>
                <w:szCs w:val="18"/>
              </w:rPr>
              <w:t>：</w:t>
            </w:r>
            <w:r>
              <w:rPr>
                <w:rFonts w:ascii="宋体" w:hAnsi="宋体" w:cs="宋体" w:eastAsia="宋体" w:hint="default"/>
                <w:sz w:val="18"/>
                <w:szCs w:val="18"/>
              </w:rPr>
            </w:r>
          </w:p>
        </w:tc>
      </w:tr>
      <w:tr>
        <w:trPr>
          <w:trHeight w:val="348" w:hRule="exact"/>
        </w:trPr>
        <w:tc>
          <w:tcPr>
            <w:tcW w:w="852"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2942" w:type="dxa"/>
            <w:tcBorders>
              <w:top w:val="nil" w:sz="6" w:space="0" w:color="auto"/>
              <w:left w:val="single" w:sz="4" w:space="0" w:color="000000"/>
              <w:bottom w:val="single" w:sz="4" w:space="0" w:color="000000"/>
              <w:right w:val="single" w:sz="4" w:space="0" w:color="000000"/>
            </w:tcBorders>
          </w:tcPr>
          <w:p>
            <w:pPr/>
          </w:p>
        </w:tc>
        <w:tc>
          <w:tcPr>
            <w:tcW w:w="2018" w:type="dxa"/>
            <w:tcBorders>
              <w:top w:val="nil" w:sz="6" w:space="0" w:color="auto"/>
              <w:left w:val="single" w:sz="4" w:space="0" w:color="000000"/>
              <w:bottom w:val="single" w:sz="4" w:space="0" w:color="000000"/>
              <w:right w:val="single" w:sz="4" w:space="0" w:color="000000"/>
            </w:tcBorders>
          </w:tcPr>
          <w:p>
            <w:pPr/>
          </w:p>
        </w:tc>
        <w:tc>
          <w:tcPr>
            <w:tcW w:w="1169"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left="24" w:right="0"/>
              <w:jc w:val="left"/>
              <w:rPr>
                <w:rFonts w:ascii="Times New Roman" w:hAnsi="Times New Roman" w:cs="Times New Roman" w:eastAsia="Times New Roman" w:hint="default"/>
                <w:sz w:val="18"/>
                <w:szCs w:val="18"/>
              </w:rPr>
            </w:pPr>
            <w:r>
              <w:rPr>
                <w:rFonts w:ascii="Times New Roman"/>
                <w:sz w:val="18"/>
              </w:rPr>
              <w:t>2012-033</w:t>
            </w:r>
          </w:p>
        </w:tc>
      </w:tr>
      <w:tr>
        <w:trPr>
          <w:trHeight w:val="358" w:hRule="exact"/>
        </w:trPr>
        <w:tc>
          <w:tcPr>
            <w:tcW w:w="852"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2942" w:type="dxa"/>
            <w:tcBorders>
              <w:top w:val="single" w:sz="4" w:space="0" w:color="000000"/>
              <w:left w:val="single" w:sz="4" w:space="0" w:color="000000"/>
              <w:bottom w:val="nil" w:sz="6" w:space="0" w:color="auto"/>
              <w:right w:val="single" w:sz="4" w:space="0" w:color="000000"/>
            </w:tcBorders>
          </w:tcPr>
          <w:p>
            <w:pPr/>
          </w:p>
        </w:tc>
        <w:tc>
          <w:tcPr>
            <w:tcW w:w="20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82"/>
              <w:jc w:val="right"/>
              <w:rPr>
                <w:rFonts w:ascii="宋体" w:hAnsi="宋体" w:cs="宋体" w:eastAsia="宋体" w:hint="default"/>
                <w:sz w:val="18"/>
                <w:szCs w:val="18"/>
              </w:rPr>
            </w:pPr>
            <w:r>
              <w:rPr>
                <w:rFonts w:ascii="宋体" w:hAnsi="宋体" w:cs="宋体" w:eastAsia="宋体" w:hint="default"/>
                <w:sz w:val="18"/>
                <w:szCs w:val="18"/>
              </w:rPr>
              <w:t>所有议案决议情</w:t>
            </w:r>
          </w:p>
        </w:tc>
        <w:tc>
          <w:tcPr>
            <w:tcW w:w="1169"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r>
      <w:tr>
        <w:trPr>
          <w:trHeight w:val="3437" w:hRule="exact"/>
        </w:trPr>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18"/>
                <w:szCs w:val="18"/>
              </w:rPr>
            </w:pPr>
          </w:p>
          <w:p>
            <w:pPr>
              <w:pStyle w:val="TableParagraph"/>
              <w:spacing w:line="309" w:lineRule="auto"/>
              <w:ind w:left="24" w:right="50"/>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二次临时 股东大会</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4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7"/>
              <w:ind w:right="0"/>
              <w:jc w:val="left"/>
              <w:rPr>
                <w:rFonts w:ascii="Microsoft JhengHei" w:hAnsi="Microsoft JhengHei" w:cs="Microsoft JhengHei" w:eastAsia="Microsoft JhengHei" w:hint="default"/>
                <w:b/>
                <w:bCs/>
                <w:sz w:val="9"/>
                <w:szCs w:val="9"/>
              </w:rPr>
            </w:pPr>
          </w:p>
          <w:p>
            <w:pPr>
              <w:pStyle w:val="TableParagraph"/>
              <w:spacing w:line="307" w:lineRule="auto"/>
              <w:ind w:left="24" w:right="23" w:firstLine="540"/>
              <w:jc w:val="both"/>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、《关于终止实施募集资金项</w:t>
            </w:r>
            <w:r>
              <w:rPr>
                <w:rFonts w:ascii="宋体" w:hAnsi="宋体" w:cs="宋体" w:eastAsia="宋体" w:hint="default"/>
                <w:sz w:val="18"/>
                <w:szCs w:val="18"/>
              </w:rPr>
              <w:t> 目用其剩余募集资金及利息永久补充 </w:t>
            </w:r>
            <w:r>
              <w:rPr>
                <w:rFonts w:ascii="宋体" w:hAnsi="宋体" w:cs="宋体" w:eastAsia="宋体" w:hint="default"/>
                <w:spacing w:val="-8"/>
                <w:w w:val="100"/>
                <w:sz w:val="18"/>
                <w:szCs w:val="18"/>
              </w:rPr>
              <w:t>流动资金》的议案</w:t>
            </w:r>
            <w:r>
              <w:rPr>
                <w:rFonts w:ascii="Times New Roman" w:hAnsi="Times New Roman" w:cs="Times New Roman" w:eastAsia="Times New Roman" w:hint="default"/>
                <w:spacing w:val="-8"/>
                <w:w w:val="100"/>
                <w:sz w:val="18"/>
                <w:szCs w:val="18"/>
              </w:rPr>
              <w:t>;2</w:t>
            </w:r>
            <w:r>
              <w:rPr>
                <w:rFonts w:ascii="宋体" w:hAnsi="宋体" w:cs="宋体" w:eastAsia="宋体" w:hint="default"/>
                <w:spacing w:val="-8"/>
                <w:w w:val="100"/>
                <w:sz w:val="18"/>
                <w:szCs w:val="18"/>
              </w:rPr>
              <w:t>、《关于修改＜公</w:t>
            </w:r>
            <w:r>
              <w:rPr>
                <w:rFonts w:ascii="宋体" w:hAnsi="宋体" w:cs="宋体" w:eastAsia="宋体" w:hint="default"/>
                <w:spacing w:val="-83"/>
                <w:w w:val="100"/>
                <w:sz w:val="18"/>
                <w:szCs w:val="18"/>
              </w:rPr>
              <w:t> </w:t>
            </w:r>
            <w:r>
              <w:rPr>
                <w:rFonts w:ascii="宋体" w:hAnsi="宋体" w:cs="宋体" w:eastAsia="宋体" w:hint="default"/>
                <w:spacing w:val="-83"/>
                <w:w w:val="100"/>
                <w:sz w:val="18"/>
                <w:szCs w:val="18"/>
              </w:rPr>
            </w:r>
            <w:r>
              <w:rPr>
                <w:rFonts w:ascii="宋体" w:hAnsi="宋体" w:cs="宋体" w:eastAsia="宋体" w:hint="default"/>
                <w:spacing w:val="-8"/>
                <w:w w:val="100"/>
                <w:sz w:val="18"/>
                <w:szCs w:val="18"/>
              </w:rPr>
              <w:t>司章程＞部分条款》的议案</w:t>
            </w:r>
            <w:r>
              <w:rPr>
                <w:rFonts w:ascii="Times New Roman" w:hAnsi="Times New Roman" w:cs="Times New Roman" w:eastAsia="Times New Roman" w:hint="default"/>
                <w:spacing w:val="-8"/>
                <w:w w:val="100"/>
                <w:sz w:val="18"/>
                <w:szCs w:val="18"/>
              </w:rPr>
              <w:t>;3</w:t>
            </w:r>
            <w:r>
              <w:rPr>
                <w:rFonts w:ascii="宋体" w:hAnsi="宋体" w:cs="宋体" w:eastAsia="宋体" w:hint="default"/>
                <w:spacing w:val="-8"/>
                <w:w w:val="100"/>
                <w:sz w:val="18"/>
                <w:szCs w:val="18"/>
              </w:rPr>
              <w:t>、《关于</w:t>
            </w:r>
            <w:r>
              <w:rPr>
                <w:rFonts w:ascii="宋体" w:hAnsi="宋体" w:cs="宋体" w:eastAsia="宋体" w:hint="default"/>
                <w:spacing w:val="-84"/>
                <w:w w:val="100"/>
                <w:sz w:val="18"/>
                <w:szCs w:val="18"/>
              </w:rPr>
              <w:t> </w:t>
            </w:r>
            <w:r>
              <w:rPr>
                <w:rFonts w:ascii="宋体" w:hAnsi="宋体" w:cs="宋体" w:eastAsia="宋体" w:hint="default"/>
                <w:spacing w:val="-84"/>
                <w:w w:val="100"/>
                <w:sz w:val="18"/>
                <w:szCs w:val="18"/>
              </w:rPr>
            </w:r>
            <w:r>
              <w:rPr>
                <w:rFonts w:ascii="宋体" w:hAnsi="宋体" w:cs="宋体" w:eastAsia="宋体" w:hint="default"/>
                <w:sz w:val="18"/>
                <w:szCs w:val="18"/>
              </w:rPr>
              <w:t>制定公司未来三年股东回报规划》的 议案。</w:t>
            </w:r>
          </w:p>
        </w:tc>
        <w:tc>
          <w:tcPr>
            <w:tcW w:w="2018" w:type="dxa"/>
            <w:tcBorders>
              <w:top w:val="nil" w:sz="6" w:space="0" w:color="auto"/>
              <w:left w:val="single" w:sz="4" w:space="0" w:color="000000"/>
              <w:bottom w:val="nil" w:sz="6" w:space="0" w:color="auto"/>
              <w:right w:val="single" w:sz="4" w:space="0" w:color="000000"/>
            </w:tcBorders>
          </w:tcPr>
          <w:p>
            <w:pPr>
              <w:pStyle w:val="TableParagraph"/>
              <w:spacing w:line="307" w:lineRule="auto" w:before="10"/>
              <w:ind w:left="24" w:right="19"/>
              <w:jc w:val="left"/>
              <w:rPr>
                <w:rFonts w:ascii="宋体" w:hAnsi="宋体" w:cs="宋体" w:eastAsia="宋体" w:hint="default"/>
                <w:sz w:val="18"/>
                <w:szCs w:val="18"/>
              </w:rPr>
            </w:pPr>
            <w:r>
              <w:rPr>
                <w:rFonts w:ascii="宋体" w:hAnsi="宋体" w:cs="宋体" w:eastAsia="宋体" w:hint="default"/>
                <w:spacing w:val="-5"/>
                <w:sz w:val="18"/>
                <w:szCs w:val="18"/>
              </w:rPr>
              <w:t>况均如下：</w:t>
            </w:r>
            <w:r>
              <w:rPr>
                <w:rFonts w:ascii="Times New Roman" w:hAnsi="Times New Roman" w:cs="Times New Roman" w:eastAsia="Times New Roman" w:hint="default"/>
                <w:spacing w:val="-5"/>
                <w:sz w:val="18"/>
                <w:szCs w:val="18"/>
              </w:rPr>
              <w:t>65435290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股同 </w:t>
            </w:r>
            <w:r>
              <w:rPr>
                <w:rFonts w:ascii="宋体" w:hAnsi="宋体" w:cs="宋体" w:eastAsia="宋体" w:hint="default"/>
                <w:spacing w:val="-2"/>
                <w:sz w:val="18"/>
                <w:szCs w:val="18"/>
              </w:rPr>
              <w:t>意，占出席会议有效表决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权股份总数的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w:t>
            </w:r>
            <w:r>
              <w:rPr>
                <w:rFonts w:ascii="Times New Roman" w:hAnsi="Times New Roman" w:cs="Times New Roman" w:eastAsia="Times New Roman" w:hint="default"/>
                <w:sz w:val="18"/>
                <w:szCs w:val="18"/>
              </w:rPr>
              <w:t>0 </w:t>
            </w:r>
            <w:r>
              <w:rPr>
                <w:rFonts w:ascii="宋体" w:hAnsi="宋体" w:cs="宋体" w:eastAsia="宋体" w:hint="default"/>
                <w:spacing w:val="-2"/>
                <w:sz w:val="18"/>
                <w:szCs w:val="18"/>
              </w:rPr>
              <w:t>股反对，占出席会议有效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表决权股份总数的</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股弃权，占出席会议有</w:t>
            </w:r>
          </w:p>
          <w:p>
            <w:pPr>
              <w:pStyle w:val="TableParagraph"/>
              <w:spacing w:line="240" w:lineRule="auto" w:before="7"/>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效表决权股份总数的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p>
          <w:p>
            <w:pPr>
              <w:pStyle w:val="TableParagraph"/>
              <w:spacing w:line="312" w:lineRule="auto" w:before="63"/>
              <w:ind w:left="24"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。同意的股份数占出席</w:t>
            </w:r>
            <w:r>
              <w:rPr>
                <w:rFonts w:ascii="宋体" w:hAnsi="宋体" w:cs="宋体" w:eastAsia="宋体" w:hint="default"/>
                <w:w w:val="99"/>
                <w:sz w:val="18"/>
                <w:szCs w:val="18"/>
              </w:rPr>
              <w:t> </w:t>
            </w:r>
            <w:r>
              <w:rPr>
                <w:rFonts w:ascii="宋体" w:hAnsi="宋体" w:cs="宋体" w:eastAsia="宋体" w:hint="default"/>
                <w:spacing w:val="-2"/>
                <w:sz w:val="18"/>
                <w:szCs w:val="18"/>
              </w:rPr>
              <w:t>会议的股东（或其授权代</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表）所持的有表决权股份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总数的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，表决结果</w:t>
            </w:r>
          </w:p>
        </w:tc>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314" w:lineRule="auto"/>
              <w:ind w:left="24" w:right="19" w:firstLine="458"/>
              <w:jc w:val="left"/>
              <w:rPr>
                <w:rFonts w:ascii="宋体" w:hAnsi="宋体" w:cs="宋体" w:eastAsia="宋体" w:hint="default"/>
                <w:sz w:val="18"/>
                <w:szCs w:val="18"/>
              </w:rPr>
            </w:pPr>
            <w:r>
              <w:rPr>
                <w:rFonts w:ascii="宋体" w:hAnsi="宋体" w:cs="宋体" w:eastAsia="宋体" w:hint="default"/>
                <w:sz w:val="18"/>
                <w:szCs w:val="18"/>
              </w:rPr>
              <w:t>《杭州新世纪 信息技术股份有限 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年第二次 临时股东大会决议 </w:t>
            </w:r>
            <w:r>
              <w:rPr>
                <w:rFonts w:ascii="宋体" w:hAnsi="宋体" w:cs="宋体" w:eastAsia="宋体" w:hint="default"/>
                <w:spacing w:val="-10"/>
                <w:sz w:val="18"/>
                <w:szCs w:val="18"/>
              </w:rPr>
              <w:t>公告》详见公司信息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披露媒体《证券时 </w:t>
            </w:r>
            <w:r>
              <w:rPr>
                <w:rFonts w:ascii="宋体" w:hAnsi="宋体" w:cs="宋体" w:eastAsia="宋体" w:hint="default"/>
                <w:spacing w:val="-12"/>
                <w:sz w:val="18"/>
                <w:szCs w:val="18"/>
              </w:rPr>
              <w:t>报》、巨潮资讯网</w:t>
            </w:r>
          </w:p>
          <w:p>
            <w:pPr>
              <w:pStyle w:val="TableParagraph"/>
              <w:spacing w:line="240" w:lineRule="auto" w:before="2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18"/>
                <w:sz w:val="18"/>
                <w:szCs w:val="18"/>
              </w:rPr>
              <w:t> </w:t>
            </w:r>
            <w:hyperlink r:id="rId22">
              <w:r>
                <w:rPr>
                  <w:rFonts w:ascii="Times New Roman" w:hAnsi="Times New Roman" w:cs="Times New Roman" w:eastAsia="Times New Roman" w:hint="default"/>
                  <w:sz w:val="18"/>
                  <w:szCs w:val="18"/>
                </w:rPr>
                <w:t>www.cninfo.com</w:t>
              </w:r>
            </w:hyperlink>
          </w:p>
          <w:p>
            <w:pPr>
              <w:pStyle w:val="TableParagraph"/>
              <w:spacing w:line="340" w:lineRule="auto" w:before="63"/>
              <w:ind w:left="24" w:right="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9"/>
                <w:w w:val="98"/>
                <w:sz w:val="18"/>
                <w:szCs w:val="18"/>
              </w:rPr>
              <w:t>.cn</w:t>
            </w:r>
            <w:r>
              <w:rPr>
                <w:rFonts w:ascii="宋体" w:hAnsi="宋体" w:cs="宋体" w:eastAsia="宋体" w:hint="default"/>
                <w:spacing w:val="-9"/>
                <w:w w:val="98"/>
                <w:sz w:val="18"/>
                <w:szCs w:val="18"/>
              </w:rPr>
              <w:t>），公告编号为：</w:t>
            </w:r>
            <w:r>
              <w:rPr>
                <w:rFonts w:ascii="宋体" w:hAnsi="宋体" w:cs="宋体" w:eastAsia="宋体" w:hint="default"/>
                <w:w w:val="85"/>
                <w:sz w:val="18"/>
                <w:szCs w:val="18"/>
              </w:rPr>
              <w:t> </w:t>
            </w:r>
            <w:r>
              <w:rPr>
                <w:rFonts w:ascii="Times New Roman" w:hAnsi="Times New Roman" w:cs="Times New Roman" w:eastAsia="Times New Roman" w:hint="default"/>
                <w:sz w:val="18"/>
                <w:szCs w:val="18"/>
              </w:rPr>
              <w:t>2012-044</w:t>
            </w:r>
          </w:p>
        </w:tc>
      </w:tr>
      <w:tr>
        <w:trPr>
          <w:trHeight w:val="353" w:hRule="exact"/>
        </w:trPr>
        <w:tc>
          <w:tcPr>
            <w:tcW w:w="852"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2942" w:type="dxa"/>
            <w:tcBorders>
              <w:top w:val="nil" w:sz="6" w:space="0" w:color="auto"/>
              <w:left w:val="single" w:sz="4" w:space="0" w:color="000000"/>
              <w:bottom w:val="single" w:sz="4" w:space="0" w:color="000000"/>
              <w:right w:val="single" w:sz="4" w:space="0" w:color="000000"/>
            </w:tcBorders>
          </w:tcPr>
          <w:p>
            <w:pPr/>
          </w:p>
        </w:tc>
        <w:tc>
          <w:tcPr>
            <w:tcW w:w="20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为通过。</w:t>
            </w:r>
          </w:p>
        </w:tc>
        <w:tc>
          <w:tcPr>
            <w:tcW w:w="1169"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r>
    </w:tbl>
    <w:p>
      <w:pPr>
        <w:spacing w:line="240" w:lineRule="auto" w:before="10"/>
        <w:rPr>
          <w:rFonts w:ascii="Microsoft JhengHei" w:hAnsi="Microsoft JhengHei" w:cs="Microsoft JhengHei" w:eastAsia="Microsoft JhengHei" w:hint="default"/>
          <w:b/>
          <w:bCs/>
          <w:sz w:val="13"/>
          <w:szCs w:val="13"/>
        </w:rPr>
      </w:pPr>
    </w:p>
    <w:p>
      <w:pPr>
        <w:pStyle w:val="Heading3"/>
        <w:spacing w:line="367" w:lineRule="exact"/>
        <w:ind w:left="292" w:right="279"/>
        <w:jc w:val="left"/>
        <w:rPr>
          <w:b w:val="0"/>
          <w:bCs w:val="0"/>
        </w:rPr>
      </w:pPr>
      <w:r>
        <w:rPr/>
        <w:t>三、报告期内独立董事履行职责的情况</w:t>
      </w:r>
      <w:r>
        <w:rPr>
          <w:b w:val="0"/>
          <w:bCs w:val="0"/>
        </w:rPr>
      </w:r>
    </w:p>
    <w:p>
      <w:pPr>
        <w:spacing w:line="240" w:lineRule="auto" w:before="3"/>
        <w:rPr>
          <w:rFonts w:ascii="Microsoft JhengHei" w:hAnsi="Microsoft JhengHei" w:cs="Microsoft JhengHei" w:eastAsia="Microsoft JhengHei" w:hint="default"/>
          <w:b/>
          <w:bCs/>
          <w:sz w:val="13"/>
          <w:szCs w:val="13"/>
        </w:rPr>
      </w:pPr>
    </w:p>
    <w:p>
      <w:pPr>
        <w:spacing w:before="0"/>
        <w:ind w:left="299" w:right="27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、独立董事出席董事会及股东大会的情况</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287" w:type="dxa"/>
        <w:tblLayout w:type="fixed"/>
        <w:tblCellMar>
          <w:top w:w="0" w:type="dxa"/>
          <w:left w:w="0" w:type="dxa"/>
          <w:bottom w:w="0" w:type="dxa"/>
          <w:right w:w="0" w:type="dxa"/>
        </w:tblCellMar>
        <w:tblLook w:val="01E0"/>
      </w:tblPr>
      <w:tblGrid>
        <w:gridCol w:w="1625"/>
        <w:gridCol w:w="1325"/>
        <w:gridCol w:w="1322"/>
        <w:gridCol w:w="1325"/>
        <w:gridCol w:w="1325"/>
        <w:gridCol w:w="1322"/>
        <w:gridCol w:w="1325"/>
      </w:tblGrid>
      <w:tr>
        <w:trPr>
          <w:trHeight w:val="401"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5" w:hRule="exact"/>
        </w:trPr>
        <w:tc>
          <w:tcPr>
            <w:tcW w:w="16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08" w:right="24"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77" w:right="24" w:hanging="449"/>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7" w:right="24" w:hanging="89"/>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魏光耀</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蔡家楣</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陆国华</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840" w:right="1020"/>
        </w:sectPr>
      </w:pPr>
    </w:p>
    <w:p>
      <w:pPr>
        <w:spacing w:line="240" w:lineRule="auto" w:before="11"/>
        <w:rPr>
          <w:rFonts w:ascii="Microsoft JhengHei" w:hAnsi="Microsoft JhengHei" w:cs="Microsoft JhengHei" w:eastAsia="Microsoft JhengHei" w:hint="default"/>
          <w:b/>
          <w:bCs/>
          <w:sz w:val="18"/>
          <w:szCs w:val="18"/>
        </w:rPr>
      </w:pPr>
    </w:p>
    <w:p>
      <w:pPr>
        <w:spacing w:line="333" w:lineRule="exact" w:before="0"/>
        <w:ind w:left="119" w:right="279" w:firstLine="0"/>
        <w:jc w:val="left"/>
        <w:rPr>
          <w:rFonts w:ascii="Microsoft JhengHei" w:hAnsi="Microsoft JhengHei" w:cs="Microsoft JhengHei" w:eastAsia="Microsoft JhengHei" w:hint="default"/>
          <w:sz w:val="21"/>
          <w:szCs w:val="21"/>
        </w:rPr>
      </w:pPr>
      <w:bookmarkStart w:name="2、独立董事对公司有关事项提出异议的情况" w:id="80"/>
      <w:bookmarkEnd w:id="80"/>
      <w:r>
        <w:rPr/>
      </w:r>
      <w:bookmarkStart w:name="3、独立董事履行职责的其他说明" w:id="81"/>
      <w:bookmarkEnd w:id="81"/>
      <w:r>
        <w:rPr/>
      </w:r>
      <w:bookmarkStart w:name="四、董事会下设专门委员会在报告期内履行职责情况" w:id="82"/>
      <w:bookmarkEnd w:id="82"/>
      <w:r>
        <w:rPr/>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、独立董事对公司有关事项提出异议的情况</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21"/>
          <w:szCs w:val="21"/>
        </w:rPr>
      </w:pPr>
    </w:p>
    <w:p>
      <w:pPr>
        <w:pStyle w:val="BodyText"/>
        <w:spacing w:line="240" w:lineRule="auto" w:before="0"/>
        <w:ind w:left="595" w:right="279"/>
        <w:jc w:val="left"/>
      </w:pPr>
      <w:r>
        <w:rPr/>
        <w:t>报告期内独立董事对公司有关事项未提出异议。</w:t>
      </w:r>
    </w:p>
    <w:p>
      <w:pPr>
        <w:spacing w:line="240" w:lineRule="auto" w:before="6"/>
        <w:rPr>
          <w:rFonts w:ascii="宋体" w:hAnsi="宋体" w:cs="宋体" w:eastAsia="宋体" w:hint="default"/>
          <w:sz w:val="25"/>
          <w:szCs w:val="25"/>
        </w:rPr>
      </w:pPr>
    </w:p>
    <w:p>
      <w:pPr>
        <w:spacing w:before="0"/>
        <w:ind w:left="119" w:right="27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、独立董事履行职责的其他说明</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350" w:lineRule="auto" w:before="0"/>
        <w:ind w:left="112" w:right="331" w:firstLine="482"/>
        <w:jc w:val="both"/>
      </w:pPr>
      <w:r>
        <w:rPr>
          <w:rFonts w:ascii="Times New Roman" w:hAnsi="Times New Roman" w:cs="Times New Roman" w:eastAsia="Times New Roman" w:hint="default"/>
        </w:rPr>
        <w:t>2012</w:t>
      </w:r>
      <w:r>
        <w:rPr/>
        <w:t>年度，独立董事对公司进行了多次现场考察，了解公司的生产经营情况、内部控制 和财务状况；与公司其他董事、高管人员及相关工作人员保持密切联系，及时获悉公司各重 大事项的进展情况，时刻关注外部环境及市场变化对公司的影响，积极对公司经营管理提出 建议。</w:t>
      </w:r>
    </w:p>
    <w:p>
      <w:pPr>
        <w:pStyle w:val="Heading3"/>
        <w:spacing w:line="240" w:lineRule="auto" w:before="190"/>
        <w:ind w:right="279"/>
        <w:jc w:val="left"/>
        <w:rPr>
          <w:b w:val="0"/>
          <w:bCs w:val="0"/>
        </w:rPr>
      </w:pPr>
      <w:r>
        <w:rPr/>
        <w:t>四、董事会下设专门委员会在报告期内履行职责情况</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55" w:lineRule="auto" w:before="0"/>
        <w:ind w:left="595" w:right="0"/>
        <w:jc w:val="left"/>
      </w:pPr>
      <w:r>
        <w:rPr>
          <w:spacing w:val="-3"/>
        </w:rPr>
        <w:t>根据相关规定，公司第二届董事会下设战略、提名、审计、薪酬与考核四个专门委员会：</w:t>
      </w:r>
      <w:r>
        <w:rPr>
          <w:spacing w:val="-89"/>
        </w:rPr>
        <w:t> </w:t>
      </w:r>
      <w:r>
        <w:rPr>
          <w:spacing w:val="-89"/>
        </w:rPr>
      </w:r>
      <w:r>
        <w:rPr/>
        <w:t>陆国华、蔡家楣和乔文东为董事会审计委员会委员，主任委员由陆国华担任； 蔡家楣、魏光耀和徐智勇为董事会薪酬与考核委员会委员，主任委员由蔡家楣担任； 徐智勇、滕学军和高雁峰为董事会战略委员会委员，主任委员由徐智勇担任； 魏光耀、陆国华和徐智勇为董事会提名委员会委员，主任委员由魏光耀担任。 </w:t>
      </w:r>
      <w:r>
        <w:rPr>
          <w:rFonts w:ascii="Times New Roman" w:hAnsi="Times New Roman" w:cs="Times New Roman" w:eastAsia="Times New Roman" w:hint="default"/>
        </w:rPr>
        <w:t>1</w:t>
      </w:r>
      <w:r>
        <w:rPr/>
        <w:t>、战略委员会履职情况 报告期内，战略委员会召开了相关会议，对公司所处行业进行了深入分析研究，为公司</w:t>
      </w:r>
    </w:p>
    <w:p>
      <w:pPr>
        <w:pStyle w:val="BodyText"/>
        <w:spacing w:line="240" w:lineRule="auto" w:before="38"/>
        <w:ind w:left="112" w:right="279"/>
        <w:jc w:val="left"/>
      </w:pPr>
      <w:r>
        <w:rPr/>
        <w:t>发展战略的实施提出了合理建议。</w:t>
      </w:r>
    </w:p>
    <w:p>
      <w:pPr>
        <w:pStyle w:val="BodyText"/>
        <w:spacing w:line="338" w:lineRule="auto" w:before="154"/>
        <w:ind w:left="595" w:right="311"/>
        <w:jc w:val="left"/>
      </w:pPr>
      <w:r>
        <w:rPr>
          <w:rFonts w:ascii="Times New Roman" w:hAnsi="Times New Roman" w:cs="Times New Roman" w:eastAsia="Times New Roman" w:hint="default"/>
        </w:rPr>
        <w:t>2</w:t>
      </w:r>
      <w:r>
        <w:rPr/>
        <w:t>、审计委员会履职情况 报告期内，公司董事会审计委员会能够按照《公司章程》、《董事会审计委员会工作制</w:t>
      </w:r>
    </w:p>
    <w:p>
      <w:pPr>
        <w:pStyle w:val="BodyText"/>
        <w:spacing w:line="338" w:lineRule="auto" w:before="55"/>
        <w:ind w:left="595" w:right="3914" w:hanging="483"/>
        <w:jc w:val="left"/>
      </w:pPr>
      <w:r>
        <w:rPr/>
        <w:t>度》等相关规定规范运作，</w:t>
      </w:r>
      <w:r>
        <w:rPr>
          <w:rFonts w:ascii="Times New Roman" w:hAnsi="Times New Roman" w:cs="Times New Roman" w:eastAsia="Times New Roman" w:hint="default"/>
        </w:rPr>
        <w:t>2012</w:t>
      </w:r>
      <w:r>
        <w:rPr/>
        <w:t>年度主要工作内容包括： </w:t>
      </w:r>
      <w:r>
        <w:rPr>
          <w:rFonts w:ascii="Times New Roman" w:hAnsi="Times New Roman" w:cs="Times New Roman" w:eastAsia="Times New Roman" w:hint="default"/>
        </w:rPr>
        <w:t>(1)</w:t>
      </w:r>
      <w:r>
        <w:rPr/>
        <w:t>审议公司</w:t>
      </w:r>
      <w:r>
        <w:rPr>
          <w:rFonts w:ascii="Times New Roman" w:hAnsi="Times New Roman" w:cs="Times New Roman" w:eastAsia="Times New Roman" w:hint="default"/>
        </w:rPr>
        <w:t>2011</w:t>
      </w:r>
      <w:r>
        <w:rPr/>
        <w:t>年年度报告； </w:t>
      </w:r>
      <w:r>
        <w:rPr>
          <w:rFonts w:ascii="Times New Roman" w:hAnsi="Times New Roman" w:cs="Times New Roman" w:eastAsia="Times New Roman" w:hint="default"/>
        </w:rPr>
        <w:t>(2)</w:t>
      </w:r>
      <w:r>
        <w:rPr/>
        <w:t>审议公司</w:t>
      </w:r>
      <w:r>
        <w:rPr>
          <w:rFonts w:ascii="Times New Roman" w:hAnsi="Times New Roman" w:cs="Times New Roman" w:eastAsia="Times New Roman" w:hint="default"/>
        </w:rPr>
        <w:t>2012</w:t>
      </w:r>
      <w:r>
        <w:rPr/>
        <w:t>年季度报告；</w:t>
      </w:r>
    </w:p>
    <w:p>
      <w:pPr>
        <w:pStyle w:val="BodyText"/>
        <w:spacing w:line="338" w:lineRule="auto" w:before="27"/>
        <w:ind w:left="595" w:right="311"/>
        <w:jc w:val="left"/>
      </w:pPr>
      <w:r>
        <w:rPr>
          <w:rFonts w:ascii="Times New Roman" w:hAnsi="Times New Roman" w:cs="Times New Roman" w:eastAsia="Times New Roman" w:hint="default"/>
        </w:rPr>
        <w:t>(3)</w:t>
      </w:r>
      <w:r>
        <w:rPr/>
        <w:t>建议续聘天健会计师事务所有限公司为公司</w:t>
      </w:r>
      <w:r>
        <w:rPr>
          <w:rFonts w:ascii="Times New Roman" w:hAnsi="Times New Roman" w:cs="Times New Roman" w:eastAsia="Times New Roman" w:hint="default"/>
        </w:rPr>
        <w:t>2012</w:t>
      </w:r>
      <w:r>
        <w:rPr/>
        <w:t>年审计机构；</w:t>
      </w:r>
      <w:r>
        <w:rPr>
          <w:w w:val="99"/>
        </w:rPr>
        <w:t> </w:t>
      </w:r>
      <w:r>
        <w:rPr>
          <w:rFonts w:ascii="Times New Roman" w:hAnsi="Times New Roman" w:cs="Times New Roman" w:eastAsia="Times New Roman" w:hint="default"/>
        </w:rPr>
        <w:t>(4)</w:t>
      </w:r>
      <w:r>
        <w:rPr/>
        <w:t>召开</w:t>
      </w:r>
      <w:r>
        <w:rPr>
          <w:rFonts w:ascii="Times New Roman" w:hAnsi="Times New Roman" w:cs="Times New Roman" w:eastAsia="Times New Roman" w:hint="default"/>
        </w:rPr>
        <w:t>2012</w:t>
      </w:r>
      <w:r>
        <w:rPr/>
        <w:t>年年报审计工作会议</w:t>
      </w:r>
      <w:r>
        <w:rPr>
          <w:w w:val="99"/>
        </w:rPr>
        <w:t> </w:t>
      </w:r>
      <w:r>
        <w:rPr/>
        <w:t>在</w:t>
      </w:r>
      <w:r>
        <w:rPr>
          <w:rFonts w:ascii="Times New Roman" w:hAnsi="Times New Roman" w:cs="Times New Roman" w:eastAsia="Times New Roman" w:hint="default"/>
        </w:rPr>
        <w:t>2012</w:t>
      </w:r>
      <w:r>
        <w:rPr/>
        <w:t>年年报审计工作会议中，审计委员会与审计机构协商确定年度财务报告审计工作</w:t>
      </w:r>
    </w:p>
    <w:p>
      <w:pPr>
        <w:pStyle w:val="BodyText"/>
        <w:spacing w:line="357" w:lineRule="auto" w:before="27"/>
        <w:ind w:left="112" w:right="331"/>
        <w:jc w:val="both"/>
      </w:pPr>
      <w:r>
        <w:rPr/>
        <w:pict>
          <v:group style="position:absolute;margin-left:547.559998pt;margin-top:95.885605pt;width:.1pt;height:10.35pt;mso-position-horizontal-relative:page;mso-position-vertical-relative:paragraph;z-index:2488" coordorigin="10951,1918" coordsize="2,207">
            <v:shape style="position:absolute;left:10951;top:1918;width:2;height:207" coordorigin="10951,1918" coordsize="0,207" path="m10951,1918l10951,2124e" filled="false" stroked="true" strokeweight=".12pt" strokecolor="#000000">
              <v:path arrowok="t"/>
            </v:shape>
            <w10:wrap type="none"/>
          </v:group>
        </w:pict>
      </w:r>
      <w:r>
        <w:rPr/>
        <w:t>时间安排，对公司财务报表进行审阅并形成书面意见；督促审计工作进展，保持与审计会计 师的联系和沟通，就审计过程中发现的问题及时交换意见，确保审计的独立性和审计工作的 如期完成。同时，对审计机构的年报审计工作进行总结和评价，并建议续聘，形成决议提交</w:t>
      </w:r>
    </w:p>
    <w:p>
      <w:pPr>
        <w:spacing w:after="0" w:line="357" w:lineRule="auto"/>
        <w:jc w:val="both"/>
        <w:sectPr>
          <w:pgSz w:w="11910" w:h="16840"/>
          <w:pgMar w:header="745" w:footer="979" w:top="1060" w:bottom="1160" w:left="1020" w:right="840"/>
        </w:sectPr>
      </w:pPr>
    </w:p>
    <w:p>
      <w:pPr>
        <w:spacing w:line="240" w:lineRule="auto" w:before="6"/>
        <w:rPr>
          <w:rFonts w:ascii="宋体" w:hAnsi="宋体" w:cs="宋体" w:eastAsia="宋体" w:hint="default"/>
          <w:sz w:val="29"/>
          <w:szCs w:val="29"/>
        </w:rPr>
      </w:pPr>
    </w:p>
    <w:p>
      <w:pPr>
        <w:pStyle w:val="BodyText"/>
        <w:spacing w:line="240" w:lineRule="auto" w:before="26"/>
        <w:ind w:right="279"/>
        <w:jc w:val="left"/>
      </w:pPr>
      <w:bookmarkStart w:name="五、监事会工作情况" w:id="83"/>
      <w:bookmarkEnd w:id="83"/>
      <w:r>
        <w:rPr/>
      </w:r>
      <w:bookmarkStart w:name="六、公司相对于控股股东在业务、人员、资产、机构、财务等方面的独立完整情况" w:id="84"/>
      <w:bookmarkEnd w:id="84"/>
      <w:r>
        <w:rPr/>
      </w:r>
      <w:r>
        <w:rPr/>
        <w:t>董事会。</w:t>
      </w:r>
    </w:p>
    <w:p>
      <w:pPr>
        <w:pStyle w:val="BodyText"/>
        <w:spacing w:line="338" w:lineRule="auto" w:before="154"/>
        <w:ind w:left="775" w:right="131"/>
        <w:jc w:val="left"/>
      </w:pPr>
      <w:r>
        <w:rPr>
          <w:rFonts w:ascii="Times New Roman" w:hAnsi="Times New Roman" w:cs="Times New Roman" w:eastAsia="Times New Roman" w:hint="default"/>
        </w:rPr>
        <w:t>3</w:t>
      </w:r>
      <w:r>
        <w:rPr/>
        <w:t>、提名委员会履职情况 报告期内，董事会提名委员会一直努力为公司搜寻合格的董事及高级管理人员人选，并</w:t>
      </w:r>
    </w:p>
    <w:p>
      <w:pPr>
        <w:pStyle w:val="BodyText"/>
        <w:spacing w:line="240" w:lineRule="auto" w:before="55"/>
        <w:ind w:right="279"/>
        <w:jc w:val="left"/>
      </w:pPr>
      <w:r>
        <w:rPr/>
        <w:t>审议通过了公司聘任总经理等高级管理人员的议案。</w:t>
      </w:r>
    </w:p>
    <w:p>
      <w:pPr>
        <w:pStyle w:val="BodyText"/>
        <w:spacing w:line="338" w:lineRule="auto" w:before="154"/>
        <w:ind w:left="775" w:right="131"/>
        <w:jc w:val="left"/>
      </w:pPr>
      <w:r>
        <w:rPr>
          <w:rFonts w:ascii="Times New Roman" w:hAnsi="Times New Roman" w:cs="Times New Roman" w:eastAsia="Times New Roman" w:hint="default"/>
        </w:rPr>
        <w:t>4</w:t>
      </w:r>
      <w:r>
        <w:rPr/>
        <w:t>、薪酬与考核委员会履职情况 报告期内，薪酬与考核委员会召开了年度考核会议，对公司薪资制度和年度业绩考核标</w:t>
      </w:r>
    </w:p>
    <w:p>
      <w:pPr>
        <w:pStyle w:val="BodyText"/>
        <w:spacing w:line="348" w:lineRule="auto" w:before="55"/>
        <w:ind w:right="136"/>
        <w:jc w:val="both"/>
      </w:pPr>
      <w:r>
        <w:rPr/>
        <w:t>准进行了审议与核查，认为：</w:t>
      </w:r>
      <w:r>
        <w:rPr>
          <w:rFonts w:ascii="Times New Roman" w:hAnsi="Times New Roman" w:cs="Times New Roman" w:eastAsia="Times New Roman" w:hint="default"/>
        </w:rPr>
        <w:t>2012</w:t>
      </w:r>
      <w:r>
        <w:rPr/>
        <w:t>年度，公司经营层带领全体员工，共同努力，取得了较好</w:t>
      </w:r>
      <w:r>
        <w:rPr>
          <w:spacing w:val="-106"/>
        </w:rPr>
        <w:t> </w:t>
      </w:r>
      <w:r>
        <w:rPr/>
        <w:t>的业绩，实现了公司的持续、稳定发展。公司为董事、独立董事、监事、高级管理人员所发 放的薪酬与津贴，符合公司发展实际，符合董事会和股东大会的决议内容。</w:t>
      </w:r>
    </w:p>
    <w:p>
      <w:pPr>
        <w:spacing w:line="240" w:lineRule="auto" w:before="0"/>
        <w:rPr>
          <w:rFonts w:ascii="宋体" w:hAnsi="宋体" w:cs="宋体" w:eastAsia="宋体" w:hint="default"/>
          <w:sz w:val="24"/>
          <w:szCs w:val="24"/>
        </w:rPr>
      </w:pPr>
    </w:p>
    <w:p>
      <w:pPr>
        <w:spacing w:line="441" w:lineRule="auto" w:before="190"/>
        <w:ind w:left="775" w:right="5171" w:hanging="483"/>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五、监事会工作情况 </w:t>
      </w:r>
      <w:r>
        <w:rPr>
          <w:rFonts w:ascii="宋体" w:hAnsi="宋体" w:cs="宋体" w:eastAsia="宋体" w:hint="default"/>
          <w:sz w:val="24"/>
          <w:szCs w:val="24"/>
        </w:rPr>
        <w:t>监事会对报告期内的监督事项无异议。</w:t>
      </w:r>
    </w:p>
    <w:p>
      <w:pPr>
        <w:spacing w:line="441" w:lineRule="auto" w:before="96"/>
        <w:ind w:left="955" w:right="191" w:hanging="663"/>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六、公司相对于控股股东在业务、人员、资产、机构、财务等方面的独立完整情况 </w:t>
      </w:r>
      <w:r>
        <w:rPr>
          <w:rFonts w:ascii="宋体" w:hAnsi="宋体" w:cs="宋体" w:eastAsia="宋体" w:hint="default"/>
          <w:sz w:val="24"/>
          <w:szCs w:val="24"/>
        </w:rPr>
        <w:t>公司在业务、人员、资产、机构、财务等方面与控股股东相互独立，公司具有独立完</w:t>
      </w:r>
    </w:p>
    <w:p>
      <w:pPr>
        <w:pStyle w:val="BodyText"/>
        <w:spacing w:line="266" w:lineRule="exact" w:before="0"/>
        <w:ind w:right="279"/>
        <w:jc w:val="left"/>
      </w:pPr>
      <w:r>
        <w:rPr/>
        <w:t>整的业务及自主经营能力。</w:t>
      </w:r>
    </w:p>
    <w:p>
      <w:pPr>
        <w:pStyle w:val="BodyText"/>
        <w:spacing w:line="338" w:lineRule="auto" w:before="194"/>
        <w:ind w:right="112" w:firstLine="482"/>
        <w:jc w:val="both"/>
      </w:pPr>
      <w:r>
        <w:rPr>
          <w:rFonts w:ascii="Times New Roman" w:hAnsi="Times New Roman" w:cs="Times New Roman" w:eastAsia="Times New Roman" w:hint="default"/>
          <w:spacing w:val="-3"/>
        </w:rPr>
        <w:t>1</w:t>
      </w:r>
      <w:r>
        <w:rPr>
          <w:spacing w:val="-3"/>
        </w:rPr>
        <w:t>、业务：公司业务独立于控股股东及其下属企业，拥有独立完整的供应、生产和销售系</w:t>
      </w:r>
      <w:r>
        <w:rPr/>
        <w:t> 统，独立开展业务，不依赖于股东或其它任何关联方。</w:t>
      </w:r>
    </w:p>
    <w:p>
      <w:pPr>
        <w:pStyle w:val="BodyText"/>
        <w:spacing w:line="348" w:lineRule="auto" w:before="96"/>
        <w:ind w:right="112" w:firstLine="482"/>
        <w:jc w:val="both"/>
      </w:pPr>
      <w:r>
        <w:rPr>
          <w:rFonts w:ascii="Times New Roman" w:hAnsi="Times New Roman" w:cs="Times New Roman" w:eastAsia="Times New Roman" w:hint="default"/>
          <w:spacing w:val="-6"/>
          <w:w w:val="95"/>
        </w:rPr>
        <w:t>2</w:t>
      </w:r>
      <w:r>
        <w:rPr>
          <w:spacing w:val="-6"/>
          <w:w w:val="95"/>
        </w:rPr>
        <w:t>、人员：公司人员、劳动、人事及工资完全独立。公司总经理、副总经理、董事会秘书、</w:t>
      </w:r>
      <w:r>
        <w:rPr>
          <w:w w:val="50"/>
        </w:rPr>
        <w:t> </w:t>
      </w:r>
      <w:r>
        <w:rPr/>
        <w:t>财务负责人等高级管理人员均在公司工作并领取薪酬，未在控股股东及其下属企业担任职务</w:t>
      </w:r>
      <w:r>
        <w:rPr/>
        <w:t> 和领取报酬。</w:t>
      </w:r>
    </w:p>
    <w:p>
      <w:pPr>
        <w:pStyle w:val="BodyText"/>
        <w:spacing w:line="348" w:lineRule="auto" w:before="84"/>
        <w:ind w:right="112" w:firstLine="482"/>
        <w:jc w:val="both"/>
      </w:pPr>
      <w:r>
        <w:rPr>
          <w:rFonts w:ascii="Times New Roman" w:hAnsi="Times New Roman" w:cs="Times New Roman" w:eastAsia="Times New Roman" w:hint="default"/>
          <w:spacing w:val="-3"/>
        </w:rPr>
        <w:t>3</w:t>
      </w:r>
      <w:r>
        <w:rPr>
          <w:spacing w:val="-3"/>
        </w:rPr>
        <w:t>、资产：公司拥有独立于控股股东的生产经营场所，拥有独立完整的资产结构，拥有独</w:t>
      </w:r>
      <w:r>
        <w:rPr/>
        <w:t> 立的生产系统、辅助生产系统和配套设施、土地使用权、房屋所有权等资产，拥有独立的采 购和销售系统。</w:t>
      </w:r>
    </w:p>
    <w:p>
      <w:pPr>
        <w:pStyle w:val="BodyText"/>
        <w:spacing w:line="338" w:lineRule="auto" w:before="86"/>
        <w:ind w:right="112" w:firstLine="482"/>
        <w:jc w:val="both"/>
      </w:pPr>
      <w:r>
        <w:rPr>
          <w:rFonts w:ascii="Times New Roman" w:hAnsi="Times New Roman" w:cs="Times New Roman" w:eastAsia="Times New Roman" w:hint="default"/>
          <w:spacing w:val="-3"/>
        </w:rPr>
        <w:t>4</w:t>
      </w:r>
      <w:r>
        <w:rPr>
          <w:spacing w:val="-3"/>
        </w:rPr>
        <w:t>、机构：公司设立了健全的组织机构体系，独立运作，不存在与控股股东或其职能部门</w:t>
      </w:r>
      <w:r>
        <w:rPr/>
        <w:t> 之间的从属关系。</w:t>
      </w:r>
    </w:p>
    <w:p>
      <w:pPr>
        <w:pStyle w:val="BodyText"/>
        <w:spacing w:line="336" w:lineRule="auto" w:before="96"/>
        <w:ind w:right="112" w:firstLine="482"/>
        <w:jc w:val="both"/>
      </w:pPr>
      <w:r>
        <w:rPr/>
        <w:pict>
          <v:group style="position:absolute;margin-left:47.639999pt;margin-top:80.975609pt;width:.1pt;height:10.35pt;mso-position-horizontal-relative:page;mso-position-vertical-relative:paragraph;z-index:2512" coordorigin="953,1620" coordsize="2,207">
            <v:shape style="position:absolute;left:953;top:1620;width:2;height:207" coordorigin="953,1620" coordsize="0,207" path="m953,1620l953,1826e" filled="false" stroked="true" strokeweight=".12pt" strokecolor="#000000">
              <v:path arrowok="t"/>
            </v:shape>
            <w10:wrap type="none"/>
          </v:group>
        </w:pict>
      </w:r>
      <w:r>
        <w:rPr>
          <w:rFonts w:ascii="Times New Roman" w:hAnsi="Times New Roman" w:cs="Times New Roman" w:eastAsia="Times New Roman" w:hint="default"/>
          <w:spacing w:val="-3"/>
        </w:rPr>
        <w:t>5</w:t>
      </w:r>
      <w:r>
        <w:rPr>
          <w:spacing w:val="-3"/>
        </w:rPr>
        <w:t>、财务：公司有独立的财务会计部门，建立了独立的会计核算体系和财务管理制度，独</w:t>
      </w:r>
      <w:r>
        <w:rPr/>
        <w:t> 立进行财务决策。公司独立开设银行账户，独立纳税。</w:t>
      </w:r>
    </w:p>
    <w:p>
      <w:pPr>
        <w:spacing w:after="0" w:line="336" w:lineRule="auto"/>
        <w:jc w:val="both"/>
        <w:sectPr>
          <w:pgSz w:w="11910" w:h="16840"/>
          <w:pgMar w:header="745" w:footer="979" w:top="1060" w:bottom="1160" w:left="840" w:right="1020"/>
        </w:sectPr>
      </w:pPr>
    </w:p>
    <w:p>
      <w:pPr>
        <w:spacing w:line="240" w:lineRule="auto" w:before="8"/>
        <w:rPr>
          <w:rFonts w:ascii="宋体" w:hAnsi="宋体" w:cs="宋体" w:eastAsia="宋体" w:hint="default"/>
          <w:sz w:val="23"/>
          <w:szCs w:val="23"/>
        </w:rPr>
      </w:pPr>
      <w:r>
        <w:rPr/>
        <w:pict>
          <v:group style="position:absolute;margin-left:547.559998pt;margin-top:781.919983pt;width:.1pt;height:10.35pt;mso-position-horizontal-relative:page;mso-position-vertical-relative:page;z-index:2536" coordorigin="10951,15638" coordsize="2,207">
            <v:shape style="position:absolute;left:10951;top:15638;width:2;height:207" coordorigin="10951,15638" coordsize="0,207" path="m10951,15638l10951,15845e" filled="false" stroked="true" strokeweight=".12pt" strokecolor="#000000">
              <v:path arrowok="t"/>
            </v:shape>
            <w10:wrap type="none"/>
          </v:group>
        </w:pict>
      </w:r>
    </w:p>
    <w:p>
      <w:pPr>
        <w:pStyle w:val="Heading3"/>
        <w:spacing w:line="367" w:lineRule="exact"/>
        <w:ind w:right="279"/>
        <w:jc w:val="left"/>
        <w:rPr>
          <w:b w:val="0"/>
          <w:bCs w:val="0"/>
        </w:rPr>
      </w:pPr>
      <w:bookmarkStart w:name="七、同业竞争情况" w:id="85"/>
      <w:bookmarkEnd w:id="85"/>
      <w:r>
        <w:rPr>
          <w:b w:val="0"/>
          <w:bCs w:val="0"/>
        </w:rPr>
      </w:r>
      <w:bookmarkStart w:name="八、高级管理人员的考评及激励情况" w:id="86"/>
      <w:bookmarkEnd w:id="86"/>
      <w:r>
        <w:rPr>
          <w:b w:val="0"/>
          <w:bCs w:val="0"/>
        </w:rPr>
      </w:r>
      <w:r>
        <w:rPr/>
        <w:t>七、同业竞争情况</w:t>
      </w:r>
      <w:r>
        <w:rPr>
          <w:b w:val="0"/>
          <w:bCs w:val="0"/>
        </w:rPr>
      </w:r>
    </w:p>
    <w:p>
      <w:pPr>
        <w:spacing w:line="240" w:lineRule="auto" w:before="2"/>
        <w:rPr>
          <w:rFonts w:ascii="Microsoft JhengHei" w:hAnsi="Microsoft JhengHei" w:cs="Microsoft JhengHei" w:eastAsia="Microsoft JhengHei" w:hint="default"/>
          <w:b/>
          <w:bCs/>
          <w:sz w:val="20"/>
          <w:szCs w:val="20"/>
        </w:rPr>
      </w:pPr>
    </w:p>
    <w:p>
      <w:pPr>
        <w:spacing w:line="468" w:lineRule="auto" w:before="0"/>
        <w:ind w:left="112" w:right="6072" w:firstLine="482"/>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报告期内不存在同业竞争情况。 </w:t>
      </w:r>
      <w:r>
        <w:rPr>
          <w:rFonts w:ascii="Microsoft JhengHei" w:hAnsi="Microsoft JhengHei" w:cs="Microsoft JhengHei" w:eastAsia="Microsoft JhengHei" w:hint="default"/>
          <w:b/>
          <w:bCs/>
          <w:sz w:val="24"/>
          <w:szCs w:val="24"/>
        </w:rPr>
        <w:t>八、高级管理人员的考评及激励情况</w:t>
      </w:r>
      <w:r>
        <w:rPr>
          <w:rFonts w:ascii="Microsoft JhengHei" w:hAnsi="Microsoft JhengHei" w:cs="Microsoft JhengHei" w:eastAsia="Microsoft JhengHei" w:hint="default"/>
          <w:sz w:val="24"/>
          <w:szCs w:val="24"/>
        </w:rPr>
      </w:r>
    </w:p>
    <w:p>
      <w:pPr>
        <w:pStyle w:val="BodyText"/>
        <w:spacing w:line="357" w:lineRule="auto" w:before="46"/>
        <w:ind w:left="112" w:right="292" w:firstLine="542"/>
        <w:jc w:val="both"/>
      </w:pPr>
      <w:r>
        <w:rPr>
          <w:spacing w:val="-1"/>
        </w:rPr>
        <w:t>公司建立了完善的高级管理人员绩效考评体系和薪酬制度，高级管理人员的工作绩效与</w:t>
      </w:r>
      <w:r>
        <w:rPr/>
        <w:t> 其收入直接挂钩。董事会薪酬与考核委员会负责对高级管理人员的工作能力、履职情况、责 任目标完成情况等进行年终考评，制定薪酬方案报公司董事会审批。</w:t>
      </w:r>
    </w:p>
    <w:p>
      <w:pPr>
        <w:spacing w:after="0" w:line="357" w:lineRule="auto"/>
        <w:jc w:val="both"/>
        <w:sectPr>
          <w:pgSz w:w="11910" w:h="16840"/>
          <w:pgMar w:header="745" w:footer="979" w:top="1060" w:bottom="1160" w:left="1020" w:right="8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2"/>
        <w:spacing w:line="456" w:lineRule="exact"/>
        <w:ind w:left="2393" w:right="2213"/>
        <w:jc w:val="center"/>
        <w:rPr>
          <w:b w:val="0"/>
          <w:bCs w:val="0"/>
        </w:rPr>
      </w:pPr>
      <w:bookmarkStart w:name="第九节内部控制" w:id="87"/>
      <w:bookmarkEnd w:id="87"/>
      <w:r>
        <w:rPr>
          <w:b w:val="0"/>
          <w:bCs w:val="0"/>
        </w:rPr>
      </w:r>
      <w:bookmarkStart w:name="一、内部控制建设情况" w:id="88"/>
      <w:bookmarkEnd w:id="88"/>
      <w:r>
        <w:rPr>
          <w:b w:val="0"/>
          <w:bCs w:val="0"/>
        </w:rPr>
      </w:r>
      <w:bookmarkStart w:name="_bookmark8" w:id="89"/>
      <w:bookmarkEnd w:id="89"/>
      <w:r>
        <w:rPr>
          <w:b w:val="0"/>
          <w:bCs w:val="0"/>
        </w:rPr>
      </w:r>
      <w:r>
        <w:rPr/>
        <w:t>第九节 </w:t>
      </w:r>
      <w:r>
        <w:rPr>
          <w:spacing w:val="4"/>
        </w:rPr>
        <w:t> </w:t>
      </w:r>
      <w:r>
        <w:rPr/>
        <w:t>内部控制</w:t>
      </w:r>
      <w:r>
        <w:rPr>
          <w:b w:val="0"/>
          <w:bCs w:val="0"/>
        </w:rPr>
      </w:r>
    </w:p>
    <w:p>
      <w:pPr>
        <w:spacing w:line="240" w:lineRule="auto" w:before="10"/>
        <w:rPr>
          <w:rFonts w:ascii="Microsoft JhengHei" w:hAnsi="Microsoft JhengHei" w:cs="Microsoft JhengHei" w:eastAsia="Microsoft JhengHei" w:hint="default"/>
          <w:b/>
          <w:bCs/>
          <w:sz w:val="25"/>
          <w:szCs w:val="25"/>
        </w:rPr>
      </w:pPr>
    </w:p>
    <w:p>
      <w:pPr>
        <w:pStyle w:val="Heading3"/>
        <w:spacing w:line="367" w:lineRule="exact"/>
        <w:ind w:left="292" w:right="0"/>
        <w:jc w:val="both"/>
        <w:rPr>
          <w:b w:val="0"/>
          <w:bCs w:val="0"/>
        </w:rPr>
      </w:pPr>
      <w:r>
        <w:rPr/>
        <w:t>一、内部控制建设情况</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240" w:lineRule="auto" w:before="0"/>
        <w:ind w:left="775" w:right="0"/>
        <w:jc w:val="left"/>
      </w:pPr>
      <w:r>
        <w:rPr>
          <w:rFonts w:ascii="Times New Roman" w:hAnsi="Times New Roman" w:cs="Times New Roman" w:eastAsia="Times New Roman" w:hint="default"/>
        </w:rPr>
        <w:t>1</w:t>
      </w:r>
      <w:r>
        <w:rPr>
          <w:spacing w:val="-82"/>
        </w:rPr>
        <w:t>、</w:t>
      </w:r>
      <w:r>
        <w:rPr/>
        <w:t>管理控制</w:t>
      </w:r>
      <w:r>
        <w:rPr>
          <w:spacing w:val="-82"/>
        </w:rPr>
        <w:t>：</w:t>
      </w:r>
      <w:r>
        <w:rPr/>
        <w:t>公司有较为健全的法人治理结构和完善的管理制度</w:t>
      </w:r>
      <w:r>
        <w:rPr>
          <w:spacing w:val="-80"/>
        </w:rPr>
        <w:t>，</w:t>
      </w:r>
      <w:r>
        <w:rPr/>
        <w:t>主要包</w:t>
      </w:r>
      <w:r>
        <w:rPr>
          <w:spacing w:val="-80"/>
        </w:rPr>
        <w:t>括</w:t>
      </w:r>
      <w:r>
        <w:rPr>
          <w:spacing w:val="-3"/>
        </w:rPr>
        <w:t>《</w:t>
      </w:r>
      <w:r>
        <w:rPr/>
        <w:t>公司章程</w:t>
      </w:r>
      <w:r>
        <w:rPr>
          <w:spacing w:val="-120"/>
        </w:rPr>
        <w:t>》</w:t>
      </w:r>
      <w:r>
        <w:rPr>
          <w:w w:val="50"/>
        </w:rPr>
        <w:t>、</w:t>
      </w:r>
      <w:r>
        <w:rPr/>
      </w:r>
    </w:p>
    <w:p>
      <w:pPr>
        <w:pStyle w:val="BodyText"/>
        <w:spacing w:line="357" w:lineRule="auto" w:before="135"/>
        <w:ind w:right="112"/>
        <w:jc w:val="both"/>
      </w:pPr>
      <w:r>
        <w:rPr>
          <w:spacing w:val="-22"/>
        </w:rPr>
        <w:t>《股东大会议事规则》、《董事会议事规则》、《监事会议事规则》、《总经理工作细则》、《董事</w:t>
      </w:r>
      <w:r>
        <w:rPr>
          <w:spacing w:val="-111"/>
        </w:rPr>
        <w:t> </w:t>
      </w:r>
      <w:r>
        <w:rPr>
          <w:spacing w:val="-111"/>
        </w:rPr>
      </w:r>
      <w:r>
        <w:rPr>
          <w:spacing w:val="-17"/>
        </w:rPr>
        <w:t>会秘书工作制度》、《董事会战略委员会工作制度》、《董事会提名委员会工作制度》、《董事会</w:t>
      </w:r>
      <w:r>
        <w:rPr>
          <w:spacing w:val="-110"/>
        </w:rPr>
        <w:t> </w:t>
      </w:r>
      <w:r>
        <w:rPr>
          <w:spacing w:val="-110"/>
        </w:rPr>
      </w:r>
      <w:r>
        <w:rPr>
          <w:spacing w:val="-17"/>
        </w:rPr>
        <w:t>审计委员会工作制度》、《董事会薪酬与考核委员会工作制度》、《独立董事工作制度》、《内部</w:t>
      </w:r>
      <w:r>
        <w:rPr>
          <w:spacing w:val="-108"/>
        </w:rPr>
        <w:t> </w:t>
      </w:r>
      <w:r>
        <w:rPr>
          <w:spacing w:val="-108"/>
        </w:rPr>
      </w:r>
      <w:r>
        <w:rPr>
          <w:spacing w:val="-22"/>
        </w:rPr>
        <w:t>审计工作制度》、《关联交易决策制度》、《对外担保管理制度》、《募集资金管理办法》、《投资</w:t>
      </w:r>
      <w:r>
        <w:rPr>
          <w:spacing w:val="-111"/>
        </w:rPr>
        <w:t> </w:t>
      </w:r>
      <w:r>
        <w:rPr>
          <w:spacing w:val="-111"/>
        </w:rPr>
      </w:r>
      <w:r>
        <w:rPr>
          <w:spacing w:val="-22"/>
        </w:rPr>
        <w:t>者关系管理办法》、《对外投资管理办法》、《累积投票实施细则》、《信息披露管理办法》、《重</w:t>
      </w:r>
      <w:r>
        <w:rPr>
          <w:spacing w:val="-111"/>
        </w:rPr>
        <w:t> </w:t>
      </w:r>
      <w:r>
        <w:rPr>
          <w:spacing w:val="-111"/>
        </w:rPr>
      </w:r>
      <w:r>
        <w:rPr>
          <w:spacing w:val="-12"/>
        </w:rPr>
        <w:t>大信息内部报告制度》、《董事、监事和高级管理人员所持公司股份及其变动管理制度》、《内</w:t>
      </w:r>
      <w:r>
        <w:rPr>
          <w:spacing w:val="-94"/>
        </w:rPr>
        <w:t> </w:t>
      </w:r>
      <w:r>
        <w:rPr>
          <w:spacing w:val="-94"/>
        </w:rPr>
      </w:r>
      <w:r>
        <w:rPr>
          <w:spacing w:val="-16"/>
        </w:rPr>
        <w:t>幕信息知情人登记管理制度》、《审计委员会年报工作制度》、《子公司管理制度》、财务管理制</w:t>
      </w:r>
      <w:r>
        <w:rPr>
          <w:spacing w:val="-115"/>
        </w:rPr>
        <w:t> </w:t>
      </w:r>
      <w:r>
        <w:rPr>
          <w:spacing w:val="-115"/>
        </w:rPr>
      </w:r>
      <w:r>
        <w:rPr>
          <w:spacing w:val="-5"/>
        </w:rPr>
        <w:t>度、各体系管理制度等。公司也已建立了《年报信息披露重大差错责任追究制度》，报告期执</w:t>
      </w:r>
      <w:r>
        <w:rPr/>
        <w:t> 行情况良好，不存在发生重大会计差错更正、重大遗漏信息补充等情况。公司各项管理制度 建立之后均能得到有效地贯彻执行。</w:t>
      </w:r>
    </w:p>
    <w:p>
      <w:pPr>
        <w:pStyle w:val="BodyText"/>
        <w:spacing w:line="352" w:lineRule="auto" w:before="77"/>
        <w:ind w:right="110" w:firstLine="482"/>
        <w:jc w:val="both"/>
      </w:pPr>
      <w:r>
        <w:rPr>
          <w:rFonts w:ascii="Times New Roman" w:hAnsi="Times New Roman" w:cs="Times New Roman" w:eastAsia="Times New Roman" w:hint="default"/>
          <w:w w:val="95"/>
        </w:rPr>
        <w:t>2</w:t>
      </w:r>
      <w:r>
        <w:rPr>
          <w:w w:val="95"/>
        </w:rPr>
        <w:t>、经营控制：依据特殊的行业特点和实际情况，为规范经营管理，公司各研发、运营、</w:t>
      </w:r>
      <w:r>
        <w:rPr>
          <w:w w:val="66"/>
        </w:rPr>
        <w:t> </w:t>
      </w:r>
      <w:r>
        <w:rPr/>
        <w:t>销售部门都制订了详细的经营管理制度。在具体业务管理方面，公司也制订了一系列规范文</w:t>
      </w:r>
      <w:r>
        <w:rPr/>
        <w:t> 件，保证各项业务有章可循，规范操作。同时，公司还会不定期对各项制度、流程的执行情 况进行检查和评估，对公司正常经营和规范运作起到了较好的监督、控制作用。公司不断进 行营销创新、技术创新、管理创新，促进工作及生产效率全面提升，最大限度地降低了经营 风险。</w:t>
      </w:r>
    </w:p>
    <w:p>
      <w:pPr>
        <w:pStyle w:val="BodyText"/>
        <w:spacing w:line="355" w:lineRule="auto" w:before="82"/>
        <w:ind w:right="112" w:firstLine="482"/>
        <w:jc w:val="both"/>
      </w:pPr>
      <w:r>
        <w:rPr/>
        <w:pict>
          <v:group style="position:absolute;margin-left:47.639999pt;margin-top:210.475601pt;width:.1pt;height:10.35pt;mso-position-horizontal-relative:page;mso-position-vertical-relative:paragraph;z-index:2560" coordorigin="953,4210" coordsize="2,207">
            <v:shape style="position:absolute;left:953;top:4210;width:2;height:207" coordorigin="953,4210" coordsize="0,207" path="m953,4210l953,4416e" filled="false" stroked="true" strokeweight=".12pt" strokecolor="#000000">
              <v:path arrowok="t"/>
            </v:shape>
            <w10:wrap type="none"/>
          </v:group>
        </w:pict>
      </w:r>
      <w:r>
        <w:rPr>
          <w:rFonts w:ascii="Times New Roman" w:hAnsi="Times New Roman" w:cs="Times New Roman" w:eastAsia="Times New Roman" w:hint="default"/>
          <w:spacing w:val="-3"/>
        </w:rPr>
        <w:t>3</w:t>
      </w:r>
      <w:r>
        <w:rPr>
          <w:spacing w:val="-3"/>
        </w:rPr>
        <w:t>、财务控制：公司按照企业会计制度、会计法、税法、经济法等国家有关法律法规的规</w:t>
      </w:r>
      <w:r>
        <w:rPr/>
        <w:t> 定，建立了较为完善的财务管理制度、会计核算制度和内部控制体系；公司财务部在财务管 理和会计核算方面设有较为合理的岗位和职责权限，并配备相应的财务人员以保证财会工作 </w:t>
      </w:r>
      <w:r>
        <w:rPr>
          <w:spacing w:val="-3"/>
          <w:w w:val="95"/>
        </w:rPr>
        <w:t>的顺利进行。对货币资金、采购与付款、销售与收款、固定资产存货等建立了内部审批程序，</w:t>
      </w:r>
      <w:r>
        <w:rPr>
          <w:spacing w:val="75"/>
          <w:w w:val="95"/>
        </w:rPr>
        <w:t> </w:t>
      </w:r>
      <w:r>
        <w:rPr>
          <w:spacing w:val="75"/>
          <w:w w:val="95"/>
        </w:rPr>
      </w:r>
      <w:r>
        <w:rPr>
          <w:spacing w:val="-3"/>
          <w:w w:val="95"/>
        </w:rPr>
        <w:t>规定了相应的审批权限，并实施有效控制管理。会计系统能确认并记录所有真实交易，及时、</w:t>
      </w:r>
      <w:r>
        <w:rPr>
          <w:spacing w:val="76"/>
          <w:w w:val="95"/>
        </w:rPr>
        <w:t> </w:t>
      </w:r>
      <w:r>
        <w:rPr>
          <w:spacing w:val="76"/>
          <w:w w:val="95"/>
        </w:rPr>
      </w:r>
      <w:r>
        <w:rPr/>
        <w:t>充分描述交易，并在会计报表和附注中适当的进行表达和披露。通过严格的内部控制体系，</w:t>
      </w:r>
      <w:r>
        <w:rPr/>
        <w:t> 控制财务风险和成本费用，规范财务行为，实现公司资产效益的最大化。公司本年度财务报 告内部控制不存在重大缺陷。</w:t>
      </w:r>
    </w:p>
    <w:p>
      <w:pPr>
        <w:spacing w:after="0" w:line="355" w:lineRule="auto"/>
        <w:jc w:val="both"/>
        <w:sectPr>
          <w:pgSz w:w="11910" w:h="16840"/>
          <w:pgMar w:header="745" w:footer="979" w:top="1060" w:bottom="1160" w:left="840" w:right="1020"/>
        </w:sectPr>
      </w:pPr>
    </w:p>
    <w:p>
      <w:pPr>
        <w:spacing w:line="240" w:lineRule="auto" w:before="6"/>
        <w:rPr>
          <w:rFonts w:ascii="宋体" w:hAnsi="宋体" w:cs="宋体" w:eastAsia="宋体" w:hint="default"/>
          <w:sz w:val="29"/>
          <w:szCs w:val="29"/>
        </w:rPr>
      </w:pPr>
    </w:p>
    <w:p>
      <w:pPr>
        <w:pStyle w:val="BodyText"/>
        <w:spacing w:line="350" w:lineRule="auto" w:before="26"/>
        <w:ind w:left="112" w:right="292" w:firstLine="482"/>
        <w:jc w:val="both"/>
      </w:pPr>
      <w:bookmarkStart w:name="二、董事会关于内部控制责任的声明" w:id="90"/>
      <w:bookmarkEnd w:id="90"/>
      <w:r>
        <w:rPr/>
      </w:r>
      <w:bookmarkStart w:name="三、建立财务报告内部控制的依据" w:id="91"/>
      <w:bookmarkEnd w:id="91"/>
      <w:r>
        <w:rPr/>
      </w:r>
      <w:bookmarkStart w:name="四、内部控制自我评价报告" w:id="92"/>
      <w:bookmarkEnd w:id="92"/>
      <w:r>
        <w:rPr/>
      </w:r>
      <w:bookmarkStart w:name="五、内部控制审计报告" w:id="93"/>
      <w:bookmarkEnd w:id="93"/>
      <w:r>
        <w:rPr/>
      </w:r>
      <w:r>
        <w:rPr>
          <w:rFonts w:ascii="Times New Roman" w:hAnsi="Times New Roman" w:cs="Times New Roman" w:eastAsia="Times New Roman" w:hint="default"/>
          <w:spacing w:val="-3"/>
        </w:rPr>
        <w:t>4</w:t>
      </w:r>
      <w:r>
        <w:rPr>
          <w:spacing w:val="-3"/>
        </w:rPr>
        <w:t>、信息披露控制：公司已制订严格的《信息披露管理办法》以及《重大信息内部报告制</w:t>
      </w:r>
      <w:r>
        <w:rPr/>
        <w:t> </w:t>
      </w:r>
      <w:r>
        <w:rPr>
          <w:spacing w:val="-8"/>
          <w:w w:val="98"/>
        </w:rPr>
        <w:t>度》，在制度中规定了信息披露事务管理部门、责任人及义务人职责；信息披露的内容和标准；</w:t>
      </w:r>
      <w:r>
        <w:rPr>
          <w:spacing w:val="-107"/>
          <w:w w:val="98"/>
        </w:rPr>
        <w:t> </w:t>
      </w:r>
      <w:r>
        <w:rPr>
          <w:spacing w:val="-107"/>
          <w:w w:val="98"/>
        </w:rPr>
      </w:r>
      <w:r>
        <w:rPr/>
        <w:t>信息披露的报告、流转、审核、披露程序；信息披露相关文件、资料的档案管理；投资者关</w:t>
      </w:r>
      <w:r>
        <w:rPr/>
        <w:t> 系活动等等。报告期内，公司信息披露相关制度得到有效执行。</w:t>
      </w:r>
    </w:p>
    <w:p>
      <w:pPr>
        <w:pStyle w:val="Heading3"/>
        <w:spacing w:line="240" w:lineRule="auto" w:before="190"/>
        <w:ind w:right="279"/>
        <w:jc w:val="left"/>
        <w:rPr>
          <w:b w:val="0"/>
          <w:bCs w:val="0"/>
        </w:rPr>
      </w:pPr>
      <w:r>
        <w:rPr/>
        <w:t>二、董事会关于内部控制责任的声明</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48" w:lineRule="auto" w:before="0"/>
        <w:ind w:left="112" w:right="292" w:firstLine="482"/>
        <w:jc w:val="both"/>
      </w:pPr>
      <w:r>
        <w:rPr>
          <w:rFonts w:ascii="Times New Roman" w:hAnsi="Times New Roman" w:cs="Times New Roman" w:eastAsia="Times New Roman" w:hint="default"/>
          <w:spacing w:val="-3"/>
        </w:rPr>
        <w:t>1</w:t>
      </w:r>
      <w:r>
        <w:rPr>
          <w:spacing w:val="-3"/>
        </w:rPr>
        <w:t>、公司依据实际情况，建立了较为完善的法人治理结构，公司内部管理控制制度符合国</w:t>
      </w:r>
      <w:r>
        <w:rPr/>
        <w:t> 家法律法规要求，形成了较为科学的决策机制、执行机制和监督机制；公司股东大会、董事 会、监事会、经营层职责明确，运作规范。</w:t>
      </w:r>
    </w:p>
    <w:p>
      <w:pPr>
        <w:pStyle w:val="BodyText"/>
        <w:spacing w:line="348" w:lineRule="auto" w:before="84"/>
        <w:ind w:left="112" w:right="292" w:firstLine="482"/>
        <w:jc w:val="both"/>
      </w:pPr>
      <w:r>
        <w:rPr>
          <w:rFonts w:ascii="Times New Roman" w:hAnsi="Times New Roman" w:cs="Times New Roman" w:eastAsia="Times New Roman" w:hint="default"/>
          <w:spacing w:val="-3"/>
        </w:rPr>
        <w:t>2</w:t>
      </w:r>
      <w:r>
        <w:rPr>
          <w:spacing w:val="-3"/>
        </w:rPr>
        <w:t>、公司对控股子公司、关联交易、对外担保、募集资金使用、重大投资等方面的内部控</w:t>
      </w:r>
      <w:r>
        <w:rPr/>
        <w:t> 制取得了较好的成效，没有违反深交所《上市公司内部控制指引》及公司相关管理制度的情 形发生。</w:t>
      </w:r>
    </w:p>
    <w:p>
      <w:pPr>
        <w:pStyle w:val="BodyText"/>
        <w:spacing w:line="348" w:lineRule="auto" w:before="86"/>
        <w:ind w:left="112" w:right="292" w:firstLine="482"/>
        <w:jc w:val="both"/>
      </w:pPr>
      <w:r>
        <w:rPr>
          <w:rFonts w:ascii="Times New Roman" w:hAnsi="Times New Roman" w:cs="Times New Roman" w:eastAsia="Times New Roman" w:hint="default"/>
          <w:spacing w:val="-3"/>
        </w:rPr>
        <w:t>3</w:t>
      </w:r>
      <w:r>
        <w:rPr>
          <w:spacing w:val="-3"/>
        </w:rPr>
        <w:t>、在信息披露方面通过《信息披露管理办法》的制定，规范了信息披露工作，遵循了真</w:t>
      </w:r>
      <w:r>
        <w:rPr/>
        <w:t> 实、准确、完整、及时、公平的原则。公司已建立了较全面、规范的内部控制制度，确保了 公司经营活动的正常有序进行。</w:t>
      </w:r>
    </w:p>
    <w:p>
      <w:pPr>
        <w:spacing w:line="439" w:lineRule="auto" w:before="192"/>
        <w:ind w:left="595" w:right="279" w:hanging="483"/>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三、建立财务报告内部控制的依据 </w:t>
      </w:r>
      <w:r>
        <w:rPr>
          <w:rFonts w:ascii="宋体" w:hAnsi="宋体" w:cs="宋体" w:eastAsia="宋体" w:hint="default"/>
          <w:spacing w:val="-18"/>
          <w:sz w:val="24"/>
          <w:szCs w:val="24"/>
        </w:rPr>
        <w:t>公司依据《公司法》、《会计法》、《企业会计准则》、《企业内部控制基本规范》和《深圳</w:t>
      </w:r>
    </w:p>
    <w:p>
      <w:pPr>
        <w:pStyle w:val="BodyText"/>
        <w:spacing w:line="271" w:lineRule="exact" w:before="0"/>
        <w:ind w:left="112" w:right="279"/>
        <w:jc w:val="left"/>
      </w:pPr>
      <w:r>
        <w:rPr/>
        <w:t>证券交易所上市公司内部控制指引》等法规性文件的要求，建立了财务报告内部控制。报告</w:t>
      </w:r>
    </w:p>
    <w:p>
      <w:pPr>
        <w:spacing w:line="468" w:lineRule="auto" w:before="154"/>
        <w:ind w:left="112" w:right="4874"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期内，公司财务报告内部控制不存在重大缺陷。 </w:t>
      </w:r>
      <w:r>
        <w:rPr>
          <w:rFonts w:ascii="Microsoft JhengHei" w:hAnsi="Microsoft JhengHei" w:cs="Microsoft JhengHei" w:eastAsia="Microsoft JhengHei" w:hint="default"/>
          <w:b/>
          <w:bCs/>
          <w:sz w:val="24"/>
          <w:szCs w:val="24"/>
        </w:rPr>
        <w:t>四、内部控制自我评价报告</w:t>
      </w:r>
      <w:r>
        <w:rPr>
          <w:rFonts w:ascii="Microsoft JhengHei" w:hAnsi="Microsoft JhengHei" w:cs="Microsoft JhengHei" w:eastAsia="Microsoft JhengHei" w:hint="default"/>
          <w:sz w:val="24"/>
          <w:szCs w:val="24"/>
        </w:rPr>
      </w:r>
    </w:p>
    <w:tbl>
      <w:tblPr>
        <w:tblW w:w="0" w:type="auto"/>
        <w:jc w:val="left"/>
        <w:tblInd w:w="107" w:type="dxa"/>
        <w:tblLayout w:type="fixed"/>
        <w:tblCellMar>
          <w:top w:w="0" w:type="dxa"/>
          <w:left w:w="0" w:type="dxa"/>
          <w:bottom w:w="0" w:type="dxa"/>
          <w:right w:w="0" w:type="dxa"/>
        </w:tblCellMar>
        <w:tblLook w:val="01E0"/>
      </w:tblPr>
      <w:tblGrid>
        <w:gridCol w:w="2662"/>
        <w:gridCol w:w="6907"/>
      </w:tblGrid>
      <w:tr>
        <w:trPr>
          <w:trHeight w:val="403"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89" w:right="0"/>
              <w:jc w:val="left"/>
              <w:rPr>
                <w:rFonts w:ascii="宋体" w:hAnsi="宋体" w:cs="宋体" w:eastAsia="宋体" w:hint="default"/>
                <w:sz w:val="18"/>
                <w:szCs w:val="18"/>
              </w:rPr>
            </w:pPr>
            <w:r>
              <w:rPr>
                <w:rFonts w:ascii="宋体" w:hAnsi="宋体" w:cs="宋体" w:eastAsia="宋体" w:hint="default"/>
                <w:sz w:val="18"/>
                <w:szCs w:val="18"/>
              </w:rPr>
              <w:t>内部控制自我评价报告中报告期内发现的内部控制重大缺陷的具体情况</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107"/>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3"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107"/>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08"/>
              <w:jc w:val="left"/>
              <w:rPr>
                <w:rFonts w:ascii="宋体" w:hAnsi="宋体" w:cs="宋体" w:eastAsia="宋体" w:hint="default"/>
                <w:sz w:val="18"/>
                <w:szCs w:val="18"/>
              </w:rPr>
            </w:pPr>
            <w:r>
              <w:rPr>
                <w:rFonts w:ascii="宋体" w:hAnsi="宋体" w:cs="宋体" w:eastAsia="宋体" w:hint="default"/>
                <w:sz w:val="18"/>
                <w:szCs w:val="18"/>
              </w:rPr>
              <w:t>详见刊登在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日巨潮资讯网（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）上的《关于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 </w:t>
            </w:r>
            <w:r>
              <w:rPr>
                <w:rFonts w:ascii="宋体" w:hAnsi="宋体" w:cs="宋体" w:eastAsia="宋体" w:hint="default"/>
                <w:spacing w:val="-8"/>
                <w:sz w:val="18"/>
                <w:szCs w:val="18"/>
              </w:rPr>
              <w:t>内部控制自我评价报告》。</w:t>
            </w:r>
          </w:p>
        </w:tc>
      </w:tr>
    </w:tbl>
    <w:p>
      <w:pPr>
        <w:spacing w:line="240" w:lineRule="auto" w:before="0"/>
        <w:rPr>
          <w:rFonts w:ascii="Microsoft JhengHei" w:hAnsi="Microsoft JhengHei" w:cs="Microsoft JhengHei" w:eastAsia="Microsoft JhengHei" w:hint="default"/>
          <w:b/>
          <w:bCs/>
          <w:sz w:val="14"/>
          <w:szCs w:val="14"/>
        </w:rPr>
      </w:pPr>
    </w:p>
    <w:p>
      <w:pPr>
        <w:pStyle w:val="Heading3"/>
        <w:spacing w:line="367" w:lineRule="exact"/>
        <w:ind w:right="279"/>
        <w:jc w:val="left"/>
        <w:rPr>
          <w:b w:val="0"/>
          <w:bCs w:val="0"/>
        </w:rPr>
      </w:pPr>
      <w:r>
        <w:rPr/>
        <w:pict>
          <v:group style="position:absolute;margin-left:547.559998pt;margin-top:70.632484pt;width:.1pt;height:10.35pt;mso-position-horizontal-relative:page;mso-position-vertical-relative:paragraph;z-index:2608" coordorigin="10951,1413" coordsize="2,207">
            <v:shape style="position:absolute;left:10951;top:1413;width:2;height:207" coordorigin="10951,1413" coordsize="0,207" path="m10951,1413l10951,1619e" filled="false" stroked="true" strokeweight=".12pt" strokecolor="#000000">
              <v:path arrowok="t"/>
            </v:shape>
            <w10:wrap type="none"/>
          </v:group>
        </w:pict>
      </w:r>
      <w:r>
        <w:rPr/>
        <w:t>五、内部控制审计报告</w:t>
      </w:r>
      <w:r>
        <w:rPr>
          <w:b w:val="0"/>
          <w:bCs w:val="0"/>
        </w:rPr>
      </w:r>
    </w:p>
    <w:p>
      <w:pPr>
        <w:spacing w:line="240" w:lineRule="auto" w:before="0"/>
        <w:rPr>
          <w:rFonts w:ascii="Microsoft JhengHei" w:hAnsi="Microsoft JhengHei" w:cs="Microsoft JhengHei" w:eastAsia="Microsoft JhengHei" w:hint="default"/>
          <w:b/>
          <w:bCs/>
          <w:sz w:val="18"/>
          <w:szCs w:val="18"/>
        </w:rPr>
      </w:pPr>
    </w:p>
    <w:p>
      <w:pPr>
        <w:spacing w:line="403" w:lineRule="exact"/>
        <w:ind w:left="112"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7"/>
          <w:sz w:val="20"/>
          <w:szCs w:val="20"/>
        </w:rPr>
        <w:pict>
          <v:shape style="width:478.45pt;height:20.2pt;mso-position-horizontal-relative:char;mso-position-vertical-relative:line" type="#_x0000_t202" filled="true" fillcolor="#d3d3d3" stroked="true" strokeweight=".48pt" strokecolor="#000000">
            <w10:anchorlock/>
            <v:textbox inset="0,0,0,0">
              <w:txbxContent>
                <w:p>
                  <w:pPr>
                    <w:spacing w:before="51"/>
                    <w:ind w:left="0" w:right="0" w:firstLine="0"/>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xbxContent>
            </v:textbox>
            <v:fill type="solid"/>
          </v:shape>
        </w:pict>
      </w:r>
      <w:r>
        <w:rPr>
          <w:rFonts w:ascii="Microsoft JhengHei" w:hAnsi="Microsoft JhengHei" w:cs="Microsoft JhengHei" w:eastAsia="Microsoft JhengHei" w:hint="default"/>
          <w:position w:val="-7"/>
          <w:sz w:val="20"/>
          <w:szCs w:val="20"/>
        </w:rPr>
      </w:r>
    </w:p>
    <w:p>
      <w:pPr>
        <w:spacing w:after="0" w:line="403" w:lineRule="exact"/>
        <w:rPr>
          <w:rFonts w:ascii="Microsoft JhengHei" w:hAnsi="Microsoft JhengHei" w:cs="Microsoft JhengHei" w:eastAsia="Microsoft JhengHei" w:hint="default"/>
          <w:sz w:val="20"/>
          <w:szCs w:val="20"/>
        </w:rPr>
        <w:sectPr>
          <w:footerReference w:type="default" r:id="rId23"/>
          <w:pgSz w:w="11910" w:h="16840"/>
          <w:pgMar w:footer="979" w:header="745" w:top="1060" w:bottom="1160" w:left="1020" w:right="840"/>
          <w:pgNumType w:start="50"/>
        </w:sectPr>
      </w:pPr>
    </w:p>
    <w:p>
      <w:pPr>
        <w:spacing w:line="240" w:lineRule="auto" w:before="7"/>
        <w:rPr>
          <w:rFonts w:ascii="Microsoft JhengHei" w:hAnsi="Microsoft JhengHei" w:cs="Microsoft JhengHei" w:eastAsia="Microsoft JhengHei" w:hint="default"/>
          <w:b/>
          <w:bCs/>
          <w:sz w:val="21"/>
          <w:szCs w:val="21"/>
        </w:rPr>
      </w:pPr>
      <w:r>
        <w:rPr/>
        <w:pict>
          <v:group style="position:absolute;margin-left:47.639999pt;margin-top:781.919983pt;width:.1pt;height:10.35pt;mso-position-horizontal-relative:page;mso-position-vertical-relative:page;z-index:2632" coordorigin="953,15638" coordsize="2,207">
            <v:shape style="position:absolute;left:953;top:15638;width:2;height:207" coordorigin="953,15638" coordsize="0,207" path="m953,15638l953,15845e" filled="false" stroked="true" strokeweight=".12pt" strokecolor="#000000">
              <v:path arrowok="t"/>
            </v:shape>
            <w10:wrap type="none"/>
          </v:group>
        </w:pict>
      </w:r>
    </w:p>
    <w:tbl>
      <w:tblPr>
        <w:tblW w:w="0" w:type="auto"/>
        <w:jc w:val="left"/>
        <w:tblInd w:w="287" w:type="dxa"/>
        <w:tblLayout w:type="fixed"/>
        <w:tblCellMar>
          <w:top w:w="0" w:type="dxa"/>
          <w:left w:w="0" w:type="dxa"/>
          <w:bottom w:w="0" w:type="dxa"/>
          <w:right w:w="0" w:type="dxa"/>
        </w:tblCellMar>
        <w:tblLook w:val="01E0"/>
      </w:tblPr>
      <w:tblGrid>
        <w:gridCol w:w="2662"/>
        <w:gridCol w:w="6907"/>
      </w:tblGrid>
      <w:tr>
        <w:trPr>
          <w:trHeight w:val="713"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83"/>
              <w:jc w:val="left"/>
              <w:rPr>
                <w:rFonts w:ascii="宋体" w:hAnsi="宋体" w:cs="宋体" w:eastAsia="宋体" w:hint="default"/>
                <w:sz w:val="18"/>
                <w:szCs w:val="18"/>
              </w:rPr>
            </w:pPr>
            <w:bookmarkStart w:name="六、年度报告重大差错责任追究制度的建立与执行情况" w:id="94"/>
            <w:bookmarkEnd w:id="94"/>
            <w:r>
              <w:rPr/>
            </w:r>
            <w:r>
              <w:rPr>
                <w:rFonts w:ascii="宋体" w:hAnsi="宋体" w:cs="宋体" w:eastAsia="宋体" w:hint="default"/>
                <w:sz w:val="18"/>
                <w:szCs w:val="18"/>
              </w:rPr>
              <w:t>我们认为，新世纪公司按照深圳证券交易所《中小企业板上市公司规范运作指引》规定于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 方面保持了有效的财务报告内部控制。</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3"/>
              <w:jc w:val="center"/>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3"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83"/>
              <w:jc w:val="center"/>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详见刊登在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日巨潮资讯网（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）上的《内部控制的审计 </w:t>
            </w:r>
            <w:r>
              <w:rPr>
                <w:rFonts w:ascii="宋体" w:hAnsi="宋体" w:cs="宋体" w:eastAsia="宋体" w:hint="default"/>
                <w:spacing w:val="-23"/>
                <w:sz w:val="18"/>
                <w:szCs w:val="18"/>
              </w:rPr>
              <w:t>报告》。</w:t>
            </w:r>
          </w:p>
        </w:tc>
      </w:tr>
    </w:tbl>
    <w:p>
      <w:pPr>
        <w:spacing w:line="240" w:lineRule="auto" w:before="10"/>
        <w:rPr>
          <w:rFonts w:ascii="Microsoft JhengHei" w:hAnsi="Microsoft JhengHei" w:cs="Microsoft JhengHei" w:eastAsia="Microsoft JhengHei" w:hint="default"/>
          <w:b/>
          <w:bCs/>
          <w:sz w:val="13"/>
          <w:szCs w:val="13"/>
        </w:rPr>
      </w:pPr>
    </w:p>
    <w:p>
      <w:pPr>
        <w:pStyle w:val="Heading3"/>
        <w:spacing w:line="367" w:lineRule="exact"/>
        <w:ind w:left="292" w:right="279"/>
        <w:jc w:val="left"/>
        <w:rPr>
          <w:b w:val="0"/>
          <w:bCs w:val="0"/>
        </w:rPr>
      </w:pPr>
      <w:r>
        <w:rPr/>
        <w:t>六、年度报告重大差错责任追究制度的建立与执行情况</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48" w:lineRule="auto" w:before="0"/>
        <w:ind w:right="99" w:firstLine="482"/>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60"/>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60"/>
        </w:rPr>
        <w:t> </w:t>
      </w:r>
      <w:r>
        <w:rPr>
          <w:rFonts w:ascii="Times New Roman" w:hAnsi="Times New Roman" w:cs="Times New Roman" w:eastAsia="Times New Roman" w:hint="default"/>
        </w:rPr>
        <w:t>18 </w:t>
      </w:r>
      <w:r>
        <w:rPr/>
        <w:t>日，公司第二届董事会第二次会议审议通过了《年报信息披露重大差错 </w:t>
      </w:r>
      <w:r>
        <w:rPr>
          <w:spacing w:val="-5"/>
        </w:rPr>
        <w:t>责任追究制度》，截止本报告期，公司执行情况良好，不存在发生重大会计差错更正、重大遗</w:t>
      </w:r>
      <w:r>
        <w:rPr/>
        <w:t> 漏信息补充等情况。</w:t>
      </w:r>
    </w:p>
    <w:p>
      <w:pPr>
        <w:spacing w:after="0" w:line="348" w:lineRule="auto"/>
        <w:jc w:val="left"/>
        <w:sectPr>
          <w:pgSz w:w="11910" w:h="16840"/>
          <w:pgMar w:header="745" w:footer="979" w:top="1060" w:bottom="1160" w:left="84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2"/>
        <w:spacing w:line="456" w:lineRule="exact"/>
        <w:ind w:right="2213"/>
        <w:jc w:val="center"/>
        <w:rPr>
          <w:b w:val="0"/>
          <w:bCs w:val="0"/>
        </w:rPr>
      </w:pPr>
      <w:bookmarkStart w:name="第十节财务报告" w:id="95"/>
      <w:bookmarkEnd w:id="95"/>
      <w:r>
        <w:rPr>
          <w:b w:val="0"/>
          <w:bCs w:val="0"/>
        </w:rPr>
      </w:r>
      <w:bookmarkStart w:name="一、审计报告" w:id="96"/>
      <w:bookmarkEnd w:id="96"/>
      <w:r>
        <w:rPr>
          <w:b w:val="0"/>
          <w:bCs w:val="0"/>
        </w:rPr>
      </w:r>
      <w:bookmarkStart w:name="_bookmark9" w:id="97"/>
      <w:bookmarkEnd w:id="97"/>
      <w:r>
        <w:rPr>
          <w:b w:val="0"/>
          <w:bCs w:val="0"/>
        </w:rPr>
      </w:r>
      <w:r>
        <w:rPr/>
        <w:t>第十节 </w:t>
      </w:r>
      <w:r>
        <w:rPr>
          <w:spacing w:val="4"/>
        </w:rPr>
        <w:t> </w:t>
      </w:r>
      <w:r>
        <w:rPr/>
        <w:t>财务报告</w:t>
      </w:r>
      <w:r>
        <w:rPr>
          <w:b w:val="0"/>
          <w:bCs w:val="0"/>
        </w:rPr>
      </w:r>
    </w:p>
    <w:p>
      <w:pPr>
        <w:spacing w:line="240" w:lineRule="auto" w:before="10"/>
        <w:rPr>
          <w:rFonts w:ascii="Microsoft JhengHei" w:hAnsi="Microsoft JhengHei" w:cs="Microsoft JhengHei" w:eastAsia="Microsoft JhengHei" w:hint="default"/>
          <w:b/>
          <w:bCs/>
          <w:sz w:val="25"/>
          <w:szCs w:val="25"/>
        </w:rPr>
      </w:pPr>
    </w:p>
    <w:p>
      <w:pPr>
        <w:pStyle w:val="Heading3"/>
        <w:spacing w:line="367" w:lineRule="exact"/>
        <w:ind w:right="279"/>
        <w:jc w:val="left"/>
        <w:rPr>
          <w:b w:val="0"/>
          <w:bCs w:val="0"/>
        </w:rPr>
      </w:pPr>
      <w:r>
        <w:rPr/>
        <w:t>一、审计报告</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07"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2013</w:t>
            </w:r>
            <w:r>
              <w:rPr>
                <w:rFonts w:ascii="宋体" w:hAnsi="宋体" w:cs="宋体" w:eastAsia="宋体" w:hint="default"/>
                <w:sz w:val="18"/>
                <w:szCs w:val="18"/>
              </w:rPr>
              <w:t>〕</w:t>
            </w:r>
            <w:r>
              <w:rPr>
                <w:rFonts w:ascii="Times New Roman" w:hAnsi="Times New Roman" w:cs="Times New Roman" w:eastAsia="Times New Roman" w:hint="default"/>
                <w:sz w:val="18"/>
                <w:szCs w:val="18"/>
              </w:rPr>
              <w:t>2758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22"/>
          <w:szCs w:val="22"/>
        </w:rPr>
      </w:pPr>
    </w:p>
    <w:p>
      <w:pPr>
        <w:tabs>
          <w:tab w:pos="719" w:val="left" w:leader="none"/>
          <w:tab w:pos="1439" w:val="left" w:leader="none"/>
          <w:tab w:pos="2162" w:val="left" w:leader="none"/>
        </w:tabs>
        <w:spacing w:line="501" w:lineRule="exact" w:before="0"/>
        <w:ind w:left="0" w:right="177"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审</w:t>
        <w:tab/>
        <w:t>计</w:t>
        <w:tab/>
        <w:t>报</w:t>
        <w:tab/>
        <w:t>告</w:t>
      </w:r>
      <w:r>
        <w:rPr>
          <w:rFonts w:ascii="Microsoft JhengHei" w:hAnsi="Microsoft JhengHei" w:cs="Microsoft JhengHei" w:eastAsia="Microsoft JhengHei" w:hint="default"/>
          <w:sz w:val="36"/>
          <w:szCs w:val="36"/>
        </w:rPr>
      </w:r>
    </w:p>
    <w:p>
      <w:pPr>
        <w:spacing w:before="101"/>
        <w:ind w:left="2032" w:right="2213" w:firstLine="0"/>
        <w:jc w:val="center"/>
        <w:rPr>
          <w:rFonts w:ascii="宋体" w:hAnsi="宋体" w:cs="宋体" w:eastAsia="宋体"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2013</w:t>
      </w:r>
      <w:r>
        <w:rPr>
          <w:rFonts w:ascii="宋体" w:hAnsi="宋体" w:cs="宋体" w:eastAsia="宋体" w:hint="default"/>
          <w:sz w:val="18"/>
          <w:szCs w:val="18"/>
        </w:rPr>
        <w:t>〕</w:t>
      </w:r>
      <w:r>
        <w:rPr>
          <w:rFonts w:ascii="Times New Roman" w:hAnsi="Times New Roman" w:cs="Times New Roman" w:eastAsia="Times New Roman" w:hint="default"/>
          <w:sz w:val="18"/>
          <w:szCs w:val="18"/>
        </w:rPr>
        <w:t>2758</w:t>
      </w:r>
      <w:r>
        <w:rPr>
          <w:rFonts w:ascii="宋体" w:hAnsi="宋体" w:cs="宋体" w:eastAsia="宋体" w:hint="default"/>
          <w:sz w:val="18"/>
          <w:szCs w:val="18"/>
        </w:rPr>
        <w:t>号</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BodyText"/>
        <w:spacing w:line="357" w:lineRule="auto" w:before="0"/>
        <w:ind w:left="595" w:right="279" w:hanging="483"/>
        <w:jc w:val="left"/>
      </w:pPr>
      <w:r>
        <w:rPr/>
        <w:t>杭州新世纪信息技术股份有限公司全体股东： </w:t>
      </w:r>
      <w:r>
        <w:rPr>
          <w:spacing w:val="-3"/>
          <w:w w:val="95"/>
        </w:rPr>
        <w:t>我们审计了后附的杭州新世纪信息技术股份有限公司（以下简称新世纪公司）财务报表，</w:t>
      </w:r>
      <w:r>
        <w:rPr>
          <w:spacing w:val="-3"/>
        </w:rPr>
      </w:r>
    </w:p>
    <w:p>
      <w:pPr>
        <w:pStyle w:val="BodyText"/>
        <w:spacing w:line="338" w:lineRule="auto"/>
        <w:ind w:left="112" w:right="279"/>
        <w:jc w:val="left"/>
      </w:pPr>
      <w:r>
        <w:rPr/>
        <w:t>包括</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日的合并及母公司资产负债表，</w:t>
      </w:r>
      <w:r>
        <w:rPr>
          <w:rFonts w:ascii="Times New Roman" w:hAnsi="Times New Roman" w:cs="Times New Roman" w:eastAsia="Times New Roman" w:hint="default"/>
        </w:rPr>
        <w:t>2012</w:t>
      </w:r>
      <w:r>
        <w:rPr/>
        <w:t>年度的合并及母公司利润表、合并及</w:t>
      </w:r>
      <w:r>
        <w:rPr>
          <w:spacing w:val="-99"/>
        </w:rPr>
        <w:t> </w:t>
      </w:r>
      <w:r>
        <w:rPr/>
        <w:t>母公司现金流量表、合并及母公司所有者权益变动表，以及财务报表附注。</w:t>
      </w:r>
    </w:p>
    <w:p>
      <w:pPr>
        <w:pStyle w:val="Heading3"/>
        <w:spacing w:line="397" w:lineRule="exact"/>
        <w:ind w:left="595" w:right="279"/>
        <w:jc w:val="left"/>
        <w:rPr>
          <w:b w:val="0"/>
          <w:bCs w:val="0"/>
        </w:rPr>
      </w:pPr>
      <w:r>
        <w:rPr/>
        <w:t>一、管理层对财务报表的责任</w:t>
      </w:r>
      <w:r>
        <w:rPr>
          <w:b w:val="0"/>
          <w:bCs w:val="0"/>
        </w:rPr>
      </w:r>
    </w:p>
    <w:p>
      <w:pPr>
        <w:pStyle w:val="BodyText"/>
        <w:spacing w:line="338" w:lineRule="auto" w:before="126"/>
        <w:ind w:left="112" w:right="290" w:firstLine="482"/>
        <w:jc w:val="both"/>
      </w:pPr>
      <w:r>
        <w:rPr>
          <w:spacing w:val="-3"/>
        </w:rPr>
        <w:t>编制和公允列报财务报表是管理层的责任，这种责任包括：（</w:t>
      </w:r>
      <w:r>
        <w:rPr>
          <w:rFonts w:ascii="Times New Roman" w:hAnsi="Times New Roman" w:cs="Times New Roman" w:eastAsia="Times New Roman" w:hint="default"/>
          <w:spacing w:val="-3"/>
        </w:rPr>
        <w:t>1</w:t>
      </w:r>
      <w:r>
        <w:rPr>
          <w:spacing w:val="-3"/>
        </w:rPr>
        <w:t>）按照企业会计准则的规</w:t>
      </w:r>
      <w:r>
        <w:rPr/>
        <w:t> </w:t>
      </w:r>
      <w:r>
        <w:rPr>
          <w:spacing w:val="-3"/>
        </w:rPr>
        <w:t>定编制财务报表，并使其实现公允反映；（</w:t>
      </w:r>
      <w:r>
        <w:rPr>
          <w:rFonts w:ascii="Times New Roman" w:hAnsi="Times New Roman" w:cs="Times New Roman" w:eastAsia="Times New Roman" w:hint="default"/>
          <w:spacing w:val="-3"/>
        </w:rPr>
        <w:t>2</w:t>
      </w:r>
      <w:r>
        <w:rPr>
          <w:spacing w:val="-3"/>
        </w:rPr>
        <w:t>）设计、执行和维护必要的内部控制，以使财务</w:t>
      </w:r>
      <w:r>
        <w:rPr>
          <w:spacing w:val="-80"/>
        </w:rPr>
        <w:t> </w:t>
      </w:r>
      <w:r>
        <w:rPr>
          <w:spacing w:val="-80"/>
        </w:rPr>
      </w:r>
      <w:r>
        <w:rPr/>
        <w:t>报表不存在由于舞弊或错误导致的重大错报。</w:t>
      </w:r>
    </w:p>
    <w:p>
      <w:pPr>
        <w:pStyle w:val="Heading3"/>
        <w:spacing w:line="397" w:lineRule="exact"/>
        <w:ind w:left="595" w:right="279"/>
        <w:jc w:val="left"/>
        <w:rPr>
          <w:b w:val="0"/>
          <w:bCs w:val="0"/>
        </w:rPr>
      </w:pPr>
      <w:r>
        <w:rPr/>
        <w:t>二、注册会计师的责任</w:t>
      </w:r>
      <w:r>
        <w:rPr>
          <w:b w:val="0"/>
          <w:bCs w:val="0"/>
        </w:rPr>
      </w:r>
    </w:p>
    <w:p>
      <w:pPr>
        <w:pStyle w:val="BodyText"/>
        <w:spacing w:line="357" w:lineRule="auto" w:before="126"/>
        <w:ind w:left="112" w:right="328" w:firstLine="482"/>
        <w:jc w:val="both"/>
      </w:pPr>
      <w:r>
        <w:rPr/>
        <w:t>我们的责任是在执行审计工作的基础上对财务报表发表审计意见。我们按照中国注册会 计师审计准则的规定执行了审计工作。中国注册会计师审计准则要求我们遵守中国注册会计 师职业道德守则，计划和执行审计工作以对财务报表是否不存在重大错报获取合理保证。</w:t>
      </w:r>
    </w:p>
    <w:p>
      <w:pPr>
        <w:pStyle w:val="BodyText"/>
        <w:spacing w:line="357" w:lineRule="auto"/>
        <w:ind w:left="112" w:right="292" w:firstLine="482"/>
        <w:jc w:val="both"/>
      </w:pPr>
      <w:r>
        <w:rPr/>
        <w:t>审计工作涉及实施审计程序，以获取有关财务报表金额和披露的审计证据。选择的审计 </w:t>
      </w:r>
      <w:r>
        <w:rPr>
          <w:spacing w:val="-2"/>
          <w:w w:val="95"/>
        </w:rPr>
        <w:t>程序取决于注册会计师的判断，包括对由于舞弊或错误导致的财务报表重大错报风险的评估。</w:t>
      </w:r>
      <w:r>
        <w:rPr>
          <w:spacing w:val="30"/>
          <w:w w:val="95"/>
        </w:rPr>
        <w:t> </w:t>
      </w:r>
      <w:r>
        <w:rPr>
          <w:spacing w:val="30"/>
          <w:w w:val="95"/>
        </w:rPr>
      </w:r>
      <w:r>
        <w:rPr/>
        <w:t>在进行风险评估时，注册会计师考虑与财务报表编制和公允列报相关的内部控制，以设计恰</w:t>
      </w:r>
      <w:r>
        <w:rPr/>
        <w:t> 当的审计程序，但目的并非对内部控制的有效性发表意见。审计工作还包括评价管理层选用 会计政策的恰当性和作出会计估计的合理性，以及评价财务报表的总体列报。</w:t>
      </w:r>
    </w:p>
    <w:p>
      <w:pPr>
        <w:pStyle w:val="BodyText"/>
        <w:spacing w:line="240" w:lineRule="auto"/>
        <w:ind w:left="595" w:right="279"/>
        <w:jc w:val="left"/>
      </w:pPr>
      <w:r>
        <w:rPr/>
        <w:pict>
          <v:group style="position:absolute;margin-left:547.559998pt;margin-top:33.695606pt;width:.1pt;height:10.35pt;mso-position-horizontal-relative:page;mso-position-vertical-relative:paragraph;z-index:2656" coordorigin="10951,674" coordsize="2,207">
            <v:shape style="position:absolute;left:10951;top:674;width:2;height:207" coordorigin="10951,674" coordsize="0,207" path="m10951,674l10951,880e" filled="false" stroked="true" strokeweight=".12pt" strokecolor="#000000">
              <v:path arrowok="t"/>
            </v:shape>
            <w10:wrap type="none"/>
          </v:group>
        </w:pict>
      </w:r>
      <w:r>
        <w:rPr/>
        <w:t>我们相信，我们获取的审计证据是充分、适当的，为发表审计意见提供了基础。</w:t>
      </w:r>
    </w:p>
    <w:p>
      <w:pPr>
        <w:spacing w:after="0" w:line="240" w:lineRule="auto"/>
        <w:jc w:val="left"/>
        <w:sectPr>
          <w:pgSz w:w="11910" w:h="16840"/>
          <w:pgMar w:header="745" w:footer="979" w:top="1060" w:bottom="1160" w:left="1020" w:right="840"/>
        </w:sectPr>
      </w:pPr>
    </w:p>
    <w:p>
      <w:pPr>
        <w:spacing w:line="240" w:lineRule="auto" w:before="0"/>
        <w:rPr>
          <w:rFonts w:ascii="宋体" w:hAnsi="宋体" w:cs="宋体" w:eastAsia="宋体" w:hint="default"/>
          <w:sz w:val="20"/>
          <w:szCs w:val="20"/>
        </w:rPr>
      </w:pPr>
      <w:r>
        <w:rPr/>
        <w:pict>
          <v:group style="position:absolute;margin-left:47.639999pt;margin-top:781.919983pt;width:.1pt;height:10.35pt;mso-position-horizontal-relative:page;mso-position-vertical-relative:page;z-index:2680" coordorigin="953,15638" coordsize="2,207">
            <v:shape style="position:absolute;left:953;top:15638;width:2;height:207" coordorigin="953,15638" coordsize="0,207" path="m953,15638l953,15845e" filled="false" stroked="true" strokeweight=".12pt" strokecolor="#000000">
              <v:path arrowok="t"/>
            </v:shape>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Heading3"/>
        <w:spacing w:line="367" w:lineRule="exact"/>
        <w:ind w:left="775" w:right="279"/>
        <w:jc w:val="left"/>
        <w:rPr>
          <w:b w:val="0"/>
          <w:bCs w:val="0"/>
        </w:rPr>
      </w:pPr>
      <w:r>
        <w:rPr/>
        <w:t>三、审计意见</w:t>
      </w:r>
      <w:r>
        <w:rPr>
          <w:b w:val="0"/>
          <w:bCs w:val="0"/>
        </w:rPr>
      </w:r>
    </w:p>
    <w:p>
      <w:pPr>
        <w:pStyle w:val="BodyText"/>
        <w:spacing w:line="348" w:lineRule="auto" w:before="126"/>
        <w:ind w:right="122" w:firstLine="482"/>
        <w:jc w:val="both"/>
      </w:pPr>
      <w:r>
        <w:rPr/>
        <w:t>我们认为，新世纪公司财务报表在所有重大方面按照企业会计准则的规定编制，公允反 映了新世纪公司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2012</w:t>
      </w:r>
      <w:r>
        <w:rPr/>
        <w:t>年度的合并及母公司经营</w:t>
      </w:r>
      <w:r>
        <w:rPr>
          <w:spacing w:val="-94"/>
        </w:rPr>
        <w:t> </w:t>
      </w:r>
      <w:r>
        <w:rPr/>
        <w:t>成果和现金流量。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31"/>
          <w:szCs w:val="31"/>
        </w:rPr>
      </w:pPr>
    </w:p>
    <w:p>
      <w:pPr>
        <w:pStyle w:val="BodyText"/>
        <w:tabs>
          <w:tab w:pos="4915" w:val="left" w:leader="none"/>
          <w:tab w:pos="5035" w:val="left" w:leader="none"/>
        </w:tabs>
        <w:spacing w:line="715" w:lineRule="auto" w:before="0"/>
        <w:ind w:left="835" w:right="2368" w:hanging="60"/>
        <w:jc w:val="left"/>
      </w:pPr>
      <w:r>
        <w:rPr/>
        <w:t>天健会计师事务所（特殊普通合伙）</w:t>
        <w:tab/>
        <w:t>中国注册会计师：倪秀娟 </w:t>
      </w:r>
      <w:r>
        <w:rPr>
          <w:spacing w:val="-1"/>
        </w:rPr>
        <w:t>中国</w:t>
      </w:r>
      <w:r>
        <w:rPr>
          <w:rFonts w:ascii="Times New Roman" w:hAnsi="Times New Roman" w:cs="Times New Roman" w:eastAsia="Times New Roman" w:hint="default"/>
          <w:spacing w:val="-1"/>
        </w:rPr>
        <w:t>·</w:t>
      </w:r>
      <w:r>
        <w:rPr>
          <w:spacing w:val="-1"/>
        </w:rPr>
        <w:t>杭州</w:t>
        <w:tab/>
        <w:tab/>
      </w:r>
      <w:r>
        <w:rPr/>
        <w:t>中国注册会计师：闾利华</w:t>
      </w:r>
    </w:p>
    <w:p>
      <w:pPr>
        <w:pStyle w:val="BodyText"/>
        <w:spacing w:line="240" w:lineRule="auto" w:before="77"/>
        <w:ind w:left="4975" w:right="279"/>
        <w:jc w:val="left"/>
      </w:pPr>
      <w:r>
        <w:rPr/>
        <w:t>二〇一三年四月二十三日</w:t>
      </w:r>
    </w:p>
    <w:p>
      <w:pPr>
        <w:spacing w:after="0" w:line="240" w:lineRule="auto"/>
        <w:jc w:val="left"/>
        <w:sectPr>
          <w:pgSz w:w="11910" w:h="16840"/>
          <w:pgMar w:header="745" w:footer="979" w:top="1060" w:bottom="1160" w:left="840" w:right="1020"/>
        </w:sectPr>
      </w:pPr>
    </w:p>
    <w:p>
      <w:pPr>
        <w:spacing w:line="240" w:lineRule="auto" w:before="8"/>
        <w:rPr>
          <w:rFonts w:ascii="宋体" w:hAnsi="宋体" w:cs="宋体" w:eastAsia="宋体" w:hint="default"/>
          <w:sz w:val="23"/>
          <w:szCs w:val="23"/>
        </w:rPr>
      </w:pPr>
      <w:r>
        <w:rPr/>
        <w:pict>
          <v:group style="position:absolute;margin-left:547.559998pt;margin-top:781.919983pt;width:.1pt;height:10.35pt;mso-position-horizontal-relative:page;mso-position-vertical-relative:page;z-index:2704" coordorigin="10951,15638" coordsize="2,207">
            <v:shape style="position:absolute;left:10951;top:15638;width:2;height:207" coordorigin="10951,15638" coordsize="0,207" path="m10951,15638l10951,15845e" filled="false" stroked="true" strokeweight=".12pt" strokecolor="#000000">
              <v:path arrowok="t"/>
            </v:shape>
            <w10:wrap type="none"/>
          </v:group>
        </w:pict>
      </w:r>
    </w:p>
    <w:p>
      <w:pPr>
        <w:pStyle w:val="Heading3"/>
        <w:spacing w:line="367" w:lineRule="exact"/>
        <w:ind w:right="279"/>
        <w:jc w:val="left"/>
        <w:rPr>
          <w:b w:val="0"/>
          <w:bCs w:val="0"/>
        </w:rPr>
      </w:pPr>
      <w:bookmarkStart w:name="二、财务报表" w:id="98"/>
      <w:bookmarkEnd w:id="98"/>
      <w:r>
        <w:rPr>
          <w:b w:val="0"/>
          <w:bCs w:val="0"/>
        </w:rPr>
      </w:r>
      <w:bookmarkStart w:name="1、合并资产负债表" w:id="99"/>
      <w:bookmarkEnd w:id="99"/>
      <w:r>
        <w:rPr>
          <w:b w:val="0"/>
          <w:bCs w:val="0"/>
        </w:rPr>
      </w:r>
      <w:r>
        <w:rPr/>
        <w:t>二、财务报表</w:t>
      </w:r>
      <w:r>
        <w:rPr>
          <w:b w:val="0"/>
          <w:bCs w:val="0"/>
        </w:rPr>
      </w:r>
    </w:p>
    <w:p>
      <w:pPr>
        <w:spacing w:line="240" w:lineRule="auto" w:before="3"/>
        <w:rPr>
          <w:rFonts w:ascii="Microsoft JhengHei" w:hAnsi="Microsoft JhengHei" w:cs="Microsoft JhengHei" w:eastAsia="Microsoft JhengHei" w:hint="default"/>
          <w:b/>
          <w:bCs/>
          <w:sz w:val="13"/>
          <w:szCs w:val="13"/>
        </w:rPr>
      </w:pPr>
    </w:p>
    <w:p>
      <w:pPr>
        <w:spacing w:before="0"/>
        <w:ind w:left="119" w:right="27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、合并资产负债表</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29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3403"/>
        <w:gridCol w:w="3118"/>
        <w:gridCol w:w="3048"/>
      </w:tblGrid>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4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268,962,154.18</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307,274,742.41</w:t>
            </w: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4,317,988.00</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4,855,600.00</w:t>
            </w: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61,083,266.95</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47,676,201.79</w:t>
            </w: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4,211,982.30</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8,670,025.74</w:t>
            </w: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2,015,608.67</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2,366,588.36</w:t>
            </w: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10,207,404.03</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8,797,367.22</w:t>
            </w: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27,850,287.78</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16,012,595.36</w:t>
            </w: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2,616,671.62</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1,812,190.38</w:t>
            </w: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381,265,363.53</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397,465,311.26</w:t>
            </w: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4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27,316,526.21</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2,316,526.21</w:t>
            </w: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70,453,091.95</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75,123,504.73</w:t>
            </w: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1020" w:right="840"/>
        </w:sectPr>
      </w:pPr>
    </w:p>
    <w:p>
      <w:pPr>
        <w:spacing w:line="240" w:lineRule="auto" w:before="0"/>
        <w:rPr>
          <w:rFonts w:ascii="Times New Roman" w:hAnsi="Times New Roman" w:cs="Times New Roman" w:eastAsia="Times New Roman" w:hint="default"/>
          <w:sz w:val="20"/>
          <w:szCs w:val="20"/>
        </w:rPr>
      </w:pPr>
      <w:r>
        <w:rPr/>
        <w:pict>
          <v:group style="position:absolute;margin-left:47.639999pt;margin-top:781.919983pt;width:.1pt;height:10.35pt;mso-position-horizontal-relative:page;mso-position-vertical-relative:page;z-index:2728" coordorigin="953,15638" coordsize="2,207">
            <v:shape style="position:absolute;left:953;top:15638;width:2;height:207" coordorigin="953,15638" coordsize="0,207" path="m953,15638l953,15845e" filled="false" stroked="true" strokeweight=".12pt" strokecolor="#000000">
              <v:path arrowok="t"/>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287" w:type="dxa"/>
        <w:tblLayout w:type="fixed"/>
        <w:tblCellMar>
          <w:top w:w="0" w:type="dxa"/>
          <w:left w:w="0" w:type="dxa"/>
          <w:bottom w:w="0" w:type="dxa"/>
          <w:right w:w="0" w:type="dxa"/>
        </w:tblCellMar>
        <w:tblLook w:val="01E0"/>
      </w:tblPr>
      <w:tblGrid>
        <w:gridCol w:w="3403"/>
        <w:gridCol w:w="3118"/>
        <w:gridCol w:w="3048"/>
      </w:tblGrid>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47,482,046.07</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45,081,044.93</w:t>
            </w: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10,494,943.76</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7,137,653.99</w:t>
            </w: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19,167,521.72</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38,483,172.19</w:t>
            </w: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1,818,083.43</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1,959,649.90</w:t>
            </w: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1,711,048.84</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1,011,973.65</w:t>
            </w: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178,443,261.98</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171,113,525.60</w:t>
            </w: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559,708,625.51</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568,578,836.86</w:t>
            </w: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4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44,708,825.56</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26,031,196.12</w:t>
            </w: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5,926,599.18</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13,088,851.91</w:t>
            </w: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9,182,567.98</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9,957,797.91</w:t>
            </w: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8,802,590.86</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11,236,430.12</w:t>
            </w: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1,396,116.37</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1,309,426.35</w:t>
            </w: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228,132.99</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2,180,801.66</w:t>
            </w: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70,244,832.94</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63,804,504.07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840" w:right="1020"/>
        </w:sectPr>
      </w:pPr>
    </w:p>
    <w:p>
      <w:pPr>
        <w:spacing w:line="240" w:lineRule="auto" w:before="0"/>
        <w:rPr>
          <w:rFonts w:ascii="Times New Roman" w:hAnsi="Times New Roman" w:cs="Times New Roman" w:eastAsia="Times New Roman" w:hint="default"/>
          <w:sz w:val="20"/>
          <w:szCs w:val="20"/>
        </w:rPr>
      </w:pPr>
      <w:r>
        <w:rPr/>
        <w:pict>
          <v:group style="position:absolute;margin-left:547.559998pt;margin-top:781.919983pt;width:.1pt;height:10.35pt;mso-position-horizontal-relative:page;mso-position-vertical-relative:page;z-index:2752" coordorigin="10951,15638" coordsize="2,207">
            <v:shape style="position:absolute;left:10951;top:15638;width:2;height:207" coordorigin="10951,15638" coordsize="0,207" path="m10951,15638l10951,15845e" filled="false" stroked="true" strokeweight=".12pt" strokecolor="#000000">
              <v:path arrowok="t"/>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3403"/>
        <w:gridCol w:w="3118"/>
        <w:gridCol w:w="3048"/>
      </w:tblGrid>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bookmarkStart w:name="2、母公司资产负债表" w:id="100"/>
            <w:bookmarkEnd w:id="100"/>
            <w:r>
              <w:rPr/>
            </w:r>
            <w:r>
              <w:rPr>
                <w:rFonts w:ascii="宋体" w:hAnsi="宋体" w:cs="宋体" w:eastAsia="宋体" w:hint="default"/>
                <w:sz w:val="18"/>
                <w:szCs w:val="18"/>
              </w:rPr>
              <w:t>非流动负债：</w:t>
            </w:r>
          </w:p>
        </w:tc>
        <w:tc>
          <w:tcPr>
            <w:tcW w:w="31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4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11,567.00</w:t>
            </w: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9,821,850.08</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6,735,043.28</w:t>
            </w: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9,833,417.08</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6,735,043.28</w:t>
            </w: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80,078,250.02</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70,539,547.35</w:t>
            </w: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89"/>
                <w:sz w:val="18"/>
                <w:szCs w:val="18"/>
              </w:rPr>
              <w:t>）</w:t>
            </w:r>
            <w:r>
              <w:rPr>
                <w:rFonts w:ascii="宋体" w:hAnsi="宋体" w:cs="宋体" w:eastAsia="宋体" w:hint="default"/>
                <w:sz w:val="18"/>
                <w:szCs w:val="18"/>
              </w:rPr>
              <w:t>：</w:t>
            </w:r>
          </w:p>
        </w:tc>
        <w:tc>
          <w:tcPr>
            <w:tcW w:w="31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4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107,000,000.00</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107,000,000.00</w:t>
            </w: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241,833,479.75</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247,101,812.22</w:t>
            </w: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19,452,537.79</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16,403,869.49</w:t>
            </w: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111,344,357.95</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122,801,940.27</w:t>
            </w: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479,630,375.49</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493,307,621.98</w:t>
            </w: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4,731,667.53</w:t>
            </w: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479,630,375.49</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498,039,289.51</w:t>
            </w: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559,708,625.51</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568,578,836.86</w:t>
            </w:r>
          </w:p>
        </w:tc>
      </w:tr>
    </w:tbl>
    <w:p>
      <w:pPr>
        <w:spacing w:line="240" w:lineRule="auto" w:before="0"/>
        <w:rPr>
          <w:rFonts w:ascii="Times New Roman" w:hAnsi="Times New Roman" w:cs="Times New Roman" w:eastAsia="Times New Roman" w:hint="default"/>
          <w:sz w:val="22"/>
          <w:szCs w:val="22"/>
        </w:rPr>
      </w:pPr>
    </w:p>
    <w:p>
      <w:pPr>
        <w:spacing w:line="333" w:lineRule="exact" w:before="0"/>
        <w:ind w:left="119" w:right="27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、母公司资产负债表</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29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3403"/>
        <w:gridCol w:w="3118"/>
        <w:gridCol w:w="3048"/>
      </w:tblGrid>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4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206,743,876.41</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232,512,017.96</w:t>
            </w: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3,940,088.00</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4,855,600.00</w:t>
            </w: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48,198,923.28</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25,620,696.24</w:t>
            </w: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1,842,162.64</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6,828,127.28</w:t>
            </w: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1,758,841.55</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2,241,750.00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1020" w:right="840"/>
        </w:sectPr>
      </w:pPr>
    </w:p>
    <w:p>
      <w:pPr>
        <w:spacing w:line="240" w:lineRule="auto" w:before="0"/>
        <w:rPr>
          <w:rFonts w:ascii="Times New Roman" w:hAnsi="Times New Roman" w:cs="Times New Roman" w:eastAsia="Times New Roman" w:hint="default"/>
          <w:sz w:val="20"/>
          <w:szCs w:val="20"/>
        </w:rPr>
      </w:pPr>
      <w:r>
        <w:rPr/>
        <w:pict>
          <v:group style="position:absolute;margin-left:47.639999pt;margin-top:781.919983pt;width:.1pt;height:10.35pt;mso-position-horizontal-relative:page;mso-position-vertical-relative:page;z-index:2776" coordorigin="953,15638" coordsize="2,207">
            <v:shape style="position:absolute;left:953;top:15638;width:2;height:207" coordorigin="953,15638" coordsize="0,207" path="m953,15638l953,15845e" filled="false" stroked="true" strokeweight=".12pt" strokecolor="#000000">
              <v:path arrowok="t"/>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287" w:type="dxa"/>
        <w:tblLayout w:type="fixed"/>
        <w:tblCellMar>
          <w:top w:w="0" w:type="dxa"/>
          <w:left w:w="0" w:type="dxa"/>
          <w:bottom w:w="0" w:type="dxa"/>
          <w:right w:w="0" w:type="dxa"/>
        </w:tblCellMar>
        <w:tblLook w:val="01E0"/>
      </w:tblPr>
      <w:tblGrid>
        <w:gridCol w:w="3403"/>
        <w:gridCol w:w="3118"/>
        <w:gridCol w:w="3048"/>
      </w:tblGrid>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7,053,710.87</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4,736,719.71</w:t>
            </w: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14,756,955.48</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10,113,947.99</w:t>
            </w: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222,015.79</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81,964.31</w:t>
            </w: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284,516,574.02</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286,990,823.49</w:t>
            </w: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4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157,499,076.94</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133,516,985.22</w:t>
            </w: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51,487,805.62</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54,370,585.14</w:t>
            </w: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41,233,014.12</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37,548,557.70</w:t>
            </w: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10,494,943.76</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7,137,653.99</w:t>
            </w: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1,294,900.00</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1,322,500.00</w:t>
            </w: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978,667.29</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445,808.31</w:t>
            </w: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262,988,407.73</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234,342,090.36</w:t>
            </w: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547,504,981.75</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521,332,913.85</w:t>
            </w: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4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33,585,541.76</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20,796,743.32</w:t>
            </w: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5,280,931.74</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10,515,115.42</w:t>
            </w: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7,402,211.69</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7,071,075.36</w:t>
            </w: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8,633,279.61</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9,253,722.59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840" w:right="1020"/>
        </w:sectPr>
      </w:pPr>
    </w:p>
    <w:p>
      <w:pPr>
        <w:spacing w:line="240" w:lineRule="auto" w:before="0"/>
        <w:rPr>
          <w:rFonts w:ascii="Times New Roman" w:hAnsi="Times New Roman" w:cs="Times New Roman" w:eastAsia="Times New Roman" w:hint="default"/>
          <w:sz w:val="20"/>
          <w:szCs w:val="20"/>
        </w:rPr>
      </w:pPr>
      <w:r>
        <w:rPr/>
        <w:pict>
          <v:group style="position:absolute;margin-left:547.559998pt;margin-top:781.919983pt;width:.1pt;height:10.35pt;mso-position-horizontal-relative:page;mso-position-vertical-relative:page;z-index:2800" coordorigin="10951,15638" coordsize="2,207">
            <v:shape style="position:absolute;left:10951;top:15638;width:2;height:207" coordorigin="10951,15638" coordsize="0,207" path="m10951,15638l10951,15845e" filled="false" stroked="true" strokeweight=".12pt" strokecolor="#000000">
              <v:path arrowok="t"/>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3403"/>
        <w:gridCol w:w="3118"/>
        <w:gridCol w:w="3048"/>
      </w:tblGrid>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bookmarkStart w:name="3、合并利润表" w:id="101"/>
            <w:bookmarkEnd w:id="101"/>
            <w:r>
              <w:rPr/>
            </w:r>
            <w:r>
              <w:rPr>
                <w:rFonts w:ascii="宋体" w:hAnsi="宋体" w:cs="宋体" w:eastAsia="宋体" w:hint="default"/>
                <w:sz w:val="18"/>
                <w:szCs w:val="18"/>
              </w:rPr>
              <w:t>应付利息</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1,290,237.01</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1,252,005.46</w:t>
            </w: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209,467.78</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1,967,568.64</w:t>
            </w: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56,401,669.59</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50,856,230.79</w:t>
            </w: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1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4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8,638,771.46</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5,658,825.39</w:t>
            </w: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8,638,771.46</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5,658,825.39</w:t>
            </w: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65,040,441.05</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56,515,056.18</w:t>
            </w: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89"/>
                <w:sz w:val="18"/>
                <w:szCs w:val="18"/>
              </w:rPr>
              <w:t>）</w:t>
            </w:r>
            <w:r>
              <w:rPr>
                <w:rFonts w:ascii="宋体" w:hAnsi="宋体" w:cs="宋体" w:eastAsia="宋体" w:hint="default"/>
                <w:sz w:val="18"/>
                <w:szCs w:val="18"/>
              </w:rPr>
              <w:t>：</w:t>
            </w:r>
          </w:p>
        </w:tc>
        <w:tc>
          <w:tcPr>
            <w:tcW w:w="31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4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107,000,000.00</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107,000,000.00</w:t>
            </w: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247,101,812.22</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247,101,812.22</w:t>
            </w: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19,452,537.79</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16,403,869.49</w:t>
            </w: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108,910,190.69</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94,312,175.96</w:t>
            </w: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118"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482,464,540.70</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464,817,857.67</w:t>
            </w: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547,504,981.75</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521,332,913.85</w:t>
            </w:r>
          </w:p>
        </w:tc>
      </w:tr>
    </w:tbl>
    <w:p>
      <w:pPr>
        <w:spacing w:line="240" w:lineRule="auto" w:before="0"/>
        <w:rPr>
          <w:rFonts w:ascii="Times New Roman" w:hAnsi="Times New Roman" w:cs="Times New Roman" w:eastAsia="Times New Roman" w:hint="default"/>
          <w:sz w:val="22"/>
          <w:szCs w:val="22"/>
        </w:rPr>
      </w:pPr>
    </w:p>
    <w:p>
      <w:pPr>
        <w:spacing w:line="333" w:lineRule="exact" w:before="0"/>
        <w:ind w:left="119" w:right="27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、合并利润表</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29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4111"/>
        <w:gridCol w:w="2834"/>
        <w:gridCol w:w="2623"/>
      </w:tblGrid>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254,819,501.09</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369,232,905.11</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254,819,501.09</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369,232,905.11</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1020" w:right="840"/>
        </w:sectPr>
      </w:pPr>
    </w:p>
    <w:p>
      <w:pPr>
        <w:spacing w:line="240" w:lineRule="auto" w:before="0"/>
        <w:rPr>
          <w:rFonts w:ascii="Times New Roman" w:hAnsi="Times New Roman" w:cs="Times New Roman" w:eastAsia="Times New Roman" w:hint="default"/>
          <w:sz w:val="20"/>
          <w:szCs w:val="20"/>
        </w:rPr>
      </w:pPr>
      <w:r>
        <w:rPr/>
        <w:pict>
          <v:group style="position:absolute;margin-left:47.639999pt;margin-top:781.919983pt;width:.1pt;height:10.35pt;mso-position-horizontal-relative:page;mso-position-vertical-relative:page;z-index:2824" coordorigin="953,15638" coordsize="2,207">
            <v:shape style="position:absolute;left:953;top:15638;width:2;height:207" coordorigin="953,15638" coordsize="0,207" path="m953,15638l953,15845e" filled="false" stroked="true" strokeweight=".12pt" strokecolor="#000000">
              <v:path arrowok="t"/>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287" w:type="dxa"/>
        <w:tblLayout w:type="fixed"/>
        <w:tblCellMar>
          <w:top w:w="0" w:type="dxa"/>
          <w:left w:w="0" w:type="dxa"/>
          <w:bottom w:w="0" w:type="dxa"/>
          <w:right w:w="0" w:type="dxa"/>
        </w:tblCellMar>
        <w:tblLook w:val="01E0"/>
      </w:tblPr>
      <w:tblGrid>
        <w:gridCol w:w="4111"/>
        <w:gridCol w:w="2834"/>
        <w:gridCol w:w="2623"/>
      </w:tblGrid>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246,730,186.07</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321,560,569.95</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168,601,712.53</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258,479,630.32</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3,465,788.62</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4,513,846.72</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5,224,928.25</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6,848,901.14</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51,747,285.33</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56,333,687.43</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-5,567,569.99</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-4,187,882.10</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23,258,041.33</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-427,613.56</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4"/>
                <w:sz w:val="18"/>
                <w:szCs w:val="18"/>
              </w:rPr>
              <w:t>：</w:t>
            </w:r>
            <w:r>
              <w:rPr>
                <w:rFonts w:ascii="宋体" w:hAnsi="宋体" w:cs="宋体" w:eastAsia="宋体" w:hint="default"/>
                <w:sz w:val="18"/>
                <w:szCs w:val="18"/>
              </w:rPr>
              <w:t>对联营企业和合营企业的投资收益</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8,089,315.02</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47,672,335.16</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4,243,692.75</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3,585,646.08</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353,880.04</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423,061.65</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42,167.55</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65,500.52</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11,979,127.73</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50,834,919.59</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7,548,041.77</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7,922,184.82</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4,431,085.96</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42,912,734.77</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其中：被合并方在合并前实现的净利润</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0.00</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4,431,085.96</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42,799,088.01</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113,646.76</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2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6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0.04</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0.4</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0.04</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0.4</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840" w:right="1020"/>
        </w:sectPr>
      </w:pPr>
    </w:p>
    <w:p>
      <w:pPr>
        <w:spacing w:line="240" w:lineRule="auto" w:before="0"/>
        <w:rPr>
          <w:rFonts w:ascii="Times New Roman" w:hAnsi="Times New Roman" w:cs="Times New Roman" w:eastAsia="Times New Roman" w:hint="default"/>
          <w:sz w:val="20"/>
          <w:szCs w:val="20"/>
        </w:rPr>
      </w:pPr>
      <w:r>
        <w:rPr/>
        <w:pict>
          <v:group style="position:absolute;margin-left:547.559998pt;margin-top:781.919983pt;width:.1pt;height:10.35pt;mso-position-horizontal-relative:page;mso-position-vertical-relative:page;z-index:2848" coordorigin="10951,15638" coordsize="2,207">
            <v:shape style="position:absolute;left:10951;top:15638;width:2;height:207" coordorigin="10951,15638" coordsize="0,207" path="m10951,15638l10951,15845e" filled="false" stroked="true" strokeweight=".12pt" strokecolor="#000000">
              <v:path arrowok="t"/>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4111"/>
        <w:gridCol w:w="2834"/>
        <w:gridCol w:w="2623"/>
      </w:tblGrid>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bookmarkStart w:name="4、母公司利润表" w:id="102"/>
            <w:bookmarkEnd w:id="102"/>
            <w:r>
              <w:rPr/>
            </w:r>
            <w:r>
              <w:rPr>
                <w:rFonts w:ascii="宋体" w:hAnsi="宋体" w:cs="宋体" w:eastAsia="宋体" w:hint="default"/>
                <w:sz w:val="18"/>
                <w:szCs w:val="18"/>
              </w:rPr>
              <w:t>八、综合收益总额</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4,431,085.96</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42,912,734.77</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4,431,085.96</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42,799,088.01</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113,646.76</w:t>
            </w:r>
          </w:p>
        </w:tc>
      </w:tr>
    </w:tbl>
    <w:p>
      <w:pPr>
        <w:spacing w:line="240" w:lineRule="auto" w:before="0"/>
        <w:rPr>
          <w:rFonts w:ascii="Times New Roman" w:hAnsi="Times New Roman" w:cs="Times New Roman" w:eastAsia="Times New Roman" w:hint="default"/>
          <w:sz w:val="22"/>
          <w:szCs w:val="22"/>
        </w:rPr>
      </w:pPr>
    </w:p>
    <w:p>
      <w:pPr>
        <w:spacing w:line="333" w:lineRule="exact" w:before="0"/>
        <w:ind w:left="119" w:right="27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、母公司利润表</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29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2966"/>
        <w:gridCol w:w="3300"/>
        <w:gridCol w:w="3302"/>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175,007,983.74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238,307,376.59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86,755,087.88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159,549,057.14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3,277,688.45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3,957,105.96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3,391,609.78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3,079,853.13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37,678,759.46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35,111,998.17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-4,787,046.99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-4,819,799.17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12,915,805.62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-652,696.87</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5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35,776,079.54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42,081,858.23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2,595,161.38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1,582,390.98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187,149.05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251,738.05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38,184,091.87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43,412,511.16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7,697,408.86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7,324,006.89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30,486,683.01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36,088,504.27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30,486,683.01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36,088,504.27</w:t>
            </w:r>
          </w:p>
        </w:tc>
      </w:tr>
    </w:tbl>
    <w:p>
      <w:pPr>
        <w:spacing w:after="0" w:line="240" w:lineRule="auto"/>
        <w:jc w:val="right"/>
        <w:rPr>
          <w:rFonts w:ascii="Times New Roman" w:hAnsi="Times New Roman" w:cs="Times New Roman" w:eastAsia="Times New Roman" w:hint="default"/>
          <w:sz w:val="18"/>
          <w:szCs w:val="18"/>
        </w:rPr>
        <w:sectPr>
          <w:footerReference w:type="default" r:id="rId24"/>
          <w:pgSz w:w="11910" w:h="16840"/>
          <w:pgMar w:footer="979" w:header="745" w:top="1060" w:bottom="1160" w:left="1020" w:right="840"/>
          <w:pgNumType w:start="60"/>
        </w:sectPr>
      </w:pPr>
    </w:p>
    <w:p>
      <w:pPr>
        <w:spacing w:line="240" w:lineRule="auto" w:before="10"/>
        <w:rPr>
          <w:rFonts w:ascii="宋体" w:hAnsi="宋体" w:cs="宋体" w:eastAsia="宋体" w:hint="default"/>
          <w:sz w:val="24"/>
          <w:szCs w:val="24"/>
        </w:rPr>
      </w:pPr>
      <w:r>
        <w:rPr/>
        <w:pict>
          <v:group style="position:absolute;margin-left:47.639999pt;margin-top:781.919983pt;width:.1pt;height:10.35pt;mso-position-horizontal-relative:page;mso-position-vertical-relative:page;z-index:2872" coordorigin="953,15638" coordsize="2,207">
            <v:shape style="position:absolute;left:953;top:15638;width:2;height:207" coordorigin="953,15638" coordsize="0,207" path="m953,15638l953,15845e" filled="false" stroked="true" strokeweight=".12pt" strokecolor="#000000">
              <v:path arrowok="t"/>
            </v:shape>
            <w10:wrap type="none"/>
          </v:group>
        </w:pict>
      </w:r>
    </w:p>
    <w:p>
      <w:pPr>
        <w:spacing w:line="333" w:lineRule="exact" w:before="0"/>
        <w:ind w:left="299" w:right="279" w:firstLine="0"/>
        <w:jc w:val="left"/>
        <w:rPr>
          <w:rFonts w:ascii="Microsoft JhengHei" w:hAnsi="Microsoft JhengHei" w:cs="Microsoft JhengHei" w:eastAsia="Microsoft JhengHei" w:hint="default"/>
          <w:sz w:val="21"/>
          <w:szCs w:val="21"/>
        </w:rPr>
      </w:pPr>
      <w:bookmarkStart w:name="5、合并现金流量表" w:id="103"/>
      <w:bookmarkEnd w:id="103"/>
      <w:r>
        <w:rPr/>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、合并现金流量表</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287" w:type="dxa"/>
        <w:tblLayout w:type="fixed"/>
        <w:tblCellMar>
          <w:top w:w="0" w:type="dxa"/>
          <w:left w:w="0" w:type="dxa"/>
          <w:bottom w:w="0" w:type="dxa"/>
          <w:right w:w="0" w:type="dxa"/>
        </w:tblCellMar>
        <w:tblLook w:val="01E0"/>
      </w:tblPr>
      <w:tblGrid>
        <w:gridCol w:w="4111"/>
        <w:gridCol w:w="2834"/>
        <w:gridCol w:w="2623"/>
      </w:tblGrid>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83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62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259,802,995.27</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407,189,180.42</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15"/>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15"/>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1,493,842.48</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1,701,181.77</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7,661,028.55</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12,706,179.48</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268,957,866.30</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421,596,541.67</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168,605,991.28</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272,235,174.62</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15"/>
              <w:jc w:val="righ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15"/>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30,827,766.74</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36,245,565.74</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20,862,186.40</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17,677,768.14</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32,772,270.32</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40,799,716.15</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253,068,214.74</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366,958,224.65</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15,889,651.56</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54,638,317.02</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83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62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5,685,144.25</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655,615.68</w:t>
            </w:r>
          </w:p>
        </w:tc>
      </w:tr>
      <w:tr>
        <w:trPr>
          <w:trHeight w:val="71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19" w:firstLine="360"/>
              <w:jc w:val="left"/>
              <w:rPr>
                <w:rFonts w:ascii="宋体" w:hAnsi="宋体" w:cs="宋体" w:eastAsia="宋体" w:hint="default"/>
                <w:sz w:val="18"/>
                <w:szCs w:val="18"/>
              </w:rPr>
            </w:pPr>
            <w:r>
              <w:rPr>
                <w:rFonts w:ascii="宋体" w:hAnsi="宋体" w:cs="宋体" w:eastAsia="宋体" w:hint="default"/>
                <w:spacing w:val="-4"/>
                <w:sz w:val="18"/>
                <w:szCs w:val="18"/>
              </w:rPr>
              <w:t>处置固定资产、无形资产和其他长期资产收回的</w:t>
            </w:r>
            <w:r>
              <w:rPr>
                <w:rFonts w:ascii="宋体" w:hAnsi="宋体" w:cs="宋体" w:eastAsia="宋体" w:hint="default"/>
                <w:sz w:val="18"/>
                <w:szCs w:val="18"/>
              </w:rPr>
              <w:t> 现金净额</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216,595.04</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150,261.57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840" w:right="1020"/>
        </w:sectPr>
      </w:pPr>
    </w:p>
    <w:p>
      <w:pPr>
        <w:spacing w:line="240" w:lineRule="auto" w:before="6"/>
        <w:rPr>
          <w:rFonts w:ascii="宋体" w:hAnsi="宋体" w:cs="宋体" w:eastAsia="宋体" w:hint="default"/>
          <w:sz w:val="28"/>
          <w:szCs w:val="28"/>
        </w:rPr>
      </w:pPr>
    </w:p>
    <w:tbl>
      <w:tblPr>
        <w:tblW w:w="0" w:type="auto"/>
        <w:jc w:val="left"/>
        <w:tblInd w:w="107" w:type="dxa"/>
        <w:tblLayout w:type="fixed"/>
        <w:tblCellMar>
          <w:top w:w="0" w:type="dxa"/>
          <w:left w:w="0" w:type="dxa"/>
          <w:bottom w:w="0" w:type="dxa"/>
          <w:right w:w="0" w:type="dxa"/>
        </w:tblCellMar>
        <w:tblLook w:val="01E0"/>
      </w:tblPr>
      <w:tblGrid>
        <w:gridCol w:w="4111"/>
        <w:gridCol w:w="2834"/>
        <w:gridCol w:w="2623"/>
      </w:tblGrid>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95"/>
              <w:jc w:val="right"/>
              <w:rPr>
                <w:rFonts w:ascii="宋体" w:hAnsi="宋体" w:cs="宋体" w:eastAsia="宋体" w:hint="default"/>
                <w:sz w:val="18"/>
                <w:szCs w:val="18"/>
              </w:rPr>
            </w:pPr>
            <w:bookmarkStart w:name="6、母公司现金流量表" w:id="104"/>
            <w:bookmarkEnd w:id="104"/>
            <w:r>
              <w:rPr/>
            </w:r>
            <w:r>
              <w:rPr>
                <w:rFonts w:ascii="宋体" w:hAnsi="宋体" w:cs="宋体" w:eastAsia="宋体" w:hint="default"/>
                <w:sz w:val="18"/>
                <w:szCs w:val="18"/>
              </w:rPr>
              <w:t>处置子公司及其他营业单位收到的现金净额</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32,248,168.58</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40,196,955.89</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38,149,907.87</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44,002,833.14</w:t>
            </w:r>
          </w:p>
        </w:tc>
      </w:tr>
      <w:tr>
        <w:trPr>
          <w:trHeight w:val="715"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19" w:firstLine="360"/>
              <w:jc w:val="left"/>
              <w:rPr>
                <w:rFonts w:ascii="宋体" w:hAnsi="宋体" w:cs="宋体" w:eastAsia="宋体" w:hint="default"/>
                <w:sz w:val="18"/>
                <w:szCs w:val="18"/>
              </w:rPr>
            </w:pPr>
            <w:r>
              <w:rPr>
                <w:rFonts w:ascii="宋体" w:hAnsi="宋体" w:cs="宋体" w:eastAsia="宋体" w:hint="default"/>
                <w:spacing w:val="-4"/>
                <w:sz w:val="18"/>
                <w:szCs w:val="18"/>
              </w:rPr>
              <w:t>购建固定资产、无形资产和其他长期资产支付的</w:t>
            </w:r>
            <w:r>
              <w:rPr>
                <w:rFonts w:ascii="宋体" w:hAnsi="宋体" w:cs="宋体" w:eastAsia="宋体" w:hint="default"/>
                <w:sz w:val="18"/>
                <w:szCs w:val="18"/>
              </w:rPr>
              <w:t> 现金</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15,562,759.15</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38,802,670.82</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35,000,000.00</w:t>
            </w: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95"/>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8,000,000.00</w:t>
            </w: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58,562,759.15</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38,802,670.82</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-20,412,851.28</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5,200,162.32</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83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62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95"/>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47,060,000.00</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28,895,000.00</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47,060,000.00</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28,895,000.00</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47,060,000.00</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28,895,000.00</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13,295,831.13</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22,346,217.27</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95"/>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60,355,831.13</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51,241,217.27</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-13,295,831.13</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-22,346,217.27</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-17,819,030.85</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37,492,262.07</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112,629,477.53</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75,137,215.46</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94,810,446.68</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112,629,477.53</w:t>
            </w:r>
          </w:p>
        </w:tc>
      </w:tr>
    </w:tbl>
    <w:p>
      <w:pPr>
        <w:spacing w:line="240" w:lineRule="auto" w:before="5"/>
        <w:rPr>
          <w:rFonts w:ascii="宋体" w:hAnsi="宋体" w:cs="宋体" w:eastAsia="宋体" w:hint="default"/>
          <w:sz w:val="19"/>
          <w:szCs w:val="19"/>
        </w:rPr>
      </w:pPr>
    </w:p>
    <w:p>
      <w:pPr>
        <w:spacing w:line="333" w:lineRule="exact" w:before="0"/>
        <w:ind w:left="119" w:right="27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、母公司现金流量表</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6"/>
          <w:szCs w:val="16"/>
        </w:rPr>
      </w:pPr>
    </w:p>
    <w:p>
      <w:pPr>
        <w:spacing w:before="44"/>
        <w:ind w:left="0" w:right="292" w:firstLine="0"/>
        <w:jc w:val="right"/>
        <w:rPr>
          <w:rFonts w:ascii="宋体" w:hAnsi="宋体" w:cs="宋体" w:eastAsia="宋体" w:hint="default"/>
          <w:sz w:val="18"/>
          <w:szCs w:val="18"/>
        </w:rPr>
      </w:pPr>
      <w:r>
        <w:rPr/>
        <w:pict>
          <v:group style="position:absolute;margin-left:547.559998pt;margin-top:107.151703pt;width:.1pt;height:10.35pt;mso-position-horizontal-relative:page;mso-position-vertical-relative:paragraph;z-index:2896" coordorigin="10951,2143" coordsize="2,207">
            <v:shape style="position:absolute;left:10951;top:2143;width:2;height:207" coordorigin="10951,2143" coordsize="0,207" path="m10951,2143l10951,2349e" filled="false" stroked="true" strokeweight=".12pt" strokecolor="#000000">
              <v:path arrowok="t"/>
            </v:shape>
            <w10:wrap type="none"/>
          </v:group>
        </w:pict>
      </w: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4111"/>
        <w:gridCol w:w="2834"/>
        <w:gridCol w:w="2623"/>
      </w:tblGrid>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83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62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77" w:right="0"/>
              <w:jc w:val="left"/>
              <w:rPr>
                <w:rFonts w:ascii="Times New Roman" w:hAnsi="Times New Roman" w:cs="Times New Roman" w:eastAsia="Times New Roman" w:hint="default"/>
                <w:sz w:val="18"/>
                <w:szCs w:val="18"/>
              </w:rPr>
            </w:pPr>
            <w:r>
              <w:rPr>
                <w:rFonts w:ascii="Times New Roman"/>
                <w:sz w:val="18"/>
              </w:rPr>
              <w:t>161,043,481.80</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66" w:right="0"/>
              <w:jc w:val="left"/>
              <w:rPr>
                <w:rFonts w:ascii="Times New Roman" w:hAnsi="Times New Roman" w:cs="Times New Roman" w:eastAsia="Times New Roman" w:hint="default"/>
                <w:sz w:val="18"/>
                <w:szCs w:val="18"/>
              </w:rPr>
            </w:pPr>
            <w:r>
              <w:rPr>
                <w:rFonts w:ascii="Times New Roman"/>
                <w:sz w:val="18"/>
              </w:rPr>
              <w:t>255,778,818.49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1020" w:right="840"/>
        </w:sectPr>
      </w:pPr>
    </w:p>
    <w:p>
      <w:pPr>
        <w:spacing w:line="240" w:lineRule="auto" w:before="0"/>
        <w:rPr>
          <w:rFonts w:ascii="Times New Roman" w:hAnsi="Times New Roman" w:cs="Times New Roman" w:eastAsia="Times New Roman" w:hint="default"/>
          <w:sz w:val="20"/>
          <w:szCs w:val="20"/>
        </w:rPr>
      </w:pPr>
      <w:r>
        <w:rPr/>
        <w:pict>
          <v:group style="position:absolute;margin-left:47.639999pt;margin-top:781.919983pt;width:.1pt;height:10.35pt;mso-position-horizontal-relative:page;mso-position-vertical-relative:page;z-index:2920" coordorigin="953,15638" coordsize="2,207">
            <v:shape style="position:absolute;left:953;top:15638;width:2;height:207" coordorigin="953,15638" coordsize="0,207" path="m953,15638l953,15845e" filled="false" stroked="true" strokeweight=".12pt" strokecolor="#000000">
              <v:path arrowok="t"/>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287" w:type="dxa"/>
        <w:tblLayout w:type="fixed"/>
        <w:tblCellMar>
          <w:top w:w="0" w:type="dxa"/>
          <w:left w:w="0" w:type="dxa"/>
          <w:bottom w:w="0" w:type="dxa"/>
          <w:right w:w="0" w:type="dxa"/>
        </w:tblCellMar>
        <w:tblLook w:val="01E0"/>
      </w:tblPr>
      <w:tblGrid>
        <w:gridCol w:w="4111"/>
        <w:gridCol w:w="2834"/>
        <w:gridCol w:w="2623"/>
      </w:tblGrid>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1,493,842.48</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776,338.65</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11,778,289.72</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36,395,812.40</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174,315,614.00</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292,950,969.54</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71,905,972.99</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155,903,400.75</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21,177,005.86</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19,275,967.02</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17,813,932.54</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13,400,267.83</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34,683,261.24</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50,912,136.88</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145,580,172.63</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239,491,772.48</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28,735,441.37</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53,459,197.06</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83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62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5,553,215.49</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655,615.68</w:t>
            </w:r>
          </w:p>
        </w:tc>
      </w:tr>
      <w:tr>
        <w:trPr>
          <w:trHeight w:val="71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19" w:firstLine="360"/>
              <w:jc w:val="left"/>
              <w:rPr>
                <w:rFonts w:ascii="宋体" w:hAnsi="宋体" w:cs="宋体" w:eastAsia="宋体" w:hint="default"/>
                <w:sz w:val="18"/>
                <w:szCs w:val="18"/>
              </w:rPr>
            </w:pPr>
            <w:r>
              <w:rPr>
                <w:rFonts w:ascii="宋体" w:hAnsi="宋体" w:cs="宋体" w:eastAsia="宋体" w:hint="default"/>
                <w:spacing w:val="-4"/>
                <w:sz w:val="18"/>
                <w:szCs w:val="18"/>
              </w:rPr>
              <w:t>处置固定资产、无形资产和其他长期资产收回的</w:t>
            </w:r>
            <w:r>
              <w:rPr>
                <w:rFonts w:ascii="宋体" w:hAnsi="宋体" w:cs="宋体" w:eastAsia="宋体" w:hint="default"/>
                <w:sz w:val="18"/>
                <w:szCs w:val="18"/>
              </w:rPr>
              <w:t> 现金净额</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95"/>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31,777,401.84</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40,196,955.89</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37,330,617.33</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43,852,571.57</w:t>
            </w:r>
          </w:p>
        </w:tc>
      </w:tr>
      <w:tr>
        <w:trPr>
          <w:trHeight w:val="71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9" w:firstLine="360"/>
              <w:jc w:val="left"/>
              <w:rPr>
                <w:rFonts w:ascii="宋体" w:hAnsi="宋体" w:cs="宋体" w:eastAsia="宋体" w:hint="default"/>
                <w:sz w:val="18"/>
                <w:szCs w:val="18"/>
              </w:rPr>
            </w:pPr>
            <w:r>
              <w:rPr>
                <w:rFonts w:ascii="宋体" w:hAnsi="宋体" w:cs="宋体" w:eastAsia="宋体" w:hint="default"/>
                <w:spacing w:val="-4"/>
                <w:sz w:val="18"/>
                <w:szCs w:val="18"/>
              </w:rPr>
              <w:t>购建固定资产、无形资产和其他长期资产支付的</w:t>
            </w:r>
            <w:r>
              <w:rPr>
                <w:rFonts w:ascii="宋体" w:hAnsi="宋体" w:cs="宋体" w:eastAsia="宋体" w:hint="default"/>
                <w:sz w:val="18"/>
                <w:szCs w:val="18"/>
              </w:rPr>
              <w:t> 现金</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15,351,402.89</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28,520,368.74</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35,000,000.00</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95"/>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50,351,402.89</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68,520,368.74</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-13,020,785.56</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-24,667,797.17</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83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62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12,989,239.98</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21,400,000.00</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32,989,239.98</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21,400,000.00</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-12,989,239.98</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-21,400,000.00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840" w:right="10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4111"/>
        <w:gridCol w:w="2834"/>
        <w:gridCol w:w="2623"/>
      </w:tblGrid>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bookmarkStart w:name="7、合并所有者权益变动表" w:id="105"/>
            <w:bookmarkEnd w:id="105"/>
            <w:r>
              <w:rPr/>
            </w:r>
            <w:r>
              <w:rPr>
                <w:rFonts w:ascii="宋体" w:hAnsi="宋体" w:cs="宋体" w:eastAsia="宋体" w:hint="default"/>
                <w:sz w:val="18"/>
                <w:szCs w:val="18"/>
              </w:rPr>
              <w:t>四、汇率变动对现金及现金等价物的影响</w:t>
            </w:r>
          </w:p>
        </w:tc>
        <w:tc>
          <w:tcPr>
            <w:tcW w:w="2834" w:type="dxa"/>
            <w:tcBorders>
              <w:top w:val="single" w:sz="4" w:space="0" w:color="000000"/>
              <w:left w:val="single" w:sz="4" w:space="0" w:color="000000"/>
              <w:bottom w:val="single" w:sz="4" w:space="0" w:color="000000"/>
              <w:right w:val="single" w:sz="4" w:space="0" w:color="000000"/>
            </w:tcBorders>
          </w:tcPr>
          <w:p>
            <w:pPr/>
          </w:p>
        </w:tc>
        <w:tc>
          <w:tcPr>
            <w:tcW w:w="262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2,725,415.83</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7,391,399.89</w:t>
            </w:r>
          </w:p>
        </w:tc>
      </w:tr>
      <w:tr>
        <w:trPr>
          <w:trHeight w:val="401"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37,866,753.08</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30,475,353.19</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40,592,168.91</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37,866,753.08</w:t>
            </w:r>
          </w:p>
        </w:tc>
      </w:tr>
    </w:tbl>
    <w:p>
      <w:pPr>
        <w:spacing w:line="240" w:lineRule="auto" w:before="9"/>
        <w:rPr>
          <w:rFonts w:ascii="Times New Roman" w:hAnsi="Times New Roman" w:cs="Times New Roman" w:eastAsia="Times New Roman" w:hint="default"/>
          <w:sz w:val="21"/>
          <w:szCs w:val="21"/>
        </w:rPr>
      </w:pPr>
    </w:p>
    <w:p>
      <w:pPr>
        <w:spacing w:line="333" w:lineRule="exact" w:before="0"/>
        <w:ind w:left="119" w:right="27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7</w:t>
      </w:r>
      <w:r>
        <w:rPr>
          <w:rFonts w:ascii="Microsoft JhengHei" w:hAnsi="Microsoft JhengHei" w:cs="Microsoft JhengHei" w:eastAsia="Microsoft JhengHei" w:hint="default"/>
          <w:b/>
          <w:bCs/>
          <w:sz w:val="21"/>
          <w:szCs w:val="21"/>
        </w:rPr>
        <w:t>、合并所有者权益变动表</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9" w:top="1060" w:bottom="1160" w:left="1020" w:right="840"/>
        </w:sectPr>
      </w:pPr>
    </w:p>
    <w:p>
      <w:pPr>
        <w:spacing w:line="333" w:lineRule="exact" w:before="0"/>
        <w:ind w:left="119" w:right="-2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1"/>
          <w:sz w:val="21"/>
          <w:szCs w:val="21"/>
        </w:rPr>
        <w:t>(1)</w:t>
      </w:r>
      <w:r>
        <w:rPr>
          <w:rFonts w:ascii="Microsoft JhengHei" w:hAnsi="Microsoft JhengHei" w:cs="Microsoft JhengHei" w:eastAsia="Microsoft JhengHei" w:hint="default"/>
          <w:b/>
          <w:bCs/>
          <w:spacing w:val="-1"/>
          <w:sz w:val="21"/>
          <w:szCs w:val="21"/>
        </w:rPr>
        <w:t>本期金额</w:t>
      </w:r>
      <w:r>
        <w:rPr>
          <w:rFonts w:ascii="Microsoft JhengHei" w:hAnsi="Microsoft JhengHei" w:cs="Microsoft JhengHei" w:eastAsia="Microsoft JhengHei" w:hint="default"/>
          <w:spacing w:val="-1"/>
          <w:sz w:val="21"/>
          <w:szCs w:val="21"/>
        </w:rPr>
      </w:r>
    </w:p>
    <w:p>
      <w:pPr>
        <w:spacing w:line="240" w:lineRule="auto" w:before="12"/>
        <w:rPr>
          <w:rFonts w:ascii="Microsoft JhengHei" w:hAnsi="Microsoft JhengHei" w:cs="Microsoft JhengHei" w:eastAsia="Microsoft JhengHei" w:hint="default"/>
          <w:b/>
          <w:bCs/>
          <w:sz w:val="23"/>
          <w:szCs w:val="23"/>
        </w:rPr>
      </w:pPr>
      <w:r>
        <w:rPr/>
        <w:br w:type="column"/>
      </w:r>
      <w:r>
        <w:rPr>
          <w:rFonts w:ascii="Microsoft JhengHei"/>
          <w:b/>
          <w:sz w:val="23"/>
        </w:rPr>
      </w:r>
    </w:p>
    <w:p>
      <w:pPr>
        <w:spacing w:before="0"/>
        <w:ind w:left="119"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1020" w:right="840"/>
          <w:cols w:num="2" w:equalWidth="0">
            <w:col w:w="1198" w:space="7714"/>
            <w:col w:w="1138"/>
          </w:cols>
        </w:sectPr>
      </w:pPr>
    </w:p>
    <w:p>
      <w:pPr>
        <w:spacing w:line="240" w:lineRule="auto" w:before="2"/>
        <w:rPr>
          <w:rFonts w:ascii="宋体" w:hAnsi="宋体" w:cs="宋体" w:eastAsia="宋体" w:hint="default"/>
          <w:sz w:val="8"/>
          <w:szCs w:val="8"/>
        </w:rPr>
      </w:pPr>
      <w:r>
        <w:rPr/>
        <w:pict>
          <v:group style="position:absolute;margin-left:547.559998pt;margin-top:781.919983pt;width:.1pt;height:10.35pt;mso-position-horizontal-relative:page;mso-position-vertical-relative:page;z-index:2944" coordorigin="10951,15638" coordsize="2,207">
            <v:shape style="position:absolute;left:10951;top:15638;width:2;height:207" coordorigin="10951,15638" coordsize="0,207" path="m10951,15638l10951,15845e" filled="false" stroked="true" strokeweight=".12pt" strokecolor="#000000">
              <v:path arrowok="t"/>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2366"/>
        <w:gridCol w:w="686"/>
        <w:gridCol w:w="686"/>
        <w:gridCol w:w="686"/>
        <w:gridCol w:w="686"/>
        <w:gridCol w:w="684"/>
        <w:gridCol w:w="686"/>
        <w:gridCol w:w="684"/>
        <w:gridCol w:w="686"/>
        <w:gridCol w:w="818"/>
        <w:gridCol w:w="893"/>
      </w:tblGrid>
      <w:tr>
        <w:trPr>
          <w:trHeight w:val="401" w:hRule="exact"/>
        </w:trPr>
        <w:tc>
          <w:tcPr>
            <w:tcW w:w="2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198"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403" w:hRule="exact"/>
        </w:trPr>
        <w:tc>
          <w:tcPr>
            <w:tcW w:w="2366" w:type="dxa"/>
            <w:vMerge/>
            <w:tcBorders>
              <w:left w:val="single" w:sz="4" w:space="0" w:color="000000"/>
              <w:right w:val="single" w:sz="4" w:space="0" w:color="000000"/>
            </w:tcBorders>
            <w:shd w:val="clear" w:color="auto" w:fill="D3D3D3"/>
          </w:tcPr>
          <w:p>
            <w:pPr/>
          </w:p>
        </w:tc>
        <w:tc>
          <w:tcPr>
            <w:tcW w:w="5486"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49"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25" w:right="41"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025" w:hRule="exact"/>
        </w:trPr>
        <w:tc>
          <w:tcPr>
            <w:tcW w:w="2366" w:type="dxa"/>
            <w:vMerge/>
            <w:tcBorders>
              <w:left w:val="single" w:sz="4" w:space="0" w:color="000000"/>
              <w:bottom w:val="single" w:sz="4" w:space="0" w:color="000000"/>
              <w:right w:val="single" w:sz="4" w:space="0" w:color="000000"/>
            </w:tcBorders>
            <w:shd w:val="clear" w:color="auto" w:fill="D3D3D3"/>
          </w:tcPr>
          <w:p>
            <w:pP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9" w:right="6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9" w:right="19"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58" w:right="65"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single" w:sz="4" w:space="0" w:color="000000"/>
              <w:right w:val="single" w:sz="4" w:space="0" w:color="000000"/>
            </w:tcBorders>
            <w:shd w:val="clear" w:color="auto" w:fill="D3D3D3"/>
          </w:tcPr>
          <w:p>
            <w:pPr/>
          </w:p>
        </w:tc>
        <w:tc>
          <w:tcPr>
            <w:tcW w:w="893" w:type="dxa"/>
            <w:vMerge/>
            <w:tcBorders>
              <w:left w:val="single" w:sz="4" w:space="0" w:color="000000"/>
              <w:bottom w:val="single" w:sz="4" w:space="0" w:color="000000"/>
              <w:right w:val="single" w:sz="4" w:space="0" w:color="000000"/>
            </w:tcBorders>
            <w:shd w:val="clear" w:color="auto" w:fill="D3D3D3"/>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left"/>
              <w:rPr>
                <w:rFonts w:ascii="Times New Roman" w:hAnsi="Times New Roman" w:cs="Times New Roman" w:eastAsia="Times New Roman" w:hint="default"/>
                <w:sz w:val="18"/>
                <w:szCs w:val="18"/>
              </w:rPr>
            </w:pPr>
            <w:r>
              <w:rPr>
                <w:rFonts w:ascii="Times New Roman"/>
                <w:sz w:val="18"/>
              </w:rPr>
              <w:t>107,000</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247,101,</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812.22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16,403,</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869.49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122,801,</w:t>
            </w:r>
          </w:p>
          <w:p>
            <w:pPr>
              <w:pStyle w:val="TableParagraph"/>
              <w:spacing w:line="240" w:lineRule="auto" w:before="105"/>
              <w:ind w:left="137" w:right="0"/>
              <w:jc w:val="center"/>
              <w:rPr>
                <w:rFonts w:ascii="Times New Roman" w:hAnsi="Times New Roman" w:cs="Times New Roman" w:eastAsia="Times New Roman" w:hint="default"/>
                <w:sz w:val="18"/>
                <w:szCs w:val="18"/>
              </w:rPr>
            </w:pPr>
            <w:r>
              <w:rPr>
                <w:rFonts w:ascii="Times New Roman"/>
                <w:sz w:val="18"/>
              </w:rPr>
              <w:t>940.27</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4,731,667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.53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498,039,28</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9.51</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107,000</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247,101,</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812.22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16,403,</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869.49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122,801,</w:t>
            </w:r>
          </w:p>
          <w:p>
            <w:pPr>
              <w:pStyle w:val="TableParagraph"/>
              <w:spacing w:line="240" w:lineRule="auto" w:before="105"/>
              <w:ind w:left="137" w:right="0"/>
              <w:jc w:val="center"/>
              <w:rPr>
                <w:rFonts w:ascii="Times New Roman" w:hAnsi="Times New Roman" w:cs="Times New Roman" w:eastAsia="Times New Roman" w:hint="default"/>
                <w:sz w:val="18"/>
                <w:szCs w:val="18"/>
              </w:rPr>
            </w:pPr>
            <w:r>
              <w:rPr>
                <w:rFonts w:ascii="Times New Roman"/>
                <w:sz w:val="18"/>
              </w:rPr>
              <w:t>940.27</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4,731,667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.53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498,039,28</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9.51</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-5,268,3</w:t>
            </w:r>
          </w:p>
          <w:p>
            <w:pPr>
              <w:pStyle w:val="TableParagraph"/>
              <w:spacing w:line="240" w:lineRule="auto" w:before="105"/>
              <w:ind w:left="229" w:right="0"/>
              <w:jc w:val="center"/>
              <w:rPr>
                <w:rFonts w:ascii="Times New Roman" w:hAnsi="Times New Roman" w:cs="Times New Roman" w:eastAsia="Times New Roman" w:hint="default"/>
                <w:sz w:val="18"/>
                <w:szCs w:val="18"/>
              </w:rPr>
            </w:pPr>
            <w:r>
              <w:rPr>
                <w:rFonts w:ascii="Times New Roman"/>
                <w:sz w:val="18"/>
              </w:rPr>
              <w:t>32.47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3,048,6</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68.30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-11,457,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582.32</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-4,731,66</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7.53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-18,408,91</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4.02</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4,431,08</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5.96</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4,431,085.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96</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4,431,08</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5.96</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4,431,085.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96</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3,048,6</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68.30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-15,888,</w:t>
            </w:r>
          </w:p>
          <w:p>
            <w:pPr>
              <w:pStyle w:val="TableParagraph"/>
              <w:spacing w:line="240" w:lineRule="auto" w:before="105"/>
              <w:ind w:left="137" w:right="0"/>
              <w:jc w:val="center"/>
              <w:rPr>
                <w:rFonts w:ascii="Times New Roman" w:hAnsi="Times New Roman" w:cs="Times New Roman" w:eastAsia="Times New Roman" w:hint="default"/>
                <w:sz w:val="18"/>
                <w:szCs w:val="18"/>
              </w:rPr>
            </w:pPr>
            <w:r>
              <w:rPr>
                <w:rFonts w:ascii="Times New Roman"/>
                <w:sz w:val="18"/>
              </w:rPr>
              <w:t>668.28</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-12,839,99</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9.98</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7" w:right="0"/>
              <w:jc w:val="center"/>
              <w:rPr>
                <w:rFonts w:ascii="Times New Roman" w:hAnsi="Times New Roman" w:cs="Times New Roman" w:eastAsia="Times New Roman" w:hint="default"/>
                <w:sz w:val="18"/>
                <w:szCs w:val="18"/>
              </w:rPr>
            </w:pPr>
            <w:r>
              <w:rPr>
                <w:rFonts w:ascii="Times New Roman"/>
                <w:sz w:val="18"/>
              </w:rPr>
              <w:t>3,048,6</w:t>
            </w:r>
          </w:p>
          <w:p>
            <w:pPr>
              <w:pStyle w:val="TableParagraph"/>
              <w:spacing w:line="240" w:lineRule="auto" w:before="102"/>
              <w:ind w:left="224" w:right="0"/>
              <w:jc w:val="center"/>
              <w:rPr>
                <w:rFonts w:ascii="Times New Roman" w:hAnsi="Times New Roman" w:cs="Times New Roman" w:eastAsia="Times New Roman" w:hint="default"/>
                <w:sz w:val="18"/>
                <w:szCs w:val="18"/>
              </w:rPr>
            </w:pPr>
            <w:r>
              <w:rPr>
                <w:rFonts w:ascii="Times New Roman"/>
                <w:sz w:val="18"/>
              </w:rPr>
              <w:t>68.30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2" w:right="0"/>
              <w:jc w:val="center"/>
              <w:rPr>
                <w:rFonts w:ascii="Times New Roman" w:hAnsi="Times New Roman" w:cs="Times New Roman" w:eastAsia="Times New Roman" w:hint="default"/>
                <w:sz w:val="18"/>
                <w:szCs w:val="18"/>
              </w:rPr>
            </w:pPr>
            <w:r>
              <w:rPr>
                <w:rFonts w:ascii="Times New Roman"/>
                <w:sz w:val="18"/>
              </w:rPr>
              <w:t>-3,048,6</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68.30</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1020" w:right="840"/>
        </w:sectPr>
      </w:pPr>
    </w:p>
    <w:p>
      <w:pPr>
        <w:spacing w:line="240" w:lineRule="auto" w:before="6"/>
        <w:rPr>
          <w:rFonts w:ascii="宋体" w:hAnsi="宋体" w:cs="宋体" w:eastAsia="宋体" w:hint="default"/>
          <w:sz w:val="28"/>
          <w:szCs w:val="28"/>
        </w:rPr>
      </w:pPr>
    </w:p>
    <w:tbl>
      <w:tblPr>
        <w:tblW w:w="0" w:type="auto"/>
        <w:jc w:val="left"/>
        <w:tblInd w:w="287" w:type="dxa"/>
        <w:tblLayout w:type="fixed"/>
        <w:tblCellMar>
          <w:top w:w="0" w:type="dxa"/>
          <w:left w:w="0" w:type="dxa"/>
          <w:bottom w:w="0" w:type="dxa"/>
          <w:right w:w="0" w:type="dxa"/>
        </w:tblCellMar>
        <w:tblLook w:val="01E0"/>
      </w:tblPr>
      <w:tblGrid>
        <w:gridCol w:w="2366"/>
        <w:gridCol w:w="686"/>
        <w:gridCol w:w="686"/>
        <w:gridCol w:w="686"/>
        <w:gridCol w:w="686"/>
        <w:gridCol w:w="684"/>
        <w:gridCol w:w="686"/>
        <w:gridCol w:w="684"/>
        <w:gridCol w:w="686"/>
        <w:gridCol w:w="818"/>
        <w:gridCol w:w="893"/>
      </w:tblGrid>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4"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2" w:right="0"/>
              <w:jc w:val="center"/>
              <w:rPr>
                <w:rFonts w:ascii="Times New Roman" w:hAnsi="Times New Roman" w:cs="Times New Roman" w:eastAsia="Times New Roman" w:hint="default"/>
                <w:sz w:val="18"/>
                <w:szCs w:val="18"/>
              </w:rPr>
            </w:pPr>
            <w:r>
              <w:rPr>
                <w:rFonts w:ascii="Times New Roman"/>
                <w:sz w:val="18"/>
              </w:rPr>
              <w:t>-12,839,</w:t>
            </w:r>
          </w:p>
          <w:p>
            <w:pPr>
              <w:pStyle w:val="TableParagraph"/>
              <w:spacing w:line="240" w:lineRule="auto" w:before="105"/>
              <w:ind w:left="137" w:right="0"/>
              <w:jc w:val="center"/>
              <w:rPr>
                <w:rFonts w:ascii="Times New Roman" w:hAnsi="Times New Roman" w:cs="Times New Roman" w:eastAsia="Times New Roman" w:hint="default"/>
                <w:sz w:val="18"/>
                <w:szCs w:val="18"/>
              </w:rPr>
            </w:pPr>
            <w:r>
              <w:rPr>
                <w:rFonts w:ascii="Times New Roman"/>
                <w:sz w:val="18"/>
              </w:rPr>
              <w:t>999.98</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-12,839,99</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9.98</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4"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4"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 w:right="0"/>
              <w:jc w:val="center"/>
              <w:rPr>
                <w:rFonts w:ascii="Times New Roman" w:hAnsi="Times New Roman" w:cs="Times New Roman" w:eastAsia="Times New Roman" w:hint="default"/>
                <w:sz w:val="18"/>
                <w:szCs w:val="18"/>
              </w:rPr>
            </w:pPr>
            <w:r>
              <w:rPr>
                <w:rFonts w:ascii="Times New Roman"/>
                <w:sz w:val="18"/>
              </w:rPr>
              <w:t>-5,268,3</w:t>
            </w:r>
          </w:p>
          <w:p>
            <w:pPr>
              <w:pStyle w:val="TableParagraph"/>
              <w:spacing w:line="240" w:lineRule="auto" w:before="105"/>
              <w:ind w:left="229" w:right="0"/>
              <w:jc w:val="center"/>
              <w:rPr>
                <w:rFonts w:ascii="Times New Roman" w:hAnsi="Times New Roman" w:cs="Times New Roman" w:eastAsia="Times New Roman" w:hint="default"/>
                <w:sz w:val="18"/>
                <w:szCs w:val="18"/>
              </w:rPr>
            </w:pPr>
            <w:r>
              <w:rPr>
                <w:rFonts w:ascii="Times New Roman"/>
                <w:sz w:val="18"/>
              </w:rPr>
              <w:t>32.47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6" w:right="0"/>
              <w:jc w:val="left"/>
              <w:rPr>
                <w:rFonts w:ascii="Times New Roman" w:hAnsi="Times New Roman" w:cs="Times New Roman" w:eastAsia="Times New Roman" w:hint="default"/>
                <w:sz w:val="18"/>
                <w:szCs w:val="18"/>
              </w:rPr>
            </w:pPr>
            <w:r>
              <w:rPr>
                <w:rFonts w:ascii="Times New Roman"/>
                <w:sz w:val="18"/>
              </w:rPr>
              <w:t>-4,731,66</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7.53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107,000</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241,833,</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479.75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19,452,</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537.79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111,344,</w:t>
            </w:r>
          </w:p>
          <w:p>
            <w:pPr>
              <w:pStyle w:val="TableParagraph"/>
              <w:spacing w:line="240" w:lineRule="auto" w:before="105"/>
              <w:ind w:left="137" w:right="0"/>
              <w:jc w:val="center"/>
              <w:rPr>
                <w:rFonts w:ascii="Times New Roman" w:hAnsi="Times New Roman" w:cs="Times New Roman" w:eastAsia="Times New Roman" w:hint="default"/>
                <w:sz w:val="18"/>
                <w:szCs w:val="18"/>
              </w:rPr>
            </w:pPr>
            <w:r>
              <w:rPr>
                <w:rFonts w:ascii="Times New Roman"/>
                <w:sz w:val="18"/>
              </w:rPr>
              <w:t>357.95</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479,630,37</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5.49</w:t>
            </w:r>
          </w:p>
        </w:tc>
      </w:tr>
    </w:tbl>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745" w:footer="979" w:top="1060" w:bottom="1160" w:left="840" w:right="1020"/>
        </w:sectPr>
      </w:pPr>
    </w:p>
    <w:p>
      <w:pPr>
        <w:spacing w:line="333" w:lineRule="exact" w:before="0"/>
        <w:ind w:left="299" w:right="-2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1"/>
          <w:sz w:val="21"/>
          <w:szCs w:val="21"/>
        </w:rPr>
        <w:t>(2)</w:t>
      </w:r>
      <w:r>
        <w:rPr>
          <w:rFonts w:ascii="Microsoft JhengHei" w:hAnsi="Microsoft JhengHei" w:cs="Microsoft JhengHei" w:eastAsia="Microsoft JhengHei" w:hint="default"/>
          <w:b/>
          <w:bCs/>
          <w:spacing w:val="-1"/>
          <w:sz w:val="21"/>
          <w:szCs w:val="21"/>
        </w:rPr>
        <w:t>上年金额</w:t>
      </w:r>
      <w:r>
        <w:rPr>
          <w:rFonts w:ascii="Microsoft JhengHei" w:hAnsi="Microsoft JhengHei" w:cs="Microsoft JhengHei" w:eastAsia="Microsoft JhengHei" w:hint="default"/>
          <w:spacing w:val="-1"/>
          <w:sz w:val="21"/>
          <w:szCs w:val="21"/>
        </w:rPr>
      </w:r>
    </w:p>
    <w:p>
      <w:pPr>
        <w:spacing w:line="240" w:lineRule="auto" w:before="10"/>
        <w:rPr>
          <w:rFonts w:ascii="Microsoft JhengHei" w:hAnsi="Microsoft JhengHei" w:cs="Microsoft JhengHei" w:eastAsia="Microsoft JhengHei" w:hint="default"/>
          <w:b/>
          <w:bCs/>
          <w:sz w:val="23"/>
          <w:szCs w:val="23"/>
        </w:rPr>
      </w:pPr>
      <w:r>
        <w:rPr/>
        <w:br w:type="column"/>
      </w:r>
      <w:r>
        <w:rPr>
          <w:rFonts w:ascii="Microsoft JhengHei"/>
          <w:b/>
          <w:sz w:val="23"/>
        </w:rPr>
      </w:r>
    </w:p>
    <w:p>
      <w:pPr>
        <w:spacing w:before="0"/>
        <w:ind w:left="299"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840" w:right="1020"/>
          <w:cols w:num="2" w:equalWidth="0">
            <w:col w:w="1378" w:space="7534"/>
            <w:col w:w="1138"/>
          </w:cols>
        </w:sectPr>
      </w:pPr>
    </w:p>
    <w:p>
      <w:pPr>
        <w:spacing w:line="240" w:lineRule="auto" w:before="2"/>
        <w:rPr>
          <w:rFonts w:ascii="宋体" w:hAnsi="宋体" w:cs="宋体" w:eastAsia="宋体" w:hint="default"/>
          <w:sz w:val="8"/>
          <w:szCs w:val="8"/>
        </w:rPr>
      </w:pPr>
      <w:r>
        <w:rPr/>
        <w:pict>
          <v:group style="position:absolute;margin-left:47.639999pt;margin-top:781.919983pt;width:.1pt;height:10.35pt;mso-position-horizontal-relative:page;mso-position-vertical-relative:page;z-index:2968" coordorigin="953,15638" coordsize="2,207">
            <v:shape style="position:absolute;left:953;top:15638;width:2;height:207" coordorigin="953,15638" coordsize="0,207" path="m953,15638l953,15845e" filled="false" stroked="true" strokeweight=".12pt" strokecolor="#000000">
              <v:path arrowok="t"/>
            </v:shape>
            <w10:wrap type="none"/>
          </v:group>
        </w:pict>
      </w:r>
    </w:p>
    <w:tbl>
      <w:tblPr>
        <w:tblW w:w="0" w:type="auto"/>
        <w:jc w:val="left"/>
        <w:tblInd w:w="287" w:type="dxa"/>
        <w:tblLayout w:type="fixed"/>
        <w:tblCellMar>
          <w:top w:w="0" w:type="dxa"/>
          <w:left w:w="0" w:type="dxa"/>
          <w:bottom w:w="0" w:type="dxa"/>
          <w:right w:w="0" w:type="dxa"/>
        </w:tblCellMar>
        <w:tblLook w:val="01E0"/>
      </w:tblPr>
      <w:tblGrid>
        <w:gridCol w:w="2366"/>
        <w:gridCol w:w="686"/>
        <w:gridCol w:w="686"/>
        <w:gridCol w:w="686"/>
        <w:gridCol w:w="686"/>
        <w:gridCol w:w="684"/>
        <w:gridCol w:w="686"/>
        <w:gridCol w:w="684"/>
        <w:gridCol w:w="686"/>
        <w:gridCol w:w="818"/>
        <w:gridCol w:w="893"/>
      </w:tblGrid>
      <w:tr>
        <w:trPr>
          <w:trHeight w:val="403" w:hRule="exact"/>
        </w:trPr>
        <w:tc>
          <w:tcPr>
            <w:tcW w:w="2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198"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401" w:hRule="exact"/>
        </w:trPr>
        <w:tc>
          <w:tcPr>
            <w:tcW w:w="2366" w:type="dxa"/>
            <w:vMerge/>
            <w:tcBorders>
              <w:left w:val="single" w:sz="4" w:space="0" w:color="000000"/>
              <w:right w:val="single" w:sz="4" w:space="0" w:color="000000"/>
            </w:tcBorders>
            <w:shd w:val="clear" w:color="auto" w:fill="D3D3D3"/>
          </w:tcPr>
          <w:p>
            <w:pPr/>
          </w:p>
        </w:tc>
        <w:tc>
          <w:tcPr>
            <w:tcW w:w="5486"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749"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25" w:right="41"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027" w:hRule="exact"/>
        </w:trPr>
        <w:tc>
          <w:tcPr>
            <w:tcW w:w="2366" w:type="dxa"/>
            <w:vMerge/>
            <w:tcBorders>
              <w:left w:val="single" w:sz="4" w:space="0" w:color="000000"/>
              <w:bottom w:val="single" w:sz="4" w:space="0" w:color="000000"/>
              <w:right w:val="single" w:sz="4" w:space="0" w:color="000000"/>
            </w:tcBorders>
            <w:shd w:val="clear" w:color="auto" w:fill="D3D3D3"/>
          </w:tcPr>
          <w:p>
            <w:pP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9" w:right="6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19"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58" w:right="65"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single" w:sz="4" w:space="0" w:color="000000"/>
              <w:right w:val="single" w:sz="4" w:space="0" w:color="000000"/>
            </w:tcBorders>
            <w:shd w:val="clear" w:color="auto" w:fill="D3D3D3"/>
          </w:tcPr>
          <w:p>
            <w:pPr/>
          </w:p>
        </w:tc>
        <w:tc>
          <w:tcPr>
            <w:tcW w:w="893" w:type="dxa"/>
            <w:vMerge/>
            <w:tcBorders>
              <w:left w:val="single" w:sz="4" w:space="0" w:color="000000"/>
              <w:bottom w:val="single" w:sz="4" w:space="0" w:color="000000"/>
              <w:right w:val="single" w:sz="4" w:space="0" w:color="000000"/>
            </w:tcBorders>
            <w:shd w:val="clear" w:color="auto" w:fill="D3D3D3"/>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107,000</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247,101,</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812.22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12,795,</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019.06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105,011,</w:t>
            </w:r>
          </w:p>
          <w:p>
            <w:pPr>
              <w:pStyle w:val="TableParagraph"/>
              <w:spacing w:line="240" w:lineRule="auto" w:before="105"/>
              <w:ind w:left="137" w:right="0"/>
              <w:jc w:val="center"/>
              <w:rPr>
                <w:rFonts w:ascii="Times New Roman" w:hAnsi="Times New Roman" w:cs="Times New Roman" w:eastAsia="Times New Roman" w:hint="default"/>
                <w:sz w:val="18"/>
                <w:szCs w:val="18"/>
              </w:rPr>
            </w:pPr>
            <w:r>
              <w:rPr>
                <w:rFonts w:ascii="Times New Roman"/>
                <w:sz w:val="18"/>
              </w:rPr>
              <w:t>702.69</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4,618,020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.77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476,526,55</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4.74</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19"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30"/>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0"/>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107,000</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247,101,</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812.22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12,795,</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019.06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105,011,</w:t>
            </w:r>
          </w:p>
          <w:p>
            <w:pPr>
              <w:pStyle w:val="TableParagraph"/>
              <w:spacing w:line="240" w:lineRule="auto" w:before="105"/>
              <w:ind w:left="137" w:right="0"/>
              <w:jc w:val="center"/>
              <w:rPr>
                <w:rFonts w:ascii="Times New Roman" w:hAnsi="Times New Roman" w:cs="Times New Roman" w:eastAsia="Times New Roman" w:hint="default"/>
                <w:sz w:val="18"/>
                <w:szCs w:val="18"/>
              </w:rPr>
            </w:pPr>
            <w:r>
              <w:rPr>
                <w:rFonts w:ascii="Times New Roman"/>
                <w:sz w:val="18"/>
              </w:rPr>
              <w:t>702.69</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4,618,020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.77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476,526,55</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4.74</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3,608,8</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50.43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17,790,2</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37.58</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113,646.7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21,512,734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840" w:right="1020"/>
        </w:sectPr>
      </w:pPr>
    </w:p>
    <w:p>
      <w:pPr>
        <w:spacing w:line="240" w:lineRule="auto" w:before="6"/>
        <w:rPr>
          <w:rFonts w:ascii="宋体" w:hAnsi="宋体" w:cs="宋体" w:eastAsia="宋体" w:hint="default"/>
          <w:sz w:val="28"/>
          <w:szCs w:val="28"/>
        </w:rPr>
      </w:pPr>
    </w:p>
    <w:tbl>
      <w:tblPr>
        <w:tblW w:w="0" w:type="auto"/>
        <w:jc w:val="left"/>
        <w:tblInd w:w="107" w:type="dxa"/>
        <w:tblLayout w:type="fixed"/>
        <w:tblCellMar>
          <w:top w:w="0" w:type="dxa"/>
          <w:left w:w="0" w:type="dxa"/>
          <w:bottom w:w="0" w:type="dxa"/>
          <w:right w:w="0" w:type="dxa"/>
        </w:tblCellMar>
        <w:tblLook w:val="01E0"/>
      </w:tblPr>
      <w:tblGrid>
        <w:gridCol w:w="2366"/>
        <w:gridCol w:w="686"/>
        <w:gridCol w:w="686"/>
        <w:gridCol w:w="686"/>
        <w:gridCol w:w="686"/>
        <w:gridCol w:w="684"/>
        <w:gridCol w:w="686"/>
        <w:gridCol w:w="684"/>
        <w:gridCol w:w="686"/>
        <w:gridCol w:w="818"/>
        <w:gridCol w:w="893"/>
      </w:tblGrid>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bookmarkStart w:name="8、母公司所有者权益变动表" w:id="106"/>
            <w:bookmarkEnd w:id="106"/>
            <w:r>
              <w:rPr/>
            </w:r>
            <w:r>
              <w:rPr>
                <w:rFonts w:ascii="宋体" w:hAnsi="宋体" w:cs="宋体" w:eastAsia="宋体" w:hint="default"/>
                <w:sz w:val="18"/>
                <w:szCs w:val="18"/>
              </w:rPr>
              <w:t>（一）净利润</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42,799,0</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88.01</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113,646.7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42,912,734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.77</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42,799,0</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88.01</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113,646.7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42,912,734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.77</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4"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7" w:right="0"/>
              <w:jc w:val="center"/>
              <w:rPr>
                <w:rFonts w:ascii="Times New Roman" w:hAnsi="Times New Roman" w:cs="Times New Roman" w:eastAsia="Times New Roman" w:hint="default"/>
                <w:sz w:val="18"/>
                <w:szCs w:val="18"/>
              </w:rPr>
            </w:pPr>
            <w:r>
              <w:rPr>
                <w:rFonts w:ascii="Times New Roman"/>
                <w:sz w:val="18"/>
              </w:rPr>
              <w:t>3,608,8</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50.43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2" w:right="0"/>
              <w:jc w:val="center"/>
              <w:rPr>
                <w:rFonts w:ascii="Times New Roman" w:hAnsi="Times New Roman" w:cs="Times New Roman" w:eastAsia="Times New Roman" w:hint="default"/>
                <w:sz w:val="18"/>
                <w:szCs w:val="18"/>
              </w:rPr>
            </w:pPr>
            <w:r>
              <w:rPr>
                <w:rFonts w:ascii="Times New Roman"/>
                <w:sz w:val="18"/>
              </w:rPr>
              <w:t>-25,008,</w:t>
            </w:r>
          </w:p>
          <w:p>
            <w:pPr>
              <w:pStyle w:val="TableParagraph"/>
              <w:spacing w:line="240" w:lineRule="auto" w:before="105"/>
              <w:ind w:left="137" w:right="0"/>
              <w:jc w:val="center"/>
              <w:rPr>
                <w:rFonts w:ascii="Times New Roman" w:hAnsi="Times New Roman" w:cs="Times New Roman" w:eastAsia="Times New Roman" w:hint="default"/>
                <w:sz w:val="18"/>
                <w:szCs w:val="18"/>
              </w:rPr>
            </w:pPr>
            <w:r>
              <w:rPr>
                <w:rFonts w:ascii="Times New Roman"/>
                <w:sz w:val="18"/>
              </w:rPr>
              <w:t>850.43</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-21,400,00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3,608,8</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50.43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-3,608,8</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50.43</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4"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-21,400,</w:t>
            </w:r>
          </w:p>
          <w:p>
            <w:pPr>
              <w:pStyle w:val="TableParagraph"/>
              <w:spacing w:line="240" w:lineRule="auto" w:before="105"/>
              <w:ind w:left="137"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-21,400,00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4"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49"/>
              <w:ind w:left="24"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left"/>
              <w:rPr>
                <w:rFonts w:ascii="Times New Roman" w:hAnsi="Times New Roman" w:cs="Times New Roman" w:eastAsia="Times New Roman" w:hint="default"/>
                <w:sz w:val="18"/>
                <w:szCs w:val="18"/>
              </w:rPr>
            </w:pPr>
            <w:r>
              <w:rPr>
                <w:rFonts w:ascii="Times New Roman"/>
                <w:sz w:val="18"/>
              </w:rPr>
              <w:t>107,000</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247,101,</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812.22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16,403,</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869.49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122,801,</w:t>
            </w:r>
          </w:p>
          <w:p>
            <w:pPr>
              <w:pStyle w:val="TableParagraph"/>
              <w:spacing w:line="240" w:lineRule="auto" w:before="105"/>
              <w:ind w:left="137" w:right="0"/>
              <w:jc w:val="center"/>
              <w:rPr>
                <w:rFonts w:ascii="Times New Roman" w:hAnsi="Times New Roman" w:cs="Times New Roman" w:eastAsia="Times New Roman" w:hint="default"/>
                <w:sz w:val="18"/>
                <w:szCs w:val="18"/>
              </w:rPr>
            </w:pPr>
            <w:r>
              <w:rPr>
                <w:rFonts w:ascii="Times New Roman"/>
                <w:sz w:val="18"/>
              </w:rPr>
              <w:t>940.27</w:t>
            </w:r>
          </w:p>
        </w:tc>
        <w:tc>
          <w:tcPr>
            <w:tcW w:w="686"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4,731,667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.53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498,039,28</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9.51</w:t>
            </w:r>
          </w:p>
        </w:tc>
      </w:tr>
    </w:tbl>
    <w:p>
      <w:pPr>
        <w:spacing w:line="240" w:lineRule="auto" w:before="2"/>
        <w:rPr>
          <w:rFonts w:ascii="宋体" w:hAnsi="宋体" w:cs="宋体" w:eastAsia="宋体" w:hint="default"/>
          <w:sz w:val="19"/>
          <w:szCs w:val="19"/>
        </w:rPr>
      </w:pPr>
    </w:p>
    <w:p>
      <w:pPr>
        <w:spacing w:line="333" w:lineRule="exact" w:before="0"/>
        <w:ind w:left="119" w:right="279"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、母公司所有者权益变动表</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9" w:top="1060" w:bottom="1160" w:left="1020" w:right="840"/>
        </w:sectPr>
      </w:pPr>
    </w:p>
    <w:p>
      <w:pPr>
        <w:spacing w:line="333" w:lineRule="exact" w:before="0"/>
        <w:ind w:left="119" w:right="-2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1"/>
          <w:sz w:val="21"/>
          <w:szCs w:val="21"/>
        </w:rPr>
        <w:t>(1)</w:t>
      </w:r>
      <w:r>
        <w:rPr>
          <w:rFonts w:ascii="Microsoft JhengHei" w:hAnsi="Microsoft JhengHei" w:cs="Microsoft JhengHei" w:eastAsia="Microsoft JhengHei" w:hint="default"/>
          <w:b/>
          <w:bCs/>
          <w:spacing w:val="-1"/>
          <w:sz w:val="21"/>
          <w:szCs w:val="21"/>
        </w:rPr>
        <w:t>本期金额</w:t>
      </w:r>
      <w:r>
        <w:rPr>
          <w:rFonts w:ascii="Microsoft JhengHei" w:hAnsi="Microsoft JhengHei" w:cs="Microsoft JhengHei" w:eastAsia="Microsoft JhengHei" w:hint="default"/>
          <w:spacing w:val="-1"/>
          <w:sz w:val="21"/>
          <w:szCs w:val="21"/>
        </w:rPr>
      </w:r>
    </w:p>
    <w:p>
      <w:pPr>
        <w:spacing w:line="240" w:lineRule="auto" w:before="12"/>
        <w:rPr>
          <w:rFonts w:ascii="Microsoft JhengHei" w:hAnsi="Microsoft JhengHei" w:cs="Microsoft JhengHei" w:eastAsia="Microsoft JhengHei" w:hint="default"/>
          <w:b/>
          <w:bCs/>
          <w:sz w:val="23"/>
          <w:szCs w:val="23"/>
        </w:rPr>
      </w:pPr>
      <w:r>
        <w:rPr/>
        <w:br w:type="column"/>
      </w:r>
      <w:r>
        <w:rPr>
          <w:rFonts w:ascii="Microsoft JhengHei"/>
          <w:b/>
          <w:sz w:val="23"/>
        </w:rPr>
      </w:r>
    </w:p>
    <w:p>
      <w:pPr>
        <w:spacing w:before="0"/>
        <w:ind w:left="119" w:right="0" w:firstLine="0"/>
        <w:jc w:val="left"/>
        <w:rPr>
          <w:rFonts w:ascii="宋体" w:hAnsi="宋体" w:cs="宋体" w:eastAsia="宋体" w:hint="default"/>
          <w:sz w:val="18"/>
          <w:szCs w:val="18"/>
        </w:rPr>
      </w:pPr>
      <w:r>
        <w:rPr/>
        <w:pict>
          <v:group style="position:absolute;margin-left:547.559998pt;margin-top:63.071701pt;width:.1pt;height:10.35pt;mso-position-horizontal-relative:page;mso-position-vertical-relative:paragraph;z-index:3064" coordorigin="10951,1261" coordsize="2,207">
            <v:shape style="position:absolute;left:10951;top:1261;width:2;height:207" coordorigin="10951,1261" coordsize="0,207" path="m10951,1261l10951,1468e" filled="false" stroked="true" strokeweight=".12pt" strokecolor="#000000">
              <v:path arrowok="t"/>
            </v:shape>
            <w10:wrap type="none"/>
          </v:group>
        </w:pict>
      </w: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1020" w:right="840"/>
          <w:cols w:num="2" w:equalWidth="0">
            <w:col w:w="1198" w:space="7714"/>
            <w:col w:w="1138"/>
          </w:cols>
        </w:sectPr>
      </w:pPr>
    </w:p>
    <w:p>
      <w:pPr>
        <w:spacing w:line="240" w:lineRule="auto" w:before="10"/>
        <w:rPr>
          <w:rFonts w:ascii="宋体" w:hAnsi="宋体" w:cs="宋体" w:eastAsia="宋体" w:hint="default"/>
          <w:sz w:val="7"/>
          <w:szCs w:val="7"/>
        </w:rPr>
      </w:pPr>
    </w:p>
    <w:p>
      <w:pPr>
        <w:spacing w:line="415" w:lineRule="exact"/>
        <w:ind w:left="103"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pt;height:20.8pt;mso-position-horizontal-relative:char;mso-position-vertical-relative:line" coordorigin="0,0" coordsize="9586,416">
            <v:group style="position:absolute;left:12;top:12;width:2472;height:396" coordorigin="12,12" coordsize="2472,396">
              <v:shape style="position:absolute;left:12;top:12;width:2472;height:396" coordorigin="12,12" coordsize="2472,396" path="m12,12l12,408,2484,408,2484,12,12,12xe" filled="true" fillcolor="#d3d3d3" stroked="false">
                <v:path arrowok="t"/>
                <v:fill type="solid"/>
              </v:shape>
            </v:group>
            <v:group style="position:absolute;left:2489;top:12;width:7085;height:396" coordorigin="2489,12" coordsize="7085,396">
              <v:shape style="position:absolute;left:2489;top:12;width:7085;height:396" coordorigin="2489,12" coordsize="7085,396" path="m2489,12l2489,408,9574,408,9574,12,2489,12xe" filled="true" fillcolor="#d3d3d3" stroked="false">
                <v:path arrowok="t"/>
                <v:fill type="solid"/>
              </v:shape>
            </v:group>
            <v:group style="position:absolute;left:5;top:10;width:9576;height:2" coordorigin="5,10" coordsize="9576,2">
              <v:shape style="position:absolute;left:5;top:10;width:9576;height:2" coordorigin="5,10" coordsize="9576,0" path="m5,10l9581,10e" filled="false" stroked="true" strokeweight=".48pt" strokecolor="#000000">
                <v:path arrowok="t"/>
              </v:shape>
            </v:group>
            <v:group style="position:absolute;left:5;top:410;width:9576;height:2" coordorigin="5,410" coordsize="9576,2">
              <v:shape style="position:absolute;left:5;top:410;width:9576;height:2" coordorigin="5,410" coordsize="9576,0" path="m5,410l9581,410e" filled="false" stroked="true" strokeweight=".48pt" strokecolor="#000000">
                <v:path arrowok="t"/>
              </v:shape>
            </v:group>
            <v:group style="position:absolute;left:10;top:5;width:2;height:401" coordorigin="10,5" coordsize="2,401">
              <v:shape style="position:absolute;left:10;top:5;width:2;height:401" coordorigin="10,5" coordsize="0,401" path="m10,5l10,406e" filled="false" stroked="true" strokeweight=".48pt" strokecolor="#000000">
                <v:path arrowok="t"/>
              </v:shape>
            </v:group>
            <v:group style="position:absolute;left:2486;top:5;width:2;height:401" coordorigin="2486,5" coordsize="2,401">
              <v:shape style="position:absolute;left:2486;top:5;width:2;height:401" coordorigin="2486,5" coordsize="0,401" path="m2486,5l2486,406e" filled="false" stroked="true" strokeweight=".48pt" strokecolor="#000000">
                <v:path arrowok="t"/>
              </v:shape>
            </v:group>
            <v:group style="position:absolute;left:9576;top:5;width:2;height:401" coordorigin="9576,5" coordsize="2,401">
              <v:shape style="position:absolute;left:9576;top:5;width:2;height:401" coordorigin="9576,5" coordsize="0,401" path="m9576,5l9576,406e" filled="false" stroked="true" strokeweight=".48pt" strokecolor="#000000">
                <v:path arrowok="t"/>
              </v:shape>
              <v:shape style="position:absolute;left:10;top:10;width:2477;height:401"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5671;top:11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txbxContent>
                </v:textbox>
                <w10:wrap type="none"/>
              </v:shape>
            </v:group>
          </v:group>
        </w:pict>
      </w:r>
      <w:r>
        <w:rPr>
          <w:rFonts w:ascii="宋体" w:hAnsi="宋体" w:cs="宋体" w:eastAsia="宋体" w:hint="default"/>
          <w:position w:val="-7"/>
          <w:sz w:val="20"/>
          <w:szCs w:val="20"/>
        </w:rPr>
      </w:r>
    </w:p>
    <w:p>
      <w:pPr>
        <w:spacing w:after="0" w:line="415" w:lineRule="exact"/>
        <w:rPr>
          <w:rFonts w:ascii="宋体" w:hAnsi="宋体" w:cs="宋体" w:eastAsia="宋体" w:hint="default"/>
          <w:sz w:val="20"/>
          <w:szCs w:val="20"/>
        </w:rPr>
        <w:sectPr>
          <w:type w:val="continuous"/>
          <w:pgSz w:w="11910" w:h="16840"/>
          <w:pgMar w:top="1060" w:bottom="1160" w:left="1020" w:right="840"/>
        </w:sectPr>
      </w:pPr>
    </w:p>
    <w:p>
      <w:pPr>
        <w:spacing w:line="240" w:lineRule="auto" w:before="0"/>
        <w:rPr>
          <w:rFonts w:ascii="Times New Roman" w:hAnsi="Times New Roman" w:cs="Times New Roman" w:eastAsia="Times New Roman" w:hint="default"/>
          <w:sz w:val="20"/>
          <w:szCs w:val="20"/>
        </w:rPr>
      </w:pPr>
      <w:r>
        <w:rPr/>
        <w:pict>
          <v:shape style="position:absolute;margin-left:174.600006pt;margin-top:630.359985pt;width:49.95pt;height:19.8pt;mso-position-horizontal-relative:page;mso-position-vertical-relative:page;z-index:-604048" type="#_x0000_t202" filled="false" stroked="false">
            <v:textbox inset="0,0,0,0">
              <w:txbxContent>
                <w:p>
                  <w:pPr>
                    <w:spacing w:before="53"/>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174.600006pt;margin-top:650.520020pt;width:49.95pt;height:19.8pt;mso-position-horizontal-relative:page;mso-position-vertical-relative:page;z-index:-604024"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47.639999pt;margin-top:781.919983pt;width:.1pt;height:10.35pt;mso-position-horizontal-relative:page;mso-position-vertical-relative:page;z-index:3136" coordorigin="953,15638" coordsize="2,207">
            <v:shape style="position:absolute;left:953;top:15638;width:2;height:207" coordorigin="953,15638" coordsize="0,207" path="m953,15638l953,15845e" filled="false" stroked="true" strokeweight=".12pt" strokecolor="#000000">
              <v:path arrowok="t"/>
            </v:shape>
            <w10:wrap type="none"/>
          </v:group>
        </w:pict>
      </w:r>
      <w:r>
        <w:rPr/>
        <w:pict>
          <v:group style="position:absolute;margin-left:180.599991pt;margin-top:630.359985pt;width:43.95pt;height:40pt;mso-position-horizontal-relative:page;mso-position-vertical-relative:page;z-index:-603976" coordorigin="3612,12607" coordsize="879,800">
            <v:group style="position:absolute;left:3612;top:12607;width:879;height:396" coordorigin="3612,12607" coordsize="879,396">
              <v:shape style="position:absolute;left:3612;top:12607;width:879;height:396" coordorigin="3612,12607" coordsize="879,396" path="m3612,12607l3612,13003,4490,13003,4490,12607,3612,12607xe" filled="true" fillcolor="#ffffff" stroked="false">
                <v:path arrowok="t"/>
                <v:fill type="solid"/>
              </v:shape>
            </v:group>
            <v:group style="position:absolute;left:3612;top:13010;width:879;height:396" coordorigin="3612,13010" coordsize="879,396">
              <v:shape style="position:absolute;left:3612;top:13010;width:879;height:396" coordorigin="3612,13010" coordsize="879,396" path="m3612,13010l3612,13406,4490,13406,4490,13010,3612,13010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287" w:type="dxa"/>
        <w:tblLayout w:type="fixed"/>
        <w:tblCellMar>
          <w:top w:w="0" w:type="dxa"/>
          <w:left w:w="0" w:type="dxa"/>
          <w:bottom w:w="0" w:type="dxa"/>
          <w:right w:w="0" w:type="dxa"/>
        </w:tblCellMar>
        <w:tblLook w:val="01E0"/>
      </w:tblPr>
      <w:tblGrid>
        <w:gridCol w:w="2477"/>
        <w:gridCol w:w="886"/>
        <w:gridCol w:w="883"/>
        <w:gridCol w:w="886"/>
        <w:gridCol w:w="886"/>
        <w:gridCol w:w="886"/>
        <w:gridCol w:w="888"/>
        <w:gridCol w:w="886"/>
        <w:gridCol w:w="890"/>
      </w:tblGrid>
      <w:tr>
        <w:trPr>
          <w:trHeight w:val="713"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4"/>
              <w:ind w:left="24" w:right="-49"/>
              <w:jc w:val="left"/>
              <w:rPr>
                <w:rFonts w:ascii="宋体" w:hAnsi="宋体" w:cs="宋体" w:eastAsia="宋体" w:hint="default"/>
                <w:sz w:val="18"/>
                <w:szCs w:val="18"/>
              </w:rPr>
            </w:pPr>
            <w:r>
              <w:rPr>
                <w:rFonts w:ascii="宋体" w:hAnsi="宋体" w:cs="宋体" w:eastAsia="宋体" w:hint="default"/>
                <w:sz w:val="18"/>
                <w:szCs w:val="18"/>
              </w:rPr>
              <w:t>（或股本）</w:t>
            </w:r>
          </w:p>
        </w:tc>
        <w:tc>
          <w:tcPr>
            <w:tcW w:w="8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14"/>
                <w:sz w:val="18"/>
                <w:szCs w:val="18"/>
              </w:rPr>
              <w:t>减：库存股</w:t>
            </w: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59" w:right="7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348" w:right="77"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170" w:right="77"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715"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107,000,00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247,101,81</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2.22</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16,403,869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.49</w:t>
            </w: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94,312,175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.96</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464,817,85</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7.67</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107,000,00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247,101,81</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2.22</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16,403,869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.49</w:t>
            </w: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94,312,175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.96</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464,817,85</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7.67</w:t>
            </w:r>
          </w:p>
        </w:tc>
      </w:tr>
      <w:tr>
        <w:trPr>
          <w:trHeight w:val="713"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101"/>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3,048,668.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30</w:t>
            </w: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14,598,014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.73</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17,646,683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.03</w:t>
            </w:r>
          </w:p>
        </w:tc>
      </w:tr>
      <w:tr>
        <w:trPr>
          <w:trHeight w:val="715"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30,486,683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.01</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30,486,683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.01</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30,486,683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.01</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30,486,683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.01</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金额</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3,048,668.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30</w:t>
            </w: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-15,888,66</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8.28</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-12,839,99</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9.98</w:t>
            </w:r>
          </w:p>
        </w:tc>
      </w:tr>
      <w:tr>
        <w:trPr>
          <w:trHeight w:val="715"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3,048,668.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30</w:t>
            </w: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-3,048,668.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30</w:t>
            </w: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-12,839,99</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9.98</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-12,839,99</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9.98</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．资本公积转增资本（或股本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．盈余公积转增资本（或股本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840" w:right="10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2477"/>
        <w:gridCol w:w="883"/>
        <w:gridCol w:w="886"/>
        <w:gridCol w:w="886"/>
        <w:gridCol w:w="886"/>
        <w:gridCol w:w="886"/>
        <w:gridCol w:w="888"/>
        <w:gridCol w:w="886"/>
        <w:gridCol w:w="890"/>
      </w:tblGrid>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107,000,00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247,101,81</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2.22</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19,452,537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.79</w:t>
            </w:r>
          </w:p>
        </w:tc>
        <w:tc>
          <w:tcPr>
            <w:tcW w:w="888"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108,910,19</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0.69</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482,464,54</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0.70</w:t>
            </w:r>
          </w:p>
        </w:tc>
      </w:tr>
    </w:tbl>
    <w:p>
      <w:pPr>
        <w:spacing w:line="240" w:lineRule="auto" w:before="11"/>
        <w:rPr>
          <w:rFonts w:ascii="Times New Roman" w:hAnsi="Times New Roman" w:cs="Times New Roman" w:eastAsia="Times New Roman" w:hint="default"/>
          <w:sz w:val="29"/>
          <w:szCs w:val="29"/>
        </w:rPr>
      </w:pPr>
    </w:p>
    <w:p>
      <w:pPr>
        <w:spacing w:after="0" w:line="240" w:lineRule="auto"/>
        <w:rPr>
          <w:rFonts w:ascii="Times New Roman" w:hAnsi="Times New Roman" w:cs="Times New Roman" w:eastAsia="Times New Roman" w:hint="default"/>
          <w:sz w:val="29"/>
          <w:szCs w:val="29"/>
        </w:rPr>
        <w:sectPr>
          <w:pgSz w:w="11910" w:h="16840"/>
          <w:pgMar w:header="745" w:footer="979" w:top="1060" w:bottom="1160" w:left="1020" w:right="840"/>
        </w:sectPr>
      </w:pPr>
    </w:p>
    <w:p>
      <w:pPr>
        <w:spacing w:line="333" w:lineRule="exact" w:before="0"/>
        <w:ind w:left="119" w:right="-2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1"/>
          <w:sz w:val="21"/>
          <w:szCs w:val="21"/>
        </w:rPr>
        <w:t>(2)</w:t>
      </w:r>
      <w:r>
        <w:rPr>
          <w:rFonts w:ascii="Microsoft JhengHei" w:hAnsi="Microsoft JhengHei" w:cs="Microsoft JhengHei" w:eastAsia="Microsoft JhengHei" w:hint="default"/>
          <w:b/>
          <w:bCs/>
          <w:spacing w:val="-1"/>
          <w:sz w:val="21"/>
          <w:szCs w:val="21"/>
        </w:rPr>
        <w:t>上年金额</w:t>
      </w:r>
      <w:r>
        <w:rPr>
          <w:rFonts w:ascii="Microsoft JhengHei" w:hAnsi="Microsoft JhengHei" w:cs="Microsoft JhengHei" w:eastAsia="Microsoft JhengHei" w:hint="default"/>
          <w:spacing w:val="-1"/>
          <w:sz w:val="21"/>
          <w:szCs w:val="21"/>
        </w:rPr>
      </w:r>
    </w:p>
    <w:p>
      <w:pPr>
        <w:spacing w:line="240" w:lineRule="auto" w:before="10"/>
        <w:rPr>
          <w:rFonts w:ascii="Microsoft JhengHei" w:hAnsi="Microsoft JhengHei" w:cs="Microsoft JhengHei" w:eastAsia="Microsoft JhengHei" w:hint="default"/>
          <w:b/>
          <w:bCs/>
          <w:sz w:val="23"/>
          <w:szCs w:val="23"/>
        </w:rPr>
      </w:pPr>
      <w:r>
        <w:rPr/>
        <w:br w:type="column"/>
      </w:r>
      <w:r>
        <w:rPr>
          <w:rFonts w:ascii="Microsoft JhengHei"/>
          <w:b/>
          <w:sz w:val="23"/>
        </w:rPr>
      </w:r>
    </w:p>
    <w:p>
      <w:pPr>
        <w:spacing w:before="0"/>
        <w:ind w:left="119"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1020" w:right="840"/>
          <w:cols w:num="2" w:equalWidth="0">
            <w:col w:w="1198" w:space="7714"/>
            <w:col w:w="1138"/>
          </w:cols>
        </w:sectPr>
      </w:pPr>
    </w:p>
    <w:p>
      <w:pPr>
        <w:spacing w:line="240" w:lineRule="auto" w:before="2"/>
        <w:rPr>
          <w:rFonts w:ascii="宋体" w:hAnsi="宋体" w:cs="宋体" w:eastAsia="宋体" w:hint="default"/>
          <w:sz w:val="8"/>
          <w:szCs w:val="8"/>
        </w:rPr>
      </w:pPr>
      <w:r>
        <w:rPr/>
        <w:pict>
          <v:group style="position:absolute;margin-left:547.559998pt;margin-top:781.919983pt;width:.1pt;height:10.35pt;mso-position-horizontal-relative:page;mso-position-vertical-relative:page;z-index:3184" coordorigin="10951,15638" coordsize="2,207">
            <v:shape style="position:absolute;left:10951;top:15638;width:2;height:207" coordorigin="10951,15638" coordsize="0,207" path="m10951,15638l10951,15845e" filled="false" stroked="true" strokeweight=".12pt" strokecolor="#000000">
              <v:path arrowok="t"/>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2496"/>
        <w:gridCol w:w="886"/>
        <w:gridCol w:w="883"/>
        <w:gridCol w:w="886"/>
        <w:gridCol w:w="883"/>
        <w:gridCol w:w="886"/>
        <w:gridCol w:w="883"/>
        <w:gridCol w:w="883"/>
        <w:gridCol w:w="883"/>
      </w:tblGrid>
      <w:tr>
        <w:trPr>
          <w:trHeight w:val="403" w:hRule="exact"/>
        </w:trPr>
        <w:tc>
          <w:tcPr>
            <w:tcW w:w="24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7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713" w:hRule="exact"/>
        </w:trPr>
        <w:tc>
          <w:tcPr>
            <w:tcW w:w="2496" w:type="dxa"/>
            <w:vMerge/>
            <w:tcBorders>
              <w:left w:val="single" w:sz="4" w:space="0" w:color="000000"/>
              <w:bottom w:val="single" w:sz="4" w:space="0" w:color="000000"/>
              <w:right w:val="single" w:sz="4" w:space="0" w:color="000000"/>
            </w:tcBorders>
            <w:shd w:val="clear" w:color="auto" w:fill="D3D3D3"/>
          </w:tcPr>
          <w:p>
            <w:pP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196" w:lineRule="exact"/>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96"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14"/>
                <w:sz w:val="18"/>
                <w:szCs w:val="18"/>
              </w:rPr>
              <w:t>减：库存股</w:t>
            </w:r>
          </w:p>
        </w:tc>
        <w:tc>
          <w:tcPr>
            <w:tcW w:w="8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56" w:right="74"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48" w:right="74"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68" w:right="74"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715"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107,000,00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247,101,81</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2.22</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12,795,019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.06</w:t>
            </w: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83,232,522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450,129,35</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3.40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107,000,00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247,101,81</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2.22</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12,795,019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.06</w:t>
            </w: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83,232,522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450,129,35</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3.40</w:t>
            </w:r>
          </w:p>
        </w:tc>
      </w:tr>
      <w:tr>
        <w:trPr>
          <w:trHeight w:val="71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3,608,850.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w:t>
            </w: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11,079,653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.84</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14,688,504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.27</w:t>
            </w:r>
          </w:p>
        </w:tc>
      </w:tr>
      <w:tr>
        <w:trPr>
          <w:trHeight w:val="715"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36,088,504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.27</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36,088,504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.27</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36,088,504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.27</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36,088,504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.27</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3,608,850.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w:t>
            </w: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-25,008,85</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0.43</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-21,400,00</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3,608,850.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w:t>
            </w: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-3,608,850.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43</w:t>
            </w: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-21,400,00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-21,400,00</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1020" w:right="840"/>
        </w:sectPr>
      </w:pPr>
    </w:p>
    <w:p>
      <w:pPr>
        <w:spacing w:line="240" w:lineRule="auto" w:before="6"/>
        <w:rPr>
          <w:rFonts w:ascii="宋体" w:hAnsi="宋体" w:cs="宋体" w:eastAsia="宋体" w:hint="default"/>
          <w:sz w:val="28"/>
          <w:szCs w:val="28"/>
        </w:rPr>
      </w:pPr>
      <w:r>
        <w:rPr/>
        <w:pict>
          <v:shape style="position:absolute;margin-left:175.559998pt;margin-top:92.400024pt;width:49.95pt;height:35.4pt;mso-position-horizontal-relative:page;mso-position-vertical-relative:page;z-index:-603928" type="#_x0000_t202" filled="false" stroked="false">
            <v:textbox inset="0,0,0,0">
              <w:txbxContent>
                <w:p>
                  <w:pPr>
                    <w:spacing w:line="240" w:lineRule="auto" w:before="0"/>
                    <w:rPr>
                      <w:rFonts w:ascii="宋体" w:hAnsi="宋体" w:cs="宋体" w:eastAsia="宋体"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175.559998pt;margin-top:128.160019pt;width:49.95pt;height:19.8pt;mso-position-horizontal-relative:page;mso-position-vertical-relative:page;z-index:-603904" type="#_x0000_t202" filled="false" stroked="false">
            <v:textbox inset="0,0,0,0">
              <w:txbxContent>
                <w:p>
                  <w:pPr>
                    <w:spacing w:before="53"/>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181.559998pt;margin-top:92.400024pt;width:43.95pt;height:55.6pt;mso-position-horizontal-relative:page;mso-position-vertical-relative:page;z-index:-603856" coordorigin="3631,1848" coordsize="879,1112">
            <v:group style="position:absolute;left:3631;top:1848;width:879;height:708" coordorigin="3631,1848" coordsize="879,708">
              <v:shape style="position:absolute;left:3631;top:1848;width:879;height:708" coordorigin="3631,1848" coordsize="879,708" path="m3631,1848l3631,2556,4510,2556,4510,1848,3631,1848xe" filled="true" fillcolor="#ffffff" stroked="false">
                <v:path arrowok="t"/>
                <v:fill type="solid"/>
              </v:shape>
            </v:group>
            <v:group style="position:absolute;left:3631;top:2563;width:879;height:396" coordorigin="3631,2563" coordsize="879,396">
              <v:shape style="position:absolute;left:3631;top:2563;width:879;height:396" coordorigin="3631,2563" coordsize="879,396" path="m3631,2563l3631,2959,4510,2959,4510,2563,3631,2563xe" filled="true" fillcolor="#ffffff" stroked="false">
                <v:path arrowok="t"/>
                <v:fill type="solid"/>
              </v:shape>
            </v:group>
            <w10:wrap type="none"/>
          </v:group>
        </w:pict>
      </w:r>
    </w:p>
    <w:tbl>
      <w:tblPr>
        <w:tblW w:w="0" w:type="auto"/>
        <w:jc w:val="left"/>
        <w:tblInd w:w="287" w:type="dxa"/>
        <w:tblLayout w:type="fixed"/>
        <w:tblCellMar>
          <w:top w:w="0" w:type="dxa"/>
          <w:left w:w="0" w:type="dxa"/>
          <w:bottom w:w="0" w:type="dxa"/>
          <w:right w:w="0" w:type="dxa"/>
        </w:tblCellMar>
        <w:tblLook w:val="01E0"/>
      </w:tblPr>
      <w:tblGrid>
        <w:gridCol w:w="2496"/>
        <w:gridCol w:w="883"/>
        <w:gridCol w:w="886"/>
        <w:gridCol w:w="886"/>
        <w:gridCol w:w="883"/>
        <w:gridCol w:w="886"/>
        <w:gridCol w:w="883"/>
        <w:gridCol w:w="883"/>
        <w:gridCol w:w="883"/>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bookmarkStart w:name="三、财务报表附注" w:id="107"/>
            <w:bookmarkEnd w:id="107"/>
            <w:r>
              <w:rPr/>
            </w:r>
            <w:bookmarkStart w:name="二、公司主要会计政策、会计估计和前期差错更正" w:id="108"/>
            <w:bookmarkEnd w:id="108"/>
            <w:r>
              <w:rPr/>
            </w:r>
            <w:r>
              <w:rPr>
                <w:rFonts w:ascii="宋体" w:hAnsi="宋体" w:cs="宋体" w:eastAsia="宋体" w:hint="default"/>
                <w:sz w:val="18"/>
                <w:szCs w:val="18"/>
              </w:rPr>
              <w:t>（五）所有者权益内部结转</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．资本公积转增资本（或股本</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107,000,00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247,101,81</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2.22</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16,403,869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.49</w:t>
            </w: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94,312,175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.96</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464,817,85</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7.67</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．盈余公积转增资本（或股本</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107,000,00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247,101,81</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2.22</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16,403,869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.49</w:t>
            </w: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94,312,175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.96</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464,817,85</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7.67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3"/>
        <w:spacing w:line="367" w:lineRule="exact"/>
        <w:ind w:left="292" w:right="96"/>
        <w:jc w:val="left"/>
        <w:rPr>
          <w:b w:val="0"/>
          <w:bCs w:val="0"/>
        </w:rPr>
      </w:pPr>
      <w:r>
        <w:rPr/>
        <w:t>三、财务报表附注</w:t>
      </w:r>
      <w:r>
        <w:rPr>
          <w:b w:val="0"/>
          <w:bCs w:val="0"/>
        </w:rPr>
      </w:r>
    </w:p>
    <w:p>
      <w:pPr>
        <w:spacing w:line="240" w:lineRule="auto" w:before="17"/>
        <w:rPr>
          <w:rFonts w:ascii="Microsoft JhengHei" w:hAnsi="Microsoft JhengHei" w:cs="Microsoft JhengHei" w:eastAsia="Microsoft JhengHei" w:hint="default"/>
          <w:b/>
          <w:bCs/>
          <w:sz w:val="17"/>
          <w:szCs w:val="17"/>
        </w:rPr>
      </w:pPr>
    </w:p>
    <w:p>
      <w:pPr>
        <w:spacing w:before="44"/>
        <w:ind w:left="0" w:right="232" w:firstLine="0"/>
        <w:jc w:val="right"/>
        <w:rPr>
          <w:rFonts w:ascii="宋体" w:hAnsi="宋体" w:cs="宋体" w:eastAsia="宋体" w:hint="default"/>
          <w:sz w:val="18"/>
          <w:szCs w:val="18"/>
        </w:rPr>
      </w:pPr>
      <w:r>
        <w:rPr>
          <w:rFonts w:ascii="宋体" w:hAnsi="宋体" w:cs="宋体" w:eastAsia="宋体" w:hint="default"/>
          <w:sz w:val="18"/>
          <w:szCs w:val="18"/>
        </w:rPr>
        <w:t>金额单位：人民币元</w:t>
      </w:r>
    </w:p>
    <w:p>
      <w:pPr>
        <w:spacing w:line="240" w:lineRule="auto" w:before="5"/>
        <w:rPr>
          <w:rFonts w:ascii="宋体" w:hAnsi="宋体" w:cs="宋体" w:eastAsia="宋体" w:hint="default"/>
          <w:sz w:val="15"/>
          <w:szCs w:val="15"/>
        </w:rPr>
      </w:pPr>
    </w:p>
    <w:p>
      <w:pPr>
        <w:pStyle w:val="BodyText"/>
        <w:spacing w:line="420" w:lineRule="auto" w:before="26"/>
        <w:ind w:left="715" w:right="96"/>
        <w:jc w:val="left"/>
      </w:pPr>
      <w:r>
        <w:rPr/>
        <w:t>一、公司基本情况 杭州新世纪信息技术股份有限公司（以下简称公司或本公司）系由陆燕、高雁峰、滕学</w:t>
      </w:r>
    </w:p>
    <w:p>
      <w:pPr>
        <w:pStyle w:val="BodyText"/>
        <w:spacing w:line="288" w:lineRule="exact" w:before="0"/>
        <w:ind w:right="0"/>
        <w:jc w:val="both"/>
      </w:pPr>
      <w:r>
        <w:rPr/>
        <w:t>军、乔文东等自然人出资的杭州新世纪信息技术有限公司整体变更设立，于</w:t>
      </w:r>
      <w:r>
        <w:rPr>
          <w:spacing w:val="-34"/>
        </w:rPr>
        <w:t> </w:t>
      </w:r>
      <w:r>
        <w:rPr/>
        <w:t>2007</w:t>
      </w:r>
      <w:r>
        <w:rPr>
          <w:spacing w:val="-46"/>
        </w:rPr>
        <w:t> </w:t>
      </w:r>
      <w:r>
        <w:rPr/>
        <w:t>年</w:t>
      </w:r>
      <w:r>
        <w:rPr>
          <w:spacing w:val="-46"/>
        </w:rPr>
        <w:t> </w:t>
      </w:r>
      <w:r>
        <w:rPr/>
        <w:t>2</w:t>
      </w:r>
      <w:r>
        <w:rPr>
          <w:spacing w:val="-46"/>
        </w:rPr>
        <w:t> </w:t>
      </w:r>
      <w:r>
        <w:rPr/>
        <w:t>月</w:t>
      </w:r>
      <w:r>
        <w:rPr>
          <w:spacing w:val="-46"/>
        </w:rPr>
        <w:t> </w:t>
      </w:r>
      <w:r>
        <w:rPr/>
        <w:t>12</w:t>
      </w:r>
    </w:p>
    <w:p>
      <w:pPr>
        <w:pStyle w:val="BodyText"/>
        <w:spacing w:line="388" w:lineRule="auto" w:before="154"/>
        <w:ind w:left="775" w:right="99" w:hanging="483"/>
        <w:jc w:val="left"/>
      </w:pPr>
      <w:r>
        <w:rPr>
          <w:spacing w:val="-5"/>
        </w:rPr>
        <w:t>日在杭州市工商行政管理局登记注册，取得注册号为</w:t>
      </w:r>
      <w:r>
        <w:rPr>
          <w:spacing w:val="-51"/>
        </w:rPr>
        <w:t> </w:t>
      </w:r>
      <w:r>
        <w:rPr/>
        <w:t>3301002069457</w:t>
      </w:r>
      <w:r>
        <w:rPr>
          <w:spacing w:val="-51"/>
        </w:rPr>
        <w:t> </w:t>
      </w:r>
      <w:r>
        <w:rPr>
          <w:spacing w:val="-19"/>
        </w:rPr>
        <w:t>的《企业法人营业执照》。</w:t>
      </w:r>
      <w:r>
        <w:rPr/>
        <w:t> 2009</w:t>
      </w:r>
      <w:r>
        <w:rPr>
          <w:spacing w:val="-55"/>
        </w:rPr>
        <w:t> </w:t>
      </w:r>
      <w:r>
        <w:rPr/>
        <w:t>年</w:t>
      </w:r>
      <w:r>
        <w:rPr>
          <w:spacing w:val="-55"/>
        </w:rPr>
        <w:t> </w:t>
      </w:r>
      <w:r>
        <w:rPr/>
        <w:t>8</w:t>
      </w:r>
      <w:r>
        <w:rPr>
          <w:spacing w:val="-53"/>
        </w:rPr>
        <w:t> </w:t>
      </w:r>
      <w:r>
        <w:rPr/>
        <w:t>月经中国证券监督管理委员会证监许可〔2009〕672</w:t>
      </w:r>
      <w:r>
        <w:rPr>
          <w:spacing w:val="-55"/>
        </w:rPr>
        <w:t> </w:t>
      </w:r>
      <w:r>
        <w:rPr/>
        <w:t>号批准，公司通过深圳证</w:t>
      </w:r>
    </w:p>
    <w:p>
      <w:pPr>
        <w:pStyle w:val="BodyText"/>
        <w:spacing w:line="240" w:lineRule="auto" w:before="5"/>
        <w:ind w:right="0"/>
        <w:jc w:val="both"/>
      </w:pPr>
      <w:r>
        <w:rPr/>
        <w:t>券交易所发行</w:t>
      </w:r>
      <w:r>
        <w:rPr>
          <w:spacing w:val="2"/>
        </w:rPr>
        <w:t>新</w:t>
      </w:r>
      <w:r>
        <w:rPr/>
        <w:t>股</w:t>
      </w:r>
      <w:r>
        <w:rPr>
          <w:spacing w:val="-63"/>
        </w:rPr>
        <w:t> </w:t>
      </w:r>
      <w:r>
        <w:rPr/>
        <w:t>1,350</w:t>
      </w:r>
      <w:r>
        <w:rPr>
          <w:spacing w:val="-63"/>
        </w:rPr>
        <w:t> </w:t>
      </w:r>
      <w:r>
        <w:rPr/>
        <w:t>万股</w:t>
      </w:r>
      <w:r>
        <w:rPr>
          <w:spacing w:val="-120"/>
        </w:rPr>
        <w:t>，</w:t>
      </w:r>
      <w:r>
        <w:rPr/>
        <w:t>并于</w:t>
      </w:r>
      <w:r>
        <w:rPr>
          <w:spacing w:val="-63"/>
        </w:rPr>
        <w:t> </w:t>
      </w:r>
      <w:r>
        <w:rPr/>
        <w:t>2009</w:t>
      </w:r>
      <w:r>
        <w:rPr>
          <w:spacing w:val="-63"/>
        </w:rPr>
        <w:t> </w:t>
      </w:r>
      <w:r>
        <w:rPr/>
        <w:t>年</w:t>
      </w:r>
      <w:r>
        <w:rPr>
          <w:spacing w:val="-63"/>
        </w:rPr>
        <w:t> </w:t>
      </w:r>
      <w:r>
        <w:rPr/>
        <w:t>8</w:t>
      </w:r>
      <w:r>
        <w:rPr>
          <w:spacing w:val="-63"/>
        </w:rPr>
        <w:t> </w:t>
      </w:r>
      <w:r>
        <w:rPr/>
        <w:t>月</w:t>
      </w:r>
      <w:r>
        <w:rPr>
          <w:spacing w:val="-63"/>
        </w:rPr>
        <w:t> </w:t>
      </w:r>
      <w:r>
        <w:rPr/>
        <w:t>21</w:t>
      </w:r>
      <w:r>
        <w:rPr>
          <w:spacing w:val="-63"/>
        </w:rPr>
        <w:t> </w:t>
      </w:r>
      <w:r>
        <w:rPr/>
        <w:t>日在深圳证券交易所挂牌交</w:t>
      </w:r>
      <w:r>
        <w:rPr>
          <w:spacing w:val="2"/>
        </w:rPr>
        <w:t>易</w:t>
      </w:r>
      <w:r>
        <w:rPr>
          <w:spacing w:val="-120"/>
        </w:rPr>
        <w:t>。</w:t>
      </w:r>
      <w:r>
        <w:rPr/>
        <w:t>根据</w:t>
      </w:r>
      <w:r>
        <w:rPr>
          <w:spacing w:val="-63"/>
        </w:rPr>
        <w:t> </w:t>
      </w:r>
      <w:r>
        <w:rPr/>
        <w:t>2009</w:t>
      </w:r>
    </w:p>
    <w:p>
      <w:pPr>
        <w:pStyle w:val="BodyText"/>
        <w:spacing w:line="240" w:lineRule="auto" w:before="154"/>
        <w:ind w:right="0"/>
        <w:jc w:val="both"/>
      </w:pPr>
      <w:r>
        <w:rPr>
          <w:spacing w:val="-4"/>
        </w:rPr>
        <w:t>年度股东大会决议，公司以</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日总股本</w:t>
      </w:r>
      <w:r>
        <w:rPr>
          <w:spacing w:val="-60"/>
        </w:rPr>
        <w:t> </w:t>
      </w:r>
      <w:r>
        <w:rPr/>
        <w:t>5,350</w:t>
      </w:r>
      <w:r>
        <w:rPr>
          <w:spacing w:val="-60"/>
        </w:rPr>
        <w:t> </w:t>
      </w:r>
      <w:r>
        <w:rPr>
          <w:spacing w:val="-3"/>
        </w:rPr>
        <w:t>万股为基数，以资本公积向全体</w:t>
      </w:r>
    </w:p>
    <w:p>
      <w:pPr>
        <w:pStyle w:val="BodyText"/>
        <w:spacing w:line="240" w:lineRule="auto" w:before="154"/>
        <w:ind w:right="0"/>
        <w:jc w:val="both"/>
      </w:pPr>
      <w:r>
        <w:rPr/>
        <w:t>股</w:t>
      </w:r>
      <w:r>
        <w:rPr>
          <w:spacing w:val="2"/>
        </w:rPr>
        <w:t>东</w:t>
      </w:r>
      <w:r>
        <w:rPr/>
        <w:t>每</w:t>
      </w:r>
      <w:r>
        <w:rPr>
          <w:spacing w:val="-72"/>
        </w:rPr>
        <w:t> </w:t>
      </w:r>
      <w:r>
        <w:rPr/>
        <w:t>10</w:t>
      </w:r>
      <w:r>
        <w:rPr>
          <w:spacing w:val="-72"/>
        </w:rPr>
        <w:t> </w:t>
      </w:r>
      <w:r>
        <w:rPr/>
        <w:t>股转增</w:t>
      </w:r>
      <w:r>
        <w:rPr>
          <w:spacing w:val="-70"/>
        </w:rPr>
        <w:t> </w:t>
      </w:r>
      <w:r>
        <w:rPr/>
        <w:t>10</w:t>
      </w:r>
      <w:r>
        <w:rPr>
          <w:spacing w:val="-72"/>
        </w:rPr>
        <w:t> </w:t>
      </w:r>
      <w:r>
        <w:rPr/>
        <w:t>股</w:t>
      </w:r>
      <w:r>
        <w:rPr>
          <w:spacing w:val="-120"/>
        </w:rPr>
        <w:t>。</w:t>
      </w:r>
      <w:r>
        <w:rPr/>
        <w:t>截至</w:t>
      </w:r>
      <w:r>
        <w:rPr>
          <w:spacing w:val="-70"/>
        </w:rPr>
        <w:t> </w:t>
      </w:r>
      <w:r>
        <w:rPr/>
        <w:t>2012</w:t>
      </w:r>
      <w:r>
        <w:rPr>
          <w:spacing w:val="-72"/>
        </w:rPr>
        <w:t> </w:t>
      </w:r>
      <w:r>
        <w:rPr/>
        <w:t>年</w:t>
      </w:r>
      <w:r>
        <w:rPr>
          <w:spacing w:val="-72"/>
        </w:rPr>
        <w:t> </w:t>
      </w:r>
      <w:r>
        <w:rPr/>
        <w:t>12</w:t>
      </w:r>
      <w:r>
        <w:rPr>
          <w:spacing w:val="-70"/>
        </w:rPr>
        <w:t> </w:t>
      </w:r>
      <w:r>
        <w:rPr/>
        <w:t>月</w:t>
      </w:r>
      <w:r>
        <w:rPr>
          <w:spacing w:val="-70"/>
        </w:rPr>
        <w:t> </w:t>
      </w:r>
      <w:r>
        <w:rPr/>
        <w:t>31</w:t>
      </w:r>
      <w:r>
        <w:rPr>
          <w:spacing w:val="-72"/>
        </w:rPr>
        <w:t> </w:t>
      </w:r>
      <w:r>
        <w:rPr/>
        <w:t>日</w:t>
      </w:r>
      <w:r>
        <w:rPr>
          <w:spacing w:val="-120"/>
        </w:rPr>
        <w:t>，</w:t>
      </w:r>
      <w:r>
        <w:rPr/>
        <w:t>公司注册资本</w:t>
      </w:r>
      <w:r>
        <w:rPr>
          <w:spacing w:val="-72"/>
        </w:rPr>
        <w:t> </w:t>
      </w:r>
      <w:r>
        <w:rPr/>
        <w:t>10,700</w:t>
      </w:r>
      <w:r>
        <w:rPr>
          <w:spacing w:val="-70"/>
        </w:rPr>
        <w:t> </w:t>
      </w:r>
      <w:r>
        <w:rPr/>
        <w:t>万元</w:t>
      </w:r>
      <w:r>
        <w:rPr>
          <w:spacing w:val="-120"/>
        </w:rPr>
        <w:t>，</w:t>
      </w:r>
      <w:r>
        <w:rPr/>
        <w:t>股份总数</w:t>
      </w:r>
      <w:r>
        <w:rPr>
          <w:spacing w:val="-70"/>
        </w:rPr>
        <w:t> </w:t>
      </w:r>
      <w:r>
        <w:rPr/>
        <w:t>10,700</w:t>
      </w:r>
    </w:p>
    <w:p>
      <w:pPr>
        <w:pStyle w:val="BodyText"/>
        <w:spacing w:line="357" w:lineRule="auto" w:before="154"/>
        <w:ind w:right="230"/>
        <w:jc w:val="both"/>
      </w:pPr>
      <w:r>
        <w:rPr/>
        <w:t>万股（每股面值</w:t>
      </w:r>
      <w:r>
        <w:rPr>
          <w:spacing w:val="-65"/>
        </w:rPr>
        <w:t> </w:t>
      </w:r>
      <w:r>
        <w:rPr/>
        <w:t>1</w:t>
      </w:r>
      <w:r>
        <w:rPr>
          <w:spacing w:val="-65"/>
        </w:rPr>
        <w:t> </w:t>
      </w:r>
      <w:r>
        <w:rPr/>
        <w:t>元）。其中，有限售条件的流通股份：A</w:t>
      </w:r>
      <w:r>
        <w:rPr>
          <w:spacing w:val="-65"/>
        </w:rPr>
        <w:t> </w:t>
      </w:r>
      <w:r>
        <w:rPr/>
        <w:t>股</w:t>
      </w:r>
      <w:r>
        <w:rPr>
          <w:spacing w:val="-65"/>
        </w:rPr>
        <w:t> </w:t>
      </w:r>
      <w:r>
        <w:rPr/>
        <w:t>58,208,185</w:t>
      </w:r>
      <w:r>
        <w:rPr>
          <w:spacing w:val="-65"/>
        </w:rPr>
        <w:t> </w:t>
      </w:r>
      <w:r>
        <w:rPr/>
        <w:t>股，无限售条件的</w:t>
      </w:r>
      <w:r>
        <w:rPr/>
        <w:t> </w:t>
      </w:r>
      <w:r>
        <w:rPr>
          <w:spacing w:val="9"/>
        </w:rPr>
        <w:t>流通股份</w:t>
      </w:r>
      <w:r>
        <w:rPr>
          <w:spacing w:val="-44"/>
        </w:rPr>
        <w:t> </w:t>
      </w:r>
      <w:r>
        <w:rPr/>
        <w:t>A</w:t>
      </w:r>
      <w:r>
        <w:rPr>
          <w:spacing w:val="-44"/>
        </w:rPr>
        <w:t> </w:t>
      </w:r>
      <w:r>
        <w:rPr/>
        <w:t>股</w:t>
      </w:r>
      <w:r>
        <w:rPr>
          <w:spacing w:val="-42"/>
        </w:rPr>
        <w:t> </w:t>
      </w:r>
      <w:r>
        <w:rPr/>
        <w:t>48,791,815</w:t>
      </w:r>
      <w:r>
        <w:rPr>
          <w:spacing w:val="-48"/>
        </w:rPr>
        <w:t> </w:t>
      </w:r>
      <w:r>
        <w:rPr>
          <w:spacing w:val="11"/>
        </w:rPr>
        <w:t>股。公司现在浙江省工商行政管理局登记注册，取得注册号为</w:t>
      </w:r>
      <w:r>
        <w:rPr/>
        <w:t> 330100000040546</w:t>
      </w:r>
      <w:r>
        <w:rPr>
          <w:spacing w:val="-58"/>
        </w:rPr>
        <w:t> </w:t>
      </w:r>
      <w:r>
        <w:rPr/>
        <w:t>的《企业法人营业执照》。</w:t>
      </w:r>
    </w:p>
    <w:p>
      <w:pPr>
        <w:pStyle w:val="BodyText"/>
        <w:spacing w:line="357" w:lineRule="auto" w:before="74"/>
        <w:ind w:right="268" w:firstLine="482"/>
        <w:jc w:val="both"/>
      </w:pPr>
      <w:r>
        <w:rPr/>
        <w:t>本公司属软件行业。经营范围：电子计算机及外部设备的技术开发、技术服务及技术成 果转让；电子计算机网络工程、楼宇布线工程的设计、施工；电子计算机及其配件的销售。 主要产品或提供的劳务：软件开发及服务、系统集成及硬件销售。</w:t>
      </w:r>
    </w:p>
    <w:p>
      <w:pPr>
        <w:pStyle w:val="BodyText"/>
        <w:spacing w:line="240" w:lineRule="auto" w:before="77"/>
        <w:ind w:left="715" w:right="96"/>
        <w:jc w:val="left"/>
      </w:pPr>
      <w:r>
        <w:rPr/>
        <w:pict>
          <v:group style="position:absolute;margin-left:47.639999pt;margin-top:41.625607pt;width:.1pt;height:10.35pt;mso-position-horizontal-relative:page;mso-position-vertical-relative:paragraph;z-index:3256" coordorigin="953,833" coordsize="2,207">
            <v:shape style="position:absolute;left:953;top:833;width:2;height:207" coordorigin="953,833" coordsize="0,207" path="m953,833l953,1039e" filled="false" stroked="true" strokeweight=".12pt" strokecolor="#000000">
              <v:path arrowok="t"/>
            </v:shape>
            <w10:wrap type="none"/>
          </v:group>
        </w:pict>
      </w:r>
      <w:r>
        <w:rPr/>
        <w:t>二、公司主要会计政策、会计估计和前期差错更正</w:t>
      </w:r>
    </w:p>
    <w:p>
      <w:pPr>
        <w:spacing w:after="0" w:line="240" w:lineRule="auto"/>
        <w:jc w:val="left"/>
        <w:sectPr>
          <w:pgSz w:w="11910" w:h="16840"/>
          <w:pgMar w:header="745" w:footer="979" w:top="1060" w:bottom="1160" w:left="840" w:right="900"/>
        </w:sectPr>
      </w:pPr>
    </w:p>
    <w:p>
      <w:pPr>
        <w:spacing w:line="240" w:lineRule="auto" w:before="6"/>
        <w:rPr>
          <w:rFonts w:ascii="宋体" w:hAnsi="宋体" w:cs="宋体" w:eastAsia="宋体" w:hint="default"/>
          <w:sz w:val="29"/>
          <w:szCs w:val="29"/>
        </w:rPr>
      </w:pPr>
    </w:p>
    <w:p>
      <w:pPr>
        <w:pStyle w:val="BodyText"/>
        <w:spacing w:line="388" w:lineRule="auto" w:before="26"/>
        <w:ind w:left="535" w:right="5171"/>
        <w:jc w:val="left"/>
      </w:pPr>
      <w:r>
        <w:rPr/>
        <w:t>(一)</w:t>
      </w:r>
      <w:r>
        <w:rPr>
          <w:spacing w:val="-1"/>
        </w:rPr>
        <w:t> </w:t>
      </w:r>
      <w:r>
        <w:rPr/>
        <w:t>财务报表的编制基础</w:t>
      </w:r>
      <w:r>
        <w:rPr/>
        <w:t> 本公司财务报表以持续经营为编制基础。 (二)</w:t>
      </w:r>
      <w:r>
        <w:rPr>
          <w:spacing w:val="-3"/>
        </w:rPr>
        <w:t> </w:t>
      </w:r>
      <w:r>
        <w:rPr/>
        <w:t>遵循企业会计准则的声明</w:t>
      </w:r>
    </w:p>
    <w:p>
      <w:pPr>
        <w:pStyle w:val="BodyText"/>
        <w:spacing w:line="357" w:lineRule="auto" w:before="43"/>
        <w:ind w:left="112" w:right="301" w:firstLine="422"/>
        <w:jc w:val="both"/>
      </w:pPr>
      <w:r>
        <w:rPr/>
        <w:t>本公司所编制的财务报表符合企业会计准则的要求，真实、完整地反映了企业的财务状 况、经营成果和现金流量等有关信息。</w:t>
      </w:r>
    </w:p>
    <w:p>
      <w:pPr>
        <w:pStyle w:val="BodyText"/>
        <w:spacing w:line="240" w:lineRule="auto" w:before="77"/>
        <w:ind w:left="535" w:right="279"/>
        <w:jc w:val="left"/>
      </w:pPr>
      <w:r>
        <w:rPr/>
        <w:t>(三)</w:t>
      </w:r>
      <w:r>
        <w:rPr>
          <w:spacing w:val="-3"/>
        </w:rPr>
        <w:t> </w:t>
      </w:r>
      <w:r>
        <w:rPr/>
        <w:t>会计期间</w:t>
      </w:r>
    </w:p>
    <w:p>
      <w:pPr>
        <w:pStyle w:val="BodyText"/>
        <w:spacing w:line="386" w:lineRule="auto" w:before="194"/>
        <w:ind w:left="535" w:right="4692"/>
        <w:jc w:val="left"/>
      </w:pPr>
      <w:r>
        <w:rPr/>
        <w:t>会计年度自公历</w:t>
      </w:r>
      <w:r>
        <w:rPr>
          <w:spacing w:val="-60"/>
        </w:rPr>
        <w:t> </w:t>
      </w:r>
      <w:r>
        <w:rPr/>
        <w:t>1</w:t>
      </w:r>
      <w:r>
        <w:rPr>
          <w:spacing w:val="-60"/>
        </w:rPr>
        <w:t> </w:t>
      </w:r>
      <w:r>
        <w:rPr/>
        <w:t>月</w:t>
      </w:r>
      <w:r>
        <w:rPr>
          <w:spacing w:val="-63"/>
        </w:rPr>
        <w:t> </w:t>
      </w:r>
      <w:r>
        <w:rPr/>
        <w:t>1</w:t>
      </w:r>
      <w:r>
        <w:rPr>
          <w:spacing w:val="-60"/>
        </w:rPr>
        <w:t> </w:t>
      </w:r>
      <w:r>
        <w:rPr/>
        <w:t>日起至</w:t>
      </w:r>
      <w:r>
        <w:rPr>
          <w:spacing w:val="-60"/>
        </w:rPr>
        <w:t> </w:t>
      </w:r>
      <w:r>
        <w:rPr/>
        <w:t>12</w:t>
      </w:r>
      <w:r>
        <w:rPr>
          <w:spacing w:val="-58"/>
        </w:rPr>
        <w:t> </w:t>
      </w:r>
      <w:r>
        <w:rPr/>
        <w:t>月</w:t>
      </w:r>
      <w:r>
        <w:rPr>
          <w:spacing w:val="-60"/>
        </w:rPr>
        <w:t> </w:t>
      </w:r>
      <w:r>
        <w:rPr/>
        <w:t>31</w:t>
      </w:r>
      <w:r>
        <w:rPr>
          <w:spacing w:val="-60"/>
        </w:rPr>
        <w:t> </w:t>
      </w:r>
      <w:r>
        <w:rPr/>
        <w:t>日止。</w:t>
      </w:r>
      <w:r>
        <w:rPr/>
        <w:t> (四)</w:t>
      </w:r>
      <w:r>
        <w:rPr>
          <w:spacing w:val="-3"/>
        </w:rPr>
        <w:t> </w:t>
      </w:r>
      <w:r>
        <w:rPr/>
        <w:t>记账本位币</w:t>
      </w:r>
    </w:p>
    <w:p>
      <w:pPr>
        <w:pStyle w:val="BodyText"/>
        <w:spacing w:line="240" w:lineRule="auto" w:before="48"/>
        <w:ind w:left="535" w:right="279"/>
        <w:jc w:val="left"/>
      </w:pPr>
      <w:r>
        <w:rPr/>
        <w:t>采用人民币为记账本位币。</w:t>
      </w:r>
    </w:p>
    <w:p>
      <w:pPr>
        <w:pStyle w:val="BodyText"/>
        <w:spacing w:line="357" w:lineRule="auto" w:before="194"/>
        <w:ind w:left="535" w:right="3374"/>
        <w:jc w:val="left"/>
      </w:pPr>
      <w:r>
        <w:rPr/>
        <w:t>(五)</w:t>
      </w:r>
      <w:r>
        <w:rPr>
          <w:spacing w:val="-3"/>
        </w:rPr>
        <w:t> </w:t>
      </w:r>
      <w:r>
        <w:rPr/>
        <w:t>同一控制下和非同一控制下企业合并的会计处理方法</w:t>
      </w:r>
      <w:r>
        <w:rPr/>
        <w:t> 1.</w:t>
      </w:r>
      <w:r>
        <w:rPr>
          <w:spacing w:val="-3"/>
        </w:rPr>
        <w:t> </w:t>
      </w:r>
      <w:r>
        <w:rPr/>
        <w:t>同一控制下企业合并的会计处理方法</w:t>
      </w:r>
    </w:p>
    <w:p>
      <w:pPr>
        <w:pStyle w:val="BodyText"/>
        <w:spacing w:line="357" w:lineRule="auto"/>
        <w:ind w:left="112" w:right="301" w:firstLine="422"/>
        <w:jc w:val="both"/>
      </w:pPr>
      <w:r>
        <w:rPr/>
        <w:t>公司在企业合并中取得的资产和负债，按照合并日在被合并方的账面价值计量。公司取 得的净资产账面价值与支付的合并对价账面价值（或发行股份面值总额）的差额，调整资本 公积；资本公积不足冲减的，调整留存收益。</w:t>
      </w:r>
    </w:p>
    <w:p>
      <w:pPr>
        <w:pStyle w:val="BodyText"/>
        <w:spacing w:line="357" w:lineRule="auto"/>
        <w:ind w:left="535" w:right="279"/>
        <w:jc w:val="left"/>
      </w:pPr>
      <w:r>
        <w:rPr/>
        <w:t>2.</w:t>
      </w:r>
      <w:r>
        <w:rPr>
          <w:spacing w:val="-3"/>
        </w:rPr>
        <w:t> </w:t>
      </w:r>
      <w:r>
        <w:rPr/>
        <w:t>非同一控制下企业合并的会计处理方法</w:t>
      </w:r>
      <w:r>
        <w:rPr/>
        <w:t> </w:t>
      </w:r>
      <w:r>
        <w:rPr>
          <w:spacing w:val="8"/>
        </w:rPr>
        <w:t>公司在购买日对合并成本大于合并中取得的被购买方可辨认净资产公允价值份额的差</w:t>
      </w:r>
    </w:p>
    <w:p>
      <w:pPr>
        <w:pStyle w:val="BodyText"/>
        <w:spacing w:line="357" w:lineRule="auto"/>
        <w:ind w:left="112" w:right="331"/>
        <w:jc w:val="both"/>
      </w:pPr>
      <w:r>
        <w:rPr/>
        <w:t>额，确认为商誉；如果合并成本小于合并中取得的被购买方可辨认净资产公允价值份额，首 先对取得的被购买方各项可辨认资产、负债及或有负债的公允价值以及合并成本的计量进行 复核，经复核后合并成本仍小于合并中取得的被购买方可辨认净资产公允价值份额的，其差 额计入当期损益。</w:t>
      </w:r>
    </w:p>
    <w:p>
      <w:pPr>
        <w:pStyle w:val="BodyText"/>
        <w:spacing w:line="357" w:lineRule="auto"/>
        <w:ind w:left="535" w:right="279"/>
        <w:jc w:val="left"/>
      </w:pPr>
      <w:r>
        <w:rPr/>
        <w:t>(六)</w:t>
      </w:r>
      <w:r>
        <w:rPr>
          <w:spacing w:val="-1"/>
        </w:rPr>
        <w:t> </w:t>
      </w:r>
      <w:r>
        <w:rPr/>
        <w:t>合并财务报表的编制方法</w:t>
      </w:r>
      <w:r>
        <w:rPr/>
        <w:t> 母公司将其控制的所有子公司纳入合并财务报表的合并范围。合并财务报表以母公司及</w:t>
      </w:r>
    </w:p>
    <w:p>
      <w:pPr>
        <w:pStyle w:val="BodyText"/>
        <w:spacing w:line="357" w:lineRule="auto"/>
        <w:ind w:left="112" w:right="331"/>
        <w:jc w:val="both"/>
      </w:pPr>
      <w:r>
        <w:rPr/>
        <w:t>其子公司的财务报表为基础，根据其他有关资料，按照权益法调整对子公司的长期股权投资 后，由母公司按照《企业会计准则第</w:t>
      </w:r>
      <w:r>
        <w:rPr>
          <w:spacing w:val="-58"/>
        </w:rPr>
        <w:t> </w:t>
      </w:r>
      <w:r>
        <w:rPr/>
        <w:t>33</w:t>
      </w:r>
      <w:r>
        <w:rPr>
          <w:spacing w:val="-60"/>
        </w:rPr>
        <w:t> </w:t>
      </w:r>
      <w:r>
        <w:rPr/>
        <w:t>号——合并财务报表》编制。</w:t>
      </w:r>
    </w:p>
    <w:p>
      <w:pPr>
        <w:pStyle w:val="BodyText"/>
        <w:spacing w:line="357" w:lineRule="auto"/>
        <w:ind w:left="535" w:right="279"/>
        <w:jc w:val="left"/>
      </w:pPr>
      <w:r>
        <w:rPr/>
        <w:t>(七)</w:t>
      </w:r>
      <w:r>
        <w:rPr>
          <w:spacing w:val="-1"/>
        </w:rPr>
        <w:t> </w:t>
      </w:r>
      <w:r>
        <w:rPr/>
        <w:t>现金及现金等价物的确定标准</w:t>
      </w:r>
      <w:r>
        <w:rPr/>
        <w:t> 列示于现金流量表中的现金是指库存现金以及可以随时用于支付的存款。现金等价物是</w:t>
      </w:r>
    </w:p>
    <w:p>
      <w:pPr>
        <w:pStyle w:val="BodyText"/>
        <w:spacing w:line="357" w:lineRule="auto"/>
        <w:ind w:left="535" w:right="554" w:hanging="423"/>
        <w:jc w:val="left"/>
      </w:pPr>
      <w:r>
        <w:rPr/>
        <w:t>指企业持有的期限短、流动性强、易于转换为已知金额现金、价值变动风险很小的投资。 (八)</w:t>
      </w:r>
      <w:r>
        <w:rPr>
          <w:spacing w:val="-3"/>
        </w:rPr>
        <w:t> </w:t>
      </w:r>
      <w:r>
        <w:rPr/>
        <w:t>金融工具</w:t>
      </w:r>
    </w:p>
    <w:p>
      <w:pPr>
        <w:pStyle w:val="BodyText"/>
        <w:spacing w:line="240" w:lineRule="auto"/>
        <w:ind w:left="535" w:right="279"/>
        <w:jc w:val="left"/>
      </w:pPr>
      <w:r>
        <w:rPr/>
        <w:pict>
          <v:group style="position:absolute;margin-left:547.559998pt;margin-top:38.495609pt;width:.1pt;height:10.35pt;mso-position-horizontal-relative:page;mso-position-vertical-relative:paragraph;z-index:3304" coordorigin="10951,770" coordsize="2,207">
            <v:shape style="position:absolute;left:10951;top:770;width:2;height:207" coordorigin="10951,770" coordsize="0,207" path="m10951,770l10951,976e" filled="false" stroked="true" strokeweight=".12pt" strokecolor="#000000">
              <v:path arrowok="t"/>
            </v:shape>
            <w10:wrap type="none"/>
          </v:group>
        </w:pict>
      </w:r>
      <w:r>
        <w:rPr/>
        <w:t>1.</w:t>
      </w:r>
      <w:r>
        <w:rPr>
          <w:spacing w:val="-3"/>
        </w:rPr>
        <w:t> </w:t>
      </w:r>
      <w:r>
        <w:rPr/>
        <w:t>金融资产和金融负债的分类</w:t>
      </w:r>
    </w:p>
    <w:p>
      <w:pPr>
        <w:spacing w:after="0" w:line="240" w:lineRule="auto"/>
        <w:jc w:val="left"/>
        <w:sectPr>
          <w:footerReference w:type="default" r:id="rId25"/>
          <w:pgSz w:w="11910" w:h="16840"/>
          <w:pgMar w:footer="979" w:header="745" w:top="1060" w:bottom="1160" w:left="1020" w:right="840"/>
          <w:pgNumType w:start="70"/>
        </w:sectPr>
      </w:pPr>
    </w:p>
    <w:p>
      <w:pPr>
        <w:spacing w:line="240" w:lineRule="auto" w:before="6"/>
        <w:rPr>
          <w:rFonts w:ascii="宋体" w:hAnsi="宋体" w:cs="宋体" w:eastAsia="宋体" w:hint="default"/>
          <w:sz w:val="29"/>
          <w:szCs w:val="29"/>
        </w:rPr>
      </w:pPr>
    </w:p>
    <w:p>
      <w:pPr>
        <w:pStyle w:val="BodyText"/>
        <w:spacing w:line="357" w:lineRule="auto" w:before="26"/>
        <w:ind w:right="112" w:firstLine="422"/>
        <w:jc w:val="both"/>
      </w:pPr>
      <w:r>
        <w:rPr/>
        <w:t>金融资产在初始确认时划分为以下四类：以公允价值计量且其变动计入当期损益的金融 </w:t>
      </w:r>
      <w:r>
        <w:rPr>
          <w:spacing w:val="-5"/>
        </w:rPr>
        <w:t>资产（包括交易性金融资产和指定为以公允价值计量且其变动计入当期损益的金融资产）、持</w:t>
      </w:r>
      <w:r>
        <w:rPr>
          <w:spacing w:val="-117"/>
        </w:rPr>
        <w:t> </w:t>
      </w:r>
      <w:r>
        <w:rPr>
          <w:spacing w:val="-117"/>
        </w:rPr>
      </w:r>
      <w:r>
        <w:rPr/>
        <w:t>有至到期投资、贷款和应收款项、可供出售金融资产。</w:t>
      </w:r>
    </w:p>
    <w:p>
      <w:pPr>
        <w:pStyle w:val="BodyText"/>
        <w:spacing w:line="357" w:lineRule="auto"/>
        <w:ind w:right="112" w:firstLine="422"/>
        <w:jc w:val="both"/>
      </w:pPr>
      <w:r>
        <w:rPr/>
        <w:t>金融负债在初始确认时划分为以下两类：以公允价值计量且其变动计入当期损益的金融 </w:t>
      </w:r>
      <w:r>
        <w:rPr>
          <w:spacing w:val="-5"/>
        </w:rPr>
        <w:t>负债（包括交易性金融负债和指定为以公允价值计量且其变动计入当期损益的金融负债）、其</w:t>
      </w:r>
      <w:r>
        <w:rPr>
          <w:spacing w:val="-117"/>
        </w:rPr>
        <w:t> </w:t>
      </w:r>
      <w:r>
        <w:rPr>
          <w:spacing w:val="-117"/>
        </w:rPr>
      </w:r>
      <w:r>
        <w:rPr/>
        <w:t>他金融负债。</w:t>
      </w:r>
    </w:p>
    <w:p>
      <w:pPr>
        <w:pStyle w:val="BodyText"/>
        <w:spacing w:line="357" w:lineRule="auto"/>
        <w:ind w:left="715" w:right="0"/>
        <w:jc w:val="left"/>
      </w:pPr>
      <w:r>
        <w:rPr/>
        <w:t>2.</w:t>
      </w:r>
      <w:r>
        <w:rPr>
          <w:spacing w:val="-3"/>
        </w:rPr>
        <w:t> </w:t>
      </w:r>
      <w:r>
        <w:rPr/>
        <w:t>金融资产和金融负债的确认依据、计量方法和终止确认条件</w:t>
      </w:r>
      <w:r>
        <w:rPr/>
        <w:t> 公司成为金融工具合同的一方时，确认一项金融资产或金融负债。初始确认金融资产或</w:t>
      </w:r>
    </w:p>
    <w:p>
      <w:pPr>
        <w:pStyle w:val="BodyText"/>
        <w:spacing w:line="357" w:lineRule="auto"/>
        <w:ind w:right="151"/>
        <w:jc w:val="both"/>
      </w:pPr>
      <w:r>
        <w:rPr/>
        <w:t>金融负债时，按照公允价值计量；对于以公允价值计量且其变动计入当期损益的金融资产和 金融负债，相关交易费用直接计入当期损益；对于其他类别的金融资产或金融负债，相关交 易费用计入初始确认金额。</w:t>
      </w:r>
    </w:p>
    <w:p>
      <w:pPr>
        <w:pStyle w:val="BodyText"/>
        <w:spacing w:line="357" w:lineRule="auto"/>
        <w:ind w:right="121" w:firstLine="422"/>
        <w:jc w:val="both"/>
      </w:pPr>
      <w:r>
        <w:rPr/>
        <w:t>公司按照公允价值对金融资产进行后续计量，且不扣除将来处置该金融资产时可能发生 的交易费用，但下列情况除外：(1)</w:t>
      </w:r>
      <w:r>
        <w:rPr>
          <w:spacing w:val="13"/>
        </w:rPr>
        <w:t> </w:t>
      </w:r>
      <w:r>
        <w:rPr/>
        <w:t>持有至到期投资以及贷款和应收款项采用实际利率法，</w:t>
      </w:r>
      <w:r>
        <w:rPr>
          <w:spacing w:val="-118"/>
        </w:rPr>
        <w:t> </w:t>
      </w:r>
      <w:r>
        <w:rPr>
          <w:spacing w:val="-118"/>
        </w:rPr>
      </w:r>
      <w:r>
        <w:rPr/>
        <w:t>按摊余成本计量；(2)</w:t>
      </w:r>
      <w:r>
        <w:rPr>
          <w:spacing w:val="7"/>
        </w:rPr>
        <w:t> </w:t>
      </w:r>
      <w:r>
        <w:rPr/>
        <w:t>在活跃市场中没有报价且其公允价值不能可靠计量的权益工具投资，</w:t>
      </w:r>
      <w:r>
        <w:rPr/>
        <w:t> 以及与该权益工具挂钩并须通过交付该权益工具结算的衍生金融资产，按照成本计量。</w:t>
      </w:r>
    </w:p>
    <w:p>
      <w:pPr>
        <w:pStyle w:val="BodyText"/>
        <w:spacing w:line="357" w:lineRule="auto"/>
        <w:ind w:right="112" w:firstLine="422"/>
        <w:jc w:val="both"/>
      </w:pPr>
      <w:r>
        <w:rPr>
          <w:spacing w:val="2"/>
        </w:rPr>
        <w:t>公司采用实际利率法，按摊余成本对金融负债进行后续计量，但下列情况除外：(1)</w:t>
      </w:r>
      <w:r>
        <w:rPr>
          <w:spacing w:val="5"/>
        </w:rPr>
        <w:t> </w:t>
      </w:r>
      <w:r>
        <w:rPr/>
        <w:t>以</w:t>
      </w:r>
      <w:r>
        <w:rPr/>
        <w:t> 公允价值计量且其变动计入当期损益的金融负债，按照公允价值计量，且不扣除将来结清金 融负债时可能发生的交易费用；(2)</w:t>
      </w:r>
      <w:r>
        <w:rPr>
          <w:spacing w:val="13"/>
        </w:rPr>
        <w:t> </w:t>
      </w:r>
      <w:r>
        <w:rPr/>
        <w:t>与在活跃市场中没有报价、公允价值不能可靠计量的权</w:t>
      </w:r>
      <w:r>
        <w:rPr>
          <w:spacing w:val="-118"/>
        </w:rPr>
        <w:t> </w:t>
      </w:r>
      <w:r>
        <w:rPr>
          <w:spacing w:val="-118"/>
        </w:rPr>
      </w:r>
      <w:r>
        <w:rPr/>
        <w:t>益工具挂钩并须通过交付该权益工具结算的衍生金融负债，按照成本计量；</w:t>
      </w:r>
      <w:r>
        <w:rPr>
          <w:spacing w:val="-87"/>
        </w:rPr>
        <w:t> </w:t>
      </w:r>
      <w:r>
        <w:rPr/>
        <w:t>(3)</w:t>
      </w:r>
      <w:r>
        <w:rPr>
          <w:spacing w:val="2"/>
        </w:rPr>
        <w:t> </w:t>
      </w:r>
      <w:r>
        <w:rPr/>
        <w:t>不属于指定</w:t>
      </w:r>
      <w:r>
        <w:rPr/>
        <w:t> 为以公允价值计量且其变动计入当期损益的金融负债的财务担保合同，或没有指定为以公允 价值计量且其变动计入当期损益并将以低于市场利率贷款的贷款承诺，在初始确认后按照下 列两项金额之中的较高者进行后续计量：1) 按照《企业会计准则第 13</w:t>
      </w:r>
      <w:r>
        <w:rPr>
          <w:spacing w:val="-89"/>
        </w:rPr>
        <w:t> </w:t>
      </w:r>
      <w:r>
        <w:rPr/>
        <w:t>号——或有事项》确</w:t>
      </w:r>
      <w:r>
        <w:rPr/>
        <w:t> 定的金额；2) 初始确认金额扣除按照《企业会计准则第 14</w:t>
      </w:r>
      <w:r>
        <w:rPr>
          <w:spacing w:val="-93"/>
        </w:rPr>
        <w:t> </w:t>
      </w:r>
      <w:r>
        <w:rPr/>
        <w:t>号——收入》的原则确定的累积</w:t>
      </w:r>
      <w:r>
        <w:rPr/>
        <w:t> 摊销额后的余额。</w:t>
      </w:r>
    </w:p>
    <w:p>
      <w:pPr>
        <w:pStyle w:val="BodyText"/>
        <w:spacing w:line="357" w:lineRule="auto" w:before="77"/>
        <w:ind w:right="148" w:firstLine="482"/>
        <w:jc w:val="both"/>
      </w:pPr>
      <w:r>
        <w:rPr/>
        <w:pict>
          <v:group style="position:absolute;margin-left:47.639999pt;margin-top:148.185608pt;width:.1pt;height:10.35pt;mso-position-horizontal-relative:page;mso-position-vertical-relative:paragraph;z-index:3328" coordorigin="953,2964" coordsize="2,207">
            <v:shape style="position:absolute;left:953;top:2964;width:2;height:207" coordorigin="953,2964" coordsize="0,207" path="m953,2964l953,3170e" filled="false" stroked="true" strokeweight=".12pt" strokecolor="#000000">
              <v:path arrowok="t"/>
            </v:shape>
            <w10:wrap type="none"/>
          </v:group>
        </w:pict>
      </w:r>
      <w:r>
        <w:rPr/>
        <w:t>金融资产或金融负债公允价值变动形成的利得或损失，除与套期保值有关外，按照如下 方法处理：(1)</w:t>
      </w:r>
      <w:r>
        <w:rPr>
          <w:spacing w:val="2"/>
        </w:rPr>
        <w:t> </w:t>
      </w:r>
      <w:r>
        <w:rPr/>
        <w:t>以公允价值计量且其变动计入当期损益的金融资产或金融负债公允价值变动</w:t>
      </w:r>
      <w:r>
        <w:rPr/>
        <w:t> 形成的利得或损失，计入公允价值变动损益；在资产持有期间所取得的利息或现金股利，确 认为投资收益；处置时，将实际收到的金额与初始入账金额之间的差额确认为投资收益，同 时调整公允价值变动损益。(2) 可供出售金融资产的公允价值变动计入资本公积；持有期间</w:t>
      </w:r>
    </w:p>
    <w:p>
      <w:pPr>
        <w:spacing w:after="0" w:line="357" w:lineRule="auto"/>
        <w:jc w:val="both"/>
        <w:sectPr>
          <w:pgSz w:w="11910" w:h="16840"/>
          <w:pgMar w:header="745" w:footer="979" w:top="1060" w:bottom="1160" w:left="840" w:right="1020"/>
        </w:sectPr>
      </w:pPr>
    </w:p>
    <w:p>
      <w:pPr>
        <w:spacing w:line="240" w:lineRule="auto" w:before="6"/>
        <w:rPr>
          <w:rFonts w:ascii="宋体" w:hAnsi="宋体" w:cs="宋体" w:eastAsia="宋体" w:hint="default"/>
          <w:sz w:val="29"/>
          <w:szCs w:val="29"/>
        </w:rPr>
      </w:pPr>
    </w:p>
    <w:p>
      <w:pPr>
        <w:pStyle w:val="BodyText"/>
        <w:spacing w:line="357" w:lineRule="auto" w:before="26"/>
        <w:ind w:left="112" w:right="331"/>
        <w:jc w:val="both"/>
      </w:pPr>
      <w:r>
        <w:rPr/>
        <w:t>按实际利率法计算的利息，计入投资收益；可供出售权益工具投资的现金股利，于被投资单 位宣告发放股利时计入投资收益；处置时，将实际收到的金额与账面价值扣除原直接计入资 本公积的公允价值变动累计额之后的差额确认为投资收益。</w:t>
      </w:r>
    </w:p>
    <w:p>
      <w:pPr>
        <w:pStyle w:val="BodyText"/>
        <w:spacing w:line="357" w:lineRule="auto" w:before="77"/>
        <w:ind w:left="112" w:right="328" w:firstLine="482"/>
        <w:jc w:val="both"/>
      </w:pPr>
      <w:r>
        <w:rPr/>
        <w:t>当收取某项金融资产现金流量的合同权利已终止或该金融资产所有权上几乎所有的风险 和报酬已转移时，终止确认该金融资产；当金融负债的现时义务全部或部分解除时，相应终 止确认该金融负债或其一部分。</w:t>
      </w:r>
    </w:p>
    <w:p>
      <w:pPr>
        <w:pStyle w:val="BodyText"/>
        <w:spacing w:line="357" w:lineRule="auto" w:before="77"/>
        <w:ind w:left="535" w:right="279"/>
        <w:jc w:val="left"/>
      </w:pPr>
      <w:r>
        <w:rPr/>
        <w:t>3.</w:t>
      </w:r>
      <w:r>
        <w:rPr>
          <w:spacing w:val="-3"/>
        </w:rPr>
        <w:t> </w:t>
      </w:r>
      <w:r>
        <w:rPr/>
        <w:t>金融资产转移的确认依据和计量方法</w:t>
      </w:r>
      <w:r>
        <w:rPr/>
        <w:t> 公司已将金融资产所有权上几乎所有的风险和报酬转移给了转入方的，终止确认该金融</w:t>
      </w:r>
    </w:p>
    <w:p>
      <w:pPr>
        <w:pStyle w:val="BodyText"/>
        <w:spacing w:line="357" w:lineRule="auto"/>
        <w:ind w:left="112" w:right="313"/>
        <w:jc w:val="both"/>
      </w:pPr>
      <w:r>
        <w:rPr/>
        <w:t>资产；保留了金融资产所有权上几乎所有的风险和报酬的，继续确认所转移的金融资产，并 将收到的对价确认为一项金融负债。公司既没有转移也没有保留金融资产所有权上几乎所有 的风险和报酬的，分别下列情况处理：(1)</w:t>
      </w:r>
      <w:r>
        <w:rPr>
          <w:spacing w:val="18"/>
        </w:rPr>
        <w:t> </w:t>
      </w:r>
      <w:r>
        <w:rPr/>
        <w:t>放弃了对该金融资产控制的，终止确认该金融资</w:t>
      </w:r>
      <w:r>
        <w:rPr/>
        <w:t> 产；(2)</w:t>
      </w:r>
      <w:r>
        <w:rPr>
          <w:spacing w:val="3"/>
        </w:rPr>
        <w:t> </w:t>
      </w:r>
      <w:r>
        <w:rPr/>
        <w:t>未放弃对该金融资产控制的，按照继续涉入所转移金融资产的程度确认有关金融资</w:t>
      </w:r>
      <w:r>
        <w:rPr/>
        <w:t> 产，并相应确认有关负债。</w:t>
      </w:r>
    </w:p>
    <w:p>
      <w:pPr>
        <w:pStyle w:val="BodyText"/>
        <w:spacing w:line="357" w:lineRule="auto"/>
        <w:ind w:left="112" w:right="292" w:firstLine="422"/>
        <w:jc w:val="both"/>
      </w:pPr>
      <w:r>
        <w:rPr>
          <w:spacing w:val="2"/>
        </w:rPr>
        <w:t>金融资产整体转移满足终止确认条件的，将下列两项金额的差额计入当期损益：(1)</w:t>
      </w:r>
      <w:r>
        <w:rPr>
          <w:spacing w:val="5"/>
        </w:rPr>
        <w:t> </w:t>
      </w:r>
      <w:r>
        <w:rPr/>
        <w:t>所</w:t>
      </w:r>
      <w:r>
        <w:rPr/>
        <w:t> 转移金融资产的账面价值；(2)</w:t>
      </w:r>
      <w:r>
        <w:rPr>
          <w:spacing w:val="11"/>
        </w:rPr>
        <w:t> </w:t>
      </w:r>
      <w:r>
        <w:rPr/>
        <w:t>因转移而收到的对价，与原直接计入所有者权益的公允价值</w:t>
      </w:r>
      <w:r>
        <w:rPr>
          <w:spacing w:val="-118"/>
        </w:rPr>
        <w:t> </w:t>
      </w:r>
      <w:r>
        <w:rPr>
          <w:spacing w:val="-118"/>
        </w:rPr>
      </w:r>
      <w:r>
        <w:rPr/>
        <w:t>变动累计额之和。金融资产部分转移满足终止确认条件的，将所转移金融资产整体的账面价 值，在终止确认部分和未终止确认部分之间，按照各自的相对公允价值进行分摊，并将下列 两项金额的差额计入当期损益：(1) 终止确认部分的账面价值；(2)</w:t>
      </w:r>
      <w:r>
        <w:rPr>
          <w:spacing w:val="26"/>
        </w:rPr>
        <w:t> </w:t>
      </w:r>
      <w:r>
        <w:rPr/>
        <w:t>终止确认部分的对价，</w:t>
      </w:r>
      <w:r>
        <w:rPr/>
        <w:t> 与原直接计入所有者权益的公允价值变动累计额中对应终止确认部分的金额之和。</w:t>
      </w:r>
    </w:p>
    <w:p>
      <w:pPr>
        <w:pStyle w:val="BodyText"/>
        <w:spacing w:line="357" w:lineRule="auto"/>
        <w:ind w:left="535" w:right="279"/>
        <w:jc w:val="left"/>
      </w:pPr>
      <w:r>
        <w:rPr/>
        <w:t>4.</w:t>
      </w:r>
      <w:r>
        <w:rPr>
          <w:spacing w:val="-3"/>
        </w:rPr>
        <w:t> </w:t>
      </w:r>
      <w:r>
        <w:rPr/>
        <w:t>主要金融资产和金融负债的公允价值确定方法</w:t>
      </w:r>
      <w:r>
        <w:rPr/>
        <w:t> 存在活跃市场的金融资产或金融负债，以活跃市场的报价确定其公允价值；不存在活跃</w:t>
      </w:r>
    </w:p>
    <w:p>
      <w:pPr>
        <w:pStyle w:val="BodyText"/>
        <w:spacing w:line="357" w:lineRule="auto"/>
        <w:ind w:left="112" w:right="331"/>
        <w:jc w:val="both"/>
      </w:pPr>
      <w:r>
        <w:rPr/>
        <w:t>市场的金融资产或金融负债，采用估值技术（包括参考熟悉情况并自愿交易的各方最近进行 的市场交易中使用的价格、参照实质上相同的其他金融工具的当前公允价值、现金流量折现 法和期权定价模型等）确定其公允价值；初始取得或源生的金融资产或承担的金融负债，以 市场交易价格作为确定其公允价值的基础。</w:t>
      </w:r>
    </w:p>
    <w:p>
      <w:pPr>
        <w:pStyle w:val="BodyText"/>
        <w:spacing w:line="357" w:lineRule="auto"/>
        <w:ind w:left="535" w:right="279"/>
        <w:jc w:val="left"/>
      </w:pPr>
      <w:r>
        <w:rPr/>
        <w:t>5.</w:t>
      </w:r>
      <w:r>
        <w:rPr>
          <w:spacing w:val="-3"/>
        </w:rPr>
        <w:t> </w:t>
      </w:r>
      <w:r>
        <w:rPr/>
        <w:t>金融资产的减值测试和减值准备计提方法</w:t>
      </w:r>
      <w:r>
        <w:rPr/>
        <w:t> 资产负债表日对以公允价值计量且其变动计入当期损益的金融资产以外的金融资产的账</w:t>
      </w:r>
    </w:p>
    <w:p>
      <w:pPr>
        <w:pStyle w:val="BodyText"/>
        <w:spacing w:line="357" w:lineRule="auto"/>
        <w:ind w:left="535" w:right="279" w:hanging="423"/>
        <w:jc w:val="left"/>
      </w:pPr>
      <w:r>
        <w:rPr/>
        <w:pict>
          <v:group style="position:absolute;margin-left:547.559998pt;margin-top:73.895607pt;width:.1pt;height:10.35pt;mso-position-horizontal-relative:page;mso-position-vertical-relative:paragraph;z-index:3352" coordorigin="10951,1478" coordsize="2,207">
            <v:shape style="position:absolute;left:10951;top:1478;width:2;height:207" coordorigin="10951,1478" coordsize="0,207" path="m10951,1478l10951,1684e" filled="false" stroked="true" strokeweight=".12pt" strokecolor="#000000">
              <v:path arrowok="t"/>
            </v:shape>
            <w10:wrap type="none"/>
          </v:group>
        </w:pict>
      </w:r>
      <w:r>
        <w:rPr/>
        <w:t>面价值进行检查，如有客观证据表明该金融资产发生减值的，计提减值准备。 对单项金额重大的金融资产单独进行减值测试；对单项金额不重大的金融资产，可以单</w:t>
      </w:r>
    </w:p>
    <w:p>
      <w:pPr>
        <w:spacing w:after="0" w:line="357" w:lineRule="auto"/>
        <w:jc w:val="left"/>
        <w:sectPr>
          <w:pgSz w:w="11910" w:h="16840"/>
          <w:pgMar w:header="745" w:footer="979" w:top="1060" w:bottom="1160" w:left="1020" w:right="840"/>
        </w:sectPr>
      </w:pPr>
    </w:p>
    <w:p>
      <w:pPr>
        <w:spacing w:line="240" w:lineRule="auto" w:before="6"/>
        <w:rPr>
          <w:rFonts w:ascii="宋体" w:hAnsi="宋体" w:cs="宋体" w:eastAsia="宋体" w:hint="default"/>
          <w:sz w:val="29"/>
          <w:szCs w:val="29"/>
        </w:rPr>
      </w:pPr>
    </w:p>
    <w:p>
      <w:pPr>
        <w:pStyle w:val="BodyText"/>
        <w:spacing w:line="357" w:lineRule="auto" w:before="26"/>
        <w:ind w:left="392" w:right="112"/>
        <w:jc w:val="both"/>
      </w:pPr>
      <w:r>
        <w:rPr/>
        <w:t>独进行减值测试，或包括在具有类似信用风险特征的金融资产组合中进行减值测试；单独测 </w:t>
      </w:r>
      <w:r>
        <w:rPr>
          <w:spacing w:val="-5"/>
        </w:rPr>
        <w:t>试未发生减值的金融资产（包括单项金额重大和不重大的金融资产），包括在具有类似信用风</w:t>
      </w:r>
      <w:r>
        <w:rPr>
          <w:spacing w:val="-117"/>
        </w:rPr>
        <w:t> </w:t>
      </w:r>
      <w:r>
        <w:rPr>
          <w:spacing w:val="-117"/>
        </w:rPr>
      </w:r>
      <w:r>
        <w:rPr/>
        <w:t>险特征的金融资产组合中再进行减值测试。</w:t>
      </w:r>
    </w:p>
    <w:p>
      <w:pPr>
        <w:pStyle w:val="BodyText"/>
        <w:spacing w:line="357" w:lineRule="auto"/>
        <w:ind w:left="392" w:right="121" w:firstLine="422"/>
        <w:jc w:val="both"/>
      </w:pPr>
      <w:r>
        <w:rPr/>
        <w:t>按摊余成本计量的金融资产，期末有客观证据表明其发生了减值的，根据其账面价值高 于预计未来现金流量现值之间的差额确认减值损失。在活跃市场中没有报价且其公允价值不 能可靠计量的权益工具投资，或与该权益工具挂钩并须通过交付该权益工具结算的衍生金融 资产发生减值时，将该权益工具投资或衍生金融资产的账面价值，高于按照类似金融资产当 时市场收益率与未来现金流量折现确定的现值之间的差额，确认为减值损失。可供出售金融 资产的公允价值发生较大幅度下降，或在综合考虑各种相关因素后，预期这种下降趋势属于 非暂时性的，确认其减值损失，并将原直接计入所有者权益的公允价值累计损失一并转出计 入减值损失。</w:t>
      </w:r>
    </w:p>
    <w:p>
      <w:pPr>
        <w:pStyle w:val="BodyText"/>
        <w:spacing w:line="240" w:lineRule="auto"/>
        <w:ind w:left="875" w:right="0"/>
        <w:jc w:val="left"/>
      </w:pPr>
      <w:r>
        <w:rPr/>
        <w:t>(九)</w:t>
      </w:r>
      <w:r>
        <w:rPr>
          <w:spacing w:val="-3"/>
        </w:rPr>
        <w:t> </w:t>
      </w:r>
      <w:r>
        <w:rPr/>
        <w:t>应收款项</w:t>
      </w:r>
    </w:p>
    <w:p>
      <w:pPr>
        <w:pStyle w:val="BodyText"/>
        <w:spacing w:line="240" w:lineRule="auto" w:before="154"/>
        <w:ind w:left="815" w:right="0"/>
        <w:jc w:val="left"/>
      </w:pPr>
      <w:r>
        <w:rPr/>
        <w:t>1.</w:t>
      </w:r>
      <w:r>
        <w:rPr>
          <w:spacing w:val="-3"/>
        </w:rPr>
        <w:t> </w:t>
      </w:r>
      <w:r>
        <w:rPr/>
        <w:t>单项金额重大并单项计提坏账准备的应收款项</w:t>
      </w:r>
    </w:p>
    <w:p>
      <w:pPr>
        <w:spacing w:line="240" w:lineRule="auto" w:before="10"/>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3794"/>
        <w:gridCol w:w="5220"/>
      </w:tblGrid>
      <w:tr>
        <w:trPr>
          <w:trHeight w:val="478" w:hRule="exact"/>
        </w:trPr>
        <w:tc>
          <w:tcPr>
            <w:tcW w:w="37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08"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金额占应收款项账面余额</w:t>
            </w:r>
            <w:r>
              <w:rPr>
                <w:rFonts w:ascii="宋体" w:hAnsi="宋体" w:cs="宋体" w:eastAsia="宋体" w:hint="default"/>
                <w:spacing w:val="-48"/>
                <w:sz w:val="18"/>
                <w:szCs w:val="18"/>
              </w:rPr>
              <w:t> </w:t>
            </w:r>
            <w:r>
              <w:rPr>
                <w:rFonts w:ascii="宋体" w:hAnsi="宋体" w:cs="宋体" w:eastAsia="宋体" w:hint="default"/>
                <w:sz w:val="18"/>
                <w:szCs w:val="18"/>
              </w:rPr>
              <w:t>10%以上的款项。</w:t>
            </w:r>
          </w:p>
        </w:tc>
      </w:tr>
      <w:tr>
        <w:trPr>
          <w:trHeight w:val="634" w:hRule="exact"/>
        </w:trPr>
        <w:tc>
          <w:tcPr>
            <w:tcW w:w="379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08" w:right="127"/>
              <w:jc w:val="left"/>
              <w:rPr>
                <w:rFonts w:ascii="宋体" w:hAnsi="宋体" w:cs="宋体" w:eastAsia="宋体" w:hint="default"/>
                <w:sz w:val="18"/>
                <w:szCs w:val="18"/>
              </w:rPr>
            </w:pPr>
            <w:r>
              <w:rPr>
                <w:rFonts w:ascii="宋体" w:hAnsi="宋体" w:cs="宋体" w:eastAsia="宋体" w:hint="default"/>
                <w:spacing w:val="6"/>
                <w:sz w:val="18"/>
                <w:szCs w:val="18"/>
              </w:rPr>
              <w:t>单项金额重大并单项计提坏账准备的计提方</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法</w:t>
            </w:r>
          </w:p>
        </w:tc>
        <w:tc>
          <w:tcPr>
            <w:tcW w:w="522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107"/>
              <w:jc w:val="left"/>
              <w:rPr>
                <w:rFonts w:ascii="宋体" w:hAnsi="宋体" w:cs="宋体" w:eastAsia="宋体" w:hint="default"/>
                <w:sz w:val="18"/>
                <w:szCs w:val="18"/>
              </w:rPr>
            </w:pPr>
            <w:r>
              <w:rPr>
                <w:rFonts w:ascii="宋体" w:hAnsi="宋体" w:cs="宋体" w:eastAsia="宋体" w:hint="default"/>
                <w:spacing w:val="-2"/>
                <w:sz w:val="18"/>
                <w:szCs w:val="18"/>
              </w:rPr>
              <w:t>单独进行减值测试，根据其未来现金流量现值低于其账面价值的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差额计提坏账准备。</w:t>
            </w:r>
          </w:p>
        </w:tc>
      </w:tr>
    </w:tbl>
    <w:p>
      <w:pPr>
        <w:pStyle w:val="BodyText"/>
        <w:spacing w:line="240" w:lineRule="auto" w:before="41"/>
        <w:ind w:left="875" w:right="0"/>
        <w:jc w:val="left"/>
      </w:pPr>
      <w:r>
        <w:rPr/>
        <w:t>2．按组合计提坏账准备的应收款项</w:t>
      </w:r>
    </w:p>
    <w:p>
      <w:pPr>
        <w:pStyle w:val="BodyText"/>
        <w:spacing w:line="240" w:lineRule="auto" w:before="154"/>
        <w:ind w:left="875" w:right="0"/>
        <w:jc w:val="left"/>
      </w:pPr>
      <w:r>
        <w:rPr/>
        <w:t>(1)</w:t>
      </w:r>
      <w:r>
        <w:rPr>
          <w:spacing w:val="-3"/>
        </w:rPr>
        <w:t> </w:t>
      </w:r>
      <w:r>
        <w:rPr/>
        <w:t>确定组合的依据及坏账准备的计提方法</w:t>
      </w:r>
    </w:p>
    <w:p>
      <w:pPr>
        <w:spacing w:line="240" w:lineRule="auto" w:before="8"/>
        <w:rPr>
          <w:rFonts w:ascii="宋体" w:hAnsi="宋体" w:cs="宋体" w:eastAsia="宋体" w:hint="default"/>
          <w:sz w:val="8"/>
          <w:szCs w:val="8"/>
        </w:rPr>
      </w:pPr>
    </w:p>
    <w:p>
      <w:pPr>
        <w:spacing w:line="20" w:lineRule="exact"/>
        <w:ind w:left="280" w:right="0" w:firstLine="0"/>
        <w:rPr>
          <w:rFonts w:ascii="宋体" w:hAnsi="宋体" w:cs="宋体" w:eastAsia="宋体" w:hint="default"/>
          <w:sz w:val="2"/>
          <w:szCs w:val="2"/>
        </w:rPr>
      </w:pPr>
      <w:r>
        <w:rPr>
          <w:rFonts w:ascii="宋体" w:hAnsi="宋体" w:cs="宋体" w:eastAsia="宋体" w:hint="default"/>
          <w:sz w:val="2"/>
          <w:szCs w:val="2"/>
        </w:rPr>
        <w:pict>
          <v:group style="width:428.9pt;height:.5pt;mso-position-horizontal-relative:char;mso-position-vertical-relative:line" coordorigin="0,0" coordsize="8578,10">
            <v:group style="position:absolute;left:5;top:5;width:8568;height:2" coordorigin="5,5" coordsize="8568,2">
              <v:shape style="position:absolute;left:5;top:5;width:8568;height:2" coordorigin="5,5" coordsize="8568,0" path="m5,5l8573,5e" filled="false" stroked="true" strokeweight=".48pt" strokecolor="#000000">
                <v:path arrowok="t"/>
              </v:shape>
            </v:group>
          </v:group>
        </w:pict>
      </w:r>
      <w:r>
        <w:rPr>
          <w:rFonts w:ascii="宋体" w:hAnsi="宋体" w:cs="宋体" w:eastAsia="宋体" w:hint="default"/>
          <w:sz w:val="2"/>
          <w:szCs w:val="2"/>
        </w:rPr>
      </w:r>
    </w:p>
    <w:p>
      <w:pPr>
        <w:spacing w:before="79"/>
        <w:ind w:left="392" w:right="0" w:firstLine="0"/>
        <w:jc w:val="left"/>
        <w:rPr>
          <w:rFonts w:ascii="宋体" w:hAnsi="宋体" w:cs="宋体" w:eastAsia="宋体" w:hint="default"/>
          <w:sz w:val="18"/>
          <w:szCs w:val="18"/>
        </w:rPr>
      </w:pPr>
      <w:r>
        <w:rPr>
          <w:rFonts w:ascii="宋体" w:hAnsi="宋体" w:cs="宋体" w:eastAsia="宋体" w:hint="default"/>
          <w:sz w:val="18"/>
          <w:szCs w:val="18"/>
        </w:rPr>
        <w:t>确定组合的依据</w:t>
      </w:r>
    </w:p>
    <w:p>
      <w:pPr>
        <w:spacing w:line="240" w:lineRule="auto" w:before="7"/>
        <w:rPr>
          <w:rFonts w:ascii="宋体" w:hAnsi="宋体" w:cs="宋体" w:eastAsia="宋体" w:hint="default"/>
          <w:sz w:val="10"/>
          <w:szCs w:val="10"/>
        </w:rPr>
      </w:pPr>
    </w:p>
    <w:p>
      <w:pPr>
        <w:spacing w:line="494" w:lineRule="exact"/>
        <w:ind w:left="280"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28.9pt;height:24.75pt;mso-position-horizontal-relative:char;mso-position-vertical-relative:line" coordorigin="0,0" coordsize="8578,495">
            <v:group style="position:absolute;left:5;top:10;width:8568;height:2" coordorigin="5,10" coordsize="8568,2">
              <v:shape style="position:absolute;left:5;top:10;width:8568;height:2" coordorigin="5,10" coordsize="8568,0" path="m5,10l8573,10e" filled="false" stroked="true" strokeweight=".48pt" strokecolor="#000000">
                <v:path arrowok="t"/>
              </v:shape>
            </v:group>
            <v:group style="position:absolute;left:5;top:490;width:8568;height:2" coordorigin="5,490" coordsize="8568,2">
              <v:shape style="position:absolute;left:5;top:490;width:8568;height:2" coordorigin="5,490" coordsize="8568,0" path="m5,490l8573,490e" filled="false" stroked="true" strokeweight=".48pt" strokecolor="#000000">
                <v:path arrowok="t"/>
              </v:shape>
            </v:group>
            <v:group style="position:absolute;left:3353;top:5;width:2;height:480" coordorigin="3353,5" coordsize="2,480">
              <v:shape style="position:absolute;left:3353;top:5;width:2;height:480" coordorigin="3353,5" coordsize="0,480" path="m3353,5l3353,485e" filled="false" stroked="true" strokeweight=".48pt" strokecolor="#000000">
                <v:path arrowok="t"/>
              </v:shape>
              <v:shape style="position:absolute;left:113;top:160;width:12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账龄分析法组合</w:t>
                      </w:r>
                    </w:p>
                  </w:txbxContent>
                </v:textbox>
                <w10:wrap type="none"/>
              </v:shape>
              <v:shape style="position:absolute;left:3461;top:160;width:36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相同账龄的应收款项具有类似信用风险特征。</w:t>
                      </w:r>
                    </w:p>
                  </w:txbxContent>
                </v:textbox>
                <w10:wrap type="none"/>
              </v:shape>
            </v:group>
          </v:group>
        </w:pict>
      </w:r>
      <w:r>
        <w:rPr>
          <w:rFonts w:ascii="宋体" w:hAnsi="宋体" w:cs="宋体" w:eastAsia="宋体" w:hint="default"/>
          <w:position w:val="-9"/>
          <w:sz w:val="20"/>
          <w:szCs w:val="20"/>
        </w:rPr>
      </w:r>
    </w:p>
    <w:p>
      <w:pPr>
        <w:spacing w:before="87"/>
        <w:ind w:left="392"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按组合计提坏账准备的计提方法</w:t>
      </w:r>
    </w:p>
    <w:p>
      <w:pPr>
        <w:spacing w:line="240" w:lineRule="auto" w:before="9"/>
        <w:rPr>
          <w:rFonts w:ascii="宋体" w:hAnsi="宋体" w:cs="宋体" w:eastAsia="宋体" w:hint="default"/>
          <w:sz w:val="10"/>
          <w:szCs w:val="10"/>
        </w:rPr>
      </w:pPr>
    </w:p>
    <w:p>
      <w:pPr>
        <w:spacing w:line="492" w:lineRule="exact"/>
        <w:ind w:left="280"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28.9pt;height:24.6pt;mso-position-horizontal-relative:char;mso-position-vertical-relative:line" coordorigin="0,0" coordsize="8578,492">
            <v:group style="position:absolute;left:5;top:10;width:8568;height:2" coordorigin="5,10" coordsize="8568,2">
              <v:shape style="position:absolute;left:5;top:10;width:8568;height:2" coordorigin="5,10" coordsize="8568,0" path="m5,10l8573,10e" filled="false" stroked="true" strokeweight=".48pt" strokecolor="#000000">
                <v:path arrowok="t"/>
              </v:shape>
            </v:group>
            <v:group style="position:absolute;left:5;top:487;width:8568;height:2" coordorigin="5,487" coordsize="8568,2">
              <v:shape style="position:absolute;left:5;top:487;width:8568;height:2" coordorigin="5,487" coordsize="8568,0" path="m5,487l8573,487e" filled="false" stroked="true" strokeweight=".48pt" strokecolor="#000000">
                <v:path arrowok="t"/>
              </v:shape>
            </v:group>
            <v:group style="position:absolute;left:3353;top:5;width:2;height:478" coordorigin="3353,5" coordsize="2,478">
              <v:shape style="position:absolute;left:3353;top:5;width:2;height:478" coordorigin="3353,5" coordsize="0,478" path="m3353,5l3353,482e" filled="false" stroked="true" strokeweight=".48pt" strokecolor="#000000">
                <v:path arrowok="t"/>
              </v:shape>
              <v:shape style="position:absolute;left:113;top:157;width:12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账龄分析法组合</w:t>
                      </w:r>
                    </w:p>
                  </w:txbxContent>
                </v:textbox>
                <w10:wrap type="none"/>
              </v:shape>
              <v:shape style="position:absolute;left:3461;top:157;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账龄分析法。</w:t>
                      </w:r>
                    </w:p>
                  </w:txbxContent>
                </v:textbox>
                <w10:wrap type="none"/>
              </v:shape>
            </v:group>
          </v:group>
        </w:pict>
      </w:r>
      <w:r>
        <w:rPr>
          <w:rFonts w:ascii="宋体" w:hAnsi="宋体" w:cs="宋体" w:eastAsia="宋体" w:hint="default"/>
          <w:position w:val="-9"/>
          <w:sz w:val="20"/>
          <w:szCs w:val="20"/>
        </w:rPr>
      </w:r>
    </w:p>
    <w:p>
      <w:pPr>
        <w:pStyle w:val="BodyText"/>
        <w:spacing w:line="240" w:lineRule="auto" w:before="41"/>
        <w:ind w:left="875" w:right="0"/>
        <w:jc w:val="left"/>
      </w:pPr>
      <w:r>
        <w:rPr/>
        <w:t>(2)</w:t>
      </w:r>
      <w:r>
        <w:rPr>
          <w:spacing w:val="-3"/>
        </w:rPr>
        <w:t> </w:t>
      </w:r>
      <w:r>
        <w:rPr/>
        <w:t>账龄分析法</w:t>
      </w:r>
    </w:p>
    <w:p>
      <w:pPr>
        <w:spacing w:line="240" w:lineRule="auto" w:before="8"/>
        <w:rPr>
          <w:rFonts w:ascii="宋体" w:hAnsi="宋体" w:cs="宋体" w:eastAsia="宋体" w:hint="default"/>
          <w:sz w:val="8"/>
          <w:szCs w:val="8"/>
        </w:rPr>
      </w:pPr>
    </w:p>
    <w:tbl>
      <w:tblPr>
        <w:tblW w:w="0" w:type="auto"/>
        <w:jc w:val="left"/>
        <w:tblInd w:w="279" w:type="dxa"/>
        <w:tblLayout w:type="fixed"/>
        <w:tblCellMar>
          <w:top w:w="0" w:type="dxa"/>
          <w:left w:w="0" w:type="dxa"/>
          <w:bottom w:w="0" w:type="dxa"/>
          <w:right w:w="0" w:type="dxa"/>
        </w:tblCellMar>
        <w:tblLook w:val="01E0"/>
      </w:tblPr>
      <w:tblGrid>
        <w:gridCol w:w="3348"/>
        <w:gridCol w:w="2611"/>
        <w:gridCol w:w="2609"/>
      </w:tblGrid>
      <w:tr>
        <w:trPr>
          <w:trHeight w:val="478" w:hRule="exact"/>
        </w:trPr>
        <w:tc>
          <w:tcPr>
            <w:tcW w:w="33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290"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sz w:val="18"/>
                <w:szCs w:val="18"/>
              </w:rPr>
              <w:t>应收账款计提比例(%)</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78" w:hRule="exact"/>
        </w:trPr>
        <w:tc>
          <w:tcPr>
            <w:tcW w:w="33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年，以下同）</w:t>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 w:right="0"/>
              <w:jc w:val="center"/>
              <w:rPr>
                <w:rFonts w:ascii="宋体" w:hAnsi="宋体" w:cs="宋体" w:eastAsia="宋体" w:hint="default"/>
                <w:sz w:val="18"/>
                <w:szCs w:val="18"/>
              </w:rPr>
            </w:pPr>
            <w:r>
              <w:rPr>
                <w:rFonts w:ascii="宋体"/>
                <w:sz w:val="18"/>
              </w:rPr>
              <w:t>5</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5</w:t>
            </w:r>
          </w:p>
        </w:tc>
      </w:tr>
      <w:tr>
        <w:trPr>
          <w:trHeight w:val="480" w:hRule="exact"/>
        </w:trPr>
        <w:tc>
          <w:tcPr>
            <w:tcW w:w="33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08"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 w:right="0"/>
              <w:jc w:val="center"/>
              <w:rPr>
                <w:rFonts w:ascii="宋体" w:hAnsi="宋体" w:cs="宋体" w:eastAsia="宋体" w:hint="default"/>
                <w:sz w:val="18"/>
                <w:szCs w:val="18"/>
              </w:rPr>
            </w:pPr>
            <w:r>
              <w:rPr>
                <w:rFonts w:ascii="宋体"/>
                <w:sz w:val="18"/>
              </w:rPr>
              <w:t>10</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10</w:t>
            </w:r>
          </w:p>
        </w:tc>
      </w:tr>
      <w:tr>
        <w:trPr>
          <w:trHeight w:val="478" w:hRule="exact"/>
        </w:trPr>
        <w:tc>
          <w:tcPr>
            <w:tcW w:w="33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08"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 w:right="0"/>
              <w:jc w:val="center"/>
              <w:rPr>
                <w:rFonts w:ascii="宋体" w:hAnsi="宋体" w:cs="宋体" w:eastAsia="宋体" w:hint="default"/>
                <w:sz w:val="18"/>
                <w:szCs w:val="18"/>
              </w:rPr>
            </w:pPr>
            <w:r>
              <w:rPr>
                <w:rFonts w:ascii="宋体"/>
                <w:sz w:val="18"/>
              </w:rPr>
              <w:t>30</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30</w:t>
            </w:r>
          </w:p>
        </w:tc>
      </w:tr>
      <w:tr>
        <w:trPr>
          <w:trHeight w:val="478" w:hRule="exact"/>
        </w:trPr>
        <w:tc>
          <w:tcPr>
            <w:tcW w:w="33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08" w:right="0"/>
              <w:jc w:val="left"/>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 w:right="0"/>
              <w:jc w:val="center"/>
              <w:rPr>
                <w:rFonts w:ascii="宋体" w:hAnsi="宋体" w:cs="宋体" w:eastAsia="宋体" w:hint="default"/>
                <w:sz w:val="18"/>
                <w:szCs w:val="18"/>
              </w:rPr>
            </w:pPr>
            <w:r>
              <w:rPr>
                <w:rFonts w:ascii="宋体"/>
                <w:sz w:val="18"/>
              </w:rPr>
              <w:t>50/100</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50/100</w:t>
            </w:r>
          </w:p>
        </w:tc>
      </w:tr>
      <w:tr>
        <w:trPr>
          <w:trHeight w:val="478" w:hRule="exact"/>
        </w:trPr>
        <w:tc>
          <w:tcPr>
            <w:tcW w:w="33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08"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 w:right="0"/>
              <w:jc w:val="center"/>
              <w:rPr>
                <w:rFonts w:ascii="宋体" w:hAnsi="宋体" w:cs="宋体" w:eastAsia="宋体" w:hint="default"/>
                <w:sz w:val="18"/>
                <w:szCs w:val="18"/>
              </w:rPr>
            </w:pPr>
            <w:r>
              <w:rPr>
                <w:rFonts w:ascii="宋体"/>
                <w:sz w:val="18"/>
              </w:rPr>
              <w:t>100</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5"/>
              <w:jc w:val="center"/>
              <w:rPr>
                <w:rFonts w:ascii="宋体" w:hAnsi="宋体" w:cs="宋体" w:eastAsia="宋体" w:hint="default"/>
                <w:sz w:val="18"/>
                <w:szCs w:val="18"/>
              </w:rPr>
            </w:pPr>
            <w:r>
              <w:rPr>
                <w:rFonts w:ascii="宋体"/>
                <w:sz w:val="18"/>
              </w:rPr>
              <w:t>100</w:t>
            </w:r>
          </w:p>
        </w:tc>
      </w:tr>
    </w:tbl>
    <w:p>
      <w:pPr>
        <w:pStyle w:val="BodyText"/>
        <w:spacing w:line="240" w:lineRule="auto" w:before="41"/>
        <w:ind w:left="875" w:right="0"/>
        <w:jc w:val="left"/>
      </w:pPr>
      <w:r>
        <w:rPr/>
        <w:pict>
          <v:group style="position:absolute;margin-left:47.639999pt;margin-top:39.465603pt;width:.1pt;height:10.35pt;mso-position-horizontal-relative:page;mso-position-vertical-relative:paragraph;z-index:3544" coordorigin="953,789" coordsize="2,207">
            <v:shape style="position:absolute;left:953;top:789;width:2;height:207" coordorigin="953,789" coordsize="0,207" path="m953,789l953,996e" filled="false" stroked="true" strokeweight=".12pt" strokecolor="#000000">
              <v:path arrowok="t"/>
            </v:shape>
            <w10:wrap type="none"/>
          </v:group>
        </w:pict>
      </w:r>
      <w:r>
        <w:rPr/>
        <w:t>3．单项金额虽不重大但单项计提坏账准备的应收款项</w:t>
      </w:r>
    </w:p>
    <w:p>
      <w:pPr>
        <w:spacing w:after="0" w:line="240" w:lineRule="auto"/>
        <w:jc w:val="left"/>
        <w:sectPr>
          <w:pgSz w:w="11910" w:h="16840"/>
          <w:pgMar w:header="745" w:footer="979" w:top="1060" w:bottom="1160" w:left="740" w:right="1020"/>
        </w:sectPr>
      </w:pPr>
    </w:p>
    <w:p>
      <w:pPr>
        <w:spacing w:line="240" w:lineRule="auto" w:before="6"/>
        <w:rPr>
          <w:rFonts w:ascii="宋体" w:hAnsi="宋体" w:cs="宋体" w:eastAsia="宋体"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3348"/>
        <w:gridCol w:w="5220"/>
      </w:tblGrid>
      <w:tr>
        <w:trPr>
          <w:trHeight w:val="634" w:hRule="exact"/>
        </w:trPr>
        <w:tc>
          <w:tcPr>
            <w:tcW w:w="33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522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125"/>
              <w:jc w:val="left"/>
              <w:rPr>
                <w:rFonts w:ascii="宋体" w:hAnsi="宋体" w:cs="宋体" w:eastAsia="宋体" w:hint="default"/>
                <w:sz w:val="18"/>
                <w:szCs w:val="18"/>
              </w:rPr>
            </w:pPr>
            <w:r>
              <w:rPr>
                <w:rFonts w:ascii="宋体" w:hAnsi="宋体" w:cs="宋体" w:eastAsia="宋体" w:hint="default"/>
                <w:spacing w:val="3"/>
                <w:sz w:val="18"/>
                <w:szCs w:val="18"/>
              </w:rPr>
              <w:t>应收款项的未来现金流量现值与以账龄为信用风险特征的应收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款项组合的未来现金流量现值存在显著差异。</w:t>
            </w:r>
          </w:p>
        </w:tc>
      </w:tr>
      <w:tr>
        <w:trPr>
          <w:trHeight w:val="634" w:hRule="exact"/>
        </w:trPr>
        <w:tc>
          <w:tcPr>
            <w:tcW w:w="33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522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103"/>
              <w:jc w:val="left"/>
              <w:rPr>
                <w:rFonts w:ascii="宋体" w:hAnsi="宋体" w:cs="宋体" w:eastAsia="宋体" w:hint="default"/>
                <w:sz w:val="18"/>
                <w:szCs w:val="18"/>
              </w:rPr>
            </w:pPr>
            <w:r>
              <w:rPr>
                <w:rFonts w:ascii="宋体" w:hAnsi="宋体" w:cs="宋体" w:eastAsia="宋体" w:hint="default"/>
                <w:spacing w:val="-2"/>
                <w:sz w:val="18"/>
                <w:szCs w:val="18"/>
              </w:rPr>
              <w:t>单独进行减值测试，根据其未来现金流量现值低于其账面价值的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差额计提坏账准备。</w:t>
            </w:r>
          </w:p>
        </w:tc>
      </w:tr>
    </w:tbl>
    <w:p>
      <w:pPr>
        <w:pStyle w:val="BodyText"/>
        <w:spacing w:line="357" w:lineRule="auto" w:before="41"/>
        <w:ind w:left="232" w:right="312" w:firstLine="482"/>
        <w:jc w:val="left"/>
      </w:pPr>
      <w:r>
        <w:rPr/>
        <w:t>对应收票据、预付款项、应收利息、长期应收款等其他应收款项，根据其未来现金流量 现值低于其账面价值的差额计提坏账准备。</w:t>
      </w:r>
    </w:p>
    <w:p>
      <w:pPr>
        <w:pStyle w:val="BodyText"/>
        <w:spacing w:line="240" w:lineRule="auto"/>
        <w:ind w:left="715" w:right="96"/>
        <w:jc w:val="left"/>
      </w:pPr>
      <w:r>
        <w:rPr/>
        <w:t>(十)</w:t>
      </w:r>
      <w:r>
        <w:rPr>
          <w:spacing w:val="-3"/>
        </w:rPr>
        <w:t> </w:t>
      </w:r>
      <w:r>
        <w:rPr/>
        <w:t>存货</w:t>
      </w:r>
    </w:p>
    <w:p>
      <w:pPr>
        <w:pStyle w:val="BodyText"/>
        <w:spacing w:line="357" w:lineRule="auto" w:before="154"/>
        <w:ind w:left="715" w:right="311"/>
        <w:jc w:val="left"/>
      </w:pPr>
      <w:r>
        <w:rPr/>
        <w:t>1.</w:t>
      </w:r>
      <w:r>
        <w:rPr>
          <w:spacing w:val="-3"/>
        </w:rPr>
        <w:t> </w:t>
      </w:r>
      <w:r>
        <w:rPr/>
        <w:t>存货的分类</w:t>
      </w:r>
      <w:r>
        <w:rPr/>
        <w:t> 存货包括在日常活动中持有以备出售的商品、处于开发过程中的软件产品或施工过程的</w:t>
      </w:r>
    </w:p>
    <w:p>
      <w:pPr>
        <w:pStyle w:val="BodyText"/>
        <w:spacing w:line="357" w:lineRule="auto"/>
        <w:ind w:left="715" w:right="3914" w:hanging="483"/>
        <w:jc w:val="left"/>
      </w:pPr>
      <w:r>
        <w:rPr/>
        <w:t>系统集成工程、在提供劳务过程中耗用的材料和物料等。 2.</w:t>
      </w:r>
      <w:r>
        <w:rPr>
          <w:spacing w:val="-3"/>
        </w:rPr>
        <w:t> </w:t>
      </w:r>
      <w:r>
        <w:rPr/>
        <w:t>发出存货的计价方法</w:t>
      </w:r>
    </w:p>
    <w:p>
      <w:pPr>
        <w:pStyle w:val="BodyText"/>
        <w:spacing w:line="240" w:lineRule="auto"/>
        <w:ind w:left="715" w:right="96"/>
        <w:jc w:val="left"/>
      </w:pPr>
      <w:r>
        <w:rPr/>
        <w:t>发出存货采用个别计价法。</w:t>
      </w:r>
    </w:p>
    <w:p>
      <w:pPr>
        <w:pStyle w:val="BodyText"/>
        <w:spacing w:line="357" w:lineRule="auto" w:before="154"/>
        <w:ind w:left="715" w:right="311"/>
        <w:jc w:val="left"/>
      </w:pPr>
      <w:r>
        <w:rPr/>
        <w:t>3.</w:t>
      </w:r>
      <w:r>
        <w:rPr>
          <w:spacing w:val="-3"/>
        </w:rPr>
        <w:t> </w:t>
      </w:r>
      <w:r>
        <w:rPr/>
        <w:t>存货可变现净值的确定依据及存货跌价准备的计提方法</w:t>
      </w:r>
      <w:r>
        <w:rPr/>
        <w:t> 资产负债表日，存货采用成本与可变现净值孰低计量，按照单个存货成本高于可变现净</w:t>
      </w:r>
    </w:p>
    <w:p>
      <w:pPr>
        <w:pStyle w:val="BodyText"/>
        <w:spacing w:line="357" w:lineRule="auto"/>
        <w:ind w:left="232" w:right="331"/>
        <w:jc w:val="both"/>
      </w:pPr>
      <w:r>
        <w:rPr/>
        <w:t>值的差额计提存货跌价准备。直接用于出售的存货，在正常生产经营过程中以该存货的估计 售价减去估计的销售费用和相关税费后的金额确定其可变现净值；需要经过加工的存货，在 正常生产经营过程中以所生产的产成品的估计售价减去至完工时估计将要发生的成本、估计 的销售费用和相关税费后的金额确定其可变现净值；资产负债表日，同一项存货中一部分有 合同价格约定、其他部分不存在合同价格的，分别确定其可变现净值，并与其对应的成本进 行比较，分别确定存货跌价准备的计提或转回的金额。</w:t>
      </w:r>
    </w:p>
    <w:p>
      <w:pPr>
        <w:pStyle w:val="BodyText"/>
        <w:spacing w:line="357" w:lineRule="auto"/>
        <w:ind w:left="715" w:right="6071"/>
        <w:jc w:val="left"/>
      </w:pPr>
      <w:r>
        <w:rPr/>
        <w:t>4.</w:t>
      </w:r>
      <w:r>
        <w:rPr>
          <w:spacing w:val="-3"/>
        </w:rPr>
        <w:t> </w:t>
      </w:r>
      <w:r>
        <w:rPr/>
        <w:t>存货的盘存制度</w:t>
      </w:r>
      <w:r>
        <w:rPr/>
        <w:t> 存货的盘存制度为永续盘存制。 5.</w:t>
      </w:r>
      <w:r>
        <w:rPr>
          <w:spacing w:val="-3"/>
        </w:rPr>
        <w:t> </w:t>
      </w:r>
      <w:r>
        <w:rPr/>
        <w:t>低值易耗品的摊销方法</w:t>
      </w:r>
      <w:r>
        <w:rPr/>
        <w:t> 按照一次转销法进行摊销。 (十一)</w:t>
      </w:r>
      <w:r>
        <w:rPr>
          <w:spacing w:val="-3"/>
        </w:rPr>
        <w:t> </w:t>
      </w:r>
      <w:r>
        <w:rPr/>
        <w:t>长期股权投资</w:t>
      </w:r>
    </w:p>
    <w:p>
      <w:pPr>
        <w:pStyle w:val="BodyText"/>
        <w:spacing w:line="240" w:lineRule="auto"/>
        <w:ind w:left="715" w:right="96"/>
        <w:jc w:val="left"/>
      </w:pPr>
      <w:r>
        <w:rPr/>
        <w:t>1.</w:t>
      </w:r>
      <w:r>
        <w:rPr>
          <w:spacing w:val="-3"/>
        </w:rPr>
        <w:t> </w:t>
      </w:r>
      <w:r>
        <w:rPr/>
        <w:t>初始投资成本的确定</w:t>
      </w:r>
    </w:p>
    <w:p>
      <w:pPr>
        <w:pStyle w:val="BodyText"/>
        <w:spacing w:line="357" w:lineRule="auto" w:before="154"/>
        <w:ind w:left="232" w:right="328" w:firstLine="482"/>
        <w:jc w:val="both"/>
      </w:pPr>
      <w:r>
        <w:rPr/>
        <w:t>(1) 同一控制下的企业合并形成的，合并方以支付现金、转让非现金资产、承担债务或 发行权益性证券作为合并对价的，在合并日按照取得被合并方所有者权益账面价值的份额作 为其初始投资成本。长期股权投资初始投资成本与支付的合并对价的账面价值或发行股份的 面值总额之间的差额调整资本公积；资本公积不足冲减的，调整留存收益。</w:t>
      </w:r>
    </w:p>
    <w:p>
      <w:pPr>
        <w:pStyle w:val="BodyText"/>
        <w:spacing w:line="240" w:lineRule="auto"/>
        <w:ind w:left="715" w:right="96"/>
        <w:jc w:val="left"/>
      </w:pPr>
      <w:r>
        <w:rPr/>
        <w:pict>
          <v:group style="position:absolute;margin-left:547.559998pt;margin-top:37.415607pt;width:.1pt;height:10.35pt;mso-position-horizontal-relative:page;mso-position-vertical-relative:paragraph;z-index:3568" coordorigin="10951,748" coordsize="2,207">
            <v:shape style="position:absolute;left:10951;top:748;width:2;height:207" coordorigin="10951,748" coordsize="0,207" path="m10951,748l10951,955e" filled="false" stroked="true" strokeweight=".12pt" strokecolor="#000000">
              <v:path arrowok="t"/>
            </v:shape>
            <w10:wrap type="none"/>
          </v:group>
        </w:pict>
      </w:r>
      <w:r>
        <w:rPr/>
        <w:t>(2) 非同一控制下的企业合并形成的，在购买日按照支付的合并对价的公允价值作为其</w:t>
      </w:r>
    </w:p>
    <w:p>
      <w:pPr>
        <w:spacing w:after="0" w:line="240" w:lineRule="auto"/>
        <w:jc w:val="left"/>
        <w:sectPr>
          <w:pgSz w:w="11910" w:h="16840"/>
          <w:pgMar w:header="745" w:footer="979" w:top="1060" w:bottom="1160" w:left="900" w:right="840"/>
        </w:sectPr>
      </w:pPr>
    </w:p>
    <w:p>
      <w:pPr>
        <w:spacing w:line="240" w:lineRule="auto" w:before="6"/>
        <w:rPr>
          <w:rFonts w:ascii="宋体" w:hAnsi="宋体" w:cs="宋体" w:eastAsia="宋体" w:hint="default"/>
          <w:sz w:val="29"/>
          <w:szCs w:val="29"/>
        </w:rPr>
      </w:pPr>
    </w:p>
    <w:p>
      <w:pPr>
        <w:pStyle w:val="BodyText"/>
        <w:spacing w:line="240" w:lineRule="auto" w:before="26"/>
        <w:ind w:right="0"/>
        <w:jc w:val="both"/>
      </w:pPr>
      <w:r>
        <w:rPr/>
        <w:t>初始投资成本。</w:t>
      </w:r>
    </w:p>
    <w:p>
      <w:pPr>
        <w:pStyle w:val="BodyText"/>
        <w:spacing w:line="357" w:lineRule="auto" w:before="154"/>
        <w:ind w:right="232" w:firstLine="482"/>
        <w:jc w:val="both"/>
      </w:pPr>
      <w:r>
        <w:rPr/>
        <w:t>(3) 除企业合并形成以外的：以支付现金取得的，按照实际支付的购买价款作为其初始 </w:t>
      </w:r>
      <w:r>
        <w:rPr>
          <w:spacing w:val="-2"/>
          <w:w w:val="95"/>
        </w:rPr>
        <w:t>投资成本；以发行权益性证券取得的，按照发行权益性证券的公允价值作为其初始投资成本；</w:t>
      </w:r>
      <w:r>
        <w:rPr>
          <w:spacing w:val="30"/>
          <w:w w:val="95"/>
        </w:rPr>
        <w:t> </w:t>
      </w:r>
      <w:r>
        <w:rPr>
          <w:spacing w:val="30"/>
          <w:w w:val="95"/>
        </w:rPr>
      </w:r>
      <w:r>
        <w:rPr/>
        <w:t>投资者投入的，按照投资合同或协议约定的价值作为其初始投资成本（合同或协议约定价值</w:t>
      </w:r>
      <w:r>
        <w:rPr/>
        <w:t> </w:t>
      </w:r>
      <w:r>
        <w:rPr>
          <w:spacing w:val="-15"/>
        </w:rPr>
        <w:t>不公允的除外）。</w:t>
      </w:r>
    </w:p>
    <w:p>
      <w:pPr>
        <w:pStyle w:val="BodyText"/>
        <w:spacing w:line="357" w:lineRule="auto"/>
        <w:ind w:left="775" w:right="251"/>
        <w:jc w:val="left"/>
      </w:pPr>
      <w:r>
        <w:rPr/>
        <w:t>2.</w:t>
      </w:r>
      <w:r>
        <w:rPr>
          <w:spacing w:val="-3"/>
        </w:rPr>
        <w:t> </w:t>
      </w:r>
      <w:r>
        <w:rPr/>
        <w:t>后续计量及损益确认方法</w:t>
      </w:r>
      <w:r>
        <w:rPr/>
        <w:t> 对被投资单位能够实施控制的长期股权投资采用成本法核算，在编制合并财务报表时按</w:t>
      </w:r>
    </w:p>
    <w:p>
      <w:pPr>
        <w:pStyle w:val="BodyText"/>
        <w:spacing w:line="357" w:lineRule="auto"/>
        <w:ind w:right="271"/>
        <w:jc w:val="both"/>
      </w:pPr>
      <w:r>
        <w:rPr/>
        <w:t>照权益法进行调整；对不具有共同控制或重大影响，并且在活跃市场中没有报价、公允价值 不能可靠计量的长期股权投资，采用成本法核算；对具有共同控制或重大影响的长期股权投 资，采用权益法核算。</w:t>
      </w:r>
    </w:p>
    <w:p>
      <w:pPr>
        <w:pStyle w:val="BodyText"/>
        <w:spacing w:line="357" w:lineRule="auto"/>
        <w:ind w:left="775" w:right="251"/>
        <w:jc w:val="left"/>
      </w:pPr>
      <w:r>
        <w:rPr/>
        <w:t>3.</w:t>
      </w:r>
      <w:r>
        <w:rPr>
          <w:spacing w:val="-3"/>
        </w:rPr>
        <w:t> </w:t>
      </w:r>
      <w:r>
        <w:rPr/>
        <w:t>确定对被投资单位具有共同控制、重大影响的依据</w:t>
      </w:r>
      <w:r>
        <w:rPr/>
        <w:t> 按照合同约定，与被投资单位相关的重要财务和经营决策需要分享控制权的投资方一致</w:t>
      </w:r>
    </w:p>
    <w:p>
      <w:pPr>
        <w:pStyle w:val="BodyText"/>
        <w:spacing w:line="357" w:lineRule="auto"/>
        <w:ind w:right="271"/>
        <w:jc w:val="both"/>
      </w:pPr>
      <w:r>
        <w:rPr/>
        <w:t>同意的，认定为共同控制；对被投资单位的财务和经营政策有参与决策的权力，但并不能够 控制或者与其他方一起共同控制这些政策的制定的，认定为重大影响。</w:t>
      </w:r>
    </w:p>
    <w:p>
      <w:pPr>
        <w:pStyle w:val="BodyText"/>
        <w:spacing w:line="357" w:lineRule="auto"/>
        <w:ind w:left="775" w:right="96"/>
        <w:jc w:val="left"/>
      </w:pPr>
      <w:r>
        <w:rPr/>
        <w:t>4.</w:t>
      </w:r>
      <w:r>
        <w:rPr>
          <w:spacing w:val="-3"/>
        </w:rPr>
        <w:t> </w:t>
      </w:r>
      <w:r>
        <w:rPr/>
        <w:t>减值测试方法及减值准备计提方法</w:t>
      </w:r>
      <w:r>
        <w:rPr/>
        <w:t> </w:t>
      </w:r>
      <w:r>
        <w:rPr>
          <w:spacing w:val="-3"/>
          <w:w w:val="95"/>
        </w:rPr>
        <w:t>对子公司、联营企业及合营企业的投资，在资产负债表日有客观证据表明其发生减值的，</w:t>
      </w:r>
      <w:r>
        <w:rPr>
          <w:spacing w:val="-3"/>
        </w:rPr>
      </w:r>
    </w:p>
    <w:p>
      <w:pPr>
        <w:pStyle w:val="BodyText"/>
        <w:spacing w:line="357" w:lineRule="auto"/>
        <w:ind w:right="271"/>
        <w:jc w:val="both"/>
      </w:pPr>
      <w:r>
        <w:rPr/>
        <w:t>按照账面价值高于可收回金额的差额计提相应的减值准备；对被投资单位不具有共同控制或 重大影响、在活跃市场中没有报价、公允价值不能可靠计量的长期股权投资，按照《企业会 计准则第</w:t>
      </w:r>
      <w:r>
        <w:rPr>
          <w:spacing w:val="-59"/>
        </w:rPr>
        <w:t> </w:t>
      </w:r>
      <w:r>
        <w:rPr/>
        <w:t>22</w:t>
      </w:r>
      <w:r>
        <w:rPr>
          <w:spacing w:val="-59"/>
        </w:rPr>
        <w:t> </w:t>
      </w:r>
      <w:r>
        <w:rPr/>
        <w:t>号——金融工具确认和计量》的规定计提相应的减值准备。</w:t>
      </w:r>
    </w:p>
    <w:p>
      <w:pPr>
        <w:pStyle w:val="BodyText"/>
        <w:spacing w:line="357" w:lineRule="auto"/>
        <w:ind w:left="775" w:right="7574"/>
        <w:jc w:val="left"/>
      </w:pPr>
      <w:r>
        <w:rPr/>
        <w:t>(十二)</w:t>
      </w:r>
      <w:r>
        <w:rPr>
          <w:spacing w:val="-3"/>
        </w:rPr>
        <w:t> </w:t>
      </w:r>
      <w:r>
        <w:rPr/>
        <w:t>固定资产</w:t>
      </w:r>
      <w:r>
        <w:rPr/>
        <w:t> 1.</w:t>
      </w:r>
      <w:r>
        <w:rPr>
          <w:spacing w:val="-3"/>
        </w:rPr>
        <w:t> </w:t>
      </w:r>
      <w:r>
        <w:rPr/>
        <w:t>确认条件</w:t>
      </w:r>
    </w:p>
    <w:p>
      <w:pPr>
        <w:pStyle w:val="BodyText"/>
        <w:spacing w:line="357" w:lineRule="auto"/>
        <w:ind w:right="249" w:firstLine="482"/>
        <w:jc w:val="both"/>
      </w:pPr>
      <w:r>
        <w:rPr/>
        <w:t>固定资产同时满足下列条件的予以确认：(1)</w:t>
      </w:r>
      <w:r>
        <w:rPr>
          <w:spacing w:val="16"/>
        </w:rPr>
        <w:t> </w:t>
      </w:r>
      <w:r>
        <w:rPr/>
        <w:t>与该固定资产有关的经济利益很可能流入</w:t>
      </w:r>
      <w:r>
        <w:rPr/>
        <w:t> 企业；(2)</w:t>
      </w:r>
      <w:r>
        <w:rPr>
          <w:spacing w:val="3"/>
        </w:rPr>
        <w:t> </w:t>
      </w:r>
      <w:r>
        <w:rPr/>
        <w:t>该固定资产的成本能够可靠地计量。与固定资产有关的后续支出，符合上述确认</w:t>
      </w:r>
      <w:r>
        <w:rPr/>
        <w:t> 条件的，计入固定资产成本；不符合上述确认条件的，发生时计入当期损益。固定资产按照 成本进行初始计量。</w:t>
      </w:r>
    </w:p>
    <w:p>
      <w:pPr>
        <w:pStyle w:val="BodyText"/>
        <w:spacing w:line="357" w:lineRule="auto"/>
        <w:ind w:left="775" w:right="96"/>
        <w:jc w:val="left"/>
      </w:pPr>
      <w:r>
        <w:rPr/>
        <w:t>2.</w:t>
      </w:r>
      <w:r>
        <w:rPr>
          <w:spacing w:val="-3"/>
        </w:rPr>
        <w:t> </w:t>
      </w:r>
      <w:r>
        <w:rPr/>
        <w:t>各类固定资产的折旧方法</w:t>
      </w:r>
      <w:r>
        <w:rPr/>
        <w:t> </w:t>
      </w:r>
      <w:r>
        <w:rPr>
          <w:spacing w:val="-3"/>
        </w:rPr>
        <w:t>固定资产折旧采用年限平均法。各类固定资产的使用寿命、估计残值率和年折旧率如下：</w:t>
      </w:r>
    </w:p>
    <w:p>
      <w:pPr>
        <w:tabs>
          <w:tab w:pos="2543" w:val="left" w:leader="none"/>
          <w:tab w:pos="3964" w:val="left" w:leader="none"/>
          <w:tab w:pos="4255" w:val="left" w:leader="none"/>
          <w:tab w:pos="5695" w:val="left" w:leader="none"/>
          <w:tab w:pos="5855" w:val="left" w:leader="none"/>
          <w:tab w:pos="7727" w:val="right" w:leader="none"/>
        </w:tabs>
        <w:spacing w:line="477" w:lineRule="auto" w:before="85"/>
        <w:ind w:left="763" w:right="2419" w:firstLine="160"/>
        <w:jc w:val="left"/>
        <w:rPr>
          <w:rFonts w:ascii="宋体" w:hAnsi="宋体" w:cs="宋体" w:eastAsia="宋体" w:hint="default"/>
          <w:sz w:val="18"/>
          <w:szCs w:val="18"/>
        </w:rPr>
      </w:pPr>
      <w:r>
        <w:rPr/>
        <w:pict>
          <v:group style="position:absolute;margin-left:47.639999pt;margin-top:78.001701pt;width:.1pt;height:10.35pt;mso-position-horizontal-relative:page;mso-position-vertical-relative:paragraph;z-index:3592" coordorigin="953,1560" coordsize="2,207">
            <v:shape style="position:absolute;left:953;top:1560;width:2;height:207" coordorigin="953,1560" coordsize="0,207" path="m953,1560l953,1766e" filled="false" stroked="true" strokeweight=".12pt" strokecolor="#000000">
              <v:path arrowok="t"/>
            </v:shape>
            <w10:wrap type="none"/>
          </v:group>
        </w:pict>
      </w:r>
      <w:r>
        <w:rPr>
          <w:rFonts w:ascii="宋体" w:hAnsi="宋体" w:cs="宋体" w:eastAsia="宋体" w:hint="default"/>
          <w:sz w:val="18"/>
          <w:szCs w:val="18"/>
        </w:rPr>
        <w:t>项  目</w:t>
        <w:tab/>
      </w:r>
      <w:r>
        <w:rPr>
          <w:rFonts w:ascii="宋体" w:hAnsi="宋体" w:cs="宋体" w:eastAsia="宋体" w:hint="default"/>
          <w:spacing w:val="-1"/>
          <w:sz w:val="18"/>
          <w:szCs w:val="18"/>
        </w:rPr>
        <w:t>折旧年限(年)</w:t>
        <w:tab/>
        <w:tab/>
        <w:t>残值率(%)</w:t>
        <w:tab/>
        <w:t>年折旧率(%)</w:t>
      </w:r>
      <w:r>
        <w:rPr>
          <w:rFonts w:ascii="宋体" w:hAnsi="宋体" w:cs="宋体" w:eastAsia="宋体" w:hint="default"/>
          <w:sz w:val="18"/>
          <w:szCs w:val="18"/>
        </w:rPr>
        <w:t> 房屋及建筑物</w:t>
        <w:tab/>
        <w:tab/>
        <w:t>30</w:t>
        <w:tab/>
        <w:tab/>
        <w:tab/>
        <w:t>5</w:t>
      </w:r>
      <w:r>
        <w:rPr>
          <w:rFonts w:ascii="Times New Roman" w:hAnsi="Times New Roman" w:cs="Times New Roman" w:eastAsia="Times New Roman" w:hint="default"/>
          <w:sz w:val="18"/>
          <w:szCs w:val="18"/>
        </w:rPr>
        <w:t> </w:t>
        <w:tab/>
      </w:r>
      <w:r>
        <w:rPr>
          <w:rFonts w:ascii="Times New Roman" w:hAnsi="Times New Roman" w:cs="Times New Roman" w:eastAsia="Times New Roman" w:hint="default"/>
          <w:w w:val="40"/>
          <w:sz w:val="18"/>
          <w:szCs w:val="18"/>
        </w:rPr>
        <w:t> </w:t>
      </w:r>
      <w:r>
        <w:rPr>
          <w:rFonts w:ascii="Times New Roman" w:hAnsi="Times New Roman" w:cs="Times New Roman" w:eastAsia="Times New Roman" w:hint="default"/>
          <w:sz w:val="18"/>
          <w:szCs w:val="18"/>
        </w:rPr>
      </w:r>
      <w:r>
        <w:rPr>
          <w:rFonts w:ascii="宋体" w:hAnsi="宋体" w:cs="宋体" w:eastAsia="宋体" w:hint="default"/>
          <w:sz w:val="18"/>
          <w:szCs w:val="18"/>
        </w:rPr>
        <w:t>3.17</w:t>
      </w:r>
    </w:p>
    <w:p>
      <w:pPr>
        <w:spacing w:after="0" w:line="477" w:lineRule="auto"/>
        <w:jc w:val="left"/>
        <w:rPr>
          <w:rFonts w:ascii="宋体" w:hAnsi="宋体" w:cs="宋体" w:eastAsia="宋体" w:hint="default"/>
          <w:sz w:val="18"/>
          <w:szCs w:val="18"/>
        </w:rPr>
        <w:sectPr>
          <w:pgSz w:w="11910" w:h="16840"/>
          <w:pgMar w:header="745" w:footer="979" w:top="1060" w:bottom="1160" w:left="840" w:right="90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1"/>
          <w:szCs w:val="11"/>
        </w:rPr>
      </w:pPr>
    </w:p>
    <w:tbl>
      <w:tblPr>
        <w:tblW w:w="0" w:type="auto"/>
        <w:jc w:val="left"/>
        <w:tblInd w:w="548" w:type="dxa"/>
        <w:tblLayout w:type="fixed"/>
        <w:tblCellMar>
          <w:top w:w="0" w:type="dxa"/>
          <w:left w:w="0" w:type="dxa"/>
          <w:bottom w:w="0" w:type="dxa"/>
          <w:right w:w="0" w:type="dxa"/>
        </w:tblCellMar>
        <w:tblLook w:val="01E0"/>
      </w:tblPr>
      <w:tblGrid>
        <w:gridCol w:w="1951"/>
        <w:gridCol w:w="2321"/>
        <w:gridCol w:w="1484"/>
        <w:gridCol w:w="1296"/>
      </w:tblGrid>
      <w:tr>
        <w:trPr>
          <w:trHeight w:val="424" w:hRule="exact"/>
        </w:trPr>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54"/>
              <w:jc w:val="right"/>
              <w:rPr>
                <w:rFonts w:ascii="宋体" w:hAnsi="宋体" w:cs="宋体" w:eastAsia="宋体" w:hint="default"/>
                <w:sz w:val="18"/>
                <w:szCs w:val="18"/>
              </w:rPr>
            </w:pPr>
            <w:r>
              <w:rPr>
                <w:rFonts w:ascii="宋体"/>
                <w:spacing w:val="-1"/>
                <w:sz w:val="18"/>
              </w:rPr>
              <w:t>5-8</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37"/>
              <w:jc w:val="right"/>
              <w:rPr>
                <w:rFonts w:ascii="宋体" w:hAnsi="宋体" w:cs="宋体" w:eastAsia="宋体" w:hint="default"/>
                <w:sz w:val="18"/>
                <w:szCs w:val="18"/>
              </w:rPr>
            </w:pPr>
            <w:r>
              <w:rPr>
                <w:rFonts w:ascii="宋体"/>
                <w:sz w:val="18"/>
              </w:rPr>
              <w:t>5</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pacing w:val="-1"/>
                <w:sz w:val="18"/>
              </w:rPr>
              <w:t>19-11.88</w:t>
            </w:r>
          </w:p>
        </w:tc>
      </w:tr>
      <w:tr>
        <w:trPr>
          <w:trHeight w:val="424" w:hRule="exact"/>
        </w:trPr>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53"/>
              <w:jc w:val="right"/>
              <w:rPr>
                <w:rFonts w:ascii="宋体" w:hAnsi="宋体" w:cs="宋体" w:eastAsia="宋体" w:hint="default"/>
                <w:sz w:val="18"/>
                <w:szCs w:val="18"/>
              </w:rPr>
            </w:pPr>
            <w:r>
              <w:rPr>
                <w:rFonts w:ascii="宋体"/>
                <w:sz w:val="18"/>
              </w:rPr>
              <w:t>5</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37"/>
              <w:jc w:val="right"/>
              <w:rPr>
                <w:rFonts w:ascii="宋体" w:hAnsi="宋体" w:cs="宋体" w:eastAsia="宋体" w:hint="default"/>
                <w:sz w:val="18"/>
                <w:szCs w:val="18"/>
              </w:rPr>
            </w:pPr>
            <w:r>
              <w:rPr>
                <w:rFonts w:ascii="宋体"/>
                <w:sz w:val="18"/>
              </w:rPr>
              <w:t>5</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pacing w:val="-1"/>
                <w:sz w:val="18"/>
              </w:rPr>
              <w:t>19.00</w:t>
            </w:r>
          </w:p>
        </w:tc>
      </w:tr>
    </w:tbl>
    <w:p>
      <w:pPr>
        <w:pStyle w:val="BodyText"/>
        <w:spacing w:line="357" w:lineRule="auto" w:before="84"/>
        <w:ind w:left="595" w:right="311"/>
        <w:jc w:val="left"/>
      </w:pPr>
      <w:r>
        <w:rPr/>
        <w:t>3.</w:t>
      </w:r>
      <w:r>
        <w:rPr>
          <w:spacing w:val="-3"/>
        </w:rPr>
        <w:t> </w:t>
      </w:r>
      <w:r>
        <w:rPr/>
        <w:t>固定资产的减值测试方法、减值准备计提方法</w:t>
      </w:r>
      <w:r>
        <w:rPr/>
        <w:t> 资产负债表日，有迹象表明固定资产发生减值的，按照账面价值高于可收回金额的差额</w:t>
      </w:r>
    </w:p>
    <w:p>
      <w:pPr>
        <w:pStyle w:val="BodyText"/>
        <w:spacing w:line="357" w:lineRule="auto"/>
        <w:ind w:left="595" w:right="7514" w:hanging="483"/>
        <w:jc w:val="left"/>
      </w:pPr>
      <w:r>
        <w:rPr/>
        <w:t>计提相应的减值准备。 (十三)</w:t>
      </w:r>
      <w:r>
        <w:rPr>
          <w:spacing w:val="-3"/>
        </w:rPr>
        <w:t> </w:t>
      </w:r>
      <w:r>
        <w:rPr/>
        <w:t>在建工程</w:t>
      </w:r>
    </w:p>
    <w:p>
      <w:pPr>
        <w:pStyle w:val="BodyText"/>
        <w:spacing w:line="357" w:lineRule="auto"/>
        <w:ind w:left="112" w:right="292" w:firstLine="482"/>
        <w:jc w:val="both"/>
      </w:pPr>
      <w:r>
        <w:rPr/>
        <w:t>1.</w:t>
      </w:r>
      <w:r>
        <w:rPr>
          <w:spacing w:val="22"/>
        </w:rPr>
        <w:t> </w:t>
      </w:r>
      <w:r>
        <w:rPr>
          <w:spacing w:val="-3"/>
        </w:rPr>
        <w:t>在建工程同时满足经济利益很可能流入、成本能够可靠计量则予以确认。在建工程按</w:t>
      </w:r>
      <w:r>
        <w:rPr/>
        <w:t> 建造该项资产达到预定可使用状态前所发生的实际成本计量。</w:t>
      </w:r>
    </w:p>
    <w:p>
      <w:pPr>
        <w:pStyle w:val="BodyText"/>
        <w:spacing w:line="357" w:lineRule="auto"/>
        <w:ind w:left="112" w:right="292" w:firstLine="482"/>
        <w:jc w:val="both"/>
      </w:pPr>
      <w:r>
        <w:rPr/>
        <w:t>2.</w:t>
      </w:r>
      <w:r>
        <w:rPr>
          <w:spacing w:val="22"/>
        </w:rPr>
        <w:t> </w:t>
      </w:r>
      <w:r>
        <w:rPr>
          <w:spacing w:val="-3"/>
        </w:rPr>
        <w:t>在建工程达到预定可使用状态时，按工程实际成本转入固定资产。已达到预定可使用</w:t>
      </w:r>
      <w:r>
        <w:rPr/>
        <w:t> 状态但尚未办理竣工决算的，先按估计价值转入固定资产，待办理竣工决算后再按实际成本 调整原暂估价值，但不再调整原已计提的折旧。</w:t>
      </w:r>
    </w:p>
    <w:p>
      <w:pPr>
        <w:pStyle w:val="BodyText"/>
        <w:spacing w:line="357" w:lineRule="auto"/>
        <w:ind w:left="112" w:right="292" w:firstLine="482"/>
        <w:jc w:val="both"/>
      </w:pPr>
      <w:r>
        <w:rPr/>
        <w:t>3.</w:t>
      </w:r>
      <w:r>
        <w:rPr>
          <w:spacing w:val="22"/>
        </w:rPr>
        <w:t> </w:t>
      </w:r>
      <w:r>
        <w:rPr>
          <w:spacing w:val="-3"/>
        </w:rPr>
        <w:t>资产负债表日，有迹象表明在建工程发生减值的，按照账面价值高于可收回金额的差</w:t>
      </w:r>
      <w:r>
        <w:rPr/>
        <w:t> 额计提相应的减值准备。</w:t>
      </w:r>
    </w:p>
    <w:p>
      <w:pPr>
        <w:pStyle w:val="BodyText"/>
        <w:spacing w:line="240" w:lineRule="auto"/>
        <w:ind w:left="595" w:right="279"/>
        <w:jc w:val="left"/>
      </w:pPr>
      <w:r>
        <w:rPr/>
        <w:t>(十四)</w:t>
      </w:r>
      <w:r>
        <w:rPr>
          <w:spacing w:val="-3"/>
        </w:rPr>
        <w:t> </w:t>
      </w:r>
      <w:r>
        <w:rPr/>
        <w:t>借款费用</w:t>
      </w:r>
    </w:p>
    <w:p>
      <w:pPr>
        <w:pStyle w:val="BodyText"/>
        <w:spacing w:line="357" w:lineRule="auto" w:before="154"/>
        <w:ind w:left="595" w:right="311"/>
        <w:jc w:val="left"/>
      </w:pPr>
      <w:r>
        <w:rPr/>
        <w:t>1.</w:t>
      </w:r>
      <w:r>
        <w:rPr>
          <w:spacing w:val="-3"/>
        </w:rPr>
        <w:t> </w:t>
      </w:r>
      <w:r>
        <w:rPr/>
        <w:t>借款费用资本化的确认原则</w:t>
      </w:r>
      <w:r>
        <w:rPr/>
        <w:t> 公司发生的借款费用，可直接归属于符合资本化条件的资产的购建或者生产的，予以资</w:t>
      </w:r>
    </w:p>
    <w:p>
      <w:pPr>
        <w:pStyle w:val="BodyText"/>
        <w:spacing w:line="357" w:lineRule="auto"/>
        <w:ind w:left="595" w:right="1274" w:hanging="483"/>
        <w:jc w:val="left"/>
      </w:pPr>
      <w:r>
        <w:rPr/>
        <w:t>本化，计入相关资产成本；其他借款费用，在发生时确认为费用，计入当期损益。 2．借款费用资本化期间</w:t>
      </w:r>
    </w:p>
    <w:p>
      <w:pPr>
        <w:pStyle w:val="BodyText"/>
        <w:spacing w:line="357" w:lineRule="auto"/>
        <w:ind w:left="112" w:right="271" w:firstLine="482"/>
        <w:jc w:val="both"/>
      </w:pPr>
      <w:r>
        <w:rPr/>
        <w:t>(1)</w:t>
      </w:r>
      <w:r>
        <w:rPr>
          <w:spacing w:val="3"/>
        </w:rPr>
        <w:t> </w:t>
      </w:r>
      <w:r>
        <w:rPr/>
        <w:t>当借款费用同时满足下列条件时，开始资本化：</w:t>
      </w:r>
      <w:r>
        <w:rPr>
          <w:spacing w:val="-99"/>
        </w:rPr>
        <w:t> </w:t>
      </w:r>
      <w:r>
        <w:rPr/>
        <w:t>1)</w:t>
      </w:r>
      <w:r>
        <w:rPr>
          <w:spacing w:val="3"/>
        </w:rPr>
        <w:t> </w:t>
      </w:r>
      <w:r>
        <w:rPr/>
        <w:t>资产支出已经发生；2)</w:t>
      </w:r>
      <w:r>
        <w:rPr>
          <w:spacing w:val="3"/>
        </w:rPr>
        <w:t> </w:t>
      </w:r>
      <w:r>
        <w:rPr/>
        <w:t>借款费</w:t>
      </w:r>
      <w:r>
        <w:rPr/>
        <w:t> </w:t>
      </w:r>
      <w:r>
        <w:rPr>
          <w:spacing w:val="2"/>
        </w:rPr>
        <w:t>用已经发生；3)</w:t>
      </w:r>
      <w:r>
        <w:rPr>
          <w:spacing w:val="29"/>
        </w:rPr>
        <w:t> </w:t>
      </w:r>
      <w:r>
        <w:rPr>
          <w:spacing w:val="3"/>
        </w:rPr>
        <w:t>为使资产达到预定可使用或可销售状态所必要的购建或者生产活动已经开</w:t>
      </w:r>
      <w:r>
        <w:rPr>
          <w:spacing w:val="-113"/>
        </w:rPr>
        <w:t> </w:t>
      </w:r>
      <w:r>
        <w:rPr>
          <w:spacing w:val="-113"/>
        </w:rPr>
      </w:r>
      <w:r>
        <w:rPr/>
        <w:t>始。</w:t>
      </w:r>
    </w:p>
    <w:p>
      <w:pPr>
        <w:pStyle w:val="BodyText"/>
        <w:spacing w:line="240" w:lineRule="auto"/>
        <w:ind w:left="595" w:right="279"/>
        <w:jc w:val="left"/>
      </w:pPr>
      <w:r>
        <w:rPr/>
        <w:t>(2) 若符合资本化条件的资产在购建或者生产过程中发生非正常中断，并且中断时间连</w:t>
      </w:r>
    </w:p>
    <w:p>
      <w:pPr>
        <w:pStyle w:val="BodyText"/>
        <w:spacing w:line="357" w:lineRule="auto" w:before="154"/>
        <w:ind w:left="112" w:right="310"/>
        <w:jc w:val="left"/>
      </w:pPr>
      <w:r>
        <w:rPr/>
        <w:t>续超过</w:t>
      </w:r>
      <w:r>
        <w:rPr>
          <w:spacing w:val="-58"/>
        </w:rPr>
        <w:t> </w:t>
      </w:r>
      <w:r>
        <w:rPr/>
        <w:t>3</w:t>
      </w:r>
      <w:r>
        <w:rPr>
          <w:spacing w:val="-58"/>
        </w:rPr>
        <w:t> </w:t>
      </w:r>
      <w:r>
        <w:rPr/>
        <w:t>个月，暂停借款费用的资本化；中断期间发生的借款费用确认为当期费用，直至资</w:t>
      </w:r>
      <w:r>
        <w:rPr/>
        <w:t> 产的购建或者生产活动重新开始。</w:t>
      </w:r>
    </w:p>
    <w:p>
      <w:pPr>
        <w:pStyle w:val="BodyText"/>
        <w:spacing w:line="357" w:lineRule="auto"/>
        <w:ind w:left="112" w:right="312" w:firstLine="482"/>
        <w:jc w:val="left"/>
      </w:pPr>
      <w:r>
        <w:rPr/>
        <w:t>(3) 当所购建或者生产符合资本化条件的资产达到预定可使用或者可销售状态时，借款 费用停止资本化。</w:t>
      </w:r>
    </w:p>
    <w:p>
      <w:pPr>
        <w:pStyle w:val="BodyText"/>
        <w:spacing w:line="357" w:lineRule="auto"/>
        <w:ind w:left="595" w:right="311"/>
        <w:jc w:val="left"/>
      </w:pPr>
      <w:r>
        <w:rPr/>
        <w:t>3．借款费用资本化金额 为购建或者生产符合资本化条件的资产而借入专门借款的，以专门借款当期实际发生的</w:t>
      </w:r>
    </w:p>
    <w:p>
      <w:pPr>
        <w:pStyle w:val="BodyText"/>
        <w:spacing w:line="240" w:lineRule="auto"/>
        <w:ind w:left="112" w:right="0"/>
        <w:jc w:val="left"/>
      </w:pPr>
      <w:r>
        <w:rPr/>
        <w:pict>
          <v:group style="position:absolute;margin-left:547.559998pt;margin-top:54.575603pt;width:.1pt;height:10.35pt;mso-position-horizontal-relative:page;mso-position-vertical-relative:paragraph;z-index:3616" coordorigin="10951,1092" coordsize="2,207">
            <v:shape style="position:absolute;left:10951;top:1092;width:2;height:207" coordorigin="10951,1092" coordsize="0,207" path="m10951,1092l10951,1298e" filled="false" stroked="true" strokeweight=".12pt" strokecolor="#000000">
              <v:path arrowok="t"/>
            </v:shape>
            <w10:wrap type="none"/>
          </v:group>
        </w:pict>
      </w:r>
      <w:r>
        <w:rPr/>
        <w:t>利息费</w:t>
      </w:r>
      <w:r>
        <w:rPr>
          <w:spacing w:val="-41"/>
        </w:rPr>
        <w:t>用</w:t>
      </w:r>
      <w:r>
        <w:rPr/>
        <w:t>（包括按照实际利率法确定的折价或溢价的摊销</w:t>
      </w:r>
      <w:r>
        <w:rPr>
          <w:spacing w:val="-120"/>
        </w:rPr>
        <w:t>）</w:t>
      </w:r>
      <w:r>
        <w:rPr>
          <w:spacing w:val="-41"/>
        </w:rPr>
        <w:t>，</w:t>
      </w:r>
      <w:r>
        <w:rPr/>
        <w:t>减去将尚未动用的借款资金存入</w:t>
      </w:r>
    </w:p>
    <w:p>
      <w:pPr>
        <w:spacing w:after="0" w:line="240" w:lineRule="auto"/>
        <w:jc w:val="left"/>
        <w:sectPr>
          <w:pgSz w:w="11910" w:h="16840"/>
          <w:pgMar w:header="745" w:footer="979" w:top="1060" w:bottom="1160" w:left="1020" w:right="840"/>
        </w:sectPr>
      </w:pPr>
    </w:p>
    <w:p>
      <w:pPr>
        <w:spacing w:line="240" w:lineRule="auto" w:before="6"/>
        <w:rPr>
          <w:rFonts w:ascii="宋体" w:hAnsi="宋体" w:cs="宋体" w:eastAsia="宋体" w:hint="default"/>
          <w:sz w:val="29"/>
          <w:szCs w:val="29"/>
        </w:rPr>
      </w:pPr>
    </w:p>
    <w:p>
      <w:pPr>
        <w:pStyle w:val="BodyText"/>
        <w:spacing w:line="357" w:lineRule="auto" w:before="26"/>
        <w:ind w:right="271"/>
        <w:jc w:val="both"/>
      </w:pPr>
      <w:r>
        <w:rPr/>
        <w:t>银行取得的利息收入或进行暂时性投资取得的投资收益后的金额，确定应予资本化的利息金 额；为购建或者生产符合资本化条件的资产占用了一般借款的，根据累计资产支出超过专门 借款的资产支出加权平均数乘以占用一般借款的资本化率，计算确定一般借款应予资本化的 利息金额。</w:t>
      </w:r>
    </w:p>
    <w:p>
      <w:pPr>
        <w:pStyle w:val="BodyText"/>
        <w:spacing w:line="240" w:lineRule="auto"/>
        <w:ind w:left="775" w:right="96"/>
        <w:jc w:val="left"/>
      </w:pPr>
      <w:r>
        <w:rPr/>
        <w:t>(十五)</w:t>
      </w:r>
      <w:r>
        <w:rPr>
          <w:spacing w:val="-3"/>
        </w:rPr>
        <w:t> </w:t>
      </w:r>
      <w:r>
        <w:rPr/>
        <w:t>无形资产</w:t>
      </w:r>
    </w:p>
    <w:p>
      <w:pPr>
        <w:pStyle w:val="BodyText"/>
        <w:spacing w:line="240" w:lineRule="auto" w:before="154"/>
        <w:ind w:left="775" w:right="96"/>
        <w:jc w:val="left"/>
      </w:pPr>
      <w:r>
        <w:rPr/>
        <w:t>1.</w:t>
      </w:r>
      <w:r>
        <w:rPr>
          <w:spacing w:val="-3"/>
        </w:rPr>
        <w:t> </w:t>
      </w:r>
      <w:r>
        <w:rPr/>
        <w:t>无形资产包括土地使用权、专利权及非专利技术等，按成本进行初始计量。</w:t>
      </w:r>
    </w:p>
    <w:p>
      <w:pPr>
        <w:pStyle w:val="BodyText"/>
        <w:spacing w:line="357" w:lineRule="auto" w:before="154"/>
        <w:ind w:right="96" w:firstLine="482"/>
        <w:jc w:val="left"/>
      </w:pPr>
      <w:r>
        <w:rPr/>
        <w:t>2.</w:t>
      </w:r>
      <w:r>
        <w:rPr>
          <w:spacing w:val="10"/>
        </w:rPr>
        <w:t> </w:t>
      </w:r>
      <w:r>
        <w:rPr>
          <w:spacing w:val="-3"/>
        </w:rPr>
        <w:t>使用寿命有限的无形资产，在使用寿命内按照与该项无形资产有关的经济利益的预期</w:t>
      </w:r>
      <w:r>
        <w:rPr/>
        <w:t> </w:t>
      </w:r>
      <w:r>
        <w:rPr>
          <w:spacing w:val="-3"/>
        </w:rPr>
        <w:t>实现方式系统合理地摊销，无法可靠确定预期实现方式的，采用直线法摊销。具体年限如下：</w:t>
      </w:r>
    </w:p>
    <w:p>
      <w:pPr>
        <w:tabs>
          <w:tab w:pos="4271" w:val="left" w:leader="none"/>
        </w:tabs>
        <w:spacing w:before="87"/>
        <w:ind w:left="475" w:right="96" w:firstLine="0"/>
        <w:jc w:val="left"/>
        <w:rPr>
          <w:rFonts w:ascii="宋体" w:hAnsi="宋体" w:cs="宋体" w:eastAsia="宋体" w:hint="default"/>
          <w:sz w:val="18"/>
          <w:szCs w:val="18"/>
        </w:rPr>
      </w:pPr>
      <w:r>
        <w:rPr>
          <w:rFonts w:ascii="宋体" w:hAnsi="宋体" w:cs="宋体" w:eastAsia="宋体" w:hint="default"/>
          <w:sz w:val="18"/>
          <w:szCs w:val="18"/>
        </w:rPr>
        <w:t>项  目</w:t>
        <w:tab/>
        <w:t>摊销年限(年)</w:t>
      </w:r>
    </w:p>
    <w:p>
      <w:pPr>
        <w:spacing w:line="240" w:lineRule="auto" w:before="5"/>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745" w:footer="979" w:top="1060" w:bottom="1160" w:left="840" w:right="900"/>
        </w:sectPr>
      </w:pPr>
    </w:p>
    <w:p>
      <w:pPr>
        <w:tabs>
          <w:tab w:pos="4901" w:val="right" w:leader="none"/>
        </w:tabs>
        <w:spacing w:before="44"/>
        <w:ind w:left="475" w:right="0" w:firstLine="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ab/>
      </w:r>
      <w:r>
        <w:rPr>
          <w:rFonts w:ascii="宋体" w:hAnsi="宋体" w:cs="宋体" w:eastAsia="宋体" w:hint="default"/>
          <w:sz w:val="18"/>
          <w:szCs w:val="18"/>
        </w:rPr>
        <w:t>49</w:t>
      </w:r>
    </w:p>
    <w:p>
      <w:pPr>
        <w:tabs>
          <w:tab w:pos="4947" w:val="right" w:leader="none"/>
        </w:tabs>
        <w:spacing w:before="232"/>
        <w:ind w:left="475" w:right="0" w:firstLine="0"/>
        <w:jc w:val="left"/>
        <w:rPr>
          <w:rFonts w:ascii="宋体" w:hAnsi="宋体" w:cs="宋体" w:eastAsia="宋体" w:hint="default"/>
          <w:sz w:val="18"/>
          <w:szCs w:val="18"/>
        </w:rPr>
      </w:pPr>
      <w:r>
        <w:rPr>
          <w:rFonts w:ascii="宋体" w:hAnsi="宋体" w:cs="宋体" w:eastAsia="宋体" w:hint="default"/>
          <w:sz w:val="18"/>
          <w:szCs w:val="18"/>
        </w:rPr>
        <w:t>软</w:t>
      </w:r>
      <w:r>
        <w:rPr>
          <w:rFonts w:ascii="宋体" w:hAnsi="宋体" w:cs="宋体" w:eastAsia="宋体" w:hint="default"/>
          <w:spacing w:val="89"/>
          <w:sz w:val="18"/>
          <w:szCs w:val="18"/>
        </w:rPr>
        <w:t> </w:t>
      </w:r>
      <w:r>
        <w:rPr>
          <w:rFonts w:ascii="宋体" w:hAnsi="宋体" w:cs="宋体" w:eastAsia="宋体" w:hint="default"/>
          <w:sz w:val="18"/>
          <w:szCs w:val="18"/>
        </w:rPr>
        <w:t>件</w:t>
      </w:r>
      <w:r>
        <w:rPr>
          <w:rFonts w:ascii="Times New Roman" w:hAnsi="Times New Roman" w:cs="Times New Roman" w:eastAsia="Times New Roman" w:hint="default"/>
          <w:sz w:val="18"/>
          <w:szCs w:val="18"/>
        </w:rPr>
        <w:tab/>
      </w:r>
      <w:r>
        <w:rPr>
          <w:rFonts w:ascii="宋体" w:hAnsi="宋体" w:cs="宋体" w:eastAsia="宋体" w:hint="default"/>
          <w:sz w:val="18"/>
          <w:szCs w:val="18"/>
        </w:rPr>
        <w:t>5-7</w:t>
      </w:r>
    </w:p>
    <w:p>
      <w:pPr>
        <w:pStyle w:val="BodyText"/>
        <w:spacing w:line="240" w:lineRule="auto" w:before="543"/>
        <w:ind w:left="475" w:right="0"/>
        <w:jc w:val="left"/>
      </w:pPr>
      <w:r>
        <w:rPr/>
        <w:br w:type="column"/>
      </w:r>
      <w:r>
        <w:rPr/>
        <w:t>3．使用寿命确定的无形资产，在</w:t>
      </w:r>
    </w:p>
    <w:p>
      <w:pPr>
        <w:spacing w:after="0" w:line="240" w:lineRule="auto"/>
        <w:jc w:val="left"/>
        <w:sectPr>
          <w:type w:val="continuous"/>
          <w:pgSz w:w="11910" w:h="16840"/>
          <w:pgMar w:top="1060" w:bottom="1160" w:left="840" w:right="900"/>
          <w:cols w:num="2" w:equalWidth="0">
            <w:col w:w="4948" w:space="1033"/>
            <w:col w:w="4189"/>
          </w:cols>
        </w:sectPr>
      </w:pPr>
    </w:p>
    <w:p>
      <w:pPr>
        <w:pStyle w:val="BodyText"/>
        <w:spacing w:line="357" w:lineRule="auto" w:before="154"/>
        <w:ind w:right="271"/>
        <w:jc w:val="both"/>
      </w:pPr>
      <w:r>
        <w:rPr/>
        <w:t>资产负债表日有迹象表明发生减值的，按照账面价值高于可收回金额的差额计提相应的减值 准备；使用寿命不确定的无形资产和尚未达到可使用状态的无形资产，无论是否存在减值迹 象，每年均进行减值测试。</w:t>
      </w:r>
    </w:p>
    <w:p>
      <w:pPr>
        <w:pStyle w:val="BodyText"/>
        <w:spacing w:line="240" w:lineRule="auto"/>
        <w:ind w:left="775" w:right="96"/>
        <w:jc w:val="left"/>
      </w:pPr>
      <w:r>
        <w:rPr/>
        <w:t>4.</w:t>
      </w:r>
      <w:r>
        <w:rPr>
          <w:spacing w:val="25"/>
        </w:rPr>
        <w:t> </w:t>
      </w:r>
      <w:r>
        <w:rPr>
          <w:spacing w:val="-3"/>
        </w:rPr>
        <w:t>内部研究开发项目研究阶段的支出，于发生时计入当期损益。内部研究开发项目开发</w:t>
      </w:r>
    </w:p>
    <w:p>
      <w:pPr>
        <w:pStyle w:val="BodyText"/>
        <w:spacing w:line="357" w:lineRule="auto" w:before="154"/>
        <w:ind w:right="230"/>
        <w:jc w:val="both"/>
      </w:pPr>
      <w:r>
        <w:rPr>
          <w:spacing w:val="-3"/>
        </w:rPr>
        <w:t>阶段的支出，同时满足下列条件的，确认为无形资产： </w:t>
      </w:r>
      <w:r>
        <w:rPr/>
        <w:t>(1)</w:t>
      </w:r>
      <w:r>
        <w:rPr>
          <w:spacing w:val="-7"/>
        </w:rPr>
        <w:t> </w:t>
      </w:r>
      <w:r>
        <w:rPr/>
        <w:t>完成该无形资产以使其能够使用</w:t>
      </w:r>
      <w:r>
        <w:rPr/>
        <w:t> 或出售在技术上具有可行性；(2) 具有完成该无形资产并使用或出售的意图；(3)</w:t>
      </w:r>
      <w:r>
        <w:rPr>
          <w:spacing w:val="33"/>
        </w:rPr>
        <w:t> </w:t>
      </w:r>
      <w:r>
        <w:rPr/>
        <w:t>无形资产</w:t>
      </w:r>
      <w:r>
        <w:rPr/>
        <w:t> 产生经济利益的方式，包括能够证明运用该无形资产生产的产品存在市场或无形资产自身存 在市场，无形资产将在内部使用的，能证明其有用性；(4)</w:t>
      </w:r>
      <w:r>
        <w:rPr>
          <w:spacing w:val="21"/>
        </w:rPr>
        <w:t> </w:t>
      </w:r>
      <w:r>
        <w:rPr/>
        <w:t>有足够的技术、财务资源和其他</w:t>
      </w:r>
      <w:r>
        <w:rPr>
          <w:spacing w:val="-116"/>
        </w:rPr>
        <w:t> </w:t>
      </w:r>
      <w:r>
        <w:rPr>
          <w:spacing w:val="-116"/>
        </w:rPr>
      </w:r>
      <w:r>
        <w:rPr/>
        <w:t>资源支持，以完成该无形资产的开发，并有能力使用或出售该无形资产；</w:t>
      </w:r>
      <w:r>
        <w:rPr>
          <w:spacing w:val="-87"/>
        </w:rPr>
        <w:t> </w:t>
      </w:r>
      <w:r>
        <w:rPr/>
        <w:t>(5) 归属于该无形</w:t>
      </w:r>
      <w:r>
        <w:rPr/>
        <w:t> 资产开发阶段的支出能够可靠地计量。</w:t>
      </w:r>
    </w:p>
    <w:p>
      <w:pPr>
        <w:pStyle w:val="BodyText"/>
        <w:spacing w:line="357" w:lineRule="auto"/>
        <w:ind w:left="775" w:right="251"/>
        <w:jc w:val="left"/>
      </w:pPr>
      <w:r>
        <w:rPr/>
        <w:t>(十六)</w:t>
      </w:r>
      <w:r>
        <w:rPr>
          <w:spacing w:val="-1"/>
        </w:rPr>
        <w:t> </w:t>
      </w:r>
      <w:r>
        <w:rPr/>
        <w:t>长期待摊费用</w:t>
      </w:r>
      <w:r>
        <w:rPr/>
        <w:t> 长期待摊费用按实际发生额入账，在受益期或规定的期限内分期平均摊销。如果长期待</w:t>
      </w:r>
    </w:p>
    <w:p>
      <w:pPr>
        <w:pStyle w:val="BodyText"/>
        <w:spacing w:line="357" w:lineRule="auto"/>
        <w:ind w:right="237"/>
        <w:jc w:val="both"/>
      </w:pPr>
      <w:r>
        <w:rPr>
          <w:spacing w:val="6"/>
        </w:rPr>
        <w:t>摊的费用项目不能使以后会计期间受益则将尚未摊销的该项目的摊余价值全部转入当期损</w:t>
      </w:r>
      <w:r>
        <w:rPr>
          <w:spacing w:val="-89"/>
        </w:rPr>
        <w:t> </w:t>
      </w:r>
      <w:r>
        <w:rPr>
          <w:spacing w:val="-89"/>
        </w:rPr>
      </w:r>
      <w:r>
        <w:rPr/>
        <w:t>益。</w:t>
      </w:r>
    </w:p>
    <w:p>
      <w:pPr>
        <w:pStyle w:val="BodyText"/>
        <w:spacing w:line="240" w:lineRule="auto"/>
        <w:ind w:left="775" w:right="96"/>
        <w:jc w:val="left"/>
      </w:pPr>
      <w:r>
        <w:rPr/>
        <w:t>(十七)</w:t>
      </w:r>
      <w:r>
        <w:rPr>
          <w:spacing w:val="-3"/>
        </w:rPr>
        <w:t> </w:t>
      </w:r>
      <w:r>
        <w:rPr/>
        <w:t>预计负债</w:t>
      </w:r>
    </w:p>
    <w:p>
      <w:pPr>
        <w:pStyle w:val="BodyText"/>
        <w:spacing w:line="357" w:lineRule="auto" w:before="154"/>
        <w:ind w:right="230" w:firstLine="482"/>
        <w:jc w:val="both"/>
      </w:pPr>
      <w:r>
        <w:rPr/>
        <w:pict>
          <v:group style="position:absolute;margin-left:47.639999pt;margin-top:103.195618pt;width:.1pt;height:10.35pt;mso-position-horizontal-relative:page;mso-position-vertical-relative:paragraph;z-index:3640" coordorigin="953,2064" coordsize="2,207">
            <v:shape style="position:absolute;left:953;top:2064;width:2;height:207" coordorigin="953,2064" coordsize="0,207" path="m953,2064l953,2270e" filled="false" stroked="true" strokeweight=".12pt" strokecolor="#000000">
              <v:path arrowok="t"/>
            </v:shape>
            <w10:wrap type="none"/>
          </v:group>
        </w:pict>
      </w:r>
      <w:r>
        <w:rPr/>
        <w:t>1.</w:t>
      </w:r>
      <w:r>
        <w:rPr>
          <w:spacing w:val="24"/>
        </w:rPr>
        <w:t> </w:t>
      </w:r>
      <w:r>
        <w:rPr>
          <w:spacing w:val="-3"/>
        </w:rPr>
        <w:t>因对外提供担保、诉讼事项、产品质量保证、亏损合同等或有事项形成的义务成为公</w:t>
      </w:r>
      <w:r>
        <w:rPr/>
        <w:t> 司承担的现时义务，履行该义务很可能导致经济利益流出公司，且该义务的金额能够可靠的 计量时，公司将该项义务确认为预计负债。</w:t>
      </w:r>
    </w:p>
    <w:p>
      <w:pPr>
        <w:spacing w:after="0" w:line="357" w:lineRule="auto"/>
        <w:jc w:val="both"/>
        <w:sectPr>
          <w:type w:val="continuous"/>
          <w:pgSz w:w="11910" w:h="16840"/>
          <w:pgMar w:top="1060" w:bottom="1160" w:left="840" w:right="900"/>
        </w:sectPr>
      </w:pPr>
    </w:p>
    <w:p>
      <w:pPr>
        <w:spacing w:line="240" w:lineRule="auto" w:before="6"/>
        <w:rPr>
          <w:rFonts w:ascii="宋体" w:hAnsi="宋体" w:cs="宋体" w:eastAsia="宋体" w:hint="default"/>
          <w:sz w:val="29"/>
          <w:szCs w:val="29"/>
        </w:rPr>
      </w:pPr>
    </w:p>
    <w:p>
      <w:pPr>
        <w:pStyle w:val="BodyText"/>
        <w:spacing w:line="357" w:lineRule="auto" w:before="26"/>
        <w:ind w:left="112" w:right="292" w:firstLine="482"/>
        <w:jc w:val="both"/>
      </w:pPr>
      <w:r>
        <w:rPr/>
        <w:t>2.</w:t>
      </w:r>
      <w:r>
        <w:rPr>
          <w:spacing w:val="23"/>
        </w:rPr>
        <w:t> </w:t>
      </w:r>
      <w:r>
        <w:rPr>
          <w:spacing w:val="-3"/>
        </w:rPr>
        <w:t>公司按照履行相关现时义务所需支出的最佳估计数对预计负债进行初始计量，并在资</w:t>
      </w:r>
      <w:r>
        <w:rPr/>
        <w:t> 产负债表日对预计负债的账面价值进行复核。</w:t>
      </w:r>
    </w:p>
    <w:p>
      <w:pPr>
        <w:pStyle w:val="BodyText"/>
        <w:spacing w:line="357" w:lineRule="auto"/>
        <w:ind w:left="595" w:right="4271"/>
        <w:jc w:val="left"/>
      </w:pPr>
      <w:r>
        <w:rPr/>
        <w:t>(十八)</w:t>
      </w:r>
      <w:r>
        <w:rPr>
          <w:spacing w:val="-1"/>
        </w:rPr>
        <w:t> </w:t>
      </w:r>
      <w:r>
        <w:rPr/>
        <w:t>收入</w:t>
      </w:r>
      <w:r>
        <w:rPr/>
        <w:t> 1．自行开发研制的软件产品和定制软件销售收入</w:t>
      </w:r>
    </w:p>
    <w:p>
      <w:pPr>
        <w:pStyle w:val="BodyText"/>
        <w:spacing w:line="357" w:lineRule="auto"/>
        <w:ind w:left="112" w:right="328" w:firstLine="482"/>
        <w:jc w:val="both"/>
      </w:pPr>
      <w:r>
        <w:rPr/>
        <w:t>软件产品在同时满足软件产品所有权上的主要风险和报酬转移给购买方；公司不再保留 通常与所有权相联系的继续管理权，也不再对已售出的软件产品实施有效控制；收入的金额 能够可靠地计量；相关的经济利益很可能流入；相关的已发生或将发生的成本能够可靠地计 量时，确认销售收入的实现。</w:t>
      </w:r>
    </w:p>
    <w:p>
      <w:pPr>
        <w:pStyle w:val="BodyText"/>
        <w:spacing w:line="357" w:lineRule="auto"/>
        <w:ind w:left="112" w:right="328" w:firstLine="482"/>
        <w:jc w:val="both"/>
      </w:pPr>
      <w:r>
        <w:rPr/>
        <w:t>对合同规定由公司负责免费维护或免费升级的软件产品，在确认收入的同时，按收入的 1%预提软件维护费用。</w:t>
      </w:r>
    </w:p>
    <w:p>
      <w:pPr>
        <w:pStyle w:val="BodyText"/>
        <w:spacing w:line="357" w:lineRule="auto"/>
        <w:ind w:left="595" w:right="5351"/>
        <w:jc w:val="left"/>
      </w:pPr>
      <w:r>
        <w:rPr/>
        <w:t>2．软件技术服务收入 按合同约定的服务期限分期确认收入。 3．系统集成收入</w:t>
      </w:r>
    </w:p>
    <w:p>
      <w:pPr>
        <w:pStyle w:val="BodyText"/>
        <w:spacing w:line="357" w:lineRule="auto"/>
        <w:ind w:left="112" w:right="328" w:firstLine="482"/>
        <w:jc w:val="both"/>
      </w:pPr>
      <w:r>
        <w:rPr/>
        <w:t>在软件收入、集成实施收入与外购商品销售收入能分开核算的情况下，软件收入按上述 软件产品销售和定制软件的原则进行确认；在软件收入、集成实施收入与外购商品销售收入 不能分开核算，且集成实施费是商品销售收入的一部分时，则一并核算，软件产品收入与集 成实施收入在整个商品销售时一并确认。</w:t>
      </w:r>
    </w:p>
    <w:p>
      <w:pPr>
        <w:pStyle w:val="BodyText"/>
        <w:spacing w:line="357" w:lineRule="auto"/>
        <w:ind w:left="595" w:right="275"/>
        <w:jc w:val="left"/>
      </w:pPr>
      <w:r>
        <w:rPr/>
        <w:t>系统集成业务，按合同约定在项目实施完成并经对方验收合格后确认收入。 对合同规定由公司负责免费维护的系统集成业务，在确认收入的同时，按收入的</w:t>
      </w:r>
      <w:r>
        <w:rPr>
          <w:spacing w:val="-84"/>
        </w:rPr>
        <w:t> </w:t>
      </w:r>
      <w:r>
        <w:rPr/>
        <w:t>1%预提</w:t>
      </w:r>
    </w:p>
    <w:p>
      <w:pPr>
        <w:pStyle w:val="BodyText"/>
        <w:spacing w:line="357" w:lineRule="auto"/>
        <w:ind w:left="595" w:right="7151" w:hanging="483"/>
        <w:jc w:val="left"/>
      </w:pPr>
      <w:r>
        <w:rPr/>
        <w:t>软件维护费用。 4．外购商品销售收入</w:t>
      </w:r>
    </w:p>
    <w:p>
      <w:pPr>
        <w:pStyle w:val="BodyText"/>
        <w:spacing w:line="357" w:lineRule="auto"/>
        <w:ind w:left="112" w:right="328" w:firstLine="482"/>
        <w:jc w:val="both"/>
      </w:pPr>
      <w:r>
        <w:rPr/>
        <w:t>外购商品包括外购软、硬件商品。在同时满足商品所有权上的主要风险和报酬转移给购 货方；公司不再保留通常与所有权相联系的继续管理权，也不再对已售出的商品实施有效控 制；收入的金额能够可靠地计量；相关的经济利益很可能流入；相关的已发生或将发生的成 本能够可靠地计量时，确认商品销售收入的实现。</w:t>
      </w:r>
    </w:p>
    <w:p>
      <w:pPr>
        <w:pStyle w:val="BodyText"/>
        <w:spacing w:line="240" w:lineRule="auto"/>
        <w:ind w:left="1072" w:right="279"/>
        <w:jc w:val="left"/>
      </w:pPr>
      <w:r>
        <w:rPr/>
        <w:t>5. 建造合同</w:t>
      </w:r>
    </w:p>
    <w:p>
      <w:pPr>
        <w:pStyle w:val="BodyText"/>
        <w:spacing w:line="357" w:lineRule="auto" w:before="154"/>
        <w:ind w:left="112" w:right="292" w:firstLine="482"/>
        <w:jc w:val="both"/>
      </w:pPr>
      <w:r>
        <w:rPr/>
        <w:pict>
          <v:group style="position:absolute;margin-left:547.559998pt;margin-top:107.275604pt;width:.1pt;height:10.35pt;mso-position-horizontal-relative:page;mso-position-vertical-relative:paragraph;z-index:3664" coordorigin="10951,2146" coordsize="2,207">
            <v:shape style="position:absolute;left:10951;top:2146;width:2;height:207" coordorigin="10951,2146" coordsize="0,207" path="m10951,2146l10951,2352e" filled="false" stroked="true" strokeweight=".12pt" strokecolor="#000000">
              <v:path arrowok="t"/>
            </v:shape>
            <w10:wrap type="none"/>
          </v:group>
        </w:pict>
      </w:r>
      <w:r>
        <w:rPr/>
        <w:t>(1) 建造合同的结果在资产负债表日能够可靠估计的，根据完工百分比法确认合同收入 和合同费用。建造合同的结果在资产负债表日不能够可靠估计的，若合同成本能够收回的， </w:t>
      </w:r>
      <w:r>
        <w:rPr>
          <w:spacing w:val="-2"/>
          <w:w w:val="95"/>
        </w:rPr>
        <w:t>合同收入根据能够收回的实际合同成本予以确认，合同成本在其发生的当期确认为合同费用；</w:t>
      </w:r>
      <w:r>
        <w:rPr>
          <w:spacing w:val="-2"/>
        </w:rPr>
      </w:r>
    </w:p>
    <w:p>
      <w:pPr>
        <w:spacing w:after="0" w:line="357" w:lineRule="auto"/>
        <w:jc w:val="both"/>
        <w:sectPr>
          <w:pgSz w:w="11910" w:h="16840"/>
          <w:pgMar w:header="745" w:footer="979" w:top="1060" w:bottom="1160" w:left="1020" w:right="840"/>
        </w:sectPr>
      </w:pPr>
    </w:p>
    <w:p>
      <w:pPr>
        <w:spacing w:line="240" w:lineRule="auto" w:before="6"/>
        <w:rPr>
          <w:rFonts w:ascii="宋体" w:hAnsi="宋体" w:cs="宋体" w:eastAsia="宋体" w:hint="default"/>
          <w:sz w:val="29"/>
          <w:szCs w:val="29"/>
        </w:rPr>
      </w:pPr>
    </w:p>
    <w:p>
      <w:pPr>
        <w:pStyle w:val="BodyText"/>
        <w:spacing w:line="240" w:lineRule="auto" w:before="26"/>
        <w:ind w:right="279"/>
        <w:jc w:val="left"/>
      </w:pPr>
      <w:r>
        <w:rPr/>
        <w:t>若合同成本不可能收回的，在发生时立即确认为合同费用，不确认合同收入。</w:t>
      </w:r>
    </w:p>
    <w:p>
      <w:pPr>
        <w:pStyle w:val="BodyText"/>
        <w:spacing w:line="357" w:lineRule="auto" w:before="154"/>
        <w:ind w:right="112" w:firstLine="482"/>
        <w:jc w:val="both"/>
      </w:pPr>
      <w:r>
        <w:rPr/>
        <w:t>(2) 固定造价合同同时满足下列条件表明其结果能够可靠估计：合同总收入能够可靠计 </w:t>
      </w:r>
      <w:r>
        <w:rPr>
          <w:spacing w:val="-3"/>
          <w:w w:val="95"/>
        </w:rPr>
        <w:t>量、与合同相关的经济利益很可能流入、实际发生的合同成本能够清楚地区分和可靠地计量、</w:t>
      </w:r>
      <w:r>
        <w:rPr>
          <w:spacing w:val="76"/>
          <w:w w:val="95"/>
        </w:rPr>
        <w:t> </w:t>
      </w:r>
      <w:r>
        <w:rPr>
          <w:spacing w:val="76"/>
          <w:w w:val="95"/>
        </w:rPr>
      </w:r>
      <w:r>
        <w:rPr/>
        <w:t>合同完工进度和为完成合同尚需发生的成本能够可靠地计量。成本加成合同同时满足下列条</w:t>
      </w:r>
      <w:r>
        <w:rPr/>
        <w:t> 件表明其结果能够可靠估计：与合同相关的经济利益很可能流入、实际发生的合同成本能够 清楚地区分和可靠地计量。</w:t>
      </w:r>
    </w:p>
    <w:p>
      <w:pPr>
        <w:pStyle w:val="BodyText"/>
        <w:spacing w:line="240" w:lineRule="auto"/>
        <w:ind w:left="775" w:right="279"/>
        <w:jc w:val="left"/>
      </w:pPr>
      <w:r>
        <w:rPr/>
        <w:t>(3)</w:t>
      </w:r>
      <w:r>
        <w:rPr>
          <w:spacing w:val="-3"/>
        </w:rPr>
        <w:t> </w:t>
      </w:r>
      <w:r>
        <w:rPr/>
        <w:t>确定合同完工进度的方法为累计实际发生的合同成本占合同预计总成本的比例。</w:t>
      </w:r>
    </w:p>
    <w:p>
      <w:pPr>
        <w:pStyle w:val="BodyText"/>
        <w:spacing w:line="357" w:lineRule="auto" w:before="154"/>
        <w:ind w:right="148" w:firstLine="482"/>
        <w:jc w:val="both"/>
      </w:pPr>
      <w:r>
        <w:rPr/>
        <w:t>(4) 资产负债表日，合同预计总成本超过合同总收入的，将预计损失确认为当期费用。 执行中的建造合同，按其差额计提存货跌价准备；待执行的亏损合同，按其差额确认预计负 债。</w:t>
      </w:r>
    </w:p>
    <w:p>
      <w:pPr>
        <w:pStyle w:val="BodyText"/>
        <w:spacing w:line="240" w:lineRule="auto"/>
        <w:ind w:left="775" w:right="279"/>
        <w:jc w:val="left"/>
      </w:pPr>
      <w:r>
        <w:rPr/>
        <w:t>(十九)</w:t>
      </w:r>
      <w:r>
        <w:rPr>
          <w:spacing w:val="-3"/>
        </w:rPr>
        <w:t> </w:t>
      </w:r>
      <w:r>
        <w:rPr/>
        <w:t>政府补助</w:t>
      </w:r>
    </w:p>
    <w:p>
      <w:pPr>
        <w:pStyle w:val="BodyText"/>
        <w:spacing w:line="240" w:lineRule="auto" w:before="154"/>
        <w:ind w:left="775" w:right="279"/>
        <w:jc w:val="left"/>
      </w:pPr>
      <w:r>
        <w:rPr/>
        <w:t>1.</w:t>
      </w:r>
      <w:r>
        <w:rPr>
          <w:spacing w:val="-3"/>
        </w:rPr>
        <w:t> </w:t>
      </w:r>
      <w:r>
        <w:rPr/>
        <w:t>政府补助包括与资产相关的政府补助和与收益相关的政府补助。</w:t>
      </w:r>
    </w:p>
    <w:p>
      <w:pPr>
        <w:pStyle w:val="BodyText"/>
        <w:spacing w:line="357" w:lineRule="auto" w:before="154"/>
        <w:ind w:right="112" w:firstLine="482"/>
        <w:jc w:val="both"/>
      </w:pPr>
      <w:r>
        <w:rPr/>
        <w:t>2.</w:t>
      </w:r>
      <w:r>
        <w:rPr>
          <w:spacing w:val="21"/>
        </w:rPr>
        <w:t> </w:t>
      </w:r>
      <w:r>
        <w:rPr>
          <w:spacing w:val="-6"/>
          <w:w w:val="98"/>
        </w:rPr>
        <w:t>政府补助为货币性资产的，按照收到或应收的金额计量；政府补助为非货币性资产的，</w:t>
      </w:r>
      <w:r>
        <w:rPr>
          <w:w w:val="50"/>
        </w:rPr>
        <w:t> </w:t>
      </w:r>
      <w:r>
        <w:rPr/>
        <w:t>按照公允价值计量，公允价值不能可靠取得的，按照名义金额计量。</w:t>
      </w:r>
    </w:p>
    <w:p>
      <w:pPr>
        <w:pStyle w:val="BodyText"/>
        <w:spacing w:line="357" w:lineRule="auto"/>
        <w:ind w:right="110" w:firstLine="482"/>
        <w:jc w:val="both"/>
      </w:pPr>
      <w:r>
        <w:rPr/>
        <w:t>3.</w:t>
      </w:r>
      <w:r>
        <w:rPr>
          <w:spacing w:val="24"/>
        </w:rPr>
        <w:t> </w:t>
      </w:r>
      <w:r>
        <w:rPr>
          <w:spacing w:val="-3"/>
        </w:rPr>
        <w:t>与资产相关的政府补助，确认为递延收益，在相关资产使用寿命内平均分配，计入当</w:t>
      </w:r>
      <w:r>
        <w:rPr/>
        <w:t> </w:t>
      </w:r>
      <w:r>
        <w:rPr>
          <w:spacing w:val="-2"/>
          <w:w w:val="95"/>
        </w:rPr>
        <w:t>期损益。与收益相关的政府补助，用于补偿以后期间的相关费用或损失的，确认为递延收益，</w:t>
      </w:r>
      <w:r>
        <w:rPr>
          <w:spacing w:val="31"/>
          <w:w w:val="95"/>
        </w:rPr>
        <w:t> </w:t>
      </w:r>
      <w:r>
        <w:rPr>
          <w:spacing w:val="31"/>
          <w:w w:val="95"/>
        </w:rPr>
      </w:r>
      <w:r>
        <w:rPr/>
        <w:t>在确认相关费用的期间，计入当期损益；用于补偿以前的相关费用或损失的，直接计入当期</w:t>
      </w:r>
      <w:r>
        <w:rPr/>
        <w:t> 损益。</w:t>
      </w:r>
    </w:p>
    <w:p>
      <w:pPr>
        <w:pStyle w:val="BodyText"/>
        <w:spacing w:line="240" w:lineRule="auto"/>
        <w:ind w:left="775" w:right="279"/>
        <w:jc w:val="left"/>
      </w:pPr>
      <w:r>
        <w:rPr/>
        <w:t>(二十)</w:t>
      </w:r>
      <w:r>
        <w:rPr>
          <w:spacing w:val="-3"/>
        </w:rPr>
        <w:t> </w:t>
      </w:r>
      <w:r>
        <w:rPr/>
        <w:t>递延所得税资产、递延所得税负债</w:t>
      </w:r>
    </w:p>
    <w:p>
      <w:pPr>
        <w:pStyle w:val="BodyText"/>
        <w:spacing w:line="357" w:lineRule="auto" w:before="154"/>
        <w:ind w:right="112" w:firstLine="482"/>
        <w:jc w:val="both"/>
      </w:pPr>
      <w:r>
        <w:rPr/>
        <w:t>1.</w:t>
      </w:r>
      <w:r>
        <w:rPr>
          <w:spacing w:val="22"/>
        </w:rPr>
        <w:t> </w:t>
      </w:r>
      <w:r>
        <w:rPr>
          <w:spacing w:val="-3"/>
        </w:rPr>
        <w:t>根据资产、负债的账面价值与其计税基础之间的差额（未作为资产和负债确认的项目</w:t>
      </w:r>
      <w:r>
        <w:rPr/>
        <w:t> </w:t>
      </w:r>
      <w:r>
        <w:rPr>
          <w:spacing w:val="-5"/>
        </w:rPr>
        <w:t>按照税法规定可以确定其计税基础的，该计税基础与其账面数之间的差额），按照预期收回该</w:t>
      </w:r>
      <w:r>
        <w:rPr>
          <w:spacing w:val="-118"/>
        </w:rPr>
        <w:t> </w:t>
      </w:r>
      <w:r>
        <w:rPr>
          <w:spacing w:val="-118"/>
        </w:rPr>
      </w:r>
      <w:r>
        <w:rPr/>
        <w:t>资产或清偿该负债期间的适用税率计算确认递延所得税资产或递延所得税负债。</w:t>
      </w:r>
    </w:p>
    <w:p>
      <w:pPr>
        <w:pStyle w:val="BodyText"/>
        <w:spacing w:line="357" w:lineRule="auto"/>
        <w:ind w:right="110" w:firstLine="482"/>
        <w:jc w:val="both"/>
      </w:pPr>
      <w:r>
        <w:rPr/>
        <w:t>2.</w:t>
      </w:r>
      <w:r>
        <w:rPr>
          <w:spacing w:val="-78"/>
        </w:rPr>
        <w:t> </w:t>
      </w:r>
      <w:r>
        <w:rPr/>
        <w:t>确认递延所得税资产以很可能取得用来抵扣可抵扣暂时性差异的应纳税所得额为限。</w:t>
      </w:r>
      <w:r>
        <w:rPr>
          <w:w w:val="66"/>
        </w:rPr>
        <w:t> </w:t>
      </w:r>
      <w:r>
        <w:rPr/>
        <w:t>资产负债表日，有确凿证据表明未来期间很可能获得足够的应纳税所得额用来抵扣可抵扣暂</w:t>
      </w:r>
      <w:r>
        <w:rPr/>
        <w:t> 时性差异的，确认以前会计期间未确认的递延所得税资产。</w:t>
      </w:r>
    </w:p>
    <w:p>
      <w:pPr>
        <w:pStyle w:val="BodyText"/>
        <w:spacing w:line="357" w:lineRule="auto"/>
        <w:ind w:right="112" w:firstLine="482"/>
        <w:jc w:val="both"/>
      </w:pPr>
      <w:r>
        <w:rPr/>
        <w:t>3.</w:t>
      </w:r>
      <w:r>
        <w:rPr>
          <w:spacing w:val="22"/>
        </w:rPr>
        <w:t> </w:t>
      </w:r>
      <w:r>
        <w:rPr>
          <w:spacing w:val="-3"/>
        </w:rPr>
        <w:t>资产负债表日，对递延所得税资产的账面价值进行复核，如果未来期间很可能无法获</w:t>
      </w:r>
      <w:r>
        <w:rPr/>
        <w:t> </w:t>
      </w:r>
      <w:r>
        <w:rPr>
          <w:spacing w:val="-2"/>
          <w:w w:val="95"/>
        </w:rPr>
        <w:t>得足够的应纳税所得额用以抵扣递延所得税资产的利益，则减记递延所得税资产的账面价值。</w:t>
      </w:r>
      <w:r>
        <w:rPr>
          <w:spacing w:val="34"/>
          <w:w w:val="95"/>
        </w:rPr>
        <w:t> </w:t>
      </w:r>
      <w:r>
        <w:rPr>
          <w:spacing w:val="34"/>
          <w:w w:val="95"/>
        </w:rPr>
      </w:r>
      <w:r>
        <w:rPr/>
        <w:t>在很可能获得足够的应纳税所得额时，转回减记的金额。</w:t>
      </w:r>
    </w:p>
    <w:p>
      <w:pPr>
        <w:pStyle w:val="BodyText"/>
        <w:spacing w:line="240" w:lineRule="auto"/>
        <w:ind w:left="775" w:right="0"/>
        <w:jc w:val="left"/>
      </w:pPr>
      <w:r>
        <w:rPr/>
        <w:pict>
          <v:group style="position:absolute;margin-left:47.639999pt;margin-top:54.575603pt;width:.1pt;height:10.35pt;mso-position-horizontal-relative:page;mso-position-vertical-relative:paragraph;z-index:3688" coordorigin="953,1092" coordsize="2,207">
            <v:shape style="position:absolute;left:953;top:1092;width:2;height:207" coordorigin="953,1092" coordsize="0,207" path="m953,1092l953,1298e" filled="false" stroked="true" strokeweight=".12pt" strokecolor="#000000">
              <v:path arrowok="t"/>
            </v:shape>
            <w10:wrap type="none"/>
          </v:group>
        </w:pict>
      </w:r>
      <w:r>
        <w:rPr/>
        <w:t>4.</w:t>
      </w:r>
      <w:r>
        <w:rPr>
          <w:spacing w:val="26"/>
        </w:rPr>
        <w:t> </w:t>
      </w:r>
      <w:r>
        <w:rPr>
          <w:spacing w:val="-3"/>
        </w:rPr>
        <w:t>公司当期所得税和递延所得税作为所得税费用或收益计入当期损益，但不包括下列情</w:t>
      </w:r>
    </w:p>
    <w:p>
      <w:pPr>
        <w:spacing w:after="0" w:line="240" w:lineRule="auto"/>
        <w:jc w:val="left"/>
        <w:sectPr>
          <w:pgSz w:w="11910" w:h="16840"/>
          <w:pgMar w:header="745" w:footer="979" w:top="1060" w:bottom="1160" w:left="840" w:right="1020"/>
        </w:sectPr>
      </w:pPr>
    </w:p>
    <w:p>
      <w:pPr>
        <w:spacing w:line="240" w:lineRule="auto" w:before="6"/>
        <w:rPr>
          <w:rFonts w:ascii="宋体" w:hAnsi="宋体" w:cs="宋体" w:eastAsia="宋体" w:hint="default"/>
          <w:sz w:val="29"/>
          <w:szCs w:val="29"/>
        </w:rPr>
      </w:pPr>
    </w:p>
    <w:p>
      <w:pPr>
        <w:pStyle w:val="BodyText"/>
        <w:spacing w:line="357" w:lineRule="auto" w:before="26"/>
        <w:ind w:left="595" w:right="1273" w:hanging="483"/>
        <w:jc w:val="left"/>
      </w:pPr>
      <w:r>
        <w:rPr/>
        <w:t>况产生的所得税：(1) 企业合并；(2)</w:t>
      </w:r>
      <w:r>
        <w:rPr>
          <w:spacing w:val="1"/>
        </w:rPr>
        <w:t> </w:t>
      </w:r>
      <w:r>
        <w:rPr/>
        <w:t>直接在所有者权益中确认的交易或者事项。</w:t>
      </w:r>
      <w:r>
        <w:rPr/>
        <w:t> (二十一)</w:t>
      </w:r>
      <w:r>
        <w:rPr>
          <w:spacing w:val="-1"/>
        </w:rPr>
        <w:t> </w:t>
      </w:r>
      <w:r>
        <w:rPr/>
        <w:t>经营租赁</w:t>
      </w:r>
    </w:p>
    <w:p>
      <w:pPr>
        <w:pStyle w:val="BodyText"/>
        <w:spacing w:line="357" w:lineRule="auto"/>
        <w:ind w:left="112" w:right="328" w:firstLine="482"/>
        <w:jc w:val="right"/>
      </w:pPr>
      <w:r>
        <w:rPr/>
        <w:t>公司为承租人时，在租赁期内各个期间按照直线法将租金计入相关资产成本或确认为当 期损益，发生的初始直接费用，直接计入当期损益。或有租金在实际发生时计入当期损益。 公司为出租人时，在租赁期内各个期间按照直线法将租金确认为当期损益，发生的初始</w:t>
      </w:r>
    </w:p>
    <w:p>
      <w:pPr>
        <w:pStyle w:val="BodyText"/>
        <w:spacing w:line="357" w:lineRule="auto"/>
        <w:ind w:left="595" w:right="2474" w:hanging="483"/>
        <w:jc w:val="left"/>
      </w:pPr>
      <w:r>
        <w:rPr/>
        <w:t>直接费用，直接计入当期损益。或有租金在实际发生时计入当期损益。 (二十二)</w:t>
      </w:r>
      <w:r>
        <w:rPr>
          <w:spacing w:val="-1"/>
        </w:rPr>
        <w:t> </w:t>
      </w:r>
      <w:r>
        <w:rPr/>
        <w:t>前期差错更正</w:t>
      </w:r>
    </w:p>
    <w:p>
      <w:pPr>
        <w:pStyle w:val="BodyText"/>
        <w:spacing w:line="240" w:lineRule="auto"/>
        <w:ind w:left="0" w:right="290"/>
        <w:jc w:val="right"/>
      </w:pPr>
      <w:r>
        <w:rPr/>
        <w:t>公司</w:t>
      </w:r>
      <w:r>
        <w:rPr>
          <w:spacing w:val="-54"/>
        </w:rPr>
        <w:t> </w:t>
      </w:r>
      <w:r>
        <w:rPr/>
        <w:t>2011</w:t>
      </w:r>
      <w:r>
        <w:rPr>
          <w:spacing w:val="-49"/>
        </w:rPr>
        <w:t> </w:t>
      </w:r>
      <w:r>
        <w:rPr>
          <w:spacing w:val="-3"/>
        </w:rPr>
        <w:t>年度财务报表将应交税费红字作为负债红字列报，与《企业会计准则》及其相</w:t>
      </w:r>
    </w:p>
    <w:p>
      <w:pPr>
        <w:pStyle w:val="BodyText"/>
        <w:spacing w:line="240" w:lineRule="auto" w:before="154"/>
        <w:ind w:left="112" w:right="0"/>
        <w:jc w:val="left"/>
      </w:pPr>
      <w:r>
        <w:rPr>
          <w:spacing w:val="-3"/>
        </w:rPr>
        <w:t>关规定不一致，本期采用追溯重述法对该项差错进行更正，相应调增</w:t>
      </w:r>
      <w:r>
        <w:rPr>
          <w:spacing w:val="-57"/>
        </w:rPr>
        <w:t> </w:t>
      </w:r>
      <w:r>
        <w:rPr/>
        <w:t>2012</w:t>
      </w:r>
      <w:r>
        <w:rPr>
          <w:spacing w:val="-57"/>
        </w:rPr>
        <w:t> </w:t>
      </w:r>
      <w:r>
        <w:rPr/>
        <w:t>年度财务报表的比</w:t>
      </w:r>
    </w:p>
    <w:p>
      <w:pPr>
        <w:pStyle w:val="BodyText"/>
        <w:spacing w:line="357" w:lineRule="auto" w:before="154"/>
        <w:ind w:left="595" w:right="311" w:hanging="483"/>
        <w:jc w:val="left"/>
      </w:pPr>
      <w:r>
        <w:rPr/>
        <w:t>较数据中的其他流动资产和应交税费</w:t>
      </w:r>
      <w:r>
        <w:rPr>
          <w:spacing w:val="-58"/>
        </w:rPr>
        <w:t> </w:t>
      </w:r>
      <w:r>
        <w:rPr/>
        <w:t>1,812,190.38</w:t>
      </w:r>
      <w:r>
        <w:rPr>
          <w:spacing w:val="-60"/>
        </w:rPr>
        <w:t> </w:t>
      </w:r>
      <w:r>
        <w:rPr/>
        <w:t>元。</w:t>
      </w:r>
      <w:r>
        <w:rPr/>
        <w:t> 公司本年度将准备持有至到期的定期存款作为其他与投资活动有关的现金在现金流量表</w:t>
      </w:r>
    </w:p>
    <w:p>
      <w:pPr>
        <w:pStyle w:val="BodyText"/>
        <w:spacing w:line="240" w:lineRule="auto"/>
        <w:ind w:left="112" w:right="0"/>
        <w:jc w:val="left"/>
      </w:pPr>
      <w:r>
        <w:rPr>
          <w:spacing w:val="-4"/>
        </w:rPr>
        <w:t>列报，本期采用追溯重述法对该项差错进行更正，相应调增 </w:t>
      </w:r>
      <w:r>
        <w:rPr/>
        <w:t>2012</w:t>
      </w:r>
      <w:r>
        <w:rPr>
          <w:spacing w:val="-95"/>
        </w:rPr>
        <w:t> </w:t>
      </w:r>
      <w:r>
        <w:rPr/>
        <w:t>年度财务报表的比较数据中</w:t>
      </w:r>
    </w:p>
    <w:p>
      <w:pPr>
        <w:pStyle w:val="BodyText"/>
        <w:spacing w:line="240" w:lineRule="auto" w:before="154"/>
        <w:ind w:left="112" w:right="0"/>
        <w:jc w:val="left"/>
      </w:pPr>
      <w:r>
        <w:rPr/>
        <w:t>的取得投资收益收到的现金</w:t>
      </w:r>
      <w:r>
        <w:rPr>
          <w:spacing w:val="-68"/>
        </w:rPr>
        <w:t> </w:t>
      </w:r>
      <w:r>
        <w:rPr/>
        <w:t>655,615.68</w:t>
      </w:r>
      <w:r>
        <w:rPr>
          <w:spacing w:val="-67"/>
        </w:rPr>
        <w:t> </w:t>
      </w:r>
      <w:r>
        <w:rPr/>
        <w:t>元、收到其他与投资活动有关的现金</w:t>
      </w:r>
      <w:r>
        <w:rPr>
          <w:spacing w:val="-68"/>
        </w:rPr>
        <w:t> </w:t>
      </w:r>
      <w:r>
        <w:rPr/>
        <w:t>40,196,955.89</w:t>
      </w:r>
    </w:p>
    <w:p>
      <w:pPr>
        <w:pStyle w:val="BodyText"/>
        <w:spacing w:line="240" w:lineRule="auto" w:before="154"/>
        <w:ind w:left="112" w:right="0"/>
        <w:jc w:val="left"/>
      </w:pPr>
      <w:r>
        <w:rPr>
          <w:spacing w:val="17"/>
        </w:rPr>
        <w:t>元，调减收到其他与经营活动有关的现金 </w:t>
      </w:r>
      <w:r>
        <w:rPr/>
        <w:t>655,615.68</w:t>
      </w:r>
      <w:r>
        <w:rPr>
          <w:spacing w:val="-65"/>
        </w:rPr>
        <w:t> </w:t>
      </w:r>
      <w:r>
        <w:rPr>
          <w:spacing w:val="18"/>
        </w:rPr>
        <w:t>元、期初现金及现金等价物余额</w:t>
      </w:r>
    </w:p>
    <w:p>
      <w:pPr>
        <w:pStyle w:val="BodyText"/>
        <w:spacing w:line="357" w:lineRule="auto" w:before="154"/>
        <w:ind w:left="595" w:right="2535" w:hanging="483"/>
        <w:jc w:val="left"/>
      </w:pPr>
      <w:r>
        <w:rPr/>
        <w:t>233,584,160.02</w:t>
      </w:r>
      <w:r>
        <w:rPr>
          <w:spacing w:val="-58"/>
        </w:rPr>
        <w:t> </w:t>
      </w:r>
      <w:r>
        <w:rPr/>
        <w:t>元、期末现金及现金等价物余额</w:t>
      </w:r>
      <w:r>
        <w:rPr>
          <w:spacing w:val="-60"/>
        </w:rPr>
        <w:t> </w:t>
      </w:r>
      <w:r>
        <w:rPr/>
        <w:t>193,387,204.13</w:t>
      </w:r>
      <w:r>
        <w:rPr>
          <w:spacing w:val="-63"/>
        </w:rPr>
        <w:t> </w:t>
      </w:r>
      <w:r>
        <w:rPr/>
        <w:t>元。</w:t>
      </w:r>
      <w:r>
        <w:rPr/>
        <w:t> 三、税项</w:t>
      </w:r>
    </w:p>
    <w:p>
      <w:pPr>
        <w:pStyle w:val="BodyText"/>
        <w:spacing w:line="240" w:lineRule="auto"/>
        <w:ind w:left="595" w:right="279"/>
        <w:jc w:val="left"/>
      </w:pPr>
      <w:r>
        <w:rPr/>
        <w:t>(一)</w:t>
      </w:r>
      <w:r>
        <w:rPr>
          <w:spacing w:val="-3"/>
        </w:rPr>
        <w:t> </w:t>
      </w:r>
      <w:r>
        <w:rPr/>
        <w:t>主要税种及税率</w:t>
      </w:r>
    </w:p>
    <w:p>
      <w:pPr>
        <w:spacing w:line="240" w:lineRule="auto" w:before="10"/>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800"/>
        <w:gridCol w:w="3960"/>
        <w:gridCol w:w="2796"/>
      </w:tblGrid>
      <w:tr>
        <w:trPr>
          <w:trHeight w:val="557"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7" w:right="0"/>
              <w:jc w:val="center"/>
              <w:rPr>
                <w:rFonts w:ascii="宋体" w:hAnsi="宋体" w:cs="宋体" w:eastAsia="宋体" w:hint="default"/>
                <w:sz w:val="18"/>
                <w:szCs w:val="18"/>
              </w:rPr>
            </w:pPr>
            <w:r>
              <w:rPr>
                <w:rFonts w:ascii="宋体" w:hAnsi="宋体" w:cs="宋体" w:eastAsia="宋体" w:hint="default"/>
                <w:sz w:val="18"/>
                <w:szCs w:val="18"/>
              </w:rPr>
              <w:t>税  种</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计 税 依 据</w:t>
            </w:r>
          </w:p>
        </w:tc>
        <w:tc>
          <w:tcPr>
            <w:tcW w:w="2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税  率</w:t>
            </w:r>
          </w:p>
        </w:tc>
      </w:tr>
      <w:tr>
        <w:trPr>
          <w:trHeight w:val="559"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pacing w:val="14"/>
                <w:sz w:val="18"/>
                <w:szCs w:val="18"/>
              </w:rPr>
              <w:t>销售货物或提供应税劳务</w:t>
            </w:r>
          </w:p>
        </w:tc>
        <w:tc>
          <w:tcPr>
            <w:tcW w:w="2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z w:val="18"/>
                <w:szCs w:val="18"/>
              </w:rPr>
              <w:t>17%或</w:t>
            </w:r>
            <w:r>
              <w:rPr>
                <w:rFonts w:ascii="宋体" w:hAnsi="宋体" w:cs="宋体" w:eastAsia="宋体" w:hint="default"/>
                <w:spacing w:val="-46"/>
                <w:sz w:val="18"/>
                <w:szCs w:val="18"/>
              </w:rPr>
              <w:t> </w:t>
            </w:r>
            <w:r>
              <w:rPr>
                <w:rFonts w:ascii="宋体" w:hAnsi="宋体" w:cs="宋体" w:eastAsia="宋体" w:hint="default"/>
                <w:sz w:val="18"/>
                <w:szCs w:val="18"/>
              </w:rPr>
              <w:t>6%</w:t>
            </w:r>
          </w:p>
        </w:tc>
      </w:tr>
      <w:tr>
        <w:trPr>
          <w:trHeight w:val="557"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pacing w:val="13"/>
                <w:sz w:val="18"/>
                <w:szCs w:val="18"/>
              </w:rPr>
              <w:t>应纳税营业额</w:t>
            </w:r>
          </w:p>
        </w:tc>
        <w:tc>
          <w:tcPr>
            <w:tcW w:w="2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5%</w:t>
            </w:r>
          </w:p>
        </w:tc>
      </w:tr>
      <w:tr>
        <w:trPr>
          <w:trHeight w:val="715"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108"/>
              <w:jc w:val="left"/>
              <w:rPr>
                <w:rFonts w:ascii="宋体" w:hAnsi="宋体" w:cs="宋体" w:eastAsia="宋体" w:hint="default"/>
                <w:sz w:val="18"/>
                <w:szCs w:val="18"/>
              </w:rPr>
            </w:pPr>
            <w:r>
              <w:rPr>
                <w:rFonts w:ascii="宋体" w:hAnsi="宋体" w:cs="宋体" w:eastAsia="宋体" w:hint="default"/>
                <w:sz w:val="18"/>
                <w:szCs w:val="18"/>
              </w:rPr>
              <w:t>从价计征的，按房产原值一次减除</w:t>
            </w:r>
            <w:r>
              <w:rPr>
                <w:rFonts w:ascii="宋体" w:hAnsi="宋体" w:cs="宋体" w:eastAsia="宋体" w:hint="default"/>
                <w:spacing w:val="-47"/>
                <w:sz w:val="18"/>
                <w:szCs w:val="18"/>
              </w:rPr>
              <w:t> </w:t>
            </w:r>
            <w:r>
              <w:rPr>
                <w:rFonts w:ascii="宋体" w:hAnsi="宋体" w:cs="宋体" w:eastAsia="宋体" w:hint="default"/>
                <w:sz w:val="18"/>
                <w:szCs w:val="18"/>
              </w:rPr>
              <w:t>30%后余值的</w:t>
            </w:r>
            <w:r>
              <w:rPr>
                <w:rFonts w:ascii="宋体" w:hAnsi="宋体" w:cs="宋体" w:eastAsia="宋体" w:hint="default"/>
                <w:sz w:val="18"/>
                <w:szCs w:val="18"/>
              </w:rPr>
              <w:t> 1.2%计缴；从租计征的，按租金收入的</w:t>
            </w:r>
            <w:r>
              <w:rPr>
                <w:rFonts w:ascii="宋体" w:hAnsi="宋体" w:cs="宋体" w:eastAsia="宋体" w:hint="default"/>
                <w:spacing w:val="-49"/>
                <w:sz w:val="18"/>
                <w:szCs w:val="18"/>
              </w:rPr>
              <w:t> </w:t>
            </w:r>
            <w:r>
              <w:rPr>
                <w:rFonts w:ascii="宋体" w:hAnsi="宋体" w:cs="宋体" w:eastAsia="宋体" w:hint="default"/>
                <w:sz w:val="18"/>
                <w:szCs w:val="18"/>
              </w:rPr>
              <w:t>12%计缴</w:t>
            </w:r>
          </w:p>
        </w:tc>
        <w:tc>
          <w:tcPr>
            <w:tcW w:w="2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1.2%或</w:t>
            </w:r>
            <w:r>
              <w:rPr>
                <w:rFonts w:ascii="宋体" w:hAnsi="宋体" w:cs="宋体" w:eastAsia="宋体" w:hint="default"/>
                <w:spacing w:val="-50"/>
                <w:sz w:val="18"/>
                <w:szCs w:val="18"/>
              </w:rPr>
              <w:t> </w:t>
            </w:r>
            <w:r>
              <w:rPr>
                <w:rFonts w:ascii="宋体" w:hAnsi="宋体" w:cs="宋体" w:eastAsia="宋体" w:hint="default"/>
                <w:sz w:val="18"/>
                <w:szCs w:val="18"/>
              </w:rPr>
              <w:t>12%</w:t>
            </w:r>
          </w:p>
        </w:tc>
      </w:tr>
      <w:tr>
        <w:trPr>
          <w:trHeight w:val="557"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2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7%</w:t>
            </w:r>
          </w:p>
        </w:tc>
      </w:tr>
      <w:tr>
        <w:trPr>
          <w:trHeight w:val="559"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2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
              <w:jc w:val="center"/>
              <w:rPr>
                <w:rFonts w:ascii="宋体" w:hAnsi="宋体" w:cs="宋体" w:eastAsia="宋体" w:hint="default"/>
                <w:sz w:val="18"/>
                <w:szCs w:val="18"/>
              </w:rPr>
            </w:pPr>
            <w:r>
              <w:rPr>
                <w:rFonts w:ascii="宋体"/>
                <w:sz w:val="18"/>
              </w:rPr>
              <w:t>3%</w:t>
            </w:r>
          </w:p>
        </w:tc>
      </w:tr>
      <w:tr>
        <w:trPr>
          <w:trHeight w:val="557"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2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2%</w:t>
            </w:r>
          </w:p>
        </w:tc>
      </w:tr>
      <w:tr>
        <w:trPr>
          <w:trHeight w:val="559"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2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5"/>
              <w:jc w:val="center"/>
              <w:rPr>
                <w:rFonts w:ascii="宋体" w:hAnsi="宋体" w:cs="宋体" w:eastAsia="宋体" w:hint="default"/>
                <w:sz w:val="18"/>
                <w:szCs w:val="18"/>
              </w:rPr>
            </w:pPr>
            <w:r>
              <w:rPr>
                <w:rFonts w:ascii="宋体"/>
                <w:sz w:val="18"/>
              </w:rPr>
              <w:t>25%</w:t>
            </w:r>
          </w:p>
        </w:tc>
      </w:tr>
    </w:tbl>
    <w:p>
      <w:pPr>
        <w:pStyle w:val="BodyText"/>
        <w:spacing w:line="388" w:lineRule="auto" w:before="79"/>
        <w:ind w:left="595" w:right="7154"/>
        <w:jc w:val="left"/>
      </w:pPr>
      <w:r>
        <w:rPr/>
        <w:pict>
          <v:group style="position:absolute;margin-left:547.559998pt;margin-top:80.605614pt;width:.1pt;height:10.35pt;mso-position-horizontal-relative:page;mso-position-vertical-relative:paragraph;z-index:3712" coordorigin="10951,1612" coordsize="2,207">
            <v:shape style="position:absolute;left:10951;top:1612;width:2;height:207" coordorigin="10951,1612" coordsize="0,207" path="m10951,1612l10951,1819e" filled="false" stroked="true" strokeweight=".12pt" strokecolor="#000000">
              <v:path arrowok="t"/>
            </v:shape>
            <w10:wrap type="none"/>
          </v:group>
        </w:pict>
      </w:r>
      <w:r>
        <w:rPr/>
        <w:t>(二)</w:t>
      </w:r>
      <w:r>
        <w:rPr>
          <w:spacing w:val="-3"/>
        </w:rPr>
        <w:t> </w:t>
      </w:r>
      <w:r>
        <w:rPr/>
        <w:t>税收优惠及批文</w:t>
      </w:r>
      <w:r>
        <w:rPr/>
        <w:t> 1.</w:t>
      </w:r>
      <w:r>
        <w:rPr>
          <w:spacing w:val="-3"/>
        </w:rPr>
        <w:t> </w:t>
      </w:r>
      <w:r>
        <w:rPr/>
        <w:t>增值税</w:t>
      </w:r>
    </w:p>
    <w:p>
      <w:pPr>
        <w:spacing w:after="0" w:line="388" w:lineRule="auto"/>
        <w:jc w:val="left"/>
        <w:sectPr>
          <w:footerReference w:type="default" r:id="rId26"/>
          <w:pgSz w:w="11910" w:h="16840"/>
          <w:pgMar w:footer="979" w:header="745" w:top="1060" w:bottom="1160" w:left="1020" w:right="840"/>
          <w:pgNumType w:start="80"/>
        </w:sectPr>
      </w:pPr>
    </w:p>
    <w:p>
      <w:pPr>
        <w:spacing w:line="240" w:lineRule="auto" w:before="6"/>
        <w:rPr>
          <w:rFonts w:ascii="宋体" w:hAnsi="宋体" w:cs="宋体" w:eastAsia="宋体" w:hint="default"/>
          <w:sz w:val="29"/>
          <w:szCs w:val="29"/>
        </w:rPr>
      </w:pPr>
    </w:p>
    <w:p>
      <w:pPr>
        <w:pStyle w:val="BodyText"/>
        <w:spacing w:line="357" w:lineRule="auto" w:before="26"/>
        <w:ind w:right="110" w:firstLine="482"/>
        <w:jc w:val="both"/>
      </w:pPr>
      <w:r>
        <w:rPr>
          <w:spacing w:val="-4"/>
        </w:rPr>
        <w:t>根据财政部、国家税务总局《关于软件产品增值税政策的通知》（财税〔2011〕100</w:t>
      </w:r>
      <w:r>
        <w:rPr>
          <w:spacing w:val="-46"/>
        </w:rPr>
        <w:t> </w:t>
      </w:r>
      <w:r>
        <w:rPr>
          <w:spacing w:val="-40"/>
          <w:w w:val="83"/>
        </w:rPr>
        <w:t>号），</w:t>
      </w:r>
      <w:r>
        <w:rPr>
          <w:w w:val="50"/>
        </w:rPr>
        <w:t> </w:t>
      </w:r>
      <w:r>
        <w:rPr/>
        <w:t>增值税一般纳税人销售其自行开发生产的软件产品，按 17%税率征收增值税后，对其增值税</w:t>
      </w:r>
      <w:r>
        <w:rPr>
          <w:spacing w:val="-100"/>
        </w:rPr>
        <w:t> </w:t>
      </w:r>
      <w:r>
        <w:rPr>
          <w:spacing w:val="-100"/>
        </w:rPr>
      </w:r>
      <w:r>
        <w:rPr/>
        <w:t>实际税负超过</w:t>
      </w:r>
      <w:r>
        <w:rPr>
          <w:spacing w:val="-58"/>
        </w:rPr>
        <w:t> </w:t>
      </w:r>
      <w:r>
        <w:rPr/>
        <w:t>3%的部分实行即征即退政策。</w:t>
      </w:r>
    </w:p>
    <w:p>
      <w:pPr>
        <w:pStyle w:val="BodyText"/>
        <w:spacing w:line="388" w:lineRule="auto" w:before="77"/>
        <w:ind w:left="715" w:right="0" w:firstLine="60"/>
        <w:jc w:val="left"/>
      </w:pPr>
      <w:r>
        <w:rPr/>
        <w:t>2.</w:t>
      </w:r>
      <w:r>
        <w:rPr>
          <w:spacing w:val="-3"/>
        </w:rPr>
        <w:t> </w:t>
      </w:r>
      <w:r>
        <w:rPr/>
        <w:t>企业所得税</w:t>
      </w:r>
      <w:r>
        <w:rPr/>
        <w:t> 根据浙江省科学技术厅、浙江省财政厅、浙江省国家税务局和浙江省地方税务局《关于</w:t>
      </w:r>
    </w:p>
    <w:p>
      <w:pPr>
        <w:pStyle w:val="BodyText"/>
        <w:spacing w:line="357" w:lineRule="auto" w:before="5"/>
        <w:ind w:right="112"/>
        <w:jc w:val="both"/>
      </w:pPr>
      <w:r>
        <w:rPr>
          <w:spacing w:val="3"/>
        </w:rPr>
        <w:t>杭州新源电子研究所等</w:t>
      </w:r>
      <w:r>
        <w:rPr>
          <w:spacing w:val="-57"/>
        </w:rPr>
        <w:t> </w:t>
      </w:r>
      <w:r>
        <w:rPr/>
        <w:t>1125</w:t>
      </w:r>
      <w:r>
        <w:rPr>
          <w:spacing w:val="-53"/>
        </w:rPr>
        <w:t> </w:t>
      </w:r>
      <w:r>
        <w:rPr>
          <w:spacing w:val="-1"/>
        </w:rPr>
        <w:t>家企业通过高新技术企业复审的通知》（浙科发高〔2011〕263</w:t>
      </w:r>
      <w:r>
        <w:rPr/>
        <w:t> </w:t>
      </w:r>
      <w:r>
        <w:rPr>
          <w:spacing w:val="-5"/>
        </w:rPr>
        <w:t>号），本公司及子公司杭州新世纪电子科技有限公司通过高新技术企业复审，有效期三年。故</w:t>
      </w:r>
      <w:r>
        <w:rPr>
          <w:spacing w:val="-117"/>
        </w:rPr>
        <w:t> </w:t>
      </w:r>
      <w:r>
        <w:rPr>
          <w:spacing w:val="-117"/>
        </w:rPr>
      </w:r>
      <w:r>
        <w:rPr/>
        <w:t>公司及子公司杭州新世纪电子科技有限公司本期实际执行的企业所得税税率为</w:t>
      </w:r>
      <w:r>
        <w:rPr>
          <w:spacing w:val="-60"/>
        </w:rPr>
        <w:t> </w:t>
      </w:r>
      <w:r>
        <w:rPr/>
        <w:t>15%。</w:t>
      </w:r>
    </w:p>
    <w:p>
      <w:pPr>
        <w:pStyle w:val="BodyText"/>
        <w:spacing w:line="357" w:lineRule="auto"/>
        <w:ind w:right="112" w:firstLine="422"/>
        <w:jc w:val="both"/>
      </w:pPr>
      <w:r>
        <w:rPr/>
        <w:t>子公司南京江琛自动化系统有限公司</w:t>
      </w:r>
      <w:r>
        <w:rPr>
          <w:spacing w:val="-72"/>
        </w:rPr>
        <w:t> </w:t>
      </w:r>
      <w:r>
        <w:rPr/>
        <w:t>2010</w:t>
      </w:r>
      <w:r>
        <w:rPr>
          <w:spacing w:val="-72"/>
        </w:rPr>
        <w:t> </w:t>
      </w:r>
      <w:r>
        <w:rPr/>
        <w:t>年经认定为高新技术企业，有效期三年，故本</w:t>
      </w:r>
      <w:r>
        <w:rPr/>
        <w:t> 期实际执行的企业所得税税率为</w:t>
      </w:r>
      <w:r>
        <w:rPr>
          <w:spacing w:val="-60"/>
        </w:rPr>
        <w:t> </w:t>
      </w:r>
      <w:r>
        <w:rPr/>
        <w:t>15%。</w:t>
      </w:r>
    </w:p>
    <w:p>
      <w:pPr>
        <w:pStyle w:val="BodyText"/>
        <w:spacing w:line="357" w:lineRule="auto"/>
        <w:ind w:right="110" w:firstLine="422"/>
        <w:jc w:val="both"/>
      </w:pPr>
      <w:r>
        <w:rPr/>
        <w:t>根据浙江省科学技术厅、浙江省财政厅、浙江省国家税务局和浙江省地方税务局《关于 认定浙江盘石信息技术有限公司等</w:t>
      </w:r>
      <w:r>
        <w:rPr>
          <w:spacing w:val="-41"/>
        </w:rPr>
        <w:t> </w:t>
      </w:r>
      <w:r>
        <w:rPr/>
        <w:t>232</w:t>
      </w:r>
      <w:r>
        <w:rPr>
          <w:spacing w:val="-58"/>
        </w:rPr>
        <w:t> </w:t>
      </w:r>
      <w:r>
        <w:rPr/>
        <w:t>家企业为</w:t>
      </w:r>
      <w:r>
        <w:rPr>
          <w:spacing w:val="-53"/>
        </w:rPr>
        <w:t> </w:t>
      </w:r>
      <w:r>
        <w:rPr/>
        <w:t>2011</w:t>
      </w:r>
      <w:r>
        <w:rPr>
          <w:spacing w:val="-58"/>
        </w:rPr>
        <w:t> </w:t>
      </w:r>
      <w:r>
        <w:rPr>
          <w:spacing w:val="-7"/>
        </w:rPr>
        <w:t>年第一批高新技术企业的通知》（浙科</w:t>
      </w:r>
      <w:r>
        <w:rPr/>
        <w:t> </w:t>
      </w:r>
      <w:r>
        <w:rPr>
          <w:spacing w:val="-1"/>
        </w:rPr>
        <w:t>发高〔2011〕261</w:t>
      </w:r>
      <w:r>
        <w:rPr>
          <w:spacing w:val="-31"/>
        </w:rPr>
        <w:t> </w:t>
      </w:r>
      <w:r>
        <w:rPr>
          <w:spacing w:val="-5"/>
        </w:rPr>
        <w:t>号），子公司杭州德创电子有限公司为高新技术企业，有效期三年，故该公</w:t>
      </w:r>
      <w:r>
        <w:rPr>
          <w:spacing w:val="-116"/>
        </w:rPr>
        <w:t> </w:t>
      </w:r>
      <w:r>
        <w:rPr>
          <w:spacing w:val="-116"/>
        </w:rPr>
      </w:r>
      <w:r>
        <w:rPr/>
        <w:t>司本期实际执行的企业所得税税率为</w:t>
      </w:r>
      <w:r>
        <w:rPr>
          <w:spacing w:val="-58"/>
        </w:rPr>
        <w:t> </w:t>
      </w:r>
      <w:r>
        <w:rPr/>
        <w:t>15%。</w:t>
      </w:r>
    </w:p>
    <w:p>
      <w:pPr>
        <w:pStyle w:val="BodyText"/>
        <w:spacing w:line="310" w:lineRule="exact" w:before="0"/>
        <w:ind w:left="715" w:right="279"/>
        <w:jc w:val="left"/>
      </w:pPr>
      <w:r>
        <w:rPr/>
        <w:t>四、企业合并及合并财务报表</w:t>
      </w:r>
    </w:p>
    <w:p>
      <w:pPr>
        <w:spacing w:line="240" w:lineRule="auto" w:before="13"/>
        <w:rPr>
          <w:rFonts w:ascii="宋体" w:hAnsi="宋体" w:cs="宋体" w:eastAsia="宋体" w:hint="default"/>
          <w:sz w:val="17"/>
          <w:szCs w:val="17"/>
        </w:rPr>
      </w:pPr>
    </w:p>
    <w:p>
      <w:pPr>
        <w:pStyle w:val="BodyText"/>
        <w:spacing w:line="240" w:lineRule="auto" w:before="0"/>
        <w:ind w:left="775" w:right="279"/>
        <w:jc w:val="left"/>
      </w:pPr>
      <w:r>
        <w:rPr/>
        <w:t>(一)</w:t>
      </w:r>
      <w:r>
        <w:rPr>
          <w:spacing w:val="-3"/>
        </w:rPr>
        <w:t> </w:t>
      </w:r>
      <w:r>
        <w:rPr/>
        <w:t>同一控制下企业合并取得的子公司</w:t>
      </w:r>
    </w:p>
    <w:p>
      <w:pPr>
        <w:spacing w:line="240" w:lineRule="auto" w:before="10"/>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800"/>
        <w:gridCol w:w="1440"/>
        <w:gridCol w:w="1080"/>
        <w:gridCol w:w="1080"/>
        <w:gridCol w:w="1260"/>
        <w:gridCol w:w="2184"/>
      </w:tblGrid>
      <w:tr>
        <w:trPr>
          <w:trHeight w:val="634"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631" w:right="623"/>
              <w:jc w:val="center"/>
              <w:rPr>
                <w:rFonts w:ascii="宋体" w:hAnsi="宋体" w:cs="宋体" w:eastAsia="宋体" w:hint="default"/>
                <w:sz w:val="18"/>
                <w:szCs w:val="18"/>
              </w:rPr>
            </w:pPr>
            <w:r>
              <w:rPr>
                <w:rFonts w:ascii="宋体" w:hAnsi="宋体" w:cs="宋体" w:eastAsia="宋体" w:hint="default"/>
                <w:sz w:val="18"/>
                <w:szCs w:val="18"/>
              </w:rPr>
              <w:t>子公司 全称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37" w:right="443" w:hanging="92"/>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57" w:right="350"/>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46" w:right="443"/>
              <w:jc w:val="center"/>
              <w:rPr>
                <w:rFonts w:ascii="宋体" w:hAnsi="宋体" w:cs="宋体" w:eastAsia="宋体" w:hint="default"/>
                <w:sz w:val="18"/>
                <w:szCs w:val="18"/>
              </w:rPr>
            </w:pPr>
            <w:r>
              <w:rPr>
                <w:rFonts w:ascii="宋体" w:hAnsi="宋体" w:cs="宋体" w:eastAsia="宋体" w:hint="default"/>
                <w:sz w:val="18"/>
                <w:szCs w:val="18"/>
              </w:rPr>
              <w:t>注册 资本</w:t>
            </w:r>
          </w:p>
        </w:tc>
        <w:tc>
          <w:tcPr>
            <w:tcW w:w="2184"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897" w:right="893" w:firstLine="26"/>
              <w:jc w:val="center"/>
              <w:rPr>
                <w:rFonts w:ascii="宋体" w:hAnsi="宋体" w:cs="宋体" w:eastAsia="宋体" w:hint="default"/>
                <w:sz w:val="18"/>
                <w:szCs w:val="18"/>
              </w:rPr>
            </w:pPr>
            <w:r>
              <w:rPr>
                <w:rFonts w:ascii="宋体" w:hAnsi="宋体" w:cs="宋体" w:eastAsia="宋体" w:hint="default"/>
                <w:sz w:val="18"/>
                <w:szCs w:val="18"/>
              </w:rPr>
              <w:t>经营 范围</w:t>
            </w:r>
          </w:p>
        </w:tc>
      </w:tr>
      <w:tr>
        <w:trPr>
          <w:trHeight w:val="715"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08" w:right="108"/>
              <w:jc w:val="left"/>
              <w:rPr>
                <w:rFonts w:ascii="宋体" w:hAnsi="宋体" w:cs="宋体" w:eastAsia="宋体" w:hint="default"/>
                <w:sz w:val="18"/>
                <w:szCs w:val="18"/>
              </w:rPr>
            </w:pPr>
            <w:r>
              <w:rPr>
                <w:rFonts w:ascii="宋体" w:hAnsi="宋体" w:cs="宋体" w:eastAsia="宋体" w:hint="default"/>
                <w:spacing w:val="16"/>
                <w:sz w:val="18"/>
                <w:szCs w:val="18"/>
              </w:rPr>
              <w:t>杭州新世纪电子科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8"/>
                <w:sz w:val="18"/>
                <w:szCs w:val="18"/>
              </w:rPr>
              <w:t> </w:t>
            </w:r>
            <w:r>
              <w:rPr>
                <w:rFonts w:ascii="宋体" w:hAnsi="宋体" w:cs="宋体" w:eastAsia="宋体" w:hint="default"/>
                <w:sz w:val="18"/>
                <w:szCs w:val="18"/>
              </w:rPr>
              <w:t>万元</w:t>
            </w:r>
          </w:p>
        </w:tc>
        <w:tc>
          <w:tcPr>
            <w:tcW w:w="21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软件开发、系统集成</w:t>
            </w:r>
          </w:p>
        </w:tc>
      </w:tr>
    </w:tbl>
    <w:p>
      <w:pPr>
        <w:spacing w:before="89"/>
        <w:ind w:left="475" w:right="279"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12"/>
        <w:rPr>
          <w:rFonts w:ascii="宋体" w:hAnsi="宋体" w:cs="宋体" w:eastAsia="宋体"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1800"/>
        <w:gridCol w:w="1620"/>
        <w:gridCol w:w="2340"/>
        <w:gridCol w:w="900"/>
        <w:gridCol w:w="1080"/>
        <w:gridCol w:w="946"/>
      </w:tblGrid>
      <w:tr>
        <w:trPr>
          <w:trHeight w:val="634"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631" w:right="623"/>
              <w:jc w:val="center"/>
              <w:rPr>
                <w:rFonts w:ascii="宋体" w:hAnsi="宋体" w:cs="宋体" w:eastAsia="宋体" w:hint="default"/>
                <w:sz w:val="18"/>
                <w:szCs w:val="18"/>
              </w:rPr>
            </w:pPr>
            <w:r>
              <w:rPr>
                <w:rFonts w:ascii="宋体" w:hAnsi="宋体" w:cs="宋体" w:eastAsia="宋体" w:hint="default"/>
                <w:sz w:val="18"/>
                <w:szCs w:val="18"/>
              </w:rPr>
              <w:t>子公司 全称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37" w:right="443" w:hanging="92"/>
              <w:jc w:val="left"/>
              <w:rPr>
                <w:rFonts w:ascii="宋体" w:hAnsi="宋体" w:cs="宋体" w:eastAsia="宋体" w:hint="default"/>
                <w:sz w:val="18"/>
                <w:szCs w:val="18"/>
              </w:rPr>
            </w:pPr>
            <w:r>
              <w:rPr>
                <w:rFonts w:ascii="宋体" w:hAnsi="宋体" w:cs="宋体" w:eastAsia="宋体" w:hint="default"/>
                <w:sz w:val="18"/>
                <w:szCs w:val="18"/>
              </w:rPr>
              <w:t>期末实际 出资额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6" w:right="263" w:firstLine="88"/>
              <w:jc w:val="left"/>
              <w:rPr>
                <w:rFonts w:ascii="宋体" w:hAnsi="宋体" w:cs="宋体" w:eastAsia="宋体" w:hint="default"/>
                <w:sz w:val="18"/>
                <w:szCs w:val="18"/>
              </w:rPr>
            </w:pPr>
            <w:r>
              <w:rPr>
                <w:rFonts w:ascii="宋体" w:hAnsi="宋体" w:cs="宋体" w:eastAsia="宋体" w:hint="default"/>
                <w:sz w:val="18"/>
                <w:szCs w:val="18"/>
              </w:rPr>
              <w:t>实质上构成对子公司 净投资的其他项目余额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0" w:right="170" w:hanging="44"/>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0" w:right="217" w:firstLine="45"/>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946"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379" w:right="19" w:hanging="360"/>
              <w:jc w:val="left"/>
              <w:rPr>
                <w:rFonts w:ascii="宋体" w:hAnsi="宋体" w:cs="宋体" w:eastAsia="宋体" w:hint="default"/>
                <w:sz w:val="18"/>
                <w:szCs w:val="18"/>
              </w:rPr>
            </w:pPr>
            <w:r>
              <w:rPr>
                <w:rFonts w:ascii="宋体" w:hAnsi="宋体" w:cs="宋体" w:eastAsia="宋体" w:hint="default"/>
                <w:sz w:val="18"/>
                <w:szCs w:val="18"/>
              </w:rPr>
              <w:t>是否合并报 表</w:t>
            </w:r>
          </w:p>
        </w:tc>
      </w:tr>
      <w:tr>
        <w:trPr>
          <w:trHeight w:val="691" w:hRule="exact"/>
        </w:trPr>
        <w:tc>
          <w:tcPr>
            <w:tcW w:w="180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08" w:right="108"/>
              <w:jc w:val="left"/>
              <w:rPr>
                <w:rFonts w:ascii="宋体" w:hAnsi="宋体" w:cs="宋体" w:eastAsia="宋体" w:hint="default"/>
                <w:sz w:val="18"/>
                <w:szCs w:val="18"/>
              </w:rPr>
            </w:pPr>
            <w:r>
              <w:rPr>
                <w:rFonts w:ascii="宋体" w:hAnsi="宋体" w:cs="宋体" w:eastAsia="宋体" w:hint="default"/>
                <w:spacing w:val="16"/>
                <w:sz w:val="18"/>
                <w:szCs w:val="18"/>
              </w:rPr>
              <w:t>杭州新世纪电子科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技有限公司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0" w:right="0"/>
              <w:jc w:val="left"/>
              <w:rPr>
                <w:rFonts w:ascii="宋体" w:hAnsi="宋体" w:cs="宋体" w:eastAsia="宋体" w:hint="default"/>
                <w:sz w:val="18"/>
                <w:szCs w:val="18"/>
              </w:rPr>
            </w:pPr>
            <w:r>
              <w:rPr>
                <w:rFonts w:ascii="宋体"/>
                <w:sz w:val="18"/>
              </w:rPr>
              <w:t>24,700,459.01</w:t>
            </w:r>
          </w:p>
        </w:tc>
        <w:tc>
          <w:tcPr>
            <w:tcW w:w="23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18"/>
                <w:szCs w:val="18"/>
              </w:rPr>
            </w:pPr>
            <w:r>
              <w:rPr>
                <w:rFonts w:ascii="宋体"/>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100</w:t>
            </w:r>
          </w:p>
        </w:tc>
        <w:tc>
          <w:tcPr>
            <w:tcW w:w="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5"/>
        <w:rPr>
          <w:rFonts w:ascii="宋体" w:hAnsi="宋体" w:cs="宋体" w:eastAsia="宋体" w:hint="default"/>
          <w:sz w:val="6"/>
          <w:szCs w:val="6"/>
        </w:rPr>
      </w:pPr>
    </w:p>
    <w:p>
      <w:pPr>
        <w:spacing w:before="44"/>
        <w:ind w:left="475" w:right="279"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3"/>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1908"/>
        <w:gridCol w:w="1574"/>
        <w:gridCol w:w="1846"/>
        <w:gridCol w:w="3305"/>
      </w:tblGrid>
      <w:tr>
        <w:trPr>
          <w:trHeight w:val="1025" w:hRule="exact"/>
        </w:trPr>
        <w:tc>
          <w:tcPr>
            <w:tcW w:w="1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60" w:lineRule="auto"/>
              <w:ind w:left="681" w:right="679"/>
              <w:jc w:val="center"/>
              <w:rPr>
                <w:rFonts w:ascii="宋体" w:hAnsi="宋体" w:cs="宋体" w:eastAsia="宋体" w:hint="default"/>
                <w:sz w:val="18"/>
                <w:szCs w:val="18"/>
              </w:rPr>
            </w:pPr>
            <w:r>
              <w:rPr>
                <w:rFonts w:ascii="宋体" w:hAnsi="宋体" w:cs="宋体" w:eastAsia="宋体" w:hint="default"/>
                <w:sz w:val="18"/>
                <w:szCs w:val="18"/>
              </w:rPr>
              <w:t>子公司 全称</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60" w:lineRule="auto"/>
              <w:ind w:left="595" w:right="420" w:hanging="173"/>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7"/>
              <w:jc w:val="left"/>
              <w:rPr>
                <w:rFonts w:ascii="宋体" w:hAnsi="宋体" w:cs="宋体" w:eastAsia="宋体" w:hint="default"/>
                <w:sz w:val="18"/>
                <w:szCs w:val="18"/>
              </w:rPr>
            </w:pPr>
            <w:r>
              <w:rPr>
                <w:rFonts w:ascii="宋体" w:hAnsi="宋体" w:cs="宋体" w:eastAsia="宋体" w:hint="default"/>
                <w:sz w:val="18"/>
                <w:szCs w:val="18"/>
              </w:rPr>
              <w:t>少数股东权益中用于冲 减少数股东损益的金额</w:t>
            </w:r>
          </w:p>
        </w:tc>
        <w:tc>
          <w:tcPr>
            <w:tcW w:w="3305"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49"/>
              <w:ind w:left="50" w:right="7"/>
              <w:jc w:val="both"/>
              <w:rPr>
                <w:rFonts w:ascii="宋体" w:hAnsi="宋体" w:cs="宋体" w:eastAsia="宋体" w:hint="default"/>
                <w:sz w:val="18"/>
                <w:szCs w:val="18"/>
              </w:rPr>
            </w:pPr>
            <w:r>
              <w:rPr>
                <w:rFonts w:ascii="宋体" w:hAnsi="宋体" w:cs="宋体" w:eastAsia="宋体" w:hint="default"/>
                <w:sz w:val="18"/>
                <w:szCs w:val="18"/>
              </w:rPr>
              <w:t>从母公司所有者权益中冲减子公司少数股 东分担的本期亏损超过少数股东在该子公 司期初所有者权益中所享有份额后的余额</w:t>
            </w:r>
          </w:p>
        </w:tc>
      </w:tr>
      <w:tr>
        <w:trPr>
          <w:trHeight w:val="715" w:hRule="exact"/>
        </w:trPr>
        <w:tc>
          <w:tcPr>
            <w:tcW w:w="190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08" w:right="96"/>
              <w:jc w:val="left"/>
              <w:rPr>
                <w:rFonts w:ascii="宋体" w:hAnsi="宋体" w:cs="宋体" w:eastAsia="宋体" w:hint="default"/>
                <w:sz w:val="18"/>
                <w:szCs w:val="18"/>
              </w:rPr>
            </w:pPr>
            <w:r>
              <w:rPr>
                <w:rFonts w:ascii="宋体" w:hAnsi="宋体" w:cs="宋体" w:eastAsia="宋体" w:hint="default"/>
                <w:spacing w:val="8"/>
                <w:sz w:val="18"/>
                <w:szCs w:val="18"/>
              </w:rPr>
              <w:t>杭州新世纪电子科技</w:t>
            </w:r>
            <w:r>
              <w:rPr>
                <w:rFonts w:ascii="宋体" w:hAnsi="宋体" w:cs="宋体" w:eastAsia="宋体" w:hint="default"/>
                <w:sz w:val="18"/>
                <w:szCs w:val="18"/>
              </w:rPr>
              <w:t> 有限公司</w:t>
            </w:r>
          </w:p>
        </w:tc>
        <w:tc>
          <w:tcPr>
            <w:tcW w:w="1574"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3305" w:type="dxa"/>
            <w:tcBorders>
              <w:top w:val="single" w:sz="4" w:space="0" w:color="000000"/>
              <w:left w:val="single" w:sz="4" w:space="0" w:color="000000"/>
              <w:bottom w:val="single" w:sz="4" w:space="0" w:color="000000"/>
              <w:right w:val="nil" w:sz="6" w:space="0" w:color="auto"/>
            </w:tcBorders>
          </w:tcPr>
          <w:p>
            <w:pPr/>
          </w:p>
        </w:tc>
      </w:tr>
    </w:tbl>
    <w:p>
      <w:pPr>
        <w:spacing w:before="87"/>
        <w:ind w:left="655" w:right="279" w:firstLine="0"/>
        <w:jc w:val="left"/>
        <w:rPr>
          <w:rFonts w:ascii="宋体" w:hAnsi="宋体" w:cs="宋体" w:eastAsia="宋体" w:hint="default"/>
          <w:sz w:val="18"/>
          <w:szCs w:val="18"/>
        </w:rPr>
      </w:pPr>
      <w:r>
        <w:rPr/>
        <w:pict>
          <v:group style="position:absolute;margin-left:47.639999pt;margin-top:54.461704pt;width:.1pt;height:10.35pt;mso-position-horizontal-relative:page;mso-position-vertical-relative:paragraph;z-index:3904" coordorigin="953,1089" coordsize="2,207">
            <v:shape style="position:absolute;left:953;top:1089;width:2;height:207" coordorigin="953,1089" coordsize="0,207" path="m953,1089l953,1296e" filled="false" stroked="true" strokeweight=".12pt" strokecolor="#000000">
              <v:path arrowok="t"/>
            </v:shape>
            <w10:wrap type="none"/>
          </v:group>
        </w:pict>
      </w:r>
      <w:r>
        <w:rPr>
          <w:rFonts w:ascii="宋体" w:hAnsi="宋体" w:cs="宋体" w:eastAsia="宋体" w:hint="default"/>
          <w:sz w:val="18"/>
          <w:szCs w:val="18"/>
        </w:rPr>
        <w:t>(二)</w:t>
      </w:r>
      <w:r>
        <w:rPr>
          <w:rFonts w:ascii="宋体" w:hAnsi="宋体" w:cs="宋体" w:eastAsia="宋体" w:hint="default"/>
          <w:spacing w:val="-2"/>
          <w:sz w:val="18"/>
          <w:szCs w:val="18"/>
        </w:rPr>
        <w:t> </w:t>
      </w:r>
      <w:r>
        <w:rPr>
          <w:rFonts w:ascii="宋体" w:hAnsi="宋体" w:cs="宋体" w:eastAsia="宋体" w:hint="default"/>
          <w:sz w:val="18"/>
          <w:szCs w:val="18"/>
        </w:rPr>
        <w:t>非同一控制下企业合并取得的子公司</w:t>
      </w:r>
    </w:p>
    <w:p>
      <w:pPr>
        <w:spacing w:line="240" w:lineRule="auto" w:before="9"/>
        <w:rPr>
          <w:rFonts w:ascii="宋体" w:hAnsi="宋体" w:cs="宋体" w:eastAsia="宋体" w:hint="default"/>
          <w:sz w:val="10"/>
          <w:szCs w:val="10"/>
        </w:rPr>
      </w:pPr>
    </w:p>
    <w:p>
      <w:pPr>
        <w:spacing w:line="336" w:lineRule="exact"/>
        <w:ind w:left="108"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45.95pt;height:16.8pt;mso-position-horizontal-relative:char;mso-position-vertical-relative:line" coordorigin="0,0" coordsize="8919,336">
            <v:group style="position:absolute;left:5;top:10;width:8909;height:2" coordorigin="5,10" coordsize="8909,2">
              <v:shape style="position:absolute;left:5;top:10;width:8909;height:2" coordorigin="5,10" coordsize="8909,0" path="m5,10l8914,10e" filled="false" stroked="true" strokeweight=".48pt" strokecolor="#000000">
                <v:path arrowok="t"/>
              </v:shape>
            </v:group>
            <v:group style="position:absolute;left:5;top:331;width:8909;height:2" coordorigin="5,331" coordsize="8909,2">
              <v:shape style="position:absolute;left:5;top:331;width:8909;height:2" coordorigin="5,331" coordsize="8909,0" path="m5,331l8914,331e" filled="false" stroked="true" strokeweight=".48pt" strokecolor="#000000">
                <v:path arrowok="t"/>
              </v:shape>
            </v:group>
            <v:group style="position:absolute;left:2028;top:5;width:2;height:322" coordorigin="2028,5" coordsize="2,322">
              <v:shape style="position:absolute;left:2028;top:5;width:2;height:322" coordorigin="2028,5" coordsize="0,322" path="m2028,5l2028,326e" filled="false" stroked="true" strokeweight=".48pt" strokecolor="#000000">
                <v:path arrowok="t"/>
              </v:shape>
            </v:group>
            <v:group style="position:absolute;left:3468;top:5;width:2;height:322" coordorigin="3468,5" coordsize="2,322">
              <v:shape style="position:absolute;left:3468;top:5;width:2;height:322" coordorigin="3468,5" coordsize="0,322" path="m3468,5l3468,326e" filled="false" stroked="true" strokeweight=".48pt" strokecolor="#000000">
                <v:path arrowok="t"/>
              </v:shape>
            </v:group>
            <v:group style="position:absolute;left:4548;top:5;width:2;height:322" coordorigin="4548,5" coordsize="2,322">
              <v:shape style="position:absolute;left:4548;top:5;width:2;height:322" coordorigin="4548,5" coordsize="0,322" path="m4548,5l4548,326e" filled="false" stroked="true" strokeweight=".48pt" strokecolor="#000000">
                <v:path arrowok="t"/>
              </v:shape>
            </v:group>
            <v:group style="position:absolute;left:5628;top:5;width:2;height:322" coordorigin="5628,5" coordsize="2,322">
              <v:shape style="position:absolute;left:5628;top:5;width:2;height:322" coordorigin="5628,5" coordsize="0,322" path="m5628,5l5628,326e" filled="false" stroked="true" strokeweight=".48pt" strokecolor="#000000">
                <v:path arrowok="t"/>
              </v:shape>
            </v:group>
            <v:group style="position:absolute;left:6787;top:5;width:2;height:322" coordorigin="6787,5" coordsize="2,322">
              <v:shape style="position:absolute;left:6787;top:5;width:2;height:322" coordorigin="6787,5" coordsize="0,322" path="m6787,5l6787,326e" filled="false" stroked="true" strokeweight=".48pt" strokecolor="#000000">
                <v:path arrowok="t"/>
              </v:shape>
              <v:shape style="position:absolute;left:2028;top:10;width:1440;height:322" type="#_x0000_t202" filled="false" stroked="false">
                <v:textbox inset="0,0,0,0">
                  <w:txbxContent>
                    <w:p>
                      <w:pPr>
                        <w:spacing w:before="15"/>
                        <w:ind w:left="451" w:right="0" w:firstLine="0"/>
                        <w:jc w:val="left"/>
                        <w:rPr>
                          <w:rFonts w:ascii="宋体" w:hAnsi="宋体" w:cs="宋体" w:eastAsia="宋体" w:hint="default"/>
                          <w:sz w:val="18"/>
                          <w:szCs w:val="18"/>
                        </w:rPr>
                      </w:pPr>
                      <w:r>
                        <w:rPr>
                          <w:rFonts w:ascii="宋体" w:hAnsi="宋体" w:cs="宋体" w:eastAsia="宋体" w:hint="default"/>
                          <w:sz w:val="18"/>
                          <w:szCs w:val="18"/>
                        </w:rPr>
                        <w:t>子公司</w:t>
                      </w:r>
                    </w:p>
                  </w:txbxContent>
                </v:textbox>
                <w10:wrap type="none"/>
              </v:shape>
              <v:shape style="position:absolute;left:3468;top:10;width:1080;height:322" type="#_x0000_t202" filled="false" stroked="false">
                <v:textbox inset="0,0,0,0">
                  <w:txbxContent>
                    <w:p>
                      <w:pPr>
                        <w:spacing w:before="15"/>
                        <w:ind w:left="271" w:right="0" w:firstLine="0"/>
                        <w:jc w:val="left"/>
                        <w:rPr>
                          <w:rFonts w:ascii="宋体" w:hAnsi="宋体" w:cs="宋体" w:eastAsia="宋体" w:hint="default"/>
                          <w:sz w:val="18"/>
                          <w:szCs w:val="18"/>
                        </w:rPr>
                      </w:pPr>
                      <w:r>
                        <w:rPr>
                          <w:rFonts w:ascii="宋体" w:hAnsi="宋体" w:cs="宋体" w:eastAsia="宋体" w:hint="default"/>
                          <w:sz w:val="18"/>
                          <w:szCs w:val="18"/>
                        </w:rPr>
                        <w:t>注册地</w:t>
                      </w:r>
                    </w:p>
                  </w:txbxContent>
                </v:textbox>
                <w10:wrap type="none"/>
              </v:shape>
              <v:shape style="position:absolute;left:4548;top:10;width:1080;height:322" type="#_x0000_t202" filled="false" stroked="false">
                <v:textbox inset="0,0,0,0">
                  <w:txbxContent>
                    <w:p>
                      <w:pPr>
                        <w:spacing w:before="15"/>
                        <w:ind w:left="360" w:right="0" w:firstLine="0"/>
                        <w:jc w:val="left"/>
                        <w:rPr>
                          <w:rFonts w:ascii="宋体" w:hAnsi="宋体" w:cs="宋体" w:eastAsia="宋体" w:hint="default"/>
                          <w:sz w:val="18"/>
                          <w:szCs w:val="18"/>
                        </w:rPr>
                      </w:pPr>
                      <w:r>
                        <w:rPr>
                          <w:rFonts w:ascii="宋体" w:hAnsi="宋体" w:cs="宋体" w:eastAsia="宋体" w:hint="default"/>
                          <w:sz w:val="18"/>
                          <w:szCs w:val="18"/>
                        </w:rPr>
                        <w:t>业务</w:t>
                      </w:r>
                    </w:p>
                  </w:txbxContent>
                </v:textbox>
                <w10:wrap type="none"/>
              </v:shape>
              <v:shape style="position:absolute;left:5628;top:10;width:1160;height:322" type="#_x0000_t202" filled="false" stroked="false">
                <v:textbox inset="0,0,0,0">
                  <w:txbxContent>
                    <w:p>
                      <w:pPr>
                        <w:spacing w:before="15"/>
                        <w:ind w:left="2" w:right="0" w:firstLine="0"/>
                        <w:jc w:val="center"/>
                        <w:rPr>
                          <w:rFonts w:ascii="宋体" w:hAnsi="宋体" w:cs="宋体" w:eastAsia="宋体" w:hint="default"/>
                          <w:sz w:val="18"/>
                          <w:szCs w:val="18"/>
                        </w:rPr>
                      </w:pPr>
                      <w:r>
                        <w:rPr>
                          <w:rFonts w:ascii="宋体" w:hAnsi="宋体" w:cs="宋体" w:eastAsia="宋体" w:hint="default"/>
                          <w:sz w:val="18"/>
                          <w:szCs w:val="18"/>
                        </w:rPr>
                        <w:t>注册</w:t>
                      </w:r>
                    </w:p>
                  </w:txbxContent>
                </v:textbox>
                <w10:wrap type="none"/>
              </v:shape>
              <v:shape style="position:absolute;left:746;top:81;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子公司</w:t>
                      </w:r>
                    </w:p>
                  </w:txbxContent>
                </v:textbox>
                <w10:wrap type="none"/>
              </v:shape>
              <v:shape style="position:absolute;left:7687;top:8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经营</w:t>
                      </w:r>
                    </w:p>
                  </w:txbxContent>
                </v:textbox>
                <w10:wrap type="none"/>
              </v:shape>
            </v:group>
          </v:group>
        </w:pict>
      </w:r>
      <w:r>
        <w:rPr>
          <w:rFonts w:ascii="宋体" w:hAnsi="宋体" w:cs="宋体" w:eastAsia="宋体" w:hint="default"/>
          <w:position w:val="-6"/>
          <w:sz w:val="20"/>
          <w:szCs w:val="20"/>
        </w:rPr>
      </w:r>
    </w:p>
    <w:p>
      <w:pPr>
        <w:spacing w:after="0" w:line="336" w:lineRule="exact"/>
        <w:rPr>
          <w:rFonts w:ascii="宋体" w:hAnsi="宋体" w:cs="宋体" w:eastAsia="宋体" w:hint="default"/>
          <w:sz w:val="20"/>
          <w:szCs w:val="20"/>
        </w:rPr>
        <w:sectPr>
          <w:pgSz w:w="11910" w:h="16840"/>
          <w:pgMar w:header="745" w:footer="979" w:top="1060" w:bottom="1160" w:left="840" w:right="1020"/>
        </w:sectPr>
      </w:pPr>
    </w:p>
    <w:p>
      <w:pPr>
        <w:spacing w:line="240" w:lineRule="auto" w:before="6"/>
        <w:rPr>
          <w:rFonts w:ascii="宋体" w:hAnsi="宋体" w:cs="宋体" w:eastAsia="宋体" w:hint="default"/>
          <w:sz w:val="28"/>
          <w:szCs w:val="28"/>
        </w:rPr>
      </w:pPr>
    </w:p>
    <w:tbl>
      <w:tblPr>
        <w:tblW w:w="0" w:type="auto"/>
        <w:jc w:val="left"/>
        <w:tblInd w:w="107" w:type="dxa"/>
        <w:tblLayout w:type="fixed"/>
        <w:tblCellMar>
          <w:top w:w="0" w:type="dxa"/>
          <w:left w:w="0" w:type="dxa"/>
          <w:bottom w:w="0" w:type="dxa"/>
          <w:right w:w="0" w:type="dxa"/>
        </w:tblCellMar>
        <w:tblLook w:val="01E0"/>
      </w:tblPr>
      <w:tblGrid>
        <w:gridCol w:w="2023"/>
        <w:gridCol w:w="1440"/>
        <w:gridCol w:w="1080"/>
        <w:gridCol w:w="1080"/>
        <w:gridCol w:w="1159"/>
        <w:gridCol w:w="2126"/>
      </w:tblGrid>
      <w:tr>
        <w:trPr>
          <w:trHeight w:val="322" w:hRule="exact"/>
        </w:trPr>
        <w:tc>
          <w:tcPr>
            <w:tcW w:w="20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7" w:right="0"/>
              <w:jc w:val="center"/>
              <w:rPr>
                <w:rFonts w:ascii="宋体" w:hAnsi="宋体" w:cs="宋体" w:eastAsia="宋体" w:hint="default"/>
                <w:sz w:val="18"/>
                <w:szCs w:val="18"/>
              </w:rPr>
            </w:pPr>
            <w:r>
              <w:rPr>
                <w:rFonts w:ascii="宋体" w:hAnsi="宋体" w:cs="宋体" w:eastAsia="宋体" w:hint="default"/>
                <w:sz w:val="18"/>
                <w:szCs w:val="18"/>
              </w:rPr>
              <w:t>全称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5" w:right="0"/>
              <w:jc w:val="left"/>
              <w:rPr>
                <w:rFonts w:ascii="宋体" w:hAnsi="宋体" w:cs="宋体" w:eastAsia="宋体" w:hint="default"/>
                <w:sz w:val="18"/>
                <w:szCs w:val="18"/>
              </w:rPr>
            </w:pPr>
            <w:r>
              <w:rPr>
                <w:rFonts w:ascii="宋体" w:hAnsi="宋体" w:cs="宋体" w:eastAsia="宋体" w:hint="default"/>
                <w:sz w:val="18"/>
                <w:szCs w:val="18"/>
              </w:rPr>
              <w:t>性质</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资本</w:t>
            </w:r>
          </w:p>
        </w:tc>
        <w:tc>
          <w:tcPr>
            <w:tcW w:w="2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范围</w:t>
            </w:r>
          </w:p>
        </w:tc>
      </w:tr>
      <w:tr>
        <w:trPr>
          <w:trHeight w:val="713" w:hRule="exact"/>
        </w:trPr>
        <w:tc>
          <w:tcPr>
            <w:tcW w:w="202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08" w:right="108"/>
              <w:jc w:val="left"/>
              <w:rPr>
                <w:rFonts w:ascii="宋体" w:hAnsi="宋体" w:cs="宋体" w:eastAsia="宋体" w:hint="default"/>
                <w:sz w:val="18"/>
                <w:szCs w:val="18"/>
              </w:rPr>
            </w:pPr>
            <w:r>
              <w:rPr>
                <w:rFonts w:ascii="宋体" w:hAnsi="宋体" w:cs="宋体" w:eastAsia="宋体" w:hint="default"/>
                <w:sz w:val="18"/>
                <w:szCs w:val="18"/>
              </w:rPr>
              <w:t>南京江琛自动化系统有 限责任公司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7"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南京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800</w:t>
            </w:r>
            <w:r>
              <w:rPr>
                <w:rFonts w:ascii="宋体" w:hAnsi="宋体" w:cs="宋体" w:eastAsia="宋体" w:hint="default"/>
                <w:spacing w:val="-47"/>
                <w:sz w:val="18"/>
                <w:szCs w:val="18"/>
              </w:rPr>
              <w:t> </w:t>
            </w:r>
            <w:r>
              <w:rPr>
                <w:rFonts w:ascii="宋体" w:hAnsi="宋体" w:cs="宋体" w:eastAsia="宋体" w:hint="default"/>
                <w:sz w:val="18"/>
                <w:szCs w:val="18"/>
              </w:rPr>
              <w:t>万元</w:t>
            </w:r>
          </w:p>
        </w:tc>
        <w:tc>
          <w:tcPr>
            <w:tcW w:w="2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7"/>
              <w:jc w:val="right"/>
              <w:rPr>
                <w:rFonts w:ascii="宋体" w:hAnsi="宋体" w:cs="宋体" w:eastAsia="宋体" w:hint="default"/>
                <w:sz w:val="18"/>
                <w:szCs w:val="18"/>
              </w:rPr>
            </w:pPr>
            <w:r>
              <w:rPr>
                <w:rFonts w:ascii="宋体" w:hAnsi="宋体" w:cs="宋体" w:eastAsia="宋体" w:hint="default"/>
                <w:sz w:val="18"/>
                <w:szCs w:val="18"/>
              </w:rPr>
              <w:t>软件开发、系统集成</w:t>
            </w:r>
          </w:p>
        </w:tc>
      </w:tr>
      <w:tr>
        <w:trPr>
          <w:trHeight w:val="403" w:hRule="exact"/>
        </w:trPr>
        <w:tc>
          <w:tcPr>
            <w:tcW w:w="20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杭州德创电子有限公司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7"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88"/>
              <w:jc w:val="right"/>
              <w:rPr>
                <w:rFonts w:ascii="宋体" w:hAnsi="宋体" w:cs="宋体" w:eastAsia="宋体" w:hint="default"/>
                <w:sz w:val="18"/>
                <w:szCs w:val="18"/>
              </w:rPr>
            </w:pPr>
            <w:r>
              <w:rPr>
                <w:rFonts w:ascii="宋体" w:hAnsi="宋体" w:cs="宋体" w:eastAsia="宋体" w:hint="default"/>
                <w:sz w:val="18"/>
                <w:szCs w:val="18"/>
              </w:rPr>
              <w:t>杭州</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8"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6,000</w:t>
            </w:r>
            <w:r>
              <w:rPr>
                <w:rFonts w:ascii="宋体" w:hAnsi="宋体" w:cs="宋体" w:eastAsia="宋体" w:hint="default"/>
                <w:spacing w:val="-48"/>
                <w:sz w:val="18"/>
                <w:szCs w:val="18"/>
              </w:rPr>
              <w:t> </w:t>
            </w:r>
            <w:r>
              <w:rPr>
                <w:rFonts w:ascii="宋体" w:hAnsi="宋体" w:cs="宋体" w:eastAsia="宋体" w:hint="default"/>
                <w:sz w:val="18"/>
                <w:szCs w:val="18"/>
              </w:rPr>
              <w:t>万元</w:t>
            </w:r>
          </w:p>
        </w:tc>
        <w:tc>
          <w:tcPr>
            <w:tcW w:w="2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87"/>
              <w:jc w:val="right"/>
              <w:rPr>
                <w:rFonts w:ascii="宋体" w:hAnsi="宋体" w:cs="宋体" w:eastAsia="宋体" w:hint="default"/>
                <w:sz w:val="18"/>
                <w:szCs w:val="18"/>
              </w:rPr>
            </w:pPr>
            <w:r>
              <w:rPr>
                <w:rFonts w:ascii="宋体" w:hAnsi="宋体" w:cs="宋体" w:eastAsia="宋体" w:hint="default"/>
                <w:sz w:val="18"/>
                <w:szCs w:val="18"/>
              </w:rPr>
              <w:t>软件开发、系统集成</w:t>
            </w:r>
          </w:p>
        </w:tc>
      </w:tr>
    </w:tbl>
    <w:p>
      <w:pPr>
        <w:spacing w:before="89"/>
        <w:ind w:left="475" w:right="6451"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12"/>
        <w:rPr>
          <w:rFonts w:ascii="宋体" w:hAnsi="宋体" w:cs="宋体" w:eastAsia="宋体"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2023"/>
        <w:gridCol w:w="1620"/>
        <w:gridCol w:w="2340"/>
        <w:gridCol w:w="900"/>
        <w:gridCol w:w="1080"/>
        <w:gridCol w:w="946"/>
      </w:tblGrid>
      <w:tr>
        <w:trPr>
          <w:trHeight w:val="634" w:hRule="exact"/>
        </w:trPr>
        <w:tc>
          <w:tcPr>
            <w:tcW w:w="202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741" w:right="734"/>
              <w:jc w:val="center"/>
              <w:rPr>
                <w:rFonts w:ascii="宋体" w:hAnsi="宋体" w:cs="宋体" w:eastAsia="宋体" w:hint="default"/>
                <w:sz w:val="18"/>
                <w:szCs w:val="18"/>
              </w:rPr>
            </w:pPr>
            <w:r>
              <w:rPr>
                <w:rFonts w:ascii="宋体" w:hAnsi="宋体" w:cs="宋体" w:eastAsia="宋体" w:hint="default"/>
                <w:sz w:val="18"/>
                <w:szCs w:val="18"/>
              </w:rPr>
              <w:t>子公司 全称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35" w:right="443" w:hanging="89"/>
              <w:jc w:val="left"/>
              <w:rPr>
                <w:rFonts w:ascii="宋体" w:hAnsi="宋体" w:cs="宋体" w:eastAsia="宋体" w:hint="default"/>
                <w:sz w:val="18"/>
                <w:szCs w:val="18"/>
              </w:rPr>
            </w:pPr>
            <w:r>
              <w:rPr>
                <w:rFonts w:ascii="宋体" w:hAnsi="宋体" w:cs="宋体" w:eastAsia="宋体" w:hint="default"/>
                <w:sz w:val="18"/>
                <w:szCs w:val="18"/>
              </w:rPr>
              <w:t>期末实际 出资额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6" w:right="263" w:firstLine="88"/>
              <w:jc w:val="left"/>
              <w:rPr>
                <w:rFonts w:ascii="宋体" w:hAnsi="宋体" w:cs="宋体" w:eastAsia="宋体" w:hint="default"/>
                <w:sz w:val="18"/>
                <w:szCs w:val="18"/>
              </w:rPr>
            </w:pPr>
            <w:r>
              <w:rPr>
                <w:rFonts w:ascii="宋体" w:hAnsi="宋体" w:cs="宋体" w:eastAsia="宋体" w:hint="default"/>
                <w:sz w:val="18"/>
                <w:szCs w:val="18"/>
              </w:rPr>
              <w:t>实质上构成对子公司 净投资的其他项目余额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0" w:right="173" w:hanging="46"/>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0" w:right="217" w:firstLine="45"/>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946"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379" w:right="19" w:hanging="360"/>
              <w:jc w:val="left"/>
              <w:rPr>
                <w:rFonts w:ascii="宋体" w:hAnsi="宋体" w:cs="宋体" w:eastAsia="宋体" w:hint="default"/>
                <w:sz w:val="18"/>
                <w:szCs w:val="18"/>
              </w:rPr>
            </w:pPr>
            <w:r>
              <w:rPr>
                <w:rFonts w:ascii="宋体" w:hAnsi="宋体" w:cs="宋体" w:eastAsia="宋体" w:hint="default"/>
                <w:sz w:val="18"/>
                <w:szCs w:val="18"/>
              </w:rPr>
              <w:t>是否合并报 表</w:t>
            </w:r>
          </w:p>
        </w:tc>
      </w:tr>
      <w:tr>
        <w:trPr>
          <w:trHeight w:val="677" w:hRule="exact"/>
        </w:trPr>
        <w:tc>
          <w:tcPr>
            <w:tcW w:w="202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08" w:right="108"/>
              <w:jc w:val="left"/>
              <w:rPr>
                <w:rFonts w:ascii="宋体" w:hAnsi="宋体" w:cs="宋体" w:eastAsia="宋体" w:hint="default"/>
                <w:sz w:val="18"/>
                <w:szCs w:val="18"/>
              </w:rPr>
            </w:pPr>
            <w:r>
              <w:rPr>
                <w:rFonts w:ascii="宋体" w:hAnsi="宋体" w:cs="宋体" w:eastAsia="宋体" w:hint="default"/>
                <w:sz w:val="18"/>
                <w:szCs w:val="18"/>
              </w:rPr>
              <w:t>南京江琛自动化系统有 限责任公司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374"/>
              <w:jc w:val="right"/>
              <w:rPr>
                <w:rFonts w:ascii="宋体" w:hAnsi="宋体" w:cs="宋体" w:eastAsia="宋体" w:hint="default"/>
                <w:sz w:val="18"/>
                <w:szCs w:val="18"/>
              </w:rPr>
            </w:pPr>
            <w:r>
              <w:rPr>
                <w:rFonts w:ascii="宋体" w:hAnsi="宋体" w:cs="宋体" w:eastAsia="宋体" w:hint="default"/>
                <w:sz w:val="18"/>
                <w:szCs w:val="18"/>
              </w:rPr>
              <w:t>4,000</w:t>
            </w:r>
            <w:r>
              <w:rPr>
                <w:rFonts w:ascii="宋体" w:hAnsi="宋体" w:cs="宋体" w:eastAsia="宋体" w:hint="default"/>
                <w:spacing w:val="-48"/>
                <w:sz w:val="18"/>
                <w:szCs w:val="18"/>
              </w:rPr>
              <w:t> </w:t>
            </w:r>
            <w:r>
              <w:rPr>
                <w:rFonts w:ascii="宋体" w:hAnsi="宋体" w:cs="宋体" w:eastAsia="宋体" w:hint="default"/>
                <w:sz w:val="18"/>
                <w:szCs w:val="18"/>
              </w:rPr>
              <w:t>万元</w:t>
            </w:r>
          </w:p>
        </w:tc>
        <w:tc>
          <w:tcPr>
            <w:tcW w:w="23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18"/>
                <w:szCs w:val="18"/>
              </w:rPr>
            </w:pPr>
            <w:r>
              <w:rPr>
                <w:rFonts w:ascii="宋体"/>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100</w:t>
            </w:r>
          </w:p>
        </w:tc>
        <w:tc>
          <w:tcPr>
            <w:tcW w:w="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379"/>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0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杭州德创电子有限公司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74"/>
              <w:jc w:val="right"/>
              <w:rPr>
                <w:rFonts w:ascii="宋体" w:hAnsi="宋体" w:cs="宋体" w:eastAsia="宋体" w:hint="default"/>
                <w:sz w:val="18"/>
                <w:szCs w:val="18"/>
              </w:rPr>
            </w:pPr>
            <w:r>
              <w:rPr>
                <w:rFonts w:ascii="宋体" w:hAnsi="宋体" w:cs="宋体" w:eastAsia="宋体" w:hint="default"/>
                <w:sz w:val="18"/>
                <w:szCs w:val="18"/>
              </w:rPr>
              <w:t>7,650</w:t>
            </w:r>
            <w:r>
              <w:rPr>
                <w:rFonts w:ascii="宋体" w:hAnsi="宋体" w:cs="宋体" w:eastAsia="宋体" w:hint="default"/>
                <w:spacing w:val="-48"/>
                <w:sz w:val="18"/>
                <w:szCs w:val="18"/>
              </w:rPr>
              <w:t> </w:t>
            </w:r>
            <w:r>
              <w:rPr>
                <w:rFonts w:ascii="宋体" w:hAnsi="宋体" w:cs="宋体" w:eastAsia="宋体" w:hint="default"/>
                <w:sz w:val="18"/>
                <w:szCs w:val="18"/>
              </w:rPr>
              <w:t>万元</w:t>
            </w:r>
          </w:p>
        </w:tc>
        <w:tc>
          <w:tcPr>
            <w:tcW w:w="23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sz w:val="18"/>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100</w:t>
            </w:r>
          </w:p>
        </w:tc>
        <w:tc>
          <w:tcPr>
            <w:tcW w:w="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79"/>
              <w:jc w:val="righ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8"/>
        <w:rPr>
          <w:rFonts w:ascii="宋体" w:hAnsi="宋体" w:cs="宋体" w:eastAsia="宋体" w:hint="default"/>
          <w:sz w:val="6"/>
          <w:szCs w:val="6"/>
        </w:rPr>
      </w:pPr>
    </w:p>
    <w:p>
      <w:pPr>
        <w:spacing w:before="44"/>
        <w:ind w:left="475" w:right="6451"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0"/>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1908"/>
        <w:gridCol w:w="1574"/>
        <w:gridCol w:w="1846"/>
        <w:gridCol w:w="3305"/>
      </w:tblGrid>
      <w:tr>
        <w:trPr>
          <w:trHeight w:val="1025" w:hRule="exact"/>
        </w:trPr>
        <w:tc>
          <w:tcPr>
            <w:tcW w:w="1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60" w:lineRule="auto"/>
              <w:ind w:left="681" w:right="679"/>
              <w:jc w:val="center"/>
              <w:rPr>
                <w:rFonts w:ascii="宋体" w:hAnsi="宋体" w:cs="宋体" w:eastAsia="宋体" w:hint="default"/>
                <w:sz w:val="18"/>
                <w:szCs w:val="18"/>
              </w:rPr>
            </w:pPr>
            <w:r>
              <w:rPr>
                <w:rFonts w:ascii="宋体" w:hAnsi="宋体" w:cs="宋体" w:eastAsia="宋体" w:hint="default"/>
                <w:sz w:val="18"/>
                <w:szCs w:val="18"/>
              </w:rPr>
              <w:t>子公司 全称</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60" w:lineRule="auto"/>
              <w:ind w:left="595" w:right="420" w:hanging="173"/>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 w:right="7"/>
              <w:jc w:val="left"/>
              <w:rPr>
                <w:rFonts w:ascii="宋体" w:hAnsi="宋体" w:cs="宋体" w:eastAsia="宋体" w:hint="default"/>
                <w:sz w:val="18"/>
                <w:szCs w:val="18"/>
              </w:rPr>
            </w:pPr>
            <w:r>
              <w:rPr>
                <w:rFonts w:ascii="宋体" w:hAnsi="宋体" w:cs="宋体" w:eastAsia="宋体" w:hint="default"/>
                <w:sz w:val="18"/>
                <w:szCs w:val="18"/>
              </w:rPr>
              <w:t>少数股东权益中用于冲 减少数股东损益的金额</w:t>
            </w:r>
          </w:p>
        </w:tc>
        <w:tc>
          <w:tcPr>
            <w:tcW w:w="3305"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51"/>
              <w:ind w:left="50" w:right="7"/>
              <w:jc w:val="both"/>
              <w:rPr>
                <w:rFonts w:ascii="宋体" w:hAnsi="宋体" w:cs="宋体" w:eastAsia="宋体" w:hint="default"/>
                <w:sz w:val="18"/>
                <w:szCs w:val="18"/>
              </w:rPr>
            </w:pPr>
            <w:r>
              <w:rPr>
                <w:rFonts w:ascii="宋体" w:hAnsi="宋体" w:cs="宋体" w:eastAsia="宋体" w:hint="default"/>
                <w:sz w:val="18"/>
                <w:szCs w:val="18"/>
              </w:rPr>
              <w:t>从母公司所有者权益中冲减子公司少数股 东分担的本期亏损超过少数股东在该子公 司期初所有者权益中所享有份额后的余额</w:t>
            </w:r>
          </w:p>
        </w:tc>
      </w:tr>
      <w:tr>
        <w:trPr>
          <w:trHeight w:val="715" w:hRule="exact"/>
        </w:trPr>
        <w:tc>
          <w:tcPr>
            <w:tcW w:w="190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08" w:right="96"/>
              <w:jc w:val="left"/>
              <w:rPr>
                <w:rFonts w:ascii="宋体" w:hAnsi="宋体" w:cs="宋体" w:eastAsia="宋体" w:hint="default"/>
                <w:sz w:val="18"/>
                <w:szCs w:val="18"/>
              </w:rPr>
            </w:pPr>
            <w:r>
              <w:rPr>
                <w:rFonts w:ascii="宋体" w:hAnsi="宋体" w:cs="宋体" w:eastAsia="宋体" w:hint="default"/>
                <w:spacing w:val="8"/>
                <w:sz w:val="18"/>
                <w:szCs w:val="18"/>
              </w:rPr>
              <w:t>南京江琛自动化系统</w:t>
            </w:r>
            <w:r>
              <w:rPr>
                <w:rFonts w:ascii="宋体" w:hAnsi="宋体" w:cs="宋体" w:eastAsia="宋体" w:hint="default"/>
                <w:sz w:val="18"/>
                <w:szCs w:val="18"/>
              </w:rPr>
              <w:t> 有限责任公司</w:t>
            </w:r>
          </w:p>
        </w:tc>
        <w:tc>
          <w:tcPr>
            <w:tcW w:w="1574"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3305"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190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08" w:right="96"/>
              <w:jc w:val="left"/>
              <w:rPr>
                <w:rFonts w:ascii="宋体" w:hAnsi="宋体" w:cs="宋体" w:eastAsia="宋体" w:hint="default"/>
                <w:sz w:val="18"/>
                <w:szCs w:val="18"/>
              </w:rPr>
            </w:pPr>
            <w:r>
              <w:rPr>
                <w:rFonts w:ascii="宋体" w:hAnsi="宋体" w:cs="宋体" w:eastAsia="宋体" w:hint="default"/>
                <w:spacing w:val="8"/>
                <w:sz w:val="18"/>
                <w:szCs w:val="18"/>
              </w:rPr>
              <w:t>杭州德创电子有限公</w:t>
            </w:r>
            <w:r>
              <w:rPr>
                <w:rFonts w:ascii="宋体" w:hAnsi="宋体" w:cs="宋体" w:eastAsia="宋体" w:hint="default"/>
                <w:sz w:val="18"/>
                <w:szCs w:val="18"/>
              </w:rPr>
              <w:t> 司</w:t>
            </w:r>
          </w:p>
        </w:tc>
        <w:tc>
          <w:tcPr>
            <w:tcW w:w="1574"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3305"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388" w:lineRule="auto" w:before="26"/>
        <w:ind w:left="715" w:right="6451"/>
        <w:jc w:val="left"/>
      </w:pPr>
      <w:r>
        <w:rPr/>
        <w:t>五、合并财务报表项目注释 (一) 合并资产负债表项目注释 1. 货币资金</w:t>
      </w:r>
    </w:p>
    <w:p>
      <w:pPr>
        <w:pStyle w:val="BodyText"/>
        <w:spacing w:line="240" w:lineRule="auto" w:before="48"/>
        <w:ind w:left="715" w:right="6451"/>
        <w:jc w:val="left"/>
      </w:pPr>
      <w:r>
        <w:rPr/>
        <w:t>(1) 明细情况</w:t>
      </w:r>
    </w:p>
    <w:p>
      <w:pPr>
        <w:spacing w:line="240" w:lineRule="auto" w:before="11"/>
        <w:rPr>
          <w:rFonts w:ascii="宋体" w:hAnsi="宋体" w:cs="宋体" w:eastAsia="宋体" w:hint="default"/>
          <w:sz w:val="14"/>
          <w:szCs w:val="14"/>
        </w:rPr>
      </w:pPr>
    </w:p>
    <w:tbl>
      <w:tblPr>
        <w:tblW w:w="0" w:type="auto"/>
        <w:jc w:val="left"/>
        <w:tblInd w:w="287" w:type="dxa"/>
        <w:tblLayout w:type="fixed"/>
        <w:tblCellMar>
          <w:top w:w="0" w:type="dxa"/>
          <w:left w:w="0" w:type="dxa"/>
          <w:bottom w:w="0" w:type="dxa"/>
          <w:right w:w="0" w:type="dxa"/>
        </w:tblCellMar>
        <w:tblLook w:val="01E0"/>
      </w:tblPr>
      <w:tblGrid>
        <w:gridCol w:w="1805"/>
        <w:gridCol w:w="1310"/>
        <w:gridCol w:w="818"/>
        <w:gridCol w:w="1970"/>
        <w:gridCol w:w="1260"/>
        <w:gridCol w:w="818"/>
        <w:gridCol w:w="2040"/>
      </w:tblGrid>
      <w:tr>
        <w:trPr>
          <w:trHeight w:val="350" w:hRule="exact"/>
        </w:trPr>
        <w:tc>
          <w:tcPr>
            <w:tcW w:w="1805"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40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8"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805" w:type="dxa"/>
            <w:vMerge/>
            <w:tcBorders>
              <w:left w:val="nil" w:sz="6" w:space="0" w:color="auto"/>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97"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2" w:right="0"/>
              <w:jc w:val="left"/>
              <w:rPr>
                <w:rFonts w:ascii="宋体" w:hAnsi="宋体" w:cs="宋体" w:eastAsia="宋体" w:hint="default"/>
                <w:sz w:val="18"/>
                <w:szCs w:val="18"/>
              </w:rPr>
            </w:pPr>
            <w:r>
              <w:rPr>
                <w:rFonts w:ascii="宋体" w:hAnsi="宋体" w:cs="宋体" w:eastAsia="宋体" w:hint="default"/>
                <w:sz w:val="18"/>
                <w:szCs w:val="18"/>
              </w:rPr>
              <w:t>汇率</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48" w:right="0"/>
              <w:jc w:val="left"/>
              <w:rPr>
                <w:rFonts w:ascii="宋体" w:hAnsi="宋体" w:cs="宋体" w:eastAsia="宋体" w:hint="default"/>
                <w:sz w:val="18"/>
                <w:szCs w:val="18"/>
              </w:rPr>
            </w:pPr>
            <w:r>
              <w:rPr>
                <w:rFonts w:ascii="宋体" w:hAnsi="宋体" w:cs="宋体" w:eastAsia="宋体" w:hint="default"/>
                <w:sz w:val="18"/>
                <w:szCs w:val="18"/>
              </w:rPr>
              <w:t>折人民币金额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3"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2" w:right="0"/>
              <w:jc w:val="left"/>
              <w:rPr>
                <w:rFonts w:ascii="宋体" w:hAnsi="宋体" w:cs="宋体" w:eastAsia="宋体" w:hint="default"/>
                <w:sz w:val="18"/>
                <w:szCs w:val="18"/>
              </w:rPr>
            </w:pPr>
            <w:r>
              <w:rPr>
                <w:rFonts w:ascii="宋体" w:hAnsi="宋体" w:cs="宋体" w:eastAsia="宋体" w:hint="default"/>
                <w:sz w:val="18"/>
                <w:szCs w:val="18"/>
              </w:rPr>
              <w:t>汇率</w:t>
            </w:r>
          </w:p>
        </w:tc>
        <w:tc>
          <w:tcPr>
            <w:tcW w:w="20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484" w:right="0"/>
              <w:jc w:val="left"/>
              <w:rPr>
                <w:rFonts w:ascii="宋体" w:hAnsi="宋体" w:cs="宋体" w:eastAsia="宋体" w:hint="default"/>
                <w:sz w:val="18"/>
                <w:szCs w:val="18"/>
              </w:rPr>
            </w:pPr>
            <w:r>
              <w:rPr>
                <w:rFonts w:ascii="宋体" w:hAnsi="宋体" w:cs="宋体" w:eastAsia="宋体" w:hint="default"/>
                <w:sz w:val="18"/>
                <w:szCs w:val="18"/>
              </w:rPr>
              <w:t>折人民币金额</w:t>
            </w:r>
          </w:p>
        </w:tc>
      </w:tr>
    </w:tbl>
    <w:p>
      <w:pPr>
        <w:spacing w:before="87"/>
        <w:ind w:left="403" w:right="6451" w:firstLine="0"/>
        <w:jc w:val="left"/>
        <w:rPr>
          <w:rFonts w:ascii="宋体" w:hAnsi="宋体" w:cs="宋体" w:eastAsia="宋体" w:hint="default"/>
          <w:sz w:val="18"/>
          <w:szCs w:val="18"/>
        </w:rPr>
      </w:pPr>
      <w:r>
        <w:rPr>
          <w:rFonts w:ascii="宋体" w:hAnsi="宋体" w:cs="宋体" w:eastAsia="宋体" w:hint="default"/>
          <w:sz w:val="18"/>
          <w:szCs w:val="18"/>
        </w:rPr>
        <w:t>库存现金：</w:t>
      </w:r>
    </w:p>
    <w:p>
      <w:pPr>
        <w:spacing w:line="240" w:lineRule="auto" w:before="1"/>
        <w:rPr>
          <w:rFonts w:ascii="宋体" w:hAnsi="宋体" w:cs="宋体" w:eastAsia="宋体" w:hint="default"/>
          <w:sz w:val="11"/>
          <w:szCs w:val="11"/>
        </w:rPr>
      </w:pPr>
    </w:p>
    <w:tbl>
      <w:tblPr>
        <w:tblW w:w="0" w:type="auto"/>
        <w:jc w:val="left"/>
        <w:tblInd w:w="287" w:type="dxa"/>
        <w:tblLayout w:type="fixed"/>
        <w:tblCellMar>
          <w:top w:w="0" w:type="dxa"/>
          <w:left w:w="0" w:type="dxa"/>
          <w:bottom w:w="0" w:type="dxa"/>
          <w:right w:w="0" w:type="dxa"/>
        </w:tblCellMar>
        <w:tblLook w:val="01E0"/>
      </w:tblPr>
      <w:tblGrid>
        <w:gridCol w:w="1805"/>
        <w:gridCol w:w="1310"/>
        <w:gridCol w:w="818"/>
        <w:gridCol w:w="1970"/>
        <w:gridCol w:w="1260"/>
        <w:gridCol w:w="818"/>
        <w:gridCol w:w="2040"/>
      </w:tblGrid>
      <w:tr>
        <w:trPr>
          <w:trHeight w:val="478" w:hRule="exact"/>
        </w:trPr>
        <w:tc>
          <w:tcPr>
            <w:tcW w:w="18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70"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10"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14,575.51</w:t>
            </w:r>
          </w:p>
        </w:tc>
        <w:tc>
          <w:tcPr>
            <w:tcW w:w="1260"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11,467.46</w:t>
            </w:r>
          </w:p>
        </w:tc>
      </w:tr>
      <w:tr>
        <w:trPr>
          <w:trHeight w:val="478" w:hRule="exact"/>
        </w:trPr>
        <w:tc>
          <w:tcPr>
            <w:tcW w:w="18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290"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310"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14,575.51</w:t>
            </w:r>
          </w:p>
        </w:tc>
        <w:tc>
          <w:tcPr>
            <w:tcW w:w="1260"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4"/>
              <w:jc w:val="right"/>
              <w:rPr>
                <w:rFonts w:ascii="宋体" w:hAnsi="宋体" w:cs="宋体" w:eastAsia="宋体" w:hint="default"/>
                <w:sz w:val="18"/>
                <w:szCs w:val="18"/>
              </w:rPr>
            </w:pPr>
            <w:r>
              <w:rPr>
                <w:rFonts w:ascii="宋体"/>
                <w:spacing w:val="-1"/>
                <w:sz w:val="18"/>
              </w:rPr>
              <w:t>11,467.46</w:t>
            </w:r>
          </w:p>
        </w:tc>
      </w:tr>
    </w:tbl>
    <w:p>
      <w:pPr>
        <w:spacing w:before="89"/>
        <w:ind w:left="403" w:right="6451" w:firstLine="0"/>
        <w:jc w:val="left"/>
        <w:rPr>
          <w:rFonts w:ascii="宋体" w:hAnsi="宋体" w:cs="宋体" w:eastAsia="宋体" w:hint="default"/>
          <w:sz w:val="18"/>
          <w:szCs w:val="18"/>
        </w:rPr>
      </w:pPr>
      <w:r>
        <w:rPr>
          <w:rFonts w:ascii="宋体" w:hAnsi="宋体" w:cs="宋体" w:eastAsia="宋体" w:hint="default"/>
          <w:sz w:val="18"/>
          <w:szCs w:val="18"/>
        </w:rPr>
        <w:t>银行存款：</w:t>
      </w:r>
    </w:p>
    <w:p>
      <w:pPr>
        <w:spacing w:line="240" w:lineRule="auto" w:before="12"/>
        <w:rPr>
          <w:rFonts w:ascii="宋体" w:hAnsi="宋体" w:cs="宋体" w:eastAsia="宋体" w:hint="default"/>
          <w:sz w:val="10"/>
          <w:szCs w:val="10"/>
        </w:rPr>
      </w:pPr>
    </w:p>
    <w:tbl>
      <w:tblPr>
        <w:tblW w:w="0" w:type="auto"/>
        <w:jc w:val="left"/>
        <w:tblInd w:w="287" w:type="dxa"/>
        <w:tblLayout w:type="fixed"/>
        <w:tblCellMar>
          <w:top w:w="0" w:type="dxa"/>
          <w:left w:w="0" w:type="dxa"/>
          <w:bottom w:w="0" w:type="dxa"/>
          <w:right w:w="0" w:type="dxa"/>
        </w:tblCellMar>
        <w:tblLook w:val="01E0"/>
      </w:tblPr>
      <w:tblGrid>
        <w:gridCol w:w="1805"/>
        <w:gridCol w:w="1310"/>
        <w:gridCol w:w="818"/>
        <w:gridCol w:w="1970"/>
        <w:gridCol w:w="1260"/>
        <w:gridCol w:w="818"/>
        <w:gridCol w:w="2040"/>
      </w:tblGrid>
      <w:tr>
        <w:trPr>
          <w:trHeight w:val="478" w:hRule="exact"/>
        </w:trPr>
        <w:tc>
          <w:tcPr>
            <w:tcW w:w="18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70"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10"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267,110,106.72</w:t>
            </w:r>
          </w:p>
        </w:tc>
        <w:tc>
          <w:tcPr>
            <w:tcW w:w="1260"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4"/>
              <w:jc w:val="right"/>
              <w:rPr>
                <w:rFonts w:ascii="宋体" w:hAnsi="宋体" w:cs="宋体" w:eastAsia="宋体" w:hint="default"/>
                <w:sz w:val="18"/>
                <w:szCs w:val="18"/>
              </w:rPr>
            </w:pPr>
            <w:r>
              <w:rPr>
                <w:rFonts w:ascii="宋体"/>
                <w:spacing w:val="-1"/>
                <w:sz w:val="18"/>
              </w:rPr>
              <w:t>306,005,214.20</w:t>
            </w:r>
          </w:p>
        </w:tc>
      </w:tr>
      <w:tr>
        <w:trPr>
          <w:trHeight w:val="480" w:hRule="exact"/>
        </w:trPr>
        <w:tc>
          <w:tcPr>
            <w:tcW w:w="18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290"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310"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267,110,106.72</w:t>
            </w:r>
          </w:p>
        </w:tc>
        <w:tc>
          <w:tcPr>
            <w:tcW w:w="1260"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4"/>
              <w:jc w:val="right"/>
              <w:rPr>
                <w:rFonts w:ascii="宋体" w:hAnsi="宋体" w:cs="宋体" w:eastAsia="宋体" w:hint="default"/>
                <w:sz w:val="18"/>
                <w:szCs w:val="18"/>
              </w:rPr>
            </w:pPr>
            <w:r>
              <w:rPr>
                <w:rFonts w:ascii="宋体"/>
                <w:spacing w:val="-1"/>
                <w:sz w:val="18"/>
              </w:rPr>
              <w:t>306,005,214.20</w:t>
            </w:r>
          </w:p>
        </w:tc>
      </w:tr>
    </w:tbl>
    <w:p>
      <w:pPr>
        <w:spacing w:before="87"/>
        <w:ind w:left="403" w:right="6451" w:firstLine="0"/>
        <w:jc w:val="left"/>
        <w:rPr>
          <w:rFonts w:ascii="宋体" w:hAnsi="宋体" w:cs="宋体" w:eastAsia="宋体" w:hint="default"/>
          <w:sz w:val="18"/>
          <w:szCs w:val="18"/>
        </w:rPr>
      </w:pPr>
      <w:r>
        <w:rPr/>
        <w:pict>
          <v:group style="position:absolute;margin-left:547.559998pt;margin-top:53.501705pt;width:.1pt;height:10.35pt;mso-position-horizontal-relative:page;mso-position-vertical-relative:paragraph;z-index:3952" coordorigin="10951,1070" coordsize="2,207">
            <v:shape style="position:absolute;left:10951;top:1070;width:2;height:207" coordorigin="10951,1070" coordsize="0,207" path="m10951,1070l10951,1276e" filled="false" stroked="true" strokeweight=".12pt" strokecolor="#000000">
              <v:path arrowok="t"/>
            </v:shape>
            <w10:wrap type="none"/>
          </v:group>
        </w:pict>
      </w:r>
      <w:r>
        <w:rPr>
          <w:rFonts w:ascii="宋体" w:hAnsi="宋体" w:cs="宋体" w:eastAsia="宋体" w:hint="default"/>
          <w:sz w:val="18"/>
          <w:szCs w:val="18"/>
        </w:rPr>
        <w:t>其他货币资金：</w:t>
      </w:r>
    </w:p>
    <w:p>
      <w:pPr>
        <w:spacing w:line="240" w:lineRule="auto" w:before="1"/>
        <w:rPr>
          <w:rFonts w:ascii="宋体" w:hAnsi="宋体" w:cs="宋体" w:eastAsia="宋体" w:hint="default"/>
          <w:sz w:val="11"/>
          <w:szCs w:val="11"/>
        </w:rPr>
      </w:pPr>
    </w:p>
    <w:p>
      <w:pPr>
        <w:spacing w:line="20" w:lineRule="exact"/>
        <w:ind w:left="288" w:right="0" w:firstLine="0"/>
        <w:rPr>
          <w:rFonts w:ascii="宋体" w:hAnsi="宋体" w:cs="宋体" w:eastAsia="宋体" w:hint="default"/>
          <w:sz w:val="2"/>
          <w:szCs w:val="2"/>
        </w:rPr>
      </w:pPr>
      <w:r>
        <w:rPr>
          <w:rFonts w:ascii="宋体" w:hAnsi="宋体" w:cs="宋体" w:eastAsia="宋体" w:hint="default"/>
          <w:sz w:val="2"/>
          <w:szCs w:val="2"/>
        </w:rPr>
        <w:pict>
          <v:group style="width:501.6pt;height:.5pt;mso-position-horizontal-relative:char;mso-position-vertical-relative:line" coordorigin="0,0" coordsize="10032,10">
            <v:group style="position:absolute;left:5;top:5;width:10023;height:2" coordorigin="5,5" coordsize="10023,2">
              <v:shape style="position:absolute;left:5;top:5;width:10023;height:2" coordorigin="5,5" coordsize="10023,0" path="m5,5l10027,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45" w:footer="979" w:top="1060" w:bottom="1160" w:left="840" w:right="640"/>
        </w:sectPr>
      </w:pPr>
    </w:p>
    <w:p>
      <w:pPr>
        <w:spacing w:line="240" w:lineRule="auto" w:before="6"/>
        <w:rPr>
          <w:rFonts w:ascii="宋体" w:hAnsi="宋体" w:cs="宋体" w:eastAsia="宋体" w:hint="default"/>
          <w:sz w:val="28"/>
          <w:szCs w:val="28"/>
        </w:rPr>
      </w:pPr>
      <w:r>
        <w:rPr/>
        <w:pict>
          <v:group style="position:absolute;margin-left:47.639999pt;margin-top:781.919983pt;width:.1pt;height:10.35pt;mso-position-horizontal-relative:page;mso-position-vertical-relative:page;z-index:3976" coordorigin="953,15638" coordsize="2,207">
            <v:shape style="position:absolute;left:953;top:15638;width:2;height:207" coordorigin="953,15638" coordsize="0,207" path="m953,15638l953,15845e" filled="false" stroked="true" strokeweight=".12pt" strokecolor="#000000">
              <v:path arrowok="t"/>
            </v:shape>
            <w10:wrap type="none"/>
          </v:group>
        </w:pict>
      </w:r>
    </w:p>
    <w:tbl>
      <w:tblPr>
        <w:tblW w:w="0" w:type="auto"/>
        <w:jc w:val="left"/>
        <w:tblInd w:w="287" w:type="dxa"/>
        <w:tblLayout w:type="fixed"/>
        <w:tblCellMar>
          <w:top w:w="0" w:type="dxa"/>
          <w:left w:w="0" w:type="dxa"/>
          <w:bottom w:w="0" w:type="dxa"/>
          <w:right w:w="0" w:type="dxa"/>
        </w:tblCellMar>
        <w:tblLook w:val="01E0"/>
      </w:tblPr>
      <w:tblGrid>
        <w:gridCol w:w="1805"/>
        <w:gridCol w:w="1310"/>
        <w:gridCol w:w="818"/>
        <w:gridCol w:w="1970"/>
        <w:gridCol w:w="1260"/>
        <w:gridCol w:w="818"/>
        <w:gridCol w:w="2040"/>
      </w:tblGrid>
      <w:tr>
        <w:trPr>
          <w:trHeight w:val="478" w:hRule="exact"/>
        </w:trPr>
        <w:tc>
          <w:tcPr>
            <w:tcW w:w="18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70"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10"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1,837,471.95</w:t>
            </w:r>
          </w:p>
        </w:tc>
        <w:tc>
          <w:tcPr>
            <w:tcW w:w="1260"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1,258,060.75</w:t>
            </w:r>
          </w:p>
        </w:tc>
      </w:tr>
      <w:tr>
        <w:trPr>
          <w:trHeight w:val="478" w:hRule="exact"/>
        </w:trPr>
        <w:tc>
          <w:tcPr>
            <w:tcW w:w="18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290"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310"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1,837,471.95</w:t>
            </w:r>
          </w:p>
        </w:tc>
        <w:tc>
          <w:tcPr>
            <w:tcW w:w="1260"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1,258,060.75</w:t>
            </w:r>
          </w:p>
        </w:tc>
      </w:tr>
      <w:tr>
        <w:trPr>
          <w:trHeight w:val="478" w:hRule="exact"/>
        </w:trPr>
        <w:tc>
          <w:tcPr>
            <w:tcW w:w="18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29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10"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268,962,154.18</w:t>
            </w:r>
          </w:p>
        </w:tc>
        <w:tc>
          <w:tcPr>
            <w:tcW w:w="1260"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4"/>
              <w:jc w:val="right"/>
              <w:rPr>
                <w:rFonts w:ascii="宋体" w:hAnsi="宋体" w:cs="宋体" w:eastAsia="宋体" w:hint="default"/>
                <w:sz w:val="18"/>
                <w:szCs w:val="18"/>
              </w:rPr>
            </w:pPr>
            <w:r>
              <w:rPr>
                <w:rFonts w:ascii="宋体"/>
                <w:spacing w:val="-1"/>
                <w:sz w:val="18"/>
              </w:rPr>
              <w:t>307,274,742.41</w:t>
            </w:r>
          </w:p>
        </w:tc>
      </w:tr>
    </w:tbl>
    <w:p>
      <w:pPr>
        <w:pStyle w:val="BodyText"/>
        <w:spacing w:line="240" w:lineRule="auto" w:before="3"/>
        <w:ind w:left="1106" w:right="0"/>
        <w:jc w:val="left"/>
      </w:pPr>
      <w:r>
        <w:rPr/>
        <w:t>(2)</w:t>
      </w:r>
      <w:r>
        <w:rPr>
          <w:spacing w:val="-57"/>
        </w:rPr>
        <w:t> </w:t>
      </w:r>
      <w:r>
        <w:rPr/>
        <w:t>因抵押、质押或冻结等对使用有限制、存放在境外、有潜在回收风险的款项的说</w:t>
      </w:r>
    </w:p>
    <w:p>
      <w:pPr>
        <w:pStyle w:val="BodyText"/>
        <w:spacing w:line="240" w:lineRule="auto" w:before="74"/>
        <w:ind w:right="6451"/>
        <w:jc w:val="left"/>
      </w:pPr>
      <w:r>
        <w:rPr/>
        <w:t>明</w:t>
      </w:r>
    </w:p>
    <w:p>
      <w:pPr>
        <w:spacing w:line="240" w:lineRule="auto" w:before="1"/>
        <w:rPr>
          <w:rFonts w:ascii="宋体" w:hAnsi="宋体" w:cs="宋体" w:eastAsia="宋体" w:hint="default"/>
          <w:sz w:val="13"/>
          <w:szCs w:val="13"/>
        </w:rPr>
      </w:pPr>
    </w:p>
    <w:p>
      <w:pPr>
        <w:pStyle w:val="BodyText"/>
        <w:spacing w:line="240" w:lineRule="auto" w:before="26"/>
        <w:ind w:left="715" w:right="0"/>
        <w:jc w:val="left"/>
      </w:pPr>
      <w:r>
        <w:rPr/>
        <w:t>其他货币资金期末余额</w:t>
      </w:r>
      <w:r>
        <w:rPr>
          <w:spacing w:val="-60"/>
        </w:rPr>
        <w:t> </w:t>
      </w:r>
      <w:r>
        <w:rPr/>
        <w:t>1,837,471.95</w:t>
      </w:r>
      <w:r>
        <w:rPr>
          <w:spacing w:val="-60"/>
        </w:rPr>
        <w:t> </w:t>
      </w:r>
      <w:r>
        <w:rPr/>
        <w:t>元，系开立保函保证金。</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9"/>
          <w:szCs w:val="29"/>
        </w:rPr>
      </w:pPr>
    </w:p>
    <w:p>
      <w:pPr>
        <w:pStyle w:val="BodyText"/>
        <w:spacing w:line="240" w:lineRule="auto" w:before="0"/>
        <w:ind w:left="715" w:right="6451"/>
        <w:jc w:val="left"/>
      </w:pPr>
      <w:r>
        <w:rPr/>
        <w:t>2. 应收票据</w:t>
      </w:r>
    </w:p>
    <w:p>
      <w:pPr>
        <w:spacing w:line="240" w:lineRule="auto" w:before="11"/>
        <w:rPr>
          <w:rFonts w:ascii="宋体" w:hAnsi="宋体" w:cs="宋体" w:eastAsia="宋体" w:hint="default"/>
          <w:sz w:val="14"/>
          <w:szCs w:val="14"/>
        </w:rPr>
      </w:pPr>
    </w:p>
    <w:tbl>
      <w:tblPr>
        <w:tblW w:w="0" w:type="auto"/>
        <w:jc w:val="left"/>
        <w:tblInd w:w="287" w:type="dxa"/>
        <w:tblLayout w:type="fixed"/>
        <w:tblCellMar>
          <w:top w:w="0" w:type="dxa"/>
          <w:left w:w="0" w:type="dxa"/>
          <w:bottom w:w="0" w:type="dxa"/>
          <w:right w:w="0" w:type="dxa"/>
        </w:tblCellMar>
        <w:tblLook w:val="01E0"/>
      </w:tblPr>
      <w:tblGrid>
        <w:gridCol w:w="1490"/>
        <w:gridCol w:w="1488"/>
        <w:gridCol w:w="881"/>
        <w:gridCol w:w="1438"/>
        <w:gridCol w:w="1296"/>
        <w:gridCol w:w="890"/>
        <w:gridCol w:w="1296"/>
      </w:tblGrid>
      <w:tr>
        <w:trPr>
          <w:trHeight w:val="350" w:hRule="exact"/>
        </w:trPr>
        <w:tc>
          <w:tcPr>
            <w:tcW w:w="1490"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38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2" w:right="0"/>
              <w:jc w:val="center"/>
              <w:rPr>
                <w:rFonts w:ascii="宋体" w:hAnsi="宋体" w:cs="宋体" w:eastAsia="宋体" w:hint="default"/>
                <w:sz w:val="18"/>
                <w:szCs w:val="18"/>
              </w:rPr>
            </w:pPr>
            <w:r>
              <w:rPr>
                <w:rFonts w:ascii="宋体" w:hAnsi="宋体" w:cs="宋体" w:eastAsia="宋体" w:hint="default"/>
                <w:spacing w:val="-4"/>
                <w:sz w:val="18"/>
                <w:szCs w:val="18"/>
              </w:rPr>
              <w:t>期末数</w:t>
            </w:r>
          </w:p>
        </w:tc>
        <w:tc>
          <w:tcPr>
            <w:tcW w:w="3482"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19" w:right="0"/>
              <w:jc w:val="center"/>
              <w:rPr>
                <w:rFonts w:ascii="宋体" w:hAnsi="宋体" w:cs="宋体" w:eastAsia="宋体" w:hint="default"/>
                <w:sz w:val="18"/>
                <w:szCs w:val="18"/>
              </w:rPr>
            </w:pPr>
            <w:r>
              <w:rPr>
                <w:rFonts w:ascii="宋体" w:hAnsi="宋体" w:cs="宋体" w:eastAsia="宋体" w:hint="default"/>
                <w:spacing w:val="-4"/>
                <w:sz w:val="18"/>
                <w:szCs w:val="18"/>
              </w:rPr>
              <w:t>期初数</w:t>
            </w:r>
          </w:p>
        </w:tc>
      </w:tr>
      <w:tr>
        <w:trPr>
          <w:trHeight w:val="634" w:hRule="exact"/>
        </w:trPr>
        <w:tc>
          <w:tcPr>
            <w:tcW w:w="1490" w:type="dxa"/>
            <w:vMerge/>
            <w:tcBorders>
              <w:left w:val="nil" w:sz="6" w:space="0" w:color="auto"/>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1"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7" w:right="0"/>
              <w:jc w:val="left"/>
              <w:rPr>
                <w:rFonts w:ascii="宋体" w:hAnsi="宋体" w:cs="宋体" w:eastAsia="宋体" w:hint="default"/>
                <w:sz w:val="18"/>
                <w:szCs w:val="18"/>
              </w:rPr>
            </w:pPr>
            <w:r>
              <w:rPr>
                <w:rFonts w:ascii="宋体" w:hAnsi="宋体" w:cs="宋体" w:eastAsia="宋体" w:hint="default"/>
                <w:sz w:val="18"/>
                <w:szCs w:val="18"/>
              </w:rPr>
              <w:t>坏账准</w:t>
            </w:r>
          </w:p>
          <w:p>
            <w:pPr>
              <w:pStyle w:val="TableParagraph"/>
              <w:spacing w:line="240" w:lineRule="auto" w:before="76"/>
              <w:ind w:left="-118"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22"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4" w:right="0"/>
              <w:jc w:val="center"/>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2" w:right="0"/>
              <w:jc w:val="left"/>
              <w:rPr>
                <w:rFonts w:ascii="宋体" w:hAnsi="宋体" w:cs="宋体" w:eastAsia="宋体" w:hint="default"/>
                <w:sz w:val="18"/>
                <w:szCs w:val="18"/>
              </w:rPr>
            </w:pPr>
            <w:r>
              <w:rPr>
                <w:rFonts w:ascii="宋体" w:hAnsi="宋体" w:cs="宋体" w:eastAsia="宋体" w:hint="default"/>
                <w:sz w:val="18"/>
                <w:szCs w:val="18"/>
              </w:rPr>
              <w:t>坏账准</w:t>
            </w:r>
          </w:p>
          <w:p>
            <w:pPr>
              <w:pStyle w:val="TableParagraph"/>
              <w:spacing w:line="240" w:lineRule="auto" w:before="76"/>
              <w:ind w:left="-111"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352"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r>
      <w:tr>
        <w:trPr>
          <w:trHeight w:val="478" w:hRule="exact"/>
        </w:trPr>
        <w:tc>
          <w:tcPr>
            <w:tcW w:w="1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10"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3,463,020.00</w:t>
            </w:r>
          </w:p>
        </w:tc>
        <w:tc>
          <w:tcPr>
            <w:tcW w:w="881"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7"/>
              <w:jc w:val="right"/>
              <w:rPr>
                <w:rFonts w:ascii="宋体" w:hAnsi="宋体" w:cs="宋体" w:eastAsia="宋体" w:hint="default"/>
                <w:sz w:val="18"/>
                <w:szCs w:val="18"/>
              </w:rPr>
            </w:pPr>
            <w:r>
              <w:rPr>
                <w:rFonts w:ascii="宋体"/>
                <w:spacing w:val="-1"/>
                <w:sz w:val="18"/>
              </w:rPr>
              <w:t>3,463,020.00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6" w:right="0"/>
              <w:jc w:val="center"/>
              <w:rPr>
                <w:rFonts w:ascii="宋体" w:hAnsi="宋体" w:cs="宋体" w:eastAsia="宋体" w:hint="default"/>
                <w:sz w:val="18"/>
                <w:szCs w:val="18"/>
              </w:rPr>
            </w:pPr>
            <w:r>
              <w:rPr>
                <w:rFonts w:ascii="宋体"/>
                <w:sz w:val="18"/>
              </w:rPr>
              <w:t>4,855,600.00</w:t>
            </w:r>
          </w:p>
        </w:tc>
        <w:tc>
          <w:tcPr>
            <w:tcW w:w="89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103" w:right="0"/>
              <w:jc w:val="left"/>
              <w:rPr>
                <w:rFonts w:ascii="宋体" w:hAnsi="宋体" w:cs="宋体" w:eastAsia="宋体" w:hint="default"/>
                <w:sz w:val="18"/>
                <w:szCs w:val="18"/>
              </w:rPr>
            </w:pPr>
            <w:r>
              <w:rPr>
                <w:rFonts w:ascii="宋体"/>
                <w:sz w:val="18"/>
              </w:rPr>
              <w:t>4,855,600.00</w:t>
            </w:r>
          </w:p>
        </w:tc>
      </w:tr>
      <w:tr>
        <w:trPr>
          <w:trHeight w:val="478" w:hRule="exact"/>
        </w:trPr>
        <w:tc>
          <w:tcPr>
            <w:tcW w:w="1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10"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854,968.00</w:t>
            </w:r>
          </w:p>
        </w:tc>
        <w:tc>
          <w:tcPr>
            <w:tcW w:w="881"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7"/>
              <w:jc w:val="right"/>
              <w:rPr>
                <w:rFonts w:ascii="宋体" w:hAnsi="宋体" w:cs="宋体" w:eastAsia="宋体" w:hint="default"/>
                <w:sz w:val="18"/>
                <w:szCs w:val="18"/>
              </w:rPr>
            </w:pPr>
            <w:r>
              <w:rPr>
                <w:rFonts w:ascii="宋体"/>
                <w:spacing w:val="-1"/>
                <w:sz w:val="18"/>
              </w:rPr>
              <w:t>854,968.00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29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4,317,988.00</w:t>
            </w:r>
          </w:p>
        </w:tc>
        <w:tc>
          <w:tcPr>
            <w:tcW w:w="881"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7"/>
              <w:jc w:val="right"/>
              <w:rPr>
                <w:rFonts w:ascii="宋体" w:hAnsi="宋体" w:cs="宋体" w:eastAsia="宋体" w:hint="default"/>
                <w:sz w:val="18"/>
                <w:szCs w:val="18"/>
              </w:rPr>
            </w:pPr>
            <w:r>
              <w:rPr>
                <w:rFonts w:ascii="宋体"/>
                <w:spacing w:val="-1"/>
                <w:sz w:val="18"/>
              </w:rPr>
              <w:t>4,317,988.00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6" w:right="0"/>
              <w:jc w:val="center"/>
              <w:rPr>
                <w:rFonts w:ascii="宋体" w:hAnsi="宋体" w:cs="宋体" w:eastAsia="宋体" w:hint="default"/>
                <w:sz w:val="18"/>
                <w:szCs w:val="18"/>
              </w:rPr>
            </w:pPr>
            <w:r>
              <w:rPr>
                <w:rFonts w:ascii="宋体"/>
                <w:sz w:val="18"/>
              </w:rPr>
              <w:t>4,855,600.00</w:t>
            </w:r>
          </w:p>
        </w:tc>
        <w:tc>
          <w:tcPr>
            <w:tcW w:w="89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103" w:right="0"/>
              <w:jc w:val="left"/>
              <w:rPr>
                <w:rFonts w:ascii="宋体" w:hAnsi="宋体" w:cs="宋体" w:eastAsia="宋体" w:hint="default"/>
                <w:sz w:val="18"/>
                <w:szCs w:val="18"/>
              </w:rPr>
            </w:pPr>
            <w:r>
              <w:rPr>
                <w:rFonts w:ascii="宋体"/>
                <w:sz w:val="18"/>
              </w:rPr>
              <w:t>4,855,600.00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before="26"/>
        <w:ind w:left="715" w:right="6451"/>
        <w:jc w:val="left"/>
      </w:pPr>
      <w:r>
        <w:rPr/>
        <w:t>3. 应收账款</w:t>
      </w:r>
    </w:p>
    <w:p>
      <w:pPr>
        <w:pStyle w:val="BodyText"/>
        <w:spacing w:line="240" w:lineRule="auto" w:before="197"/>
        <w:ind w:left="715" w:right="6451"/>
        <w:jc w:val="left"/>
      </w:pPr>
      <w:r>
        <w:rPr/>
        <w:t>(1) 明细情况</w:t>
      </w:r>
    </w:p>
    <w:p>
      <w:pPr>
        <w:pStyle w:val="BodyText"/>
        <w:spacing w:line="240" w:lineRule="auto" w:before="194"/>
        <w:ind w:left="715" w:right="6451"/>
        <w:jc w:val="left"/>
      </w:pPr>
      <w:r>
        <w:rPr/>
        <w:t>1) 类别明细情况</w:t>
      </w:r>
    </w:p>
    <w:p>
      <w:pPr>
        <w:spacing w:line="240" w:lineRule="auto" w:before="0"/>
        <w:rPr>
          <w:rFonts w:ascii="宋体" w:hAnsi="宋体" w:cs="宋体" w:eastAsia="宋体" w:hint="default"/>
          <w:sz w:val="15"/>
          <w:szCs w:val="15"/>
        </w:rPr>
      </w:pPr>
    </w:p>
    <w:tbl>
      <w:tblPr>
        <w:tblW w:w="0" w:type="auto"/>
        <w:jc w:val="left"/>
        <w:tblInd w:w="287" w:type="dxa"/>
        <w:tblLayout w:type="fixed"/>
        <w:tblCellMar>
          <w:top w:w="0" w:type="dxa"/>
          <w:left w:w="0" w:type="dxa"/>
          <w:bottom w:w="0" w:type="dxa"/>
          <w:right w:w="0" w:type="dxa"/>
        </w:tblCellMar>
        <w:tblLook w:val="01E0"/>
      </w:tblPr>
      <w:tblGrid>
        <w:gridCol w:w="1001"/>
        <w:gridCol w:w="1387"/>
        <w:gridCol w:w="756"/>
        <w:gridCol w:w="1298"/>
        <w:gridCol w:w="744"/>
        <w:gridCol w:w="1387"/>
        <w:gridCol w:w="756"/>
        <w:gridCol w:w="1296"/>
        <w:gridCol w:w="737"/>
      </w:tblGrid>
      <w:tr>
        <w:trPr>
          <w:trHeight w:val="401" w:hRule="exact"/>
        </w:trPr>
        <w:tc>
          <w:tcPr>
            <w:tcW w:w="100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418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76"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001" w:type="dxa"/>
            <w:vMerge/>
            <w:tcBorders>
              <w:left w:val="nil" w:sz="6" w:space="0" w:color="auto"/>
              <w:right w:val="single" w:sz="4" w:space="0" w:color="000000"/>
            </w:tcBorders>
          </w:tcPr>
          <w:p>
            <w:pPr/>
          </w:p>
        </w:tc>
        <w:tc>
          <w:tcPr>
            <w:tcW w:w="21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0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0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3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65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001" w:type="dxa"/>
            <w:vMerge/>
            <w:tcBorders>
              <w:left w:val="nil" w:sz="6" w:space="0" w:color="auto"/>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9"/>
              <w:jc w:val="center"/>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9"/>
              <w:jc w:val="right"/>
              <w:rPr>
                <w:rFonts w:ascii="宋体" w:hAnsi="宋体" w:cs="宋体" w:eastAsia="宋体" w:hint="default"/>
                <w:sz w:val="18"/>
                <w:szCs w:val="18"/>
              </w:rPr>
            </w:pPr>
            <w:r>
              <w:rPr>
                <w:rFonts w:ascii="宋体" w:hAnsi="宋体" w:cs="宋体" w:eastAsia="宋体" w:hint="default"/>
                <w:spacing w:val="-1"/>
                <w:sz w:val="18"/>
                <w:szCs w:val="18"/>
              </w:rPr>
              <w:t>比例(%)</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1339" w:hRule="exact"/>
        </w:trPr>
        <w:tc>
          <w:tcPr>
            <w:tcW w:w="100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10" w:right="98"/>
              <w:jc w:val="both"/>
              <w:rPr>
                <w:rFonts w:ascii="宋体" w:hAnsi="宋体" w:cs="宋体" w:eastAsia="宋体" w:hint="default"/>
                <w:sz w:val="18"/>
                <w:szCs w:val="18"/>
              </w:rPr>
            </w:pPr>
            <w:r>
              <w:rPr>
                <w:rFonts w:ascii="宋体" w:hAnsi="宋体" w:cs="宋体" w:eastAsia="宋体" w:hint="default"/>
                <w:spacing w:val="15"/>
                <w:sz w:val="18"/>
                <w:szCs w:val="18"/>
              </w:rPr>
              <w:t>单项金额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5"/>
                <w:sz w:val="18"/>
                <w:szCs w:val="18"/>
              </w:rPr>
              <w:t>重大并单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5"/>
                <w:sz w:val="18"/>
                <w:szCs w:val="18"/>
              </w:rPr>
              <w:t>项计提坏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账准备</w:t>
            </w:r>
          </w:p>
        </w:tc>
        <w:tc>
          <w:tcPr>
            <w:tcW w:w="1387"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nil" w:sz="6" w:space="0" w:color="auto"/>
            </w:tcBorders>
          </w:tcPr>
          <w:p>
            <w:pPr/>
          </w:p>
        </w:tc>
      </w:tr>
      <w:tr>
        <w:trPr>
          <w:trHeight w:val="1025" w:hRule="exact"/>
        </w:trPr>
        <w:tc>
          <w:tcPr>
            <w:tcW w:w="100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10" w:right="98"/>
              <w:jc w:val="both"/>
              <w:rPr>
                <w:rFonts w:ascii="宋体" w:hAnsi="宋体" w:cs="宋体" w:eastAsia="宋体" w:hint="default"/>
                <w:sz w:val="18"/>
                <w:szCs w:val="18"/>
              </w:rPr>
            </w:pPr>
            <w:r>
              <w:rPr>
                <w:rFonts w:ascii="宋体" w:hAnsi="宋体" w:cs="宋体" w:eastAsia="宋体" w:hint="default"/>
                <w:spacing w:val="15"/>
                <w:sz w:val="18"/>
                <w:szCs w:val="18"/>
              </w:rPr>
              <w:t>按组合计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5"/>
                <w:sz w:val="18"/>
                <w:szCs w:val="18"/>
              </w:rPr>
              <w:t>提坏账准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备</w:t>
            </w:r>
          </w:p>
        </w:tc>
        <w:tc>
          <w:tcPr>
            <w:tcW w:w="1387"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100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10" w:right="98"/>
              <w:jc w:val="left"/>
              <w:rPr>
                <w:rFonts w:ascii="宋体" w:hAnsi="宋体" w:cs="宋体" w:eastAsia="宋体" w:hint="default"/>
                <w:sz w:val="18"/>
                <w:szCs w:val="18"/>
              </w:rPr>
            </w:pPr>
            <w:r>
              <w:rPr>
                <w:rFonts w:ascii="宋体" w:hAnsi="宋体" w:cs="宋体" w:eastAsia="宋体" w:hint="default"/>
                <w:spacing w:val="15"/>
                <w:sz w:val="18"/>
                <w:szCs w:val="18"/>
              </w:rPr>
              <w:t>账龄分析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法组合</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sz w:val="18"/>
              </w:rPr>
              <w:t>69,260,497.70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sz w:val="18"/>
              </w:rPr>
              <w:t>100.00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sz w:val="18"/>
              </w:rPr>
              <w:t>8,177,230.75</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11.81</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sz w:val="18"/>
              </w:rPr>
              <w:t>53,176,490.76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5,500,288.97</w:t>
            </w:r>
          </w:p>
        </w:tc>
        <w:tc>
          <w:tcPr>
            <w:tcW w:w="7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center"/>
              <w:rPr>
                <w:rFonts w:ascii="宋体" w:hAnsi="宋体" w:cs="宋体" w:eastAsia="宋体" w:hint="default"/>
                <w:sz w:val="18"/>
                <w:szCs w:val="18"/>
              </w:rPr>
            </w:pPr>
            <w:r>
              <w:rPr>
                <w:rFonts w:ascii="宋体"/>
                <w:sz w:val="18"/>
              </w:rPr>
              <w:t>10.34</w:t>
            </w:r>
          </w:p>
        </w:tc>
      </w:tr>
      <w:tr>
        <w:trPr>
          <w:trHeight w:val="713" w:hRule="exact"/>
        </w:trPr>
        <w:tc>
          <w:tcPr>
            <w:tcW w:w="100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10" w:right="98"/>
              <w:jc w:val="left"/>
              <w:rPr>
                <w:rFonts w:ascii="宋体" w:hAnsi="宋体" w:cs="宋体" w:eastAsia="宋体" w:hint="default"/>
                <w:sz w:val="18"/>
                <w:szCs w:val="18"/>
              </w:rPr>
            </w:pPr>
            <w:r>
              <w:rPr>
                <w:rFonts w:ascii="宋体" w:hAnsi="宋体" w:cs="宋体" w:eastAsia="宋体" w:hint="default"/>
                <w:spacing w:val="15"/>
                <w:sz w:val="18"/>
                <w:szCs w:val="18"/>
              </w:rPr>
              <w:t>余额百分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比法组合</w:t>
            </w:r>
          </w:p>
        </w:tc>
        <w:tc>
          <w:tcPr>
            <w:tcW w:w="1387"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nil" w:sz="6" w:space="0" w:color="auto"/>
            </w:tcBorders>
          </w:tcPr>
          <w:p>
            <w:pPr/>
          </w:p>
        </w:tc>
      </w:tr>
      <w:tr>
        <w:trPr>
          <w:trHeight w:val="403" w:hRule="exact"/>
        </w:trPr>
        <w:tc>
          <w:tcPr>
            <w:tcW w:w="10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sz w:val="18"/>
              </w:rPr>
              <w:t>69,260,497.70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sz w:val="18"/>
              </w:rPr>
              <w:t>100.00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sz w:val="18"/>
              </w:rPr>
              <w:t>8,177,230.75</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11.81</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sz w:val="18"/>
              </w:rPr>
              <w:t>53,176,490.76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5,500,288.97</w:t>
            </w:r>
          </w:p>
        </w:tc>
        <w:tc>
          <w:tcPr>
            <w:tcW w:w="7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63" w:right="0"/>
              <w:jc w:val="center"/>
              <w:rPr>
                <w:rFonts w:ascii="宋体" w:hAnsi="宋体" w:cs="宋体" w:eastAsia="宋体" w:hint="default"/>
                <w:sz w:val="18"/>
                <w:szCs w:val="18"/>
              </w:rPr>
            </w:pPr>
            <w:r>
              <w:rPr>
                <w:rFonts w:ascii="宋体"/>
                <w:sz w:val="18"/>
              </w:rPr>
              <w:t>10.34</w:t>
            </w:r>
          </w:p>
        </w:tc>
      </w:tr>
    </w:tbl>
    <w:p>
      <w:pPr>
        <w:spacing w:after="0" w:line="240" w:lineRule="auto"/>
        <w:jc w:val="center"/>
        <w:rPr>
          <w:rFonts w:ascii="宋体" w:hAnsi="宋体" w:cs="宋体" w:eastAsia="宋体" w:hint="default"/>
          <w:sz w:val="18"/>
          <w:szCs w:val="18"/>
        </w:rPr>
        <w:sectPr>
          <w:pgSz w:w="11910" w:h="16840"/>
          <w:pgMar w:header="745" w:footer="979" w:top="1060" w:bottom="1160" w:left="840" w:right="640"/>
        </w:sectPr>
      </w:pPr>
    </w:p>
    <w:p>
      <w:pPr>
        <w:spacing w:line="240" w:lineRule="auto" w:before="6"/>
        <w:rPr>
          <w:rFonts w:ascii="宋体" w:hAnsi="宋体" w:cs="宋体" w:eastAsia="宋体" w:hint="default"/>
          <w:sz w:val="28"/>
          <w:szCs w:val="28"/>
        </w:rPr>
      </w:pPr>
      <w:r>
        <w:rPr/>
        <w:pict>
          <v:group style="position:absolute;margin-left:547.559998pt;margin-top:781.919983pt;width:.1pt;height:10.35pt;mso-position-horizontal-relative:page;mso-position-vertical-relative:page;z-index:4000" coordorigin="10951,15638" coordsize="2,207">
            <v:shape style="position:absolute;left:10951;top:15638;width:2;height:207" coordorigin="10951,15638" coordsize="0,207" path="m10951,15638l10951,15845e" filled="false" stroked="true" strokeweight=".12pt" strokecolor="#000000">
              <v:path arrowok="t"/>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1001"/>
        <w:gridCol w:w="1387"/>
        <w:gridCol w:w="756"/>
        <w:gridCol w:w="1298"/>
        <w:gridCol w:w="744"/>
        <w:gridCol w:w="1387"/>
        <w:gridCol w:w="756"/>
        <w:gridCol w:w="1296"/>
        <w:gridCol w:w="737"/>
      </w:tblGrid>
      <w:tr>
        <w:trPr>
          <w:trHeight w:val="1649" w:hRule="exact"/>
        </w:trPr>
        <w:tc>
          <w:tcPr>
            <w:tcW w:w="100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10" w:right="98"/>
              <w:jc w:val="both"/>
              <w:rPr>
                <w:rFonts w:ascii="宋体" w:hAnsi="宋体" w:cs="宋体" w:eastAsia="宋体" w:hint="default"/>
                <w:sz w:val="18"/>
                <w:szCs w:val="18"/>
              </w:rPr>
            </w:pPr>
            <w:r>
              <w:rPr>
                <w:rFonts w:ascii="宋体" w:hAnsi="宋体" w:cs="宋体" w:eastAsia="宋体" w:hint="default"/>
                <w:spacing w:val="15"/>
                <w:sz w:val="18"/>
                <w:szCs w:val="18"/>
              </w:rPr>
              <w:t>单项金额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5"/>
                <w:sz w:val="18"/>
                <w:szCs w:val="18"/>
              </w:rPr>
              <w:t>虽不重大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5"/>
                <w:sz w:val="18"/>
                <w:szCs w:val="18"/>
              </w:rPr>
              <w:t>但单项计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5"/>
                <w:sz w:val="18"/>
                <w:szCs w:val="18"/>
              </w:rPr>
              <w:t>提坏账准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备</w:t>
            </w:r>
          </w:p>
        </w:tc>
        <w:tc>
          <w:tcPr>
            <w:tcW w:w="1387"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0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5" w:right="0"/>
              <w:jc w:val="left"/>
              <w:rPr>
                <w:rFonts w:ascii="宋体" w:hAnsi="宋体" w:cs="宋体" w:eastAsia="宋体" w:hint="default"/>
                <w:sz w:val="18"/>
                <w:szCs w:val="18"/>
              </w:rPr>
            </w:pPr>
            <w:r>
              <w:rPr>
                <w:rFonts w:ascii="宋体"/>
                <w:sz w:val="18"/>
              </w:rPr>
              <w:t>69,260,497.70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5" w:right="0"/>
              <w:jc w:val="left"/>
              <w:rPr>
                <w:rFonts w:ascii="宋体" w:hAnsi="宋体" w:cs="宋体" w:eastAsia="宋体" w:hint="default"/>
                <w:sz w:val="18"/>
                <w:szCs w:val="18"/>
              </w:rPr>
            </w:pPr>
            <w:r>
              <w:rPr>
                <w:rFonts w:ascii="宋体"/>
                <w:sz w:val="18"/>
              </w:rPr>
              <w:t>100.00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5" w:right="0"/>
              <w:jc w:val="left"/>
              <w:rPr>
                <w:rFonts w:ascii="宋体" w:hAnsi="宋体" w:cs="宋体" w:eastAsia="宋体" w:hint="default"/>
                <w:sz w:val="18"/>
                <w:szCs w:val="18"/>
              </w:rPr>
            </w:pPr>
            <w:r>
              <w:rPr>
                <w:rFonts w:ascii="宋体"/>
                <w:sz w:val="18"/>
              </w:rPr>
              <w:t>8,177,230.75</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82" w:right="0"/>
              <w:jc w:val="left"/>
              <w:rPr>
                <w:rFonts w:ascii="宋体" w:hAnsi="宋体" w:cs="宋体" w:eastAsia="宋体" w:hint="default"/>
                <w:sz w:val="18"/>
                <w:szCs w:val="18"/>
              </w:rPr>
            </w:pPr>
            <w:r>
              <w:rPr>
                <w:rFonts w:ascii="宋体"/>
                <w:sz w:val="18"/>
              </w:rPr>
              <w:t>11.81</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5" w:right="0"/>
              <w:jc w:val="left"/>
              <w:rPr>
                <w:rFonts w:ascii="宋体" w:hAnsi="宋体" w:cs="宋体" w:eastAsia="宋体" w:hint="default"/>
                <w:sz w:val="18"/>
                <w:szCs w:val="18"/>
              </w:rPr>
            </w:pPr>
            <w:r>
              <w:rPr>
                <w:rFonts w:ascii="宋体"/>
                <w:sz w:val="18"/>
              </w:rPr>
              <w:t>53,176,490.76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sz w:val="18"/>
              </w:rPr>
              <w:t>5,500,288.97</w:t>
            </w:r>
          </w:p>
        </w:tc>
        <w:tc>
          <w:tcPr>
            <w:tcW w:w="7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172" w:right="0"/>
              <w:jc w:val="left"/>
              <w:rPr>
                <w:rFonts w:ascii="宋体" w:hAnsi="宋体" w:cs="宋体" w:eastAsia="宋体" w:hint="default"/>
                <w:sz w:val="18"/>
                <w:szCs w:val="18"/>
              </w:rPr>
            </w:pPr>
            <w:r>
              <w:rPr>
                <w:rFonts w:ascii="宋体"/>
                <w:sz w:val="18"/>
              </w:rPr>
              <w:t>10.34</w:t>
            </w:r>
          </w:p>
        </w:tc>
      </w:tr>
    </w:tbl>
    <w:p>
      <w:pPr>
        <w:pStyle w:val="BodyText"/>
        <w:spacing w:line="240" w:lineRule="auto" w:before="0"/>
        <w:ind w:left="535" w:right="279"/>
        <w:jc w:val="left"/>
      </w:pPr>
      <w:r>
        <w:rPr/>
        <w:t>2) 组合中，采用账龄分析法计提坏账准备的应收账款</w:t>
      </w:r>
    </w:p>
    <w:p>
      <w:pPr>
        <w:spacing w:line="240" w:lineRule="auto" w:before="11"/>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1066"/>
        <w:gridCol w:w="1615"/>
        <w:gridCol w:w="893"/>
        <w:gridCol w:w="1296"/>
        <w:gridCol w:w="1440"/>
        <w:gridCol w:w="893"/>
        <w:gridCol w:w="1438"/>
      </w:tblGrid>
      <w:tr>
        <w:trPr>
          <w:trHeight w:val="403" w:hRule="exact"/>
        </w:trPr>
        <w:tc>
          <w:tcPr>
            <w:tcW w:w="106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38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066" w:type="dxa"/>
            <w:vMerge/>
            <w:tcBorders>
              <w:left w:val="nil" w:sz="6" w:space="0" w:color="auto"/>
              <w:right w:val="single" w:sz="4" w:space="0" w:color="000000"/>
            </w:tcBorders>
          </w:tcPr>
          <w:p>
            <w:pPr/>
          </w:p>
        </w:tc>
        <w:tc>
          <w:tcPr>
            <w:tcW w:w="25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38" w:type="dxa"/>
            <w:vMerge w:val="restart"/>
            <w:tcBorders>
              <w:top w:val="single" w:sz="4" w:space="0" w:color="000000"/>
              <w:left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066" w:type="dxa"/>
            <w:vMerge/>
            <w:tcBorders>
              <w:left w:val="nil" w:sz="6" w:space="0" w:color="auto"/>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5"/>
              <w:jc w:val="right"/>
              <w:rPr>
                <w:rFonts w:ascii="宋体" w:hAnsi="宋体" w:cs="宋体" w:eastAsia="宋体" w:hint="default"/>
                <w:sz w:val="18"/>
                <w:szCs w:val="18"/>
              </w:rPr>
            </w:pPr>
            <w:r>
              <w:rPr>
                <w:rFonts w:ascii="宋体" w:hAnsi="宋体" w:cs="宋体" w:eastAsia="宋体" w:hint="default"/>
                <w:spacing w:val="-1"/>
                <w:sz w:val="18"/>
                <w:szCs w:val="18"/>
              </w:rPr>
              <w:t>比例(%)</w:t>
            </w:r>
          </w:p>
        </w:tc>
        <w:tc>
          <w:tcPr>
            <w:tcW w:w="1296"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5"/>
              <w:jc w:val="right"/>
              <w:rPr>
                <w:rFonts w:ascii="宋体" w:hAnsi="宋体" w:cs="宋体" w:eastAsia="宋体" w:hint="default"/>
                <w:sz w:val="18"/>
                <w:szCs w:val="18"/>
              </w:rPr>
            </w:pPr>
            <w:r>
              <w:rPr>
                <w:rFonts w:ascii="宋体" w:hAnsi="宋体" w:cs="宋体" w:eastAsia="宋体" w:hint="default"/>
                <w:spacing w:val="-1"/>
                <w:sz w:val="18"/>
                <w:szCs w:val="18"/>
              </w:rPr>
              <w:t>比例(%)</w:t>
            </w:r>
          </w:p>
        </w:tc>
        <w:tc>
          <w:tcPr>
            <w:tcW w:w="1438" w:type="dxa"/>
            <w:vMerge/>
            <w:tcBorders>
              <w:left w:val="single" w:sz="4" w:space="0" w:color="000000"/>
              <w:bottom w:val="single" w:sz="4" w:space="0" w:color="000000"/>
              <w:right w:val="nil" w:sz="6" w:space="0" w:color="auto"/>
            </w:tcBorders>
          </w:tcPr>
          <w:p>
            <w:pPr/>
          </w:p>
        </w:tc>
      </w:tr>
      <w:tr>
        <w:trPr>
          <w:trHeight w:val="557" w:hRule="exact"/>
        </w:trPr>
        <w:tc>
          <w:tcPr>
            <w:tcW w:w="10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49,231,792.86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71.08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pacing w:val="-1"/>
                <w:sz w:val="18"/>
              </w:rPr>
              <w:t>2,461,589.65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36,130,723.75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67.94</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1,806,536.19</w:t>
            </w:r>
          </w:p>
        </w:tc>
      </w:tr>
      <w:tr>
        <w:trPr>
          <w:trHeight w:val="559" w:hRule="exact"/>
        </w:trPr>
        <w:tc>
          <w:tcPr>
            <w:tcW w:w="10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1"/>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8,613,731.97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12.44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7"/>
              <w:jc w:val="right"/>
              <w:rPr>
                <w:rFonts w:ascii="宋体" w:hAnsi="宋体" w:cs="宋体" w:eastAsia="宋体" w:hint="default"/>
                <w:sz w:val="18"/>
                <w:szCs w:val="18"/>
              </w:rPr>
            </w:pPr>
            <w:r>
              <w:rPr>
                <w:rFonts w:ascii="宋体"/>
                <w:spacing w:val="-1"/>
                <w:sz w:val="18"/>
              </w:rPr>
              <w:t>861,373.20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12,573,386.81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23.64</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1,257,338.68</w:t>
            </w:r>
          </w:p>
        </w:tc>
      </w:tr>
      <w:tr>
        <w:trPr>
          <w:trHeight w:val="557" w:hRule="exact"/>
        </w:trPr>
        <w:tc>
          <w:tcPr>
            <w:tcW w:w="10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1"/>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7,695,292.67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11.11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pacing w:val="-1"/>
                <w:sz w:val="18"/>
              </w:rPr>
              <w:t>2,308,587.80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1,401,380.00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z w:val="18"/>
              </w:rPr>
              <w:t>2.64</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420,414.00</w:t>
            </w:r>
          </w:p>
        </w:tc>
      </w:tr>
      <w:tr>
        <w:trPr>
          <w:trHeight w:val="559" w:hRule="exact"/>
        </w:trPr>
        <w:tc>
          <w:tcPr>
            <w:tcW w:w="10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pacing w:val="-1"/>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2,348,000.20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7"/>
              <w:jc w:val="right"/>
              <w:rPr>
                <w:rFonts w:ascii="宋体" w:hAnsi="宋体" w:cs="宋体" w:eastAsia="宋体" w:hint="default"/>
                <w:sz w:val="18"/>
                <w:szCs w:val="18"/>
              </w:rPr>
            </w:pPr>
            <w:r>
              <w:rPr>
                <w:rFonts w:ascii="宋体"/>
                <w:sz w:val="18"/>
              </w:rPr>
              <w:t>3.39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7"/>
              <w:jc w:val="right"/>
              <w:rPr>
                <w:rFonts w:ascii="宋体" w:hAnsi="宋体" w:cs="宋体" w:eastAsia="宋体" w:hint="default"/>
                <w:sz w:val="18"/>
                <w:szCs w:val="18"/>
              </w:rPr>
            </w:pPr>
            <w:r>
              <w:rPr>
                <w:rFonts w:ascii="宋体"/>
                <w:spacing w:val="-1"/>
                <w:sz w:val="18"/>
              </w:rPr>
              <w:t>1,174,000.10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2,110,000.20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7"/>
              <w:jc w:val="right"/>
              <w:rPr>
                <w:rFonts w:ascii="宋体" w:hAnsi="宋体" w:cs="宋体" w:eastAsia="宋体" w:hint="default"/>
                <w:sz w:val="18"/>
                <w:szCs w:val="18"/>
              </w:rPr>
            </w:pPr>
            <w:r>
              <w:rPr>
                <w:rFonts w:ascii="宋体"/>
                <w:sz w:val="18"/>
              </w:rPr>
              <w:t>3.97</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1,055,000.10</w:t>
            </w:r>
          </w:p>
        </w:tc>
      </w:tr>
      <w:tr>
        <w:trPr>
          <w:trHeight w:val="557" w:hRule="exact"/>
        </w:trPr>
        <w:tc>
          <w:tcPr>
            <w:tcW w:w="10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5 年以上</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1,371,680.00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z w:val="18"/>
              </w:rPr>
              <w:t>1.98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pacing w:val="-1"/>
                <w:sz w:val="18"/>
              </w:rPr>
              <w:t>1,371,680.00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961,000.00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z w:val="18"/>
              </w:rPr>
              <w:t>1.81</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961,000.00</w:t>
            </w:r>
          </w:p>
        </w:tc>
      </w:tr>
      <w:tr>
        <w:trPr>
          <w:trHeight w:val="559" w:hRule="exact"/>
        </w:trPr>
        <w:tc>
          <w:tcPr>
            <w:tcW w:w="10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290"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69,260,497.70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7"/>
              <w:jc w:val="right"/>
              <w:rPr>
                <w:rFonts w:ascii="宋体" w:hAnsi="宋体" w:cs="宋体" w:eastAsia="宋体" w:hint="default"/>
                <w:sz w:val="18"/>
                <w:szCs w:val="18"/>
              </w:rPr>
            </w:pPr>
            <w:r>
              <w:rPr>
                <w:rFonts w:ascii="宋体"/>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7"/>
              <w:jc w:val="right"/>
              <w:rPr>
                <w:rFonts w:ascii="宋体" w:hAnsi="宋体" w:cs="宋体" w:eastAsia="宋体" w:hint="default"/>
                <w:sz w:val="18"/>
                <w:szCs w:val="18"/>
              </w:rPr>
            </w:pPr>
            <w:r>
              <w:rPr>
                <w:rFonts w:ascii="宋体"/>
                <w:spacing w:val="-1"/>
                <w:sz w:val="18"/>
              </w:rPr>
              <w:t>8,177,230.75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53,176,490.76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100.00</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5,500,288.97</w:t>
            </w:r>
          </w:p>
        </w:tc>
      </w:tr>
    </w:tbl>
    <w:p>
      <w:pPr>
        <w:pStyle w:val="BodyText"/>
        <w:spacing w:line="391" w:lineRule="auto" w:before="0"/>
        <w:ind w:left="535" w:right="2411"/>
        <w:jc w:val="left"/>
      </w:pPr>
      <w:r>
        <w:rPr/>
        <w:t>(2) 期末无持有公司</w:t>
      </w:r>
      <w:r>
        <w:rPr>
          <w:spacing w:val="-60"/>
        </w:rPr>
        <w:t> </w:t>
      </w:r>
      <w:r>
        <w:rPr/>
        <w:t>5%以上（含</w:t>
      </w:r>
      <w:r>
        <w:rPr>
          <w:spacing w:val="-60"/>
        </w:rPr>
        <w:t> </w:t>
      </w:r>
      <w:r>
        <w:rPr/>
        <w:t>5%）表决权股份的股东单位款项。</w:t>
      </w:r>
      <w:r>
        <w:rPr/>
        <w:t> (3) 应收账款金额前</w:t>
      </w:r>
      <w:r>
        <w:rPr>
          <w:spacing w:val="-60"/>
        </w:rPr>
        <w:t> </w:t>
      </w:r>
      <w:r>
        <w:rPr/>
        <w:t>5</w:t>
      </w:r>
      <w:r>
        <w:rPr>
          <w:spacing w:val="-60"/>
        </w:rPr>
        <w:t> </w:t>
      </w:r>
      <w:r>
        <w:rPr/>
        <w:t>名情况</w:t>
      </w:r>
    </w:p>
    <w:p>
      <w:pPr>
        <w:spacing w:line="240" w:lineRule="auto" w:before="4"/>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410"/>
        <w:gridCol w:w="1308"/>
        <w:gridCol w:w="1529"/>
        <w:gridCol w:w="1810"/>
        <w:gridCol w:w="1486"/>
      </w:tblGrid>
      <w:tr>
        <w:trPr>
          <w:trHeight w:val="1066"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8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4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占应收账款余额</w:t>
            </w: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的比例(%)</w:t>
            </w:r>
          </w:p>
        </w:tc>
      </w:tr>
      <w:tr>
        <w:trPr>
          <w:trHeight w:val="559"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10" w:right="0"/>
              <w:jc w:val="left"/>
              <w:rPr>
                <w:rFonts w:ascii="宋体" w:hAnsi="宋体" w:cs="宋体" w:eastAsia="宋体" w:hint="default"/>
                <w:sz w:val="18"/>
                <w:szCs w:val="18"/>
              </w:rPr>
            </w:pPr>
            <w:bookmarkStart w:name="非关联方" w:id="109"/>
            <w:bookmarkEnd w:id="109"/>
            <w:r>
              <w:rPr/>
            </w:r>
            <w:r>
              <w:rPr>
                <w:rFonts w:ascii="宋体" w:hAnsi="宋体" w:cs="宋体" w:eastAsia="宋体" w:hint="default"/>
                <w:sz w:val="18"/>
                <w:szCs w:val="18"/>
              </w:rPr>
              <w:t>浙江省电力公司</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8,222,980.00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
              <w:jc w:val="center"/>
              <w:rPr>
                <w:rFonts w:ascii="宋体" w:hAnsi="宋体" w:cs="宋体" w:eastAsia="宋体" w:hint="default"/>
                <w:sz w:val="18"/>
                <w:szCs w:val="18"/>
              </w:rPr>
            </w:pPr>
            <w:r>
              <w:rPr>
                <w:rFonts w:ascii="宋体"/>
                <w:sz w:val="18"/>
              </w:rPr>
              <w:t>11.87</w:t>
            </w:r>
          </w:p>
        </w:tc>
      </w:tr>
      <w:tr>
        <w:trPr>
          <w:trHeight w:val="557"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bookmarkStart w:name="非关联方" w:id="110"/>
            <w:bookmarkEnd w:id="110"/>
            <w:r>
              <w:rPr/>
            </w:r>
            <w:r>
              <w:rPr>
                <w:rFonts w:ascii="宋体" w:hAnsi="宋体" w:cs="宋体" w:eastAsia="宋体" w:hint="default"/>
                <w:sz w:val="18"/>
                <w:szCs w:val="18"/>
              </w:rPr>
              <w:t>浙江巨化信息技术有限公司</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6,250,000.00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9.02</w:t>
            </w:r>
          </w:p>
        </w:tc>
      </w:tr>
      <w:tr>
        <w:trPr>
          <w:trHeight w:val="559" w:hRule="exact"/>
        </w:trPr>
        <w:tc>
          <w:tcPr>
            <w:tcW w:w="241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10" w:right="0"/>
              <w:jc w:val="left"/>
              <w:rPr>
                <w:rFonts w:ascii="宋体" w:hAnsi="宋体" w:cs="宋体" w:eastAsia="宋体" w:hint="default"/>
                <w:sz w:val="18"/>
                <w:szCs w:val="18"/>
              </w:rPr>
            </w:pPr>
            <w:bookmarkStart w:name="非关联方" w:id="111"/>
            <w:bookmarkEnd w:id="111"/>
            <w:r>
              <w:rPr/>
            </w:r>
            <w:bookmarkStart w:name="1年以内" w:id="112"/>
            <w:bookmarkEnd w:id="112"/>
            <w:r>
              <w:rPr/>
            </w:r>
            <w:r>
              <w:rPr>
                <w:rFonts w:ascii="宋体" w:hAnsi="宋体" w:cs="宋体" w:eastAsia="宋体" w:hint="default"/>
                <w:sz w:val="18"/>
                <w:szCs w:val="18"/>
              </w:rPr>
              <w:t>山东鲁能软件技术公司</w:t>
            </w:r>
          </w:p>
        </w:tc>
        <w:tc>
          <w:tcPr>
            <w:tcW w:w="13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100,000.00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86"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8.15</w:t>
            </w:r>
          </w:p>
        </w:tc>
      </w:tr>
      <w:tr>
        <w:trPr>
          <w:trHeight w:val="557" w:hRule="exact"/>
        </w:trPr>
        <w:tc>
          <w:tcPr>
            <w:tcW w:w="2410" w:type="dxa"/>
            <w:vMerge/>
            <w:tcBorders>
              <w:left w:val="nil" w:sz="6" w:space="0" w:color="auto"/>
              <w:right w:val="single" w:sz="4" w:space="0" w:color="000000"/>
            </w:tcBorders>
          </w:tcPr>
          <w:p>
            <w:pPr/>
          </w:p>
        </w:tc>
        <w:tc>
          <w:tcPr>
            <w:tcW w:w="1308" w:type="dxa"/>
            <w:vMerge/>
            <w:tcBorders>
              <w:left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1,201,400.00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486" w:type="dxa"/>
            <w:vMerge/>
            <w:tcBorders>
              <w:left w:val="single" w:sz="4" w:space="0" w:color="000000"/>
              <w:right w:val="nil" w:sz="6" w:space="0" w:color="auto"/>
            </w:tcBorders>
          </w:tcPr>
          <w:p>
            <w:pPr/>
          </w:p>
        </w:tc>
      </w:tr>
      <w:tr>
        <w:trPr>
          <w:trHeight w:val="559" w:hRule="exact"/>
        </w:trPr>
        <w:tc>
          <w:tcPr>
            <w:tcW w:w="2410" w:type="dxa"/>
            <w:vMerge/>
            <w:tcBorders>
              <w:left w:val="nil" w:sz="6" w:space="0" w:color="auto"/>
              <w:bottom w:val="single" w:sz="4" w:space="0" w:color="000000"/>
              <w:right w:val="single" w:sz="4" w:space="0" w:color="000000"/>
            </w:tcBorders>
          </w:tcPr>
          <w:p>
            <w:pPr/>
          </w:p>
        </w:tc>
        <w:tc>
          <w:tcPr>
            <w:tcW w:w="1308" w:type="dxa"/>
            <w:vMerge/>
            <w:tcBorders>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4,340,000.00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486" w:type="dxa"/>
            <w:vMerge/>
            <w:tcBorders>
              <w:left w:val="single" w:sz="4" w:space="0" w:color="000000"/>
              <w:bottom w:val="single" w:sz="4" w:space="0" w:color="000000"/>
              <w:right w:val="nil" w:sz="6" w:space="0" w:color="auto"/>
            </w:tcBorders>
          </w:tcPr>
          <w:p>
            <w:pPr/>
          </w:p>
        </w:tc>
      </w:tr>
      <w:tr>
        <w:trPr>
          <w:trHeight w:val="557"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bookmarkStart w:name="非关联方" w:id="113"/>
            <w:bookmarkEnd w:id="113"/>
            <w:r>
              <w:rPr/>
            </w:r>
            <w:r>
              <w:rPr>
                <w:rFonts w:ascii="宋体" w:hAnsi="宋体" w:cs="宋体" w:eastAsia="宋体" w:hint="default"/>
                <w:sz w:val="18"/>
                <w:szCs w:val="18"/>
              </w:rPr>
              <w:t>东北电网有限公司</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4,200,000.00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6.06</w:t>
            </w:r>
          </w:p>
        </w:tc>
      </w:tr>
      <w:tr>
        <w:trPr>
          <w:trHeight w:val="559"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10" w:right="0"/>
              <w:jc w:val="left"/>
              <w:rPr>
                <w:rFonts w:ascii="宋体" w:hAnsi="宋体" w:cs="宋体" w:eastAsia="宋体" w:hint="default"/>
                <w:sz w:val="18"/>
                <w:szCs w:val="18"/>
              </w:rPr>
            </w:pPr>
            <w:bookmarkStart w:name="非关联方" w:id="114"/>
            <w:bookmarkEnd w:id="114"/>
            <w:r>
              <w:rPr/>
            </w:r>
            <w:r>
              <w:rPr>
                <w:rFonts w:ascii="宋体" w:hAnsi="宋体" w:cs="宋体" w:eastAsia="宋体" w:hint="default"/>
                <w:sz w:val="18"/>
                <w:szCs w:val="18"/>
              </w:rPr>
              <w:t>中国烟草总公司江西省公司</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2,577,000.00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
              <w:jc w:val="center"/>
              <w:rPr>
                <w:rFonts w:ascii="宋体" w:hAnsi="宋体" w:cs="宋体" w:eastAsia="宋体" w:hint="default"/>
                <w:sz w:val="18"/>
                <w:szCs w:val="18"/>
              </w:rPr>
            </w:pPr>
            <w:r>
              <w:rPr>
                <w:rFonts w:ascii="宋体"/>
                <w:sz w:val="18"/>
              </w:rPr>
              <w:t>3.72</w:t>
            </w:r>
          </w:p>
        </w:tc>
      </w:tr>
      <w:tr>
        <w:trPr>
          <w:trHeight w:val="557"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90" w:right="0"/>
              <w:jc w:val="left"/>
              <w:rPr>
                <w:rFonts w:ascii="宋体" w:hAnsi="宋体" w:cs="宋体" w:eastAsia="宋体" w:hint="default"/>
                <w:sz w:val="18"/>
                <w:szCs w:val="18"/>
              </w:rPr>
            </w:pPr>
            <w:bookmarkStart w:name="38.82" w:id="115"/>
            <w:bookmarkEnd w:id="115"/>
            <w:r>
              <w:rPr/>
            </w:r>
            <w:r>
              <w:rPr>
                <w:rFonts w:ascii="宋体" w:hAnsi="宋体" w:cs="宋体" w:eastAsia="宋体" w:hint="default"/>
                <w:sz w:val="18"/>
                <w:szCs w:val="18"/>
              </w:rPr>
              <w:t>小  计</w:t>
            </w:r>
          </w:p>
        </w:tc>
        <w:tc>
          <w:tcPr>
            <w:tcW w:w="130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26,891,380.00</w:t>
            </w:r>
          </w:p>
        </w:tc>
        <w:tc>
          <w:tcPr>
            <w:tcW w:w="181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38.82</w:t>
            </w:r>
          </w:p>
        </w:tc>
      </w:tr>
    </w:tbl>
    <w:p>
      <w:pPr>
        <w:spacing w:after="0" w:line="240" w:lineRule="auto"/>
        <w:jc w:val="center"/>
        <w:rPr>
          <w:rFonts w:ascii="宋体" w:hAnsi="宋体" w:cs="宋体" w:eastAsia="宋体" w:hint="default"/>
          <w:sz w:val="18"/>
          <w:szCs w:val="18"/>
        </w:rPr>
        <w:sectPr>
          <w:pgSz w:w="11910" w:h="16840"/>
          <w:pgMar w:header="745" w:footer="979" w:top="1060" w:bottom="1160" w:left="1020" w:right="8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40" w:lineRule="auto" w:before="26"/>
        <w:ind w:left="715" w:right="279"/>
        <w:jc w:val="left"/>
      </w:pPr>
      <w:r>
        <w:rPr/>
        <w:t>4. 预付款项</w:t>
      </w:r>
    </w:p>
    <w:p>
      <w:pPr>
        <w:pStyle w:val="BodyText"/>
        <w:spacing w:line="240" w:lineRule="auto" w:before="194"/>
        <w:ind w:left="715" w:right="279"/>
        <w:jc w:val="left"/>
      </w:pPr>
      <w:r>
        <w:rPr/>
        <w:t>(1) 账龄分析</w:t>
      </w:r>
    </w:p>
    <w:p>
      <w:pPr>
        <w:spacing w:line="240" w:lineRule="auto" w:before="11"/>
        <w:rPr>
          <w:rFonts w:ascii="宋体" w:hAnsi="宋体" w:cs="宋体" w:eastAsia="宋体" w:hint="default"/>
          <w:sz w:val="14"/>
          <w:szCs w:val="14"/>
        </w:rPr>
      </w:pPr>
    </w:p>
    <w:tbl>
      <w:tblPr>
        <w:tblW w:w="0" w:type="auto"/>
        <w:jc w:val="left"/>
        <w:tblInd w:w="287" w:type="dxa"/>
        <w:tblLayout w:type="fixed"/>
        <w:tblCellMar>
          <w:top w:w="0" w:type="dxa"/>
          <w:left w:w="0" w:type="dxa"/>
          <w:bottom w:w="0" w:type="dxa"/>
          <w:right w:w="0" w:type="dxa"/>
        </w:tblCellMar>
        <w:tblLook w:val="01E0"/>
      </w:tblPr>
      <w:tblGrid>
        <w:gridCol w:w="898"/>
        <w:gridCol w:w="1296"/>
        <w:gridCol w:w="756"/>
        <w:gridCol w:w="542"/>
        <w:gridCol w:w="1296"/>
        <w:gridCol w:w="1296"/>
        <w:gridCol w:w="756"/>
        <w:gridCol w:w="540"/>
        <w:gridCol w:w="1296"/>
      </w:tblGrid>
      <w:tr>
        <w:trPr>
          <w:trHeight w:val="403" w:hRule="exact"/>
        </w:trPr>
        <w:tc>
          <w:tcPr>
            <w:tcW w:w="89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389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88"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713" w:hRule="exact"/>
        </w:trPr>
        <w:tc>
          <w:tcPr>
            <w:tcW w:w="898" w:type="dxa"/>
            <w:vMerge/>
            <w:tcBorders>
              <w:left w:val="nil" w:sz="6" w:space="0" w:color="auto"/>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4"/>
              <w:jc w:val="right"/>
              <w:rPr>
                <w:rFonts w:ascii="宋体" w:hAnsi="宋体" w:cs="宋体" w:eastAsia="宋体" w:hint="default"/>
                <w:sz w:val="18"/>
                <w:szCs w:val="18"/>
              </w:rPr>
            </w:pPr>
            <w:r>
              <w:rPr>
                <w:rFonts w:ascii="宋体" w:hAnsi="宋体" w:cs="宋体" w:eastAsia="宋体" w:hint="default"/>
                <w:spacing w:val="-1"/>
                <w:sz w:val="18"/>
                <w:szCs w:val="18"/>
              </w:rPr>
              <w:t>比例(%)</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6" w:right="84"/>
              <w:jc w:val="left"/>
              <w:rPr>
                <w:rFonts w:ascii="宋体" w:hAnsi="宋体" w:cs="宋体" w:eastAsia="宋体" w:hint="default"/>
                <w:sz w:val="18"/>
                <w:szCs w:val="18"/>
              </w:rPr>
            </w:pPr>
            <w:r>
              <w:rPr>
                <w:rFonts w:ascii="宋体" w:hAnsi="宋体" w:cs="宋体" w:eastAsia="宋体" w:hint="default"/>
                <w:sz w:val="18"/>
                <w:szCs w:val="18"/>
              </w:rPr>
              <w:t>坏账 准备</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6"/>
              <w:jc w:val="right"/>
              <w:rPr>
                <w:rFonts w:ascii="宋体" w:hAnsi="宋体" w:cs="宋体" w:eastAsia="宋体" w:hint="default"/>
                <w:sz w:val="18"/>
                <w:szCs w:val="18"/>
              </w:rPr>
            </w:pPr>
            <w:r>
              <w:rPr>
                <w:rFonts w:ascii="宋体" w:hAnsi="宋体" w:cs="宋体" w:eastAsia="宋体" w:hint="default"/>
                <w:spacing w:val="-1"/>
                <w:sz w:val="18"/>
                <w:szCs w:val="18"/>
              </w:rPr>
              <w:t>比例(%)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6" w:right="83"/>
              <w:jc w:val="left"/>
              <w:rPr>
                <w:rFonts w:ascii="宋体" w:hAnsi="宋体" w:cs="宋体" w:eastAsia="宋体" w:hint="default"/>
                <w:sz w:val="18"/>
                <w:szCs w:val="18"/>
              </w:rPr>
            </w:pPr>
            <w:r>
              <w:rPr>
                <w:rFonts w:ascii="宋体" w:hAnsi="宋体" w:cs="宋体" w:eastAsia="宋体" w:hint="default"/>
                <w:sz w:val="18"/>
                <w:szCs w:val="18"/>
              </w:rPr>
              <w:t>坏账 准备</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98" w:hRule="exact"/>
        </w:trPr>
        <w:tc>
          <w:tcPr>
            <w:tcW w:w="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1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7"/>
              <w:jc w:val="right"/>
              <w:rPr>
                <w:rFonts w:ascii="宋体" w:hAnsi="宋体" w:cs="宋体" w:eastAsia="宋体" w:hint="default"/>
                <w:sz w:val="18"/>
                <w:szCs w:val="18"/>
              </w:rPr>
            </w:pPr>
            <w:r>
              <w:rPr>
                <w:rFonts w:ascii="宋体"/>
                <w:spacing w:val="-1"/>
                <w:sz w:val="18"/>
              </w:rPr>
              <w:t>3,867,016.90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pacing w:val="-1"/>
                <w:sz w:val="18"/>
              </w:rPr>
              <w:t>91.81</w:t>
            </w:r>
          </w:p>
        </w:tc>
        <w:tc>
          <w:tcPr>
            <w:tcW w:w="54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pacing w:val="-1"/>
                <w:sz w:val="18"/>
              </w:rPr>
              <w:t>3,867,016.90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pacing w:val="-1"/>
                <w:sz w:val="18"/>
              </w:rPr>
              <w:t>8,562,189.60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pacing w:val="-1"/>
                <w:sz w:val="18"/>
              </w:rPr>
              <w:t>98.75</w:t>
            </w:r>
          </w:p>
        </w:tc>
        <w:tc>
          <w:tcPr>
            <w:tcW w:w="54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right="104"/>
              <w:jc w:val="right"/>
              <w:rPr>
                <w:rFonts w:ascii="宋体" w:hAnsi="宋体" w:cs="宋体" w:eastAsia="宋体" w:hint="default"/>
                <w:sz w:val="18"/>
                <w:szCs w:val="18"/>
              </w:rPr>
            </w:pPr>
            <w:r>
              <w:rPr>
                <w:rFonts w:ascii="宋体"/>
                <w:spacing w:val="-1"/>
                <w:sz w:val="18"/>
              </w:rPr>
              <w:t>8,562,189.60</w:t>
            </w:r>
          </w:p>
        </w:tc>
      </w:tr>
      <w:tr>
        <w:trPr>
          <w:trHeight w:val="600" w:hRule="exact"/>
        </w:trPr>
        <w:tc>
          <w:tcPr>
            <w:tcW w:w="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10"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7"/>
              <w:jc w:val="right"/>
              <w:rPr>
                <w:rFonts w:ascii="宋体" w:hAnsi="宋体" w:cs="宋体" w:eastAsia="宋体" w:hint="default"/>
                <w:sz w:val="18"/>
                <w:szCs w:val="18"/>
              </w:rPr>
            </w:pPr>
            <w:r>
              <w:rPr>
                <w:rFonts w:ascii="宋体"/>
                <w:spacing w:val="-1"/>
                <w:sz w:val="18"/>
              </w:rPr>
              <w:t>331,165.40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7"/>
              <w:jc w:val="right"/>
              <w:rPr>
                <w:rFonts w:ascii="宋体" w:hAnsi="宋体" w:cs="宋体" w:eastAsia="宋体" w:hint="default"/>
                <w:sz w:val="18"/>
                <w:szCs w:val="18"/>
              </w:rPr>
            </w:pPr>
            <w:r>
              <w:rPr>
                <w:rFonts w:ascii="宋体"/>
                <w:sz w:val="18"/>
              </w:rPr>
              <w:t>7.86</w:t>
            </w:r>
          </w:p>
        </w:tc>
        <w:tc>
          <w:tcPr>
            <w:tcW w:w="54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pacing w:val="-1"/>
                <w:sz w:val="18"/>
              </w:rPr>
              <w:t>331,165.40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pacing w:val="-1"/>
                <w:sz w:val="18"/>
              </w:rPr>
              <w:t>102,830.00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z w:val="18"/>
              </w:rPr>
              <w:t>1.18</w:t>
            </w:r>
          </w:p>
        </w:tc>
        <w:tc>
          <w:tcPr>
            <w:tcW w:w="54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right="104"/>
              <w:jc w:val="right"/>
              <w:rPr>
                <w:rFonts w:ascii="宋体" w:hAnsi="宋体" w:cs="宋体" w:eastAsia="宋体" w:hint="default"/>
                <w:sz w:val="18"/>
                <w:szCs w:val="18"/>
              </w:rPr>
            </w:pPr>
            <w:r>
              <w:rPr>
                <w:rFonts w:ascii="宋体"/>
                <w:spacing w:val="-1"/>
                <w:sz w:val="18"/>
              </w:rPr>
              <w:t>102,830.00</w:t>
            </w:r>
          </w:p>
        </w:tc>
      </w:tr>
      <w:tr>
        <w:trPr>
          <w:trHeight w:val="598" w:hRule="exact"/>
        </w:trPr>
        <w:tc>
          <w:tcPr>
            <w:tcW w:w="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7"/>
              <w:ind w:left="110"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7"/>
              <w:jc w:val="right"/>
              <w:rPr>
                <w:rFonts w:ascii="宋体" w:hAnsi="宋体" w:cs="宋体" w:eastAsia="宋体" w:hint="default"/>
                <w:sz w:val="18"/>
                <w:szCs w:val="18"/>
              </w:rPr>
            </w:pPr>
            <w:r>
              <w:rPr>
                <w:rFonts w:ascii="宋体"/>
                <w:spacing w:val="-1"/>
                <w:sz w:val="18"/>
              </w:rPr>
              <w:t>8,800.00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7"/>
              <w:jc w:val="right"/>
              <w:rPr>
                <w:rFonts w:ascii="宋体" w:hAnsi="宋体" w:cs="宋体" w:eastAsia="宋体" w:hint="default"/>
                <w:sz w:val="18"/>
                <w:szCs w:val="18"/>
              </w:rPr>
            </w:pPr>
            <w:r>
              <w:rPr>
                <w:rFonts w:ascii="宋体"/>
                <w:sz w:val="18"/>
              </w:rPr>
              <w:t>0.21</w:t>
            </w:r>
          </w:p>
        </w:tc>
        <w:tc>
          <w:tcPr>
            <w:tcW w:w="54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宋体" w:hAnsi="宋体" w:cs="宋体" w:eastAsia="宋体" w:hint="default"/>
                <w:sz w:val="18"/>
                <w:szCs w:val="18"/>
              </w:rPr>
            </w:pPr>
            <w:r>
              <w:rPr>
                <w:rFonts w:ascii="宋体"/>
                <w:spacing w:val="-1"/>
                <w:sz w:val="18"/>
              </w:rPr>
              <w:t>8,800.00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宋体" w:hAnsi="宋体" w:cs="宋体" w:eastAsia="宋体" w:hint="default"/>
                <w:sz w:val="18"/>
                <w:szCs w:val="18"/>
              </w:rPr>
            </w:pPr>
            <w:r>
              <w:rPr>
                <w:rFonts w:ascii="宋体"/>
                <w:spacing w:val="-1"/>
                <w:sz w:val="18"/>
              </w:rPr>
              <w:t>5,006.14</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宋体" w:hAnsi="宋体" w:cs="宋体" w:eastAsia="宋体" w:hint="default"/>
                <w:sz w:val="18"/>
                <w:szCs w:val="18"/>
              </w:rPr>
            </w:pPr>
            <w:r>
              <w:rPr>
                <w:rFonts w:ascii="宋体"/>
                <w:sz w:val="18"/>
              </w:rPr>
              <w:t>0.07</w:t>
            </w:r>
          </w:p>
        </w:tc>
        <w:tc>
          <w:tcPr>
            <w:tcW w:w="54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7"/>
              <w:ind w:right="104"/>
              <w:jc w:val="right"/>
              <w:rPr>
                <w:rFonts w:ascii="宋体" w:hAnsi="宋体" w:cs="宋体" w:eastAsia="宋体" w:hint="default"/>
                <w:sz w:val="18"/>
                <w:szCs w:val="18"/>
              </w:rPr>
            </w:pPr>
            <w:r>
              <w:rPr>
                <w:rFonts w:ascii="宋体"/>
                <w:spacing w:val="-1"/>
                <w:sz w:val="18"/>
              </w:rPr>
              <w:t>5,006.14</w:t>
            </w:r>
          </w:p>
        </w:tc>
      </w:tr>
      <w:tr>
        <w:trPr>
          <w:trHeight w:val="610" w:hRule="exact"/>
        </w:trPr>
        <w:tc>
          <w:tcPr>
            <w:tcW w:w="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4"/>
              <w:ind w:left="11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97"/>
              <w:jc w:val="right"/>
              <w:rPr>
                <w:rFonts w:ascii="宋体" w:hAnsi="宋体" w:cs="宋体" w:eastAsia="宋体" w:hint="default"/>
                <w:sz w:val="18"/>
                <w:szCs w:val="18"/>
              </w:rPr>
            </w:pPr>
            <w:r>
              <w:rPr>
                <w:rFonts w:ascii="宋体"/>
                <w:spacing w:val="-1"/>
                <w:sz w:val="18"/>
              </w:rPr>
              <w:t>5,000.00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97"/>
              <w:jc w:val="right"/>
              <w:rPr>
                <w:rFonts w:ascii="宋体" w:hAnsi="宋体" w:cs="宋体" w:eastAsia="宋体" w:hint="default"/>
                <w:sz w:val="18"/>
                <w:szCs w:val="18"/>
              </w:rPr>
            </w:pPr>
            <w:r>
              <w:rPr>
                <w:rFonts w:ascii="宋体"/>
                <w:sz w:val="18"/>
              </w:rPr>
              <w:t>0.12</w:t>
            </w:r>
          </w:p>
        </w:tc>
        <w:tc>
          <w:tcPr>
            <w:tcW w:w="54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pacing w:val="-1"/>
                <w:sz w:val="18"/>
              </w:rPr>
              <w:t>5,000.00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607" w:hRule="exact"/>
        </w:trPr>
        <w:tc>
          <w:tcPr>
            <w:tcW w:w="8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2"/>
              <w:ind w:left="11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7"/>
              <w:jc w:val="right"/>
              <w:rPr>
                <w:rFonts w:ascii="宋体" w:hAnsi="宋体" w:cs="宋体" w:eastAsia="宋体" w:hint="default"/>
                <w:sz w:val="18"/>
                <w:szCs w:val="18"/>
              </w:rPr>
            </w:pPr>
            <w:r>
              <w:rPr>
                <w:rFonts w:ascii="宋体"/>
                <w:spacing w:val="-1"/>
                <w:sz w:val="18"/>
              </w:rPr>
              <w:t>4,211,982.30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7"/>
              <w:jc w:val="right"/>
              <w:rPr>
                <w:rFonts w:ascii="宋体" w:hAnsi="宋体" w:cs="宋体" w:eastAsia="宋体" w:hint="default"/>
                <w:sz w:val="18"/>
                <w:szCs w:val="18"/>
              </w:rPr>
            </w:pPr>
            <w:r>
              <w:rPr>
                <w:rFonts w:ascii="宋体"/>
                <w:spacing w:val="-1"/>
                <w:sz w:val="18"/>
              </w:rPr>
              <w:t>100.00</w:t>
            </w:r>
          </w:p>
        </w:tc>
        <w:tc>
          <w:tcPr>
            <w:tcW w:w="54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宋体" w:hAnsi="宋体" w:cs="宋体" w:eastAsia="宋体" w:hint="default"/>
                <w:sz w:val="18"/>
                <w:szCs w:val="18"/>
              </w:rPr>
            </w:pPr>
            <w:r>
              <w:rPr>
                <w:rFonts w:ascii="宋体"/>
                <w:spacing w:val="-1"/>
                <w:sz w:val="18"/>
              </w:rPr>
              <w:t>4,211,982.30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宋体" w:hAnsi="宋体" w:cs="宋体" w:eastAsia="宋体" w:hint="default"/>
                <w:sz w:val="18"/>
                <w:szCs w:val="18"/>
              </w:rPr>
            </w:pPr>
            <w:r>
              <w:rPr>
                <w:rFonts w:ascii="宋体"/>
                <w:spacing w:val="-1"/>
                <w:sz w:val="18"/>
              </w:rPr>
              <w:t>8,670,025.74</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宋体" w:hAnsi="宋体" w:cs="宋体" w:eastAsia="宋体" w:hint="default"/>
                <w:sz w:val="18"/>
                <w:szCs w:val="18"/>
              </w:rPr>
            </w:pPr>
            <w:r>
              <w:rPr>
                <w:rFonts w:ascii="宋体"/>
                <w:spacing w:val="-1"/>
                <w:sz w:val="18"/>
              </w:rPr>
              <w:t>100.00</w:t>
            </w:r>
          </w:p>
        </w:tc>
        <w:tc>
          <w:tcPr>
            <w:tcW w:w="54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2"/>
              <w:ind w:right="104"/>
              <w:jc w:val="right"/>
              <w:rPr>
                <w:rFonts w:ascii="宋体" w:hAnsi="宋体" w:cs="宋体" w:eastAsia="宋体" w:hint="default"/>
                <w:sz w:val="18"/>
                <w:szCs w:val="18"/>
              </w:rPr>
            </w:pPr>
            <w:r>
              <w:rPr>
                <w:rFonts w:ascii="宋体"/>
                <w:spacing w:val="-1"/>
                <w:sz w:val="18"/>
              </w:rPr>
              <w:t>8,670,025.74</w:t>
            </w:r>
          </w:p>
        </w:tc>
      </w:tr>
    </w:tbl>
    <w:p>
      <w:pPr>
        <w:pStyle w:val="BodyText"/>
        <w:spacing w:line="240" w:lineRule="auto" w:before="3"/>
        <w:ind w:left="715" w:right="279"/>
        <w:jc w:val="left"/>
      </w:pPr>
      <w:r>
        <w:rPr/>
        <w:t>(2) 预付款项金额前</w:t>
      </w:r>
      <w:r>
        <w:rPr>
          <w:spacing w:val="-60"/>
        </w:rPr>
        <w:t> </w:t>
      </w:r>
      <w:r>
        <w:rPr/>
        <w:t>5</w:t>
      </w:r>
      <w:r>
        <w:rPr>
          <w:spacing w:val="-60"/>
        </w:rPr>
        <w:t> </w:t>
      </w:r>
      <w:r>
        <w:rPr/>
        <w:t>名情况</w:t>
      </w:r>
    </w:p>
    <w:p>
      <w:pPr>
        <w:spacing w:line="240" w:lineRule="auto" w:before="11"/>
        <w:rPr>
          <w:rFonts w:ascii="宋体" w:hAnsi="宋体" w:cs="宋体" w:eastAsia="宋体" w:hint="default"/>
          <w:sz w:val="14"/>
          <w:szCs w:val="14"/>
        </w:rPr>
      </w:pPr>
    </w:p>
    <w:tbl>
      <w:tblPr>
        <w:tblW w:w="0" w:type="auto"/>
        <w:jc w:val="left"/>
        <w:tblInd w:w="287" w:type="dxa"/>
        <w:tblLayout w:type="fixed"/>
        <w:tblCellMar>
          <w:top w:w="0" w:type="dxa"/>
          <w:left w:w="0" w:type="dxa"/>
          <w:bottom w:w="0" w:type="dxa"/>
          <w:right w:w="0" w:type="dxa"/>
        </w:tblCellMar>
        <w:tblLook w:val="01E0"/>
      </w:tblPr>
      <w:tblGrid>
        <w:gridCol w:w="3828"/>
        <w:gridCol w:w="1418"/>
        <w:gridCol w:w="1416"/>
        <w:gridCol w:w="994"/>
        <w:gridCol w:w="1363"/>
      </w:tblGrid>
      <w:tr>
        <w:trPr>
          <w:trHeight w:val="559" w:hRule="exact"/>
        </w:trPr>
        <w:tc>
          <w:tcPr>
            <w:tcW w:w="3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34"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557" w:hRule="exact"/>
        </w:trPr>
        <w:tc>
          <w:tcPr>
            <w:tcW w:w="3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杭州华鑫实业有限公司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pacing w:val="-1"/>
                <w:sz w:val="18"/>
              </w:rPr>
              <w:t>971,249.99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预付房租</w:t>
            </w:r>
          </w:p>
        </w:tc>
      </w:tr>
      <w:tr>
        <w:trPr>
          <w:trHeight w:val="559" w:hRule="exact"/>
        </w:trPr>
        <w:tc>
          <w:tcPr>
            <w:tcW w:w="3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温州腾声信息系统有限公司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pacing w:val="-1"/>
                <w:sz w:val="18"/>
              </w:rPr>
              <w:t>765,940.00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sz w:val="18"/>
                <w:szCs w:val="18"/>
              </w:rPr>
              <w:t>货未提</w:t>
            </w:r>
          </w:p>
        </w:tc>
      </w:tr>
      <w:tr>
        <w:trPr>
          <w:trHeight w:val="557" w:hRule="exact"/>
        </w:trPr>
        <w:tc>
          <w:tcPr>
            <w:tcW w:w="3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河南开合软件技术有限公司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pacing w:val="-1"/>
                <w:sz w:val="18"/>
              </w:rPr>
              <w:t>439,200.00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sz w:val="18"/>
                <w:szCs w:val="18"/>
              </w:rPr>
              <w:t>服务未完成</w:t>
            </w:r>
          </w:p>
        </w:tc>
      </w:tr>
      <w:tr>
        <w:trPr>
          <w:trHeight w:val="559" w:hRule="exact"/>
        </w:trPr>
        <w:tc>
          <w:tcPr>
            <w:tcW w:w="3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联强国际贸易（中国）有限公司杭州分公司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pacing w:val="-1"/>
                <w:sz w:val="18"/>
              </w:rPr>
              <w:t>304,265.00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sz w:val="18"/>
                <w:szCs w:val="18"/>
              </w:rPr>
              <w:t>货未提</w:t>
            </w:r>
          </w:p>
        </w:tc>
      </w:tr>
      <w:tr>
        <w:trPr>
          <w:trHeight w:val="557" w:hRule="exact"/>
        </w:trPr>
        <w:tc>
          <w:tcPr>
            <w:tcW w:w="3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浙江图讯科技有限公司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pacing w:val="-1"/>
                <w:sz w:val="18"/>
              </w:rPr>
              <w:t>258,510.00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sz w:val="18"/>
                <w:szCs w:val="18"/>
              </w:rPr>
              <w:t>服务未完成</w:t>
            </w:r>
          </w:p>
        </w:tc>
      </w:tr>
      <w:tr>
        <w:trPr>
          <w:trHeight w:val="559" w:hRule="exact"/>
        </w:trPr>
        <w:tc>
          <w:tcPr>
            <w:tcW w:w="3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90"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pacing w:val="-1"/>
                <w:sz w:val="18"/>
              </w:rPr>
              <w:t>2,739,164.99</w:t>
            </w:r>
          </w:p>
        </w:tc>
        <w:tc>
          <w:tcPr>
            <w:tcW w:w="994"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nil" w:sz="6" w:space="0" w:color="auto"/>
            </w:tcBorders>
          </w:tcPr>
          <w:p>
            <w:pPr/>
          </w:p>
        </w:tc>
      </w:tr>
    </w:tbl>
    <w:p>
      <w:pPr>
        <w:pStyle w:val="BodyText"/>
        <w:spacing w:line="391" w:lineRule="auto" w:before="0"/>
        <w:ind w:left="715" w:right="1751"/>
        <w:jc w:val="left"/>
      </w:pPr>
      <w:r>
        <w:rPr/>
        <w:t>(3) 期末无预付持有公司</w:t>
      </w:r>
      <w:r>
        <w:rPr>
          <w:spacing w:val="-60"/>
        </w:rPr>
        <w:t> </w:t>
      </w:r>
      <w:r>
        <w:rPr/>
        <w:t>5%以上（含</w:t>
      </w:r>
      <w:r>
        <w:rPr>
          <w:spacing w:val="-60"/>
        </w:rPr>
        <w:t> </w:t>
      </w:r>
      <w:r>
        <w:rPr/>
        <w:t>5%）表决权股份的股东单位款项。</w:t>
      </w:r>
      <w:r>
        <w:rPr/>
        <w:t> 5. 应收利息</w:t>
      </w:r>
    </w:p>
    <w:p>
      <w:pPr>
        <w:spacing w:line="240" w:lineRule="auto" w:before="4"/>
        <w:rPr>
          <w:rFonts w:ascii="宋体" w:hAnsi="宋体" w:cs="宋体" w:eastAsia="宋体" w:hint="default"/>
          <w:sz w:val="3"/>
          <w:szCs w:val="3"/>
        </w:rPr>
      </w:pPr>
    </w:p>
    <w:tbl>
      <w:tblPr>
        <w:tblW w:w="0" w:type="auto"/>
        <w:jc w:val="left"/>
        <w:tblInd w:w="287" w:type="dxa"/>
        <w:tblLayout w:type="fixed"/>
        <w:tblCellMar>
          <w:top w:w="0" w:type="dxa"/>
          <w:left w:w="0" w:type="dxa"/>
          <w:bottom w:w="0" w:type="dxa"/>
          <w:right w:w="0" w:type="dxa"/>
        </w:tblCellMar>
        <w:tblLook w:val="01E0"/>
      </w:tblPr>
      <w:tblGrid>
        <w:gridCol w:w="1980"/>
        <w:gridCol w:w="1620"/>
        <w:gridCol w:w="1620"/>
        <w:gridCol w:w="1620"/>
        <w:gridCol w:w="1800"/>
      </w:tblGrid>
      <w:tr>
        <w:trPr>
          <w:trHeight w:val="557" w:hRule="exact"/>
        </w:trPr>
        <w:tc>
          <w:tcPr>
            <w:tcW w:w="19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90"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3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4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4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626"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59" w:hRule="exact"/>
        </w:trPr>
        <w:tc>
          <w:tcPr>
            <w:tcW w:w="19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定期存款利息</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2,366,588.36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29" w:right="0"/>
              <w:jc w:val="left"/>
              <w:rPr>
                <w:rFonts w:ascii="宋体" w:hAnsi="宋体" w:cs="宋体" w:eastAsia="宋体" w:hint="default"/>
                <w:sz w:val="18"/>
                <w:szCs w:val="18"/>
              </w:rPr>
            </w:pPr>
            <w:r>
              <w:rPr>
                <w:rFonts w:ascii="宋体"/>
                <w:sz w:val="18"/>
              </w:rPr>
              <w:t>5,334,164.56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29" w:right="0"/>
              <w:jc w:val="left"/>
              <w:rPr>
                <w:rFonts w:ascii="宋体" w:hAnsi="宋体" w:cs="宋体" w:eastAsia="宋体" w:hint="default"/>
                <w:sz w:val="18"/>
                <w:szCs w:val="18"/>
              </w:rPr>
            </w:pPr>
            <w:r>
              <w:rPr>
                <w:rFonts w:ascii="宋体"/>
                <w:sz w:val="18"/>
              </w:rPr>
              <w:t>5,685,144.25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607" w:right="0"/>
              <w:jc w:val="left"/>
              <w:rPr>
                <w:rFonts w:ascii="宋体" w:hAnsi="宋体" w:cs="宋体" w:eastAsia="宋体" w:hint="default"/>
                <w:sz w:val="18"/>
                <w:szCs w:val="18"/>
              </w:rPr>
            </w:pPr>
            <w:r>
              <w:rPr>
                <w:rFonts w:ascii="宋体"/>
                <w:sz w:val="18"/>
              </w:rPr>
              <w:t>2,015,608.67</w:t>
            </w:r>
          </w:p>
        </w:tc>
      </w:tr>
      <w:tr>
        <w:trPr>
          <w:trHeight w:val="557" w:hRule="exact"/>
        </w:trPr>
        <w:tc>
          <w:tcPr>
            <w:tcW w:w="19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9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2,366,588.36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29" w:right="0"/>
              <w:jc w:val="left"/>
              <w:rPr>
                <w:rFonts w:ascii="宋体" w:hAnsi="宋体" w:cs="宋体" w:eastAsia="宋体" w:hint="default"/>
                <w:sz w:val="18"/>
                <w:szCs w:val="18"/>
              </w:rPr>
            </w:pPr>
            <w:r>
              <w:rPr>
                <w:rFonts w:ascii="宋体"/>
                <w:sz w:val="18"/>
              </w:rPr>
              <w:t>5,334,164.56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29" w:right="0"/>
              <w:jc w:val="left"/>
              <w:rPr>
                <w:rFonts w:ascii="宋体" w:hAnsi="宋体" w:cs="宋体" w:eastAsia="宋体" w:hint="default"/>
                <w:sz w:val="18"/>
                <w:szCs w:val="18"/>
              </w:rPr>
            </w:pPr>
            <w:r>
              <w:rPr>
                <w:rFonts w:ascii="宋体"/>
                <w:sz w:val="18"/>
              </w:rPr>
              <w:t>5,685,144.25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607" w:right="0"/>
              <w:jc w:val="left"/>
              <w:rPr>
                <w:rFonts w:ascii="宋体" w:hAnsi="宋体" w:cs="宋体" w:eastAsia="宋体" w:hint="default"/>
                <w:sz w:val="18"/>
                <w:szCs w:val="18"/>
              </w:rPr>
            </w:pPr>
            <w:r>
              <w:rPr>
                <w:rFonts w:ascii="宋体"/>
                <w:sz w:val="18"/>
              </w:rPr>
              <w:t>2,015,608.67</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before="26"/>
        <w:ind w:left="715" w:right="279"/>
        <w:jc w:val="left"/>
      </w:pPr>
      <w:r>
        <w:rPr/>
        <w:pict>
          <v:group style="position:absolute;margin-left:47.639999pt;margin-top:43.995609pt;width:.1pt;height:10.35pt;mso-position-horizontal-relative:page;mso-position-vertical-relative:paragraph;z-index:4024" coordorigin="953,880" coordsize="2,207">
            <v:shape style="position:absolute;left:953;top:880;width:2;height:207" coordorigin="953,880" coordsize="0,207" path="m953,880l953,1086e" filled="false" stroked="true" strokeweight=".12pt" strokecolor="#000000">
              <v:path arrowok="t"/>
            </v:shape>
            <w10:wrap type="none"/>
          </v:group>
        </w:pict>
      </w:r>
      <w:r>
        <w:rPr/>
        <w:t>6. 其他应收款</w:t>
      </w:r>
    </w:p>
    <w:p>
      <w:pPr>
        <w:spacing w:after="0" w:line="240" w:lineRule="auto"/>
        <w:jc w:val="left"/>
        <w:sectPr>
          <w:pgSz w:w="11910" w:h="16840"/>
          <w:pgMar w:header="745" w:footer="979" w:top="1060" w:bottom="1160" w:left="840" w:right="1020"/>
        </w:sectPr>
      </w:pPr>
    </w:p>
    <w:p>
      <w:pPr>
        <w:spacing w:line="240" w:lineRule="auto" w:before="7"/>
        <w:rPr>
          <w:rFonts w:ascii="宋体" w:hAnsi="宋体" w:cs="宋体" w:eastAsia="宋体" w:hint="default"/>
          <w:sz w:val="26"/>
          <w:szCs w:val="26"/>
        </w:rPr>
      </w:pPr>
      <w:r>
        <w:rPr/>
        <w:pict>
          <v:group style="position:absolute;margin-left:547.559998pt;margin-top:781.919983pt;width:.1pt;height:10.35pt;mso-position-horizontal-relative:page;mso-position-vertical-relative:page;z-index:4048" coordorigin="10951,15638" coordsize="2,207">
            <v:shape style="position:absolute;left:10951;top:15638;width:2;height:207" coordorigin="10951,15638" coordsize="0,207" path="m10951,15638l10951,15845e" filled="false" stroked="true" strokeweight=".12pt" strokecolor="#000000">
              <v:path arrowok="t"/>
            </v:shape>
            <w10:wrap type="none"/>
          </v:group>
        </w:pict>
      </w:r>
    </w:p>
    <w:p>
      <w:pPr>
        <w:pStyle w:val="BodyText"/>
        <w:spacing w:line="240" w:lineRule="auto" w:before="26"/>
        <w:ind w:left="535" w:right="279"/>
        <w:jc w:val="left"/>
      </w:pPr>
      <w:r>
        <w:rPr/>
        <w:t>(1) 明细情况</w:t>
      </w:r>
    </w:p>
    <w:p>
      <w:pPr>
        <w:pStyle w:val="BodyText"/>
        <w:spacing w:line="240" w:lineRule="auto" w:before="197"/>
        <w:ind w:left="535" w:right="279"/>
        <w:jc w:val="left"/>
      </w:pPr>
      <w:r>
        <w:rPr/>
        <w:t>1) 类别明细情况</w:t>
      </w:r>
    </w:p>
    <w:p>
      <w:pPr>
        <w:spacing w:line="240" w:lineRule="auto" w:before="11"/>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970"/>
        <w:gridCol w:w="1373"/>
        <w:gridCol w:w="756"/>
        <w:gridCol w:w="1296"/>
        <w:gridCol w:w="703"/>
        <w:gridCol w:w="1363"/>
        <w:gridCol w:w="756"/>
        <w:gridCol w:w="1116"/>
        <w:gridCol w:w="730"/>
      </w:tblGrid>
      <w:tr>
        <w:trPr>
          <w:trHeight w:val="401" w:hRule="exact"/>
        </w:trPr>
        <w:tc>
          <w:tcPr>
            <w:tcW w:w="97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41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970" w:type="dxa"/>
            <w:vMerge/>
            <w:tcBorders>
              <w:left w:val="nil" w:sz="6" w:space="0" w:color="auto"/>
              <w:right w:val="single" w:sz="4" w:space="0" w:color="000000"/>
            </w:tcBorders>
          </w:tcPr>
          <w:p>
            <w:pPr/>
          </w:p>
        </w:tc>
        <w:tc>
          <w:tcPr>
            <w:tcW w:w="21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3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970" w:type="dxa"/>
            <w:vMerge/>
            <w:tcBorders>
              <w:left w:val="nil" w:sz="6" w:space="0" w:color="auto"/>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9"/>
              <w:jc w:val="center"/>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right"/>
              <w:rPr>
                <w:rFonts w:ascii="宋体" w:hAnsi="宋体" w:cs="宋体" w:eastAsia="宋体" w:hint="default"/>
                <w:sz w:val="18"/>
                <w:szCs w:val="18"/>
              </w:rPr>
            </w:pPr>
            <w:r>
              <w:rPr>
                <w:rFonts w:ascii="宋体" w:hAnsi="宋体" w:cs="宋体" w:eastAsia="宋体" w:hint="default"/>
                <w:spacing w:val="-1"/>
                <w:sz w:val="18"/>
                <w:szCs w:val="18"/>
              </w:rPr>
              <w:t>比例(%)</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pacing w:val="-1"/>
                <w:sz w:val="18"/>
                <w:szCs w:val="18"/>
              </w:rPr>
              <w:t>比例(%)</w:t>
            </w:r>
          </w:p>
        </w:tc>
      </w:tr>
      <w:tr>
        <w:trPr>
          <w:trHeight w:val="1339" w:hRule="exact"/>
        </w:trPr>
        <w:tc>
          <w:tcPr>
            <w:tcW w:w="97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10" w:right="103"/>
              <w:jc w:val="both"/>
              <w:rPr>
                <w:rFonts w:ascii="宋体" w:hAnsi="宋体" w:cs="宋体" w:eastAsia="宋体" w:hint="default"/>
                <w:sz w:val="18"/>
                <w:szCs w:val="18"/>
              </w:rPr>
            </w:pPr>
            <w:r>
              <w:rPr>
                <w:rFonts w:ascii="宋体" w:hAnsi="宋体" w:cs="宋体" w:eastAsia="宋体" w:hint="default"/>
                <w:spacing w:val="6"/>
                <w:sz w:val="18"/>
                <w:szCs w:val="18"/>
              </w:rPr>
              <w:t>单项金额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重大并单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项计提坏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账准备</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1,940,241.10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center"/>
              <w:rPr>
                <w:rFonts w:ascii="宋体" w:hAnsi="宋体" w:cs="宋体" w:eastAsia="宋体" w:hint="default"/>
                <w:sz w:val="18"/>
                <w:szCs w:val="18"/>
              </w:rPr>
            </w:pPr>
            <w:r>
              <w:rPr>
                <w:rFonts w:ascii="宋体"/>
                <w:sz w:val="18"/>
              </w:rPr>
              <w:t>16.04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970,120.55</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50.00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nil" w:sz="6" w:space="0" w:color="auto"/>
            </w:tcBorders>
          </w:tcPr>
          <w:p>
            <w:pPr/>
          </w:p>
        </w:tc>
      </w:tr>
      <w:tr>
        <w:trPr>
          <w:trHeight w:val="1025" w:hRule="exact"/>
        </w:trPr>
        <w:tc>
          <w:tcPr>
            <w:tcW w:w="97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10" w:right="103"/>
              <w:jc w:val="both"/>
              <w:rPr>
                <w:rFonts w:ascii="宋体" w:hAnsi="宋体" w:cs="宋体" w:eastAsia="宋体" w:hint="default"/>
                <w:sz w:val="18"/>
                <w:szCs w:val="18"/>
              </w:rPr>
            </w:pPr>
            <w:r>
              <w:rPr>
                <w:rFonts w:ascii="宋体" w:hAnsi="宋体" w:cs="宋体" w:eastAsia="宋体" w:hint="default"/>
                <w:spacing w:val="6"/>
                <w:sz w:val="18"/>
                <w:szCs w:val="18"/>
              </w:rPr>
              <w:t>按组合计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提坏账准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w:t>
            </w:r>
          </w:p>
        </w:tc>
        <w:tc>
          <w:tcPr>
            <w:tcW w:w="1373"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97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10" w:right="103"/>
              <w:jc w:val="left"/>
              <w:rPr>
                <w:rFonts w:ascii="宋体" w:hAnsi="宋体" w:cs="宋体" w:eastAsia="宋体" w:hint="default"/>
                <w:sz w:val="18"/>
                <w:szCs w:val="18"/>
              </w:rPr>
            </w:pPr>
            <w:r>
              <w:rPr>
                <w:rFonts w:ascii="宋体" w:hAnsi="宋体" w:cs="宋体" w:eastAsia="宋体" w:hint="default"/>
                <w:spacing w:val="6"/>
                <w:sz w:val="18"/>
                <w:szCs w:val="18"/>
              </w:rPr>
              <w:t>账龄分析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法组合</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10,157,761.43</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center"/>
              <w:rPr>
                <w:rFonts w:ascii="宋体" w:hAnsi="宋体" w:cs="宋体" w:eastAsia="宋体" w:hint="default"/>
                <w:sz w:val="18"/>
                <w:szCs w:val="18"/>
              </w:rPr>
            </w:pPr>
            <w:r>
              <w:rPr>
                <w:rFonts w:ascii="宋体"/>
                <w:sz w:val="18"/>
              </w:rPr>
              <w:t>83.96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920,477.95</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9.06</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center"/>
              <w:rPr>
                <w:rFonts w:ascii="宋体" w:hAnsi="宋体" w:cs="宋体" w:eastAsia="宋体" w:hint="default"/>
                <w:sz w:val="18"/>
                <w:szCs w:val="18"/>
              </w:rPr>
            </w:pPr>
            <w:r>
              <w:rPr>
                <w:rFonts w:ascii="宋体"/>
                <w:sz w:val="18"/>
              </w:rPr>
              <w:t>9,449,622.78</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sz w:val="18"/>
              </w:rPr>
              <w:t>100.00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sz w:val="18"/>
              </w:rPr>
              <w:t>652,255.56</w:t>
            </w:r>
          </w:p>
        </w:tc>
        <w:tc>
          <w:tcPr>
            <w:tcW w:w="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z w:val="18"/>
              </w:rPr>
              <w:t>6.90</w:t>
            </w:r>
          </w:p>
        </w:tc>
      </w:tr>
      <w:tr>
        <w:trPr>
          <w:trHeight w:val="713" w:hRule="exact"/>
        </w:trPr>
        <w:tc>
          <w:tcPr>
            <w:tcW w:w="97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10" w:right="103"/>
              <w:jc w:val="left"/>
              <w:rPr>
                <w:rFonts w:ascii="宋体" w:hAnsi="宋体" w:cs="宋体" w:eastAsia="宋体" w:hint="default"/>
                <w:sz w:val="18"/>
                <w:szCs w:val="18"/>
              </w:rPr>
            </w:pPr>
            <w:r>
              <w:rPr>
                <w:rFonts w:ascii="宋体" w:hAnsi="宋体" w:cs="宋体" w:eastAsia="宋体" w:hint="default"/>
                <w:spacing w:val="6"/>
                <w:sz w:val="18"/>
                <w:szCs w:val="18"/>
              </w:rPr>
              <w:t>余额百分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比法组合</w:t>
            </w:r>
          </w:p>
        </w:tc>
        <w:tc>
          <w:tcPr>
            <w:tcW w:w="1373"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90"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89"/>
              <w:jc w:val="right"/>
              <w:rPr>
                <w:rFonts w:ascii="宋体" w:hAnsi="宋体" w:cs="宋体" w:eastAsia="宋体" w:hint="default"/>
                <w:sz w:val="18"/>
                <w:szCs w:val="18"/>
              </w:rPr>
            </w:pPr>
            <w:r>
              <w:rPr>
                <w:rFonts w:ascii="宋体"/>
                <w:spacing w:val="-1"/>
                <w:sz w:val="18"/>
              </w:rPr>
              <w:t>12,098,002.53</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 w:right="0"/>
              <w:jc w:val="center"/>
              <w:rPr>
                <w:rFonts w:ascii="宋体" w:hAnsi="宋体" w:cs="宋体" w:eastAsia="宋体" w:hint="default"/>
                <w:sz w:val="18"/>
                <w:szCs w:val="18"/>
              </w:rPr>
            </w:pPr>
            <w:r>
              <w:rPr>
                <w:rFonts w:ascii="宋体"/>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pacing w:val="-1"/>
                <w:sz w:val="18"/>
              </w:rPr>
              <w:t>1,890,598.50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15.63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3" w:right="0"/>
              <w:jc w:val="center"/>
              <w:rPr>
                <w:rFonts w:ascii="宋体" w:hAnsi="宋体" w:cs="宋体" w:eastAsia="宋体" w:hint="default"/>
                <w:sz w:val="18"/>
                <w:szCs w:val="18"/>
              </w:rPr>
            </w:pPr>
            <w:r>
              <w:rPr>
                <w:rFonts w:ascii="宋体"/>
                <w:sz w:val="18"/>
              </w:rPr>
              <w:t>9,449,622.78</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 w:right="0"/>
              <w:jc w:val="center"/>
              <w:rPr>
                <w:rFonts w:ascii="宋体" w:hAnsi="宋体" w:cs="宋体" w:eastAsia="宋体" w:hint="default"/>
                <w:sz w:val="18"/>
                <w:szCs w:val="18"/>
              </w:rPr>
            </w:pPr>
            <w:r>
              <w:rPr>
                <w:rFonts w:ascii="宋体"/>
                <w:sz w:val="18"/>
              </w:rPr>
              <w:t>100.00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 w:right="0"/>
              <w:jc w:val="center"/>
              <w:rPr>
                <w:rFonts w:ascii="宋体" w:hAnsi="宋体" w:cs="宋体" w:eastAsia="宋体" w:hint="default"/>
                <w:sz w:val="18"/>
                <w:szCs w:val="18"/>
              </w:rPr>
            </w:pPr>
            <w:r>
              <w:rPr>
                <w:rFonts w:ascii="宋体"/>
                <w:sz w:val="18"/>
              </w:rPr>
              <w:t>652,255.56</w:t>
            </w:r>
          </w:p>
        </w:tc>
        <w:tc>
          <w:tcPr>
            <w:tcW w:w="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z w:val="18"/>
              </w:rPr>
              <w:t>6.90</w:t>
            </w:r>
          </w:p>
        </w:tc>
      </w:tr>
      <w:tr>
        <w:trPr>
          <w:trHeight w:val="1649" w:hRule="exact"/>
        </w:trPr>
        <w:tc>
          <w:tcPr>
            <w:tcW w:w="97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10" w:right="103"/>
              <w:jc w:val="both"/>
              <w:rPr>
                <w:rFonts w:ascii="宋体" w:hAnsi="宋体" w:cs="宋体" w:eastAsia="宋体" w:hint="default"/>
                <w:sz w:val="18"/>
                <w:szCs w:val="18"/>
              </w:rPr>
            </w:pPr>
            <w:r>
              <w:rPr>
                <w:rFonts w:ascii="宋体" w:hAnsi="宋体" w:cs="宋体" w:eastAsia="宋体" w:hint="default"/>
                <w:spacing w:val="6"/>
                <w:sz w:val="18"/>
                <w:szCs w:val="18"/>
              </w:rPr>
              <w:t>单项金额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虽不重大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但单项计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提坏账准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w:t>
            </w:r>
          </w:p>
        </w:tc>
        <w:tc>
          <w:tcPr>
            <w:tcW w:w="1373"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89"/>
              <w:jc w:val="right"/>
              <w:rPr>
                <w:rFonts w:ascii="宋体" w:hAnsi="宋体" w:cs="宋体" w:eastAsia="宋体" w:hint="default"/>
                <w:sz w:val="18"/>
                <w:szCs w:val="18"/>
              </w:rPr>
            </w:pPr>
            <w:r>
              <w:rPr>
                <w:rFonts w:ascii="宋体"/>
                <w:spacing w:val="-1"/>
                <w:sz w:val="18"/>
              </w:rPr>
              <w:t>12,098,002.53</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6" w:right="0"/>
              <w:jc w:val="center"/>
              <w:rPr>
                <w:rFonts w:ascii="宋体" w:hAnsi="宋体" w:cs="宋体" w:eastAsia="宋体" w:hint="default"/>
                <w:sz w:val="18"/>
                <w:szCs w:val="18"/>
              </w:rPr>
            </w:pPr>
            <w:r>
              <w:rPr>
                <w:rFonts w:ascii="宋体"/>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7"/>
              <w:jc w:val="right"/>
              <w:rPr>
                <w:rFonts w:ascii="宋体" w:hAnsi="宋体" w:cs="宋体" w:eastAsia="宋体" w:hint="default"/>
                <w:sz w:val="18"/>
                <w:szCs w:val="18"/>
              </w:rPr>
            </w:pPr>
            <w:r>
              <w:rPr>
                <w:rFonts w:ascii="宋体"/>
                <w:spacing w:val="-1"/>
                <w:sz w:val="18"/>
              </w:rPr>
              <w:t>1,890,598.50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pacing w:val="-1"/>
                <w:sz w:val="18"/>
              </w:rPr>
              <w:t>15.63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3" w:right="0"/>
              <w:jc w:val="center"/>
              <w:rPr>
                <w:rFonts w:ascii="宋体" w:hAnsi="宋体" w:cs="宋体" w:eastAsia="宋体" w:hint="default"/>
                <w:sz w:val="18"/>
                <w:szCs w:val="18"/>
              </w:rPr>
            </w:pPr>
            <w:r>
              <w:rPr>
                <w:rFonts w:ascii="宋体"/>
                <w:sz w:val="18"/>
              </w:rPr>
              <w:t>9,449,622.78</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6" w:right="0"/>
              <w:jc w:val="center"/>
              <w:rPr>
                <w:rFonts w:ascii="宋体" w:hAnsi="宋体" w:cs="宋体" w:eastAsia="宋体" w:hint="default"/>
                <w:sz w:val="18"/>
                <w:szCs w:val="18"/>
              </w:rPr>
            </w:pPr>
            <w:r>
              <w:rPr>
                <w:rFonts w:ascii="宋体"/>
                <w:sz w:val="18"/>
              </w:rPr>
              <w:t>100.00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6" w:right="0"/>
              <w:jc w:val="center"/>
              <w:rPr>
                <w:rFonts w:ascii="宋体" w:hAnsi="宋体" w:cs="宋体" w:eastAsia="宋体" w:hint="default"/>
                <w:sz w:val="18"/>
                <w:szCs w:val="18"/>
              </w:rPr>
            </w:pPr>
            <w:r>
              <w:rPr>
                <w:rFonts w:ascii="宋体"/>
                <w:sz w:val="18"/>
              </w:rPr>
              <w:t>652,255.56</w:t>
            </w:r>
          </w:p>
        </w:tc>
        <w:tc>
          <w:tcPr>
            <w:tcW w:w="7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z w:val="18"/>
              </w:rPr>
              <w:t>6.90</w:t>
            </w:r>
          </w:p>
        </w:tc>
      </w:tr>
    </w:tbl>
    <w:p>
      <w:pPr>
        <w:pStyle w:val="BodyText"/>
        <w:spacing w:line="240" w:lineRule="auto" w:before="0"/>
        <w:ind w:left="535" w:right="279"/>
        <w:jc w:val="left"/>
      </w:pPr>
      <w:r>
        <w:rPr/>
        <w:t>2) 单项金额重大并单项计提坏账准备的其他应收款</w:t>
      </w:r>
    </w:p>
    <w:p>
      <w:pPr>
        <w:spacing w:line="240" w:lineRule="auto" w:before="11"/>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1985"/>
        <w:gridCol w:w="1476"/>
        <w:gridCol w:w="1267"/>
        <w:gridCol w:w="943"/>
        <w:gridCol w:w="2410"/>
      </w:tblGrid>
      <w:tr>
        <w:trPr>
          <w:trHeight w:val="559"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29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7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6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7"/>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2"/>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557"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代垫社保费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pacing w:val="-1"/>
                <w:sz w:val="18"/>
              </w:rPr>
              <w:t>1,940,241.10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54" w:right="0"/>
              <w:jc w:val="left"/>
              <w:rPr>
                <w:rFonts w:ascii="宋体" w:hAnsi="宋体" w:cs="宋体" w:eastAsia="宋体" w:hint="default"/>
                <w:sz w:val="18"/>
                <w:szCs w:val="18"/>
              </w:rPr>
            </w:pPr>
            <w:r>
              <w:rPr>
                <w:rFonts w:ascii="宋体"/>
                <w:sz w:val="18"/>
              </w:rPr>
              <w:t>970,120.55</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50.00%</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按预计可收回金额确定</w:t>
            </w:r>
          </w:p>
        </w:tc>
      </w:tr>
      <w:tr>
        <w:trPr>
          <w:trHeight w:val="559"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290"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7"/>
              <w:jc w:val="right"/>
              <w:rPr>
                <w:rFonts w:ascii="宋体" w:hAnsi="宋体" w:cs="宋体" w:eastAsia="宋体" w:hint="default"/>
                <w:sz w:val="18"/>
                <w:szCs w:val="18"/>
              </w:rPr>
            </w:pPr>
            <w:r>
              <w:rPr>
                <w:rFonts w:ascii="宋体"/>
                <w:spacing w:val="-1"/>
                <w:sz w:val="18"/>
              </w:rPr>
              <w:t>1,940,241.10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54" w:right="0"/>
              <w:jc w:val="left"/>
              <w:rPr>
                <w:rFonts w:ascii="宋体" w:hAnsi="宋体" w:cs="宋体" w:eastAsia="宋体" w:hint="default"/>
                <w:sz w:val="18"/>
                <w:szCs w:val="18"/>
              </w:rPr>
            </w:pPr>
            <w:r>
              <w:rPr>
                <w:rFonts w:ascii="宋体"/>
                <w:sz w:val="18"/>
              </w:rPr>
              <w:t>970,120.55</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50.00%</w:t>
            </w:r>
          </w:p>
        </w:tc>
        <w:tc>
          <w:tcPr>
            <w:tcW w:w="2410"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0"/>
        <w:ind w:left="535" w:right="279"/>
        <w:jc w:val="left"/>
      </w:pPr>
      <w:r>
        <w:rPr/>
        <w:t>3) 组合中，采用账龄分析法计提坏账准备的其他应收款</w:t>
      </w:r>
    </w:p>
    <w:p>
      <w:pPr>
        <w:spacing w:line="240" w:lineRule="auto" w:before="0"/>
        <w:rPr>
          <w:rFonts w:ascii="宋体" w:hAnsi="宋体" w:cs="宋体" w:eastAsia="宋体" w:hint="default"/>
          <w:sz w:val="15"/>
          <w:szCs w:val="15"/>
        </w:rPr>
      </w:pPr>
    </w:p>
    <w:tbl>
      <w:tblPr>
        <w:tblW w:w="0" w:type="auto"/>
        <w:jc w:val="left"/>
        <w:tblInd w:w="107" w:type="dxa"/>
        <w:tblLayout w:type="fixed"/>
        <w:tblCellMar>
          <w:top w:w="0" w:type="dxa"/>
          <w:left w:w="0" w:type="dxa"/>
          <w:bottom w:w="0" w:type="dxa"/>
          <w:right w:w="0" w:type="dxa"/>
        </w:tblCellMar>
        <w:tblLook w:val="01E0"/>
      </w:tblPr>
      <w:tblGrid>
        <w:gridCol w:w="1018"/>
        <w:gridCol w:w="1598"/>
        <w:gridCol w:w="1020"/>
        <w:gridCol w:w="1296"/>
        <w:gridCol w:w="1416"/>
        <w:gridCol w:w="876"/>
        <w:gridCol w:w="1236"/>
      </w:tblGrid>
      <w:tr>
        <w:trPr>
          <w:trHeight w:val="338" w:hRule="exact"/>
        </w:trPr>
        <w:tc>
          <w:tcPr>
            <w:tcW w:w="101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290"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39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28"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18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1" w:hRule="exact"/>
        </w:trPr>
        <w:tc>
          <w:tcPr>
            <w:tcW w:w="1018" w:type="dxa"/>
            <w:vMerge/>
            <w:tcBorders>
              <w:left w:val="nil" w:sz="6" w:space="0" w:color="auto"/>
              <w:right w:val="single" w:sz="4" w:space="0" w:color="000000"/>
            </w:tcBorders>
          </w:tcPr>
          <w:p>
            <w:pPr/>
          </w:p>
        </w:tc>
        <w:tc>
          <w:tcPr>
            <w:tcW w:w="26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36" w:type="dxa"/>
            <w:vMerge w:val="restart"/>
            <w:tcBorders>
              <w:top w:val="single" w:sz="4" w:space="0" w:color="000000"/>
              <w:left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018" w:type="dxa"/>
            <w:vMerge/>
            <w:tcBorders>
              <w:left w:val="nil" w:sz="6" w:space="0" w:color="auto"/>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96"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4"/>
              <w:jc w:val="right"/>
              <w:rPr>
                <w:rFonts w:ascii="宋体" w:hAnsi="宋体" w:cs="宋体" w:eastAsia="宋体" w:hint="default"/>
                <w:sz w:val="18"/>
                <w:szCs w:val="18"/>
              </w:rPr>
            </w:pPr>
            <w:r>
              <w:rPr>
                <w:rFonts w:ascii="宋体" w:hAnsi="宋体" w:cs="宋体" w:eastAsia="宋体" w:hint="default"/>
                <w:spacing w:val="-1"/>
                <w:sz w:val="18"/>
                <w:szCs w:val="18"/>
              </w:rPr>
              <w:t>比例(%)</w:t>
            </w:r>
          </w:p>
        </w:tc>
        <w:tc>
          <w:tcPr>
            <w:tcW w:w="1236" w:type="dxa"/>
            <w:vMerge/>
            <w:tcBorders>
              <w:left w:val="single" w:sz="4" w:space="0" w:color="000000"/>
              <w:bottom w:val="single" w:sz="4" w:space="0" w:color="000000"/>
              <w:right w:val="nil" w:sz="6" w:space="0" w:color="auto"/>
            </w:tcBorders>
          </w:tcPr>
          <w:p>
            <w:pPr/>
          </w:p>
        </w:tc>
      </w:tr>
      <w:tr>
        <w:trPr>
          <w:trHeight w:val="559" w:hRule="exact"/>
        </w:trPr>
        <w:tc>
          <w:tcPr>
            <w:tcW w:w="1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6,684,055.22</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65.80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334,202.75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23" w:right="0"/>
              <w:jc w:val="center"/>
              <w:rPr>
                <w:rFonts w:ascii="宋体" w:hAnsi="宋体" w:cs="宋体" w:eastAsia="宋体" w:hint="default"/>
                <w:sz w:val="18"/>
                <w:szCs w:val="18"/>
              </w:rPr>
            </w:pPr>
            <w:r>
              <w:rPr>
                <w:rFonts w:ascii="宋体"/>
                <w:sz w:val="18"/>
              </w:rPr>
              <w:t>7,361,288.38</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77.90</w:t>
            </w:r>
          </w:p>
        </w:tc>
        <w:tc>
          <w:tcPr>
            <w:tcW w:w="1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368,064.42</w:t>
            </w:r>
          </w:p>
        </w:tc>
      </w:tr>
      <w:tr>
        <w:trPr>
          <w:trHeight w:val="557" w:hRule="exact"/>
        </w:trPr>
        <w:tc>
          <w:tcPr>
            <w:tcW w:w="1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2,823,268.81</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27.79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282,326.88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23" w:right="0"/>
              <w:jc w:val="center"/>
              <w:rPr>
                <w:rFonts w:ascii="宋体" w:hAnsi="宋体" w:cs="宋体" w:eastAsia="宋体" w:hint="default"/>
                <w:sz w:val="18"/>
                <w:szCs w:val="18"/>
              </w:rPr>
            </w:pPr>
            <w:r>
              <w:rPr>
                <w:rFonts w:ascii="宋体"/>
                <w:sz w:val="18"/>
              </w:rPr>
              <w:t>1,929,781.40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20.42</w:t>
            </w:r>
          </w:p>
        </w:tc>
        <w:tc>
          <w:tcPr>
            <w:tcW w:w="1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192,978.14</w:t>
            </w:r>
          </w:p>
        </w:tc>
      </w:tr>
    </w:tbl>
    <w:p>
      <w:pPr>
        <w:spacing w:after="0" w:line="240" w:lineRule="auto"/>
        <w:jc w:val="right"/>
        <w:rPr>
          <w:rFonts w:ascii="宋体" w:hAnsi="宋体" w:cs="宋体" w:eastAsia="宋体" w:hint="default"/>
          <w:sz w:val="18"/>
          <w:szCs w:val="18"/>
        </w:rPr>
        <w:sectPr>
          <w:pgSz w:w="11910" w:h="16840"/>
          <w:pgMar w:header="745" w:footer="979" w:top="1060" w:bottom="1160" w:left="1020" w:right="840"/>
        </w:sectPr>
      </w:pPr>
    </w:p>
    <w:p>
      <w:pPr>
        <w:spacing w:line="240" w:lineRule="auto" w:before="6"/>
        <w:rPr>
          <w:rFonts w:ascii="宋体" w:hAnsi="宋体" w:cs="宋体" w:eastAsia="宋体" w:hint="default"/>
          <w:sz w:val="28"/>
          <w:szCs w:val="28"/>
        </w:rPr>
      </w:pPr>
    </w:p>
    <w:tbl>
      <w:tblPr>
        <w:tblW w:w="0" w:type="auto"/>
        <w:jc w:val="left"/>
        <w:tblInd w:w="287" w:type="dxa"/>
        <w:tblLayout w:type="fixed"/>
        <w:tblCellMar>
          <w:top w:w="0" w:type="dxa"/>
          <w:left w:w="0" w:type="dxa"/>
          <w:bottom w:w="0" w:type="dxa"/>
          <w:right w:w="0" w:type="dxa"/>
        </w:tblCellMar>
        <w:tblLook w:val="01E0"/>
      </w:tblPr>
      <w:tblGrid>
        <w:gridCol w:w="1018"/>
        <w:gridCol w:w="1598"/>
        <w:gridCol w:w="1020"/>
        <w:gridCol w:w="1296"/>
        <w:gridCol w:w="1416"/>
        <w:gridCol w:w="876"/>
        <w:gridCol w:w="1236"/>
      </w:tblGrid>
      <w:tr>
        <w:trPr>
          <w:trHeight w:val="557" w:hRule="exact"/>
        </w:trPr>
        <w:tc>
          <w:tcPr>
            <w:tcW w:w="1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494,984.40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4.87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148,495.32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96,200.00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1.02</w:t>
            </w:r>
          </w:p>
        </w:tc>
        <w:tc>
          <w:tcPr>
            <w:tcW w:w="1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28,860.00</w:t>
            </w:r>
          </w:p>
        </w:tc>
      </w:tr>
      <w:tr>
        <w:trPr>
          <w:trHeight w:val="559" w:hRule="exact"/>
        </w:trPr>
        <w:tc>
          <w:tcPr>
            <w:tcW w:w="1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115,994.00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1.14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115,994.00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19,794.00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0.21</w:t>
            </w:r>
          </w:p>
        </w:tc>
        <w:tc>
          <w:tcPr>
            <w:tcW w:w="1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19,794.00</w:t>
            </w:r>
          </w:p>
        </w:tc>
      </w:tr>
      <w:tr>
        <w:trPr>
          <w:trHeight w:val="557" w:hRule="exact"/>
        </w:trPr>
        <w:tc>
          <w:tcPr>
            <w:tcW w:w="1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5 年以上</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39,459.00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0.40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39,459.00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42,559.00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0.45</w:t>
            </w:r>
          </w:p>
        </w:tc>
        <w:tc>
          <w:tcPr>
            <w:tcW w:w="1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42,559.00</w:t>
            </w:r>
          </w:p>
        </w:tc>
      </w:tr>
      <w:tr>
        <w:trPr>
          <w:trHeight w:val="559" w:hRule="exact"/>
        </w:trPr>
        <w:tc>
          <w:tcPr>
            <w:tcW w:w="1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290"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10,157,761.43</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920,477.95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9,449,622.78</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100.00</w:t>
            </w:r>
          </w:p>
        </w:tc>
        <w:tc>
          <w:tcPr>
            <w:tcW w:w="1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652,255.56</w:t>
            </w:r>
          </w:p>
        </w:tc>
      </w:tr>
    </w:tbl>
    <w:p>
      <w:pPr>
        <w:pStyle w:val="BodyText"/>
        <w:spacing w:line="391" w:lineRule="auto" w:before="0"/>
        <w:ind w:left="715" w:right="1751"/>
        <w:jc w:val="left"/>
      </w:pPr>
      <w:r>
        <w:rPr/>
        <w:t>(2) 期末无应收持有公司</w:t>
      </w:r>
      <w:r>
        <w:rPr>
          <w:spacing w:val="-60"/>
        </w:rPr>
        <w:t> </w:t>
      </w:r>
      <w:r>
        <w:rPr/>
        <w:t>5%以上（含</w:t>
      </w:r>
      <w:r>
        <w:rPr>
          <w:spacing w:val="-60"/>
        </w:rPr>
        <w:t> </w:t>
      </w:r>
      <w:r>
        <w:rPr/>
        <w:t>5%）表决权股份的股东单位款项。</w:t>
      </w:r>
      <w:r>
        <w:rPr/>
        <w:t> (3) 其他应收款金额前</w:t>
      </w:r>
      <w:r>
        <w:rPr>
          <w:spacing w:val="-60"/>
        </w:rPr>
        <w:t> </w:t>
      </w:r>
      <w:r>
        <w:rPr/>
        <w:t>5</w:t>
      </w:r>
      <w:r>
        <w:rPr>
          <w:spacing w:val="-60"/>
        </w:rPr>
        <w:t> </w:t>
      </w:r>
      <w:r>
        <w:rPr/>
        <w:t>名情况</w:t>
      </w:r>
    </w:p>
    <w:p>
      <w:pPr>
        <w:spacing w:line="240" w:lineRule="auto" w:before="4"/>
        <w:rPr>
          <w:rFonts w:ascii="宋体" w:hAnsi="宋体" w:cs="宋体" w:eastAsia="宋体" w:hint="default"/>
          <w:sz w:val="3"/>
          <w:szCs w:val="3"/>
        </w:rPr>
      </w:pPr>
    </w:p>
    <w:tbl>
      <w:tblPr>
        <w:tblW w:w="0" w:type="auto"/>
        <w:jc w:val="left"/>
        <w:tblInd w:w="287" w:type="dxa"/>
        <w:tblLayout w:type="fixed"/>
        <w:tblCellMar>
          <w:top w:w="0" w:type="dxa"/>
          <w:left w:w="0" w:type="dxa"/>
          <w:bottom w:w="0" w:type="dxa"/>
          <w:right w:w="0" w:type="dxa"/>
        </w:tblCellMar>
        <w:tblLook w:val="01E0"/>
      </w:tblPr>
      <w:tblGrid>
        <w:gridCol w:w="2410"/>
        <w:gridCol w:w="962"/>
        <w:gridCol w:w="1296"/>
        <w:gridCol w:w="1711"/>
        <w:gridCol w:w="1272"/>
        <w:gridCol w:w="1111"/>
      </w:tblGrid>
      <w:tr>
        <w:trPr>
          <w:trHeight w:val="754"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90" w:right="0"/>
              <w:jc w:val="left"/>
              <w:rPr>
                <w:rFonts w:ascii="宋体" w:hAnsi="宋体" w:cs="宋体" w:eastAsia="宋体" w:hint="default"/>
                <w:sz w:val="18"/>
                <w:szCs w:val="18"/>
              </w:rPr>
            </w:pPr>
            <w:bookmarkStart w:name="单位名称/款项内容" w:id="116"/>
            <w:bookmarkEnd w:id="116"/>
            <w:r>
              <w:rPr/>
            </w:r>
            <w:bookmarkStart w:name="与本公司" w:id="117"/>
            <w:bookmarkEnd w:id="117"/>
            <w:r>
              <w:rPr/>
            </w:r>
            <w:bookmarkStart w:name="关系" w:id="118"/>
            <w:bookmarkEnd w:id="118"/>
            <w:r>
              <w:rPr/>
            </w:r>
            <w:bookmarkStart w:name="账面" w:id="119"/>
            <w:bookmarkEnd w:id="119"/>
            <w:r>
              <w:rPr/>
            </w:r>
            <w:bookmarkStart w:name="余额" w:id="120"/>
            <w:bookmarkEnd w:id="120"/>
            <w:r>
              <w:rPr/>
            </w:r>
            <w:bookmarkStart w:name="账龄" w:id="121"/>
            <w:bookmarkEnd w:id="121"/>
            <w:r>
              <w:rPr/>
            </w:r>
            <w:bookmarkStart w:name="占其他应收款" w:id="122"/>
            <w:bookmarkEnd w:id="122"/>
            <w:r>
              <w:rPr/>
            </w:r>
            <w:bookmarkStart w:name="余额的比例(%)" w:id="123"/>
            <w:bookmarkEnd w:id="123"/>
            <w:r>
              <w:rPr/>
            </w:r>
            <w:bookmarkStart w:name="款项性质" w:id="124"/>
            <w:bookmarkEnd w:id="124"/>
            <w:r>
              <w:rPr/>
            </w:r>
            <w:bookmarkStart w:name="或内容" w:id="125"/>
            <w:bookmarkEnd w:id="125"/>
            <w:r>
              <w:rPr/>
            </w:r>
            <w:r>
              <w:rPr>
                <w:rFonts w:ascii="宋体" w:hAnsi="宋体" w:cs="宋体" w:eastAsia="宋体" w:hint="default"/>
                <w:sz w:val="18"/>
                <w:szCs w:val="18"/>
              </w:rPr>
              <w:t>单位名称/款项内容</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309" w:right="101"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475" w:right="449"/>
              <w:jc w:val="center"/>
              <w:rPr>
                <w:rFonts w:ascii="宋体" w:hAnsi="宋体" w:cs="宋体" w:eastAsia="宋体" w:hint="default"/>
                <w:sz w:val="18"/>
                <w:szCs w:val="18"/>
              </w:rPr>
            </w:pPr>
            <w:r>
              <w:rPr>
                <w:rFonts w:ascii="宋体" w:hAnsi="宋体" w:cs="宋体" w:eastAsia="宋体" w:hint="default"/>
                <w:sz w:val="18"/>
                <w:szCs w:val="18"/>
              </w:rPr>
              <w:t>账面 余额</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6"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60" w:right="30" w:firstLine="45"/>
              <w:jc w:val="left"/>
              <w:rPr>
                <w:rFonts w:ascii="宋体" w:hAnsi="宋体" w:cs="宋体" w:eastAsia="宋体" w:hint="default"/>
                <w:sz w:val="18"/>
                <w:szCs w:val="18"/>
              </w:rPr>
            </w:pPr>
            <w:r>
              <w:rPr>
                <w:rFonts w:ascii="宋体" w:hAnsi="宋体" w:cs="宋体" w:eastAsia="宋体" w:hint="default"/>
                <w:sz w:val="18"/>
                <w:szCs w:val="18"/>
              </w:rPr>
              <w:t>占其他应收款 余额的比例(%)</w:t>
            </w:r>
          </w:p>
        </w:tc>
        <w:tc>
          <w:tcPr>
            <w:tcW w:w="1111"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51"/>
              <w:ind w:left="295" w:right="180" w:hanging="92"/>
              <w:jc w:val="left"/>
              <w:rPr>
                <w:rFonts w:ascii="宋体" w:hAnsi="宋体" w:cs="宋体" w:eastAsia="宋体" w:hint="default"/>
                <w:sz w:val="18"/>
                <w:szCs w:val="18"/>
              </w:rPr>
            </w:pPr>
            <w:r>
              <w:rPr>
                <w:rFonts w:ascii="宋体" w:hAnsi="宋体" w:cs="宋体" w:eastAsia="宋体" w:hint="default"/>
                <w:sz w:val="18"/>
                <w:szCs w:val="18"/>
              </w:rPr>
              <w:t>款项性质 或内容</w:t>
            </w:r>
          </w:p>
        </w:tc>
      </w:tr>
      <w:tr>
        <w:trPr>
          <w:trHeight w:val="559"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bookmarkStart w:name="非关联方" w:id="126"/>
            <w:bookmarkEnd w:id="126"/>
            <w:r>
              <w:rPr/>
            </w:r>
            <w:bookmarkStart w:name="暂垫款" w:id="127"/>
            <w:bookmarkEnd w:id="127"/>
            <w:r>
              <w:rPr/>
            </w:r>
            <w:r>
              <w:rPr>
                <w:rFonts w:ascii="宋体" w:hAnsi="宋体" w:cs="宋体" w:eastAsia="宋体" w:hint="default"/>
                <w:sz w:val="18"/>
                <w:szCs w:val="18"/>
              </w:rPr>
              <w:t>代垫社保费</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1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1,940,241.10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16.04</w:t>
            </w:r>
          </w:p>
        </w:tc>
        <w:tc>
          <w:tcPr>
            <w:tcW w:w="11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暂垫款</w:t>
            </w:r>
          </w:p>
        </w:tc>
      </w:tr>
      <w:tr>
        <w:trPr>
          <w:trHeight w:val="446" w:hRule="exact"/>
        </w:trPr>
        <w:tc>
          <w:tcPr>
            <w:tcW w:w="241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0" w:right="0"/>
              <w:jc w:val="left"/>
              <w:rPr>
                <w:rFonts w:ascii="宋体" w:hAnsi="宋体" w:cs="宋体" w:eastAsia="宋体" w:hint="default"/>
                <w:sz w:val="18"/>
                <w:szCs w:val="18"/>
              </w:rPr>
            </w:pPr>
            <w:bookmarkStart w:name="非关联方" w:id="128"/>
            <w:bookmarkEnd w:id="128"/>
            <w:r>
              <w:rPr/>
            </w:r>
            <w:bookmarkStart w:name="质保金/投标保证金" w:id="129"/>
            <w:bookmarkEnd w:id="129"/>
            <w:r>
              <w:rPr/>
            </w:r>
            <w:r>
              <w:rPr>
                <w:rFonts w:ascii="宋体" w:hAnsi="宋体" w:cs="宋体" w:eastAsia="宋体" w:hint="default"/>
                <w:sz w:val="18"/>
                <w:szCs w:val="18"/>
              </w:rPr>
              <w:t>浙江省政府采购中心</w:t>
            </w:r>
          </w:p>
        </w:tc>
        <w:tc>
          <w:tcPr>
            <w:tcW w:w="9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7"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pacing w:val="-1"/>
                <w:sz w:val="18"/>
              </w:rPr>
              <w:t>363,390.00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10" w:right="0"/>
              <w:jc w:val="left"/>
              <w:rPr>
                <w:rFonts w:ascii="宋体" w:hAnsi="宋体" w:cs="宋体" w:eastAsia="宋体" w:hint="default"/>
                <w:sz w:val="18"/>
                <w:szCs w:val="18"/>
              </w:rPr>
            </w:pPr>
            <w:r>
              <w:rPr>
                <w:rFonts w:ascii="宋体"/>
                <w:sz w:val="18"/>
              </w:rPr>
              <w:t>12.03</w:t>
            </w:r>
          </w:p>
        </w:tc>
        <w:tc>
          <w:tcPr>
            <w:tcW w:w="1111" w:type="dxa"/>
            <w:vMerge w:val="restart"/>
            <w:tcBorders>
              <w:top w:val="single" w:sz="4" w:space="0" w:color="000000"/>
              <w:left w:val="single" w:sz="4" w:space="0" w:color="000000"/>
              <w:right w:val="nil" w:sz="6" w:space="0" w:color="auto"/>
            </w:tcBorders>
          </w:tcPr>
          <w:p>
            <w:pPr>
              <w:pStyle w:val="TableParagraph"/>
              <w:spacing w:line="477" w:lineRule="auto" w:before="128"/>
              <w:ind w:left="192" w:right="146" w:hanging="46"/>
              <w:jc w:val="left"/>
              <w:rPr>
                <w:rFonts w:ascii="宋体" w:hAnsi="宋体" w:cs="宋体" w:eastAsia="宋体" w:hint="default"/>
                <w:sz w:val="18"/>
                <w:szCs w:val="18"/>
              </w:rPr>
            </w:pPr>
            <w:r>
              <w:rPr>
                <w:rFonts w:ascii="宋体" w:hAnsi="宋体" w:cs="宋体" w:eastAsia="宋体" w:hint="default"/>
                <w:sz w:val="18"/>
                <w:szCs w:val="18"/>
              </w:rPr>
              <w:t>质保金/投 标保证金</w:t>
            </w:r>
          </w:p>
        </w:tc>
      </w:tr>
      <w:tr>
        <w:trPr>
          <w:trHeight w:val="578" w:hRule="exact"/>
        </w:trPr>
        <w:tc>
          <w:tcPr>
            <w:tcW w:w="2410" w:type="dxa"/>
            <w:vMerge/>
            <w:tcBorders>
              <w:left w:val="nil" w:sz="6" w:space="0" w:color="auto"/>
              <w:bottom w:val="single" w:sz="4" w:space="0" w:color="000000"/>
              <w:right w:val="single" w:sz="4" w:space="0" w:color="000000"/>
            </w:tcBorders>
          </w:tcPr>
          <w:p>
            <w:pPr/>
          </w:p>
        </w:tc>
        <w:tc>
          <w:tcPr>
            <w:tcW w:w="962" w:type="dxa"/>
            <w:vMerge/>
            <w:tcBorders>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1"/>
              <w:jc w:val="right"/>
              <w:rPr>
                <w:rFonts w:ascii="宋体" w:hAnsi="宋体" w:cs="宋体" w:eastAsia="宋体" w:hint="default"/>
                <w:sz w:val="18"/>
                <w:szCs w:val="18"/>
              </w:rPr>
            </w:pPr>
            <w:r>
              <w:rPr>
                <w:rFonts w:ascii="宋体"/>
                <w:spacing w:val="-1"/>
                <w:sz w:val="18"/>
              </w:rPr>
              <w:t>1,091,520.50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272" w:type="dxa"/>
            <w:vMerge/>
            <w:tcBorders>
              <w:left w:val="single" w:sz="4" w:space="0" w:color="000000"/>
              <w:bottom w:val="single" w:sz="4" w:space="0" w:color="000000"/>
              <w:right w:val="single" w:sz="4" w:space="0" w:color="000000"/>
            </w:tcBorders>
          </w:tcPr>
          <w:p>
            <w:pPr/>
          </w:p>
        </w:tc>
        <w:tc>
          <w:tcPr>
            <w:tcW w:w="1111" w:type="dxa"/>
            <w:vMerge/>
            <w:tcBorders>
              <w:left w:val="single" w:sz="4" w:space="0" w:color="000000"/>
              <w:bottom w:val="single" w:sz="4" w:space="0" w:color="000000"/>
              <w:right w:val="nil" w:sz="6" w:space="0" w:color="auto"/>
            </w:tcBorders>
          </w:tcPr>
          <w:p>
            <w:pPr/>
          </w:p>
        </w:tc>
      </w:tr>
      <w:tr>
        <w:trPr>
          <w:trHeight w:val="559"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bookmarkStart w:name="非关联方" w:id="130"/>
            <w:bookmarkEnd w:id="130"/>
            <w:r>
              <w:rPr/>
            </w:r>
            <w:bookmarkStart w:name="1年以内" w:id="131"/>
            <w:bookmarkEnd w:id="131"/>
            <w:r>
              <w:rPr/>
            </w:r>
            <w:bookmarkStart w:name="房租押金" w:id="132"/>
            <w:bookmarkEnd w:id="132"/>
            <w:r>
              <w:rPr/>
            </w:r>
            <w:r>
              <w:rPr>
                <w:rFonts w:ascii="宋体" w:hAnsi="宋体" w:cs="宋体" w:eastAsia="宋体" w:hint="default"/>
                <w:sz w:val="18"/>
                <w:szCs w:val="18"/>
              </w:rPr>
              <w:t>杭州华鑫实业有限公司</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1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1,000,000.00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z w:val="18"/>
              </w:rPr>
              <w:t>8.27</w:t>
            </w:r>
          </w:p>
        </w:tc>
        <w:tc>
          <w:tcPr>
            <w:tcW w:w="11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房租押金</w:t>
            </w:r>
          </w:p>
        </w:tc>
      </w:tr>
      <w:tr>
        <w:trPr>
          <w:trHeight w:val="557"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bookmarkStart w:name="非关联方" w:id="133"/>
            <w:bookmarkEnd w:id="133"/>
            <w:r>
              <w:rPr/>
            </w:r>
            <w:bookmarkStart w:name="1年以内" w:id="134"/>
            <w:bookmarkEnd w:id="134"/>
            <w:r>
              <w:rPr/>
            </w:r>
            <w:bookmarkStart w:name="质保金" w:id="135"/>
            <w:bookmarkEnd w:id="135"/>
            <w:r>
              <w:rPr/>
            </w:r>
            <w:r>
              <w:rPr>
                <w:rFonts w:ascii="宋体" w:hAnsi="宋体" w:cs="宋体" w:eastAsia="宋体" w:hint="default"/>
                <w:sz w:val="18"/>
                <w:szCs w:val="18"/>
              </w:rPr>
              <w:t>浙江建达科技股份有限公司</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1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360,000.00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z w:val="18"/>
              </w:rPr>
              <w:t>2.98</w:t>
            </w:r>
          </w:p>
        </w:tc>
        <w:tc>
          <w:tcPr>
            <w:tcW w:w="11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质保金</w:t>
            </w:r>
          </w:p>
        </w:tc>
      </w:tr>
      <w:tr>
        <w:trPr>
          <w:trHeight w:val="559"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bookmarkStart w:name="非关联方" w:id="136"/>
            <w:bookmarkEnd w:id="136"/>
            <w:r>
              <w:rPr/>
            </w:r>
            <w:bookmarkStart w:name="1年以内" w:id="137"/>
            <w:bookmarkEnd w:id="137"/>
            <w:r>
              <w:rPr/>
            </w:r>
            <w:bookmarkStart w:name="质保金" w:id="138"/>
            <w:bookmarkEnd w:id="138"/>
            <w:r>
              <w:rPr/>
            </w:r>
            <w:r>
              <w:rPr>
                <w:rFonts w:ascii="宋体" w:hAnsi="宋体" w:cs="宋体" w:eastAsia="宋体" w:hint="default"/>
                <w:sz w:val="18"/>
                <w:szCs w:val="18"/>
              </w:rPr>
              <w:t>浙江省公安科技研究所</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1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347,100.00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z w:val="18"/>
              </w:rPr>
              <w:t>2.87</w:t>
            </w:r>
          </w:p>
        </w:tc>
        <w:tc>
          <w:tcPr>
            <w:tcW w:w="11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质保金</w:t>
            </w:r>
          </w:p>
        </w:tc>
      </w:tr>
      <w:tr>
        <w:trPr>
          <w:trHeight w:val="557" w:hRule="exact"/>
        </w:trPr>
        <w:tc>
          <w:tcPr>
            <w:tcW w:w="24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90" w:right="0"/>
              <w:jc w:val="left"/>
              <w:rPr>
                <w:rFonts w:ascii="宋体" w:hAnsi="宋体" w:cs="宋体" w:eastAsia="宋体" w:hint="default"/>
                <w:sz w:val="18"/>
                <w:szCs w:val="18"/>
              </w:rPr>
            </w:pPr>
            <w:bookmarkStart w:name="小计" w:id="139"/>
            <w:bookmarkEnd w:id="139"/>
            <w:r>
              <w:rPr/>
            </w:r>
            <w:r>
              <w:rPr>
                <w:rFonts w:ascii="宋体" w:hAnsi="宋体" w:cs="宋体" w:eastAsia="宋体" w:hint="default"/>
                <w:sz w:val="18"/>
                <w:szCs w:val="18"/>
              </w:rPr>
              <w:t>小  计</w:t>
            </w:r>
          </w:p>
        </w:tc>
        <w:tc>
          <w:tcPr>
            <w:tcW w:w="96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5,102,251.60</w:t>
            </w:r>
          </w:p>
        </w:tc>
        <w:tc>
          <w:tcPr>
            <w:tcW w:w="171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42.19</w:t>
            </w:r>
          </w:p>
        </w:tc>
        <w:tc>
          <w:tcPr>
            <w:tcW w:w="1111"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before="26"/>
        <w:ind w:left="715" w:right="279"/>
        <w:jc w:val="left"/>
      </w:pPr>
      <w:r>
        <w:rPr/>
        <w:t>7. 存货</w:t>
      </w:r>
    </w:p>
    <w:p>
      <w:pPr>
        <w:spacing w:line="240" w:lineRule="auto" w:before="11"/>
        <w:rPr>
          <w:rFonts w:ascii="宋体" w:hAnsi="宋体" w:cs="宋体" w:eastAsia="宋体" w:hint="default"/>
          <w:sz w:val="14"/>
          <w:szCs w:val="14"/>
        </w:rPr>
      </w:pPr>
    </w:p>
    <w:tbl>
      <w:tblPr>
        <w:tblW w:w="0" w:type="auto"/>
        <w:jc w:val="left"/>
        <w:tblInd w:w="287" w:type="dxa"/>
        <w:tblLayout w:type="fixed"/>
        <w:tblCellMar>
          <w:top w:w="0" w:type="dxa"/>
          <w:left w:w="0" w:type="dxa"/>
          <w:bottom w:w="0" w:type="dxa"/>
          <w:right w:w="0" w:type="dxa"/>
        </w:tblCellMar>
        <w:tblLook w:val="01E0"/>
      </w:tblPr>
      <w:tblGrid>
        <w:gridCol w:w="1589"/>
        <w:gridCol w:w="1471"/>
        <w:gridCol w:w="900"/>
        <w:gridCol w:w="1440"/>
        <w:gridCol w:w="1440"/>
        <w:gridCol w:w="958"/>
        <w:gridCol w:w="1440"/>
      </w:tblGrid>
      <w:tr>
        <w:trPr>
          <w:trHeight w:val="341" w:hRule="exact"/>
        </w:trPr>
        <w:tc>
          <w:tcPr>
            <w:tcW w:w="1589" w:type="dxa"/>
            <w:vMerge w:val="restart"/>
            <w:tcBorders>
              <w:top w:val="single" w:sz="4" w:space="0" w:color="000000"/>
              <w:left w:val="nil" w:sz="6" w:space="0" w:color="auto"/>
              <w:right w:val="single" w:sz="4" w:space="0" w:color="000000"/>
            </w:tcBorders>
          </w:tcPr>
          <w:p>
            <w:pPr>
              <w:pStyle w:val="TableParagraph"/>
              <w:spacing w:line="240" w:lineRule="auto" w:before="130"/>
              <w:ind w:left="290"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81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8" w:right="0"/>
              <w:jc w:val="center"/>
              <w:rPr>
                <w:rFonts w:ascii="宋体" w:hAnsi="宋体" w:cs="宋体" w:eastAsia="宋体" w:hint="default"/>
                <w:sz w:val="18"/>
                <w:szCs w:val="18"/>
              </w:rPr>
            </w:pPr>
            <w:r>
              <w:rPr>
                <w:rFonts w:ascii="宋体" w:hAnsi="宋体" w:cs="宋体" w:eastAsia="宋体" w:hint="default"/>
                <w:spacing w:val="-4"/>
                <w:sz w:val="18"/>
                <w:szCs w:val="18"/>
              </w:rPr>
              <w:t>期末数</w:t>
            </w:r>
          </w:p>
        </w:tc>
        <w:tc>
          <w:tcPr>
            <w:tcW w:w="3838"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206" w:right="0"/>
              <w:jc w:val="center"/>
              <w:rPr>
                <w:rFonts w:ascii="宋体" w:hAnsi="宋体" w:cs="宋体" w:eastAsia="宋体" w:hint="default"/>
                <w:sz w:val="18"/>
                <w:szCs w:val="18"/>
              </w:rPr>
            </w:pPr>
            <w:r>
              <w:rPr>
                <w:rFonts w:ascii="宋体" w:hAnsi="宋体" w:cs="宋体" w:eastAsia="宋体" w:hint="default"/>
                <w:spacing w:val="-4"/>
                <w:sz w:val="18"/>
                <w:szCs w:val="18"/>
              </w:rPr>
              <w:t>期初数</w:t>
            </w:r>
          </w:p>
        </w:tc>
      </w:tr>
      <w:tr>
        <w:trPr>
          <w:trHeight w:val="338" w:hRule="exact"/>
        </w:trPr>
        <w:tc>
          <w:tcPr>
            <w:tcW w:w="1589" w:type="dxa"/>
            <w:vMerge/>
            <w:tcBorders>
              <w:left w:val="nil" w:sz="6" w:space="0" w:color="auto"/>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79"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pacing w:val="-4"/>
                <w:sz w:val="18"/>
                <w:szCs w:val="18"/>
              </w:rPr>
              <w:t>账面价值</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5"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r>
      <w:tr>
        <w:trPr>
          <w:trHeight w:val="461" w:hRule="exact"/>
        </w:trPr>
        <w:tc>
          <w:tcPr>
            <w:tcW w:w="15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10"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宋体" w:hAnsi="宋体" w:cs="宋体" w:eastAsia="宋体" w:hint="default"/>
                <w:sz w:val="18"/>
                <w:szCs w:val="18"/>
              </w:rPr>
            </w:pPr>
            <w:r>
              <w:rPr>
                <w:rFonts w:ascii="宋体"/>
                <w:spacing w:val="-1"/>
                <w:sz w:val="18"/>
              </w:rPr>
              <w:t>5,211,818.39</w:t>
            </w: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47" w:right="0"/>
              <w:jc w:val="center"/>
              <w:rPr>
                <w:rFonts w:ascii="宋体" w:hAnsi="宋体" w:cs="宋体" w:eastAsia="宋体" w:hint="default"/>
                <w:sz w:val="18"/>
                <w:szCs w:val="18"/>
              </w:rPr>
            </w:pPr>
            <w:r>
              <w:rPr>
                <w:rFonts w:ascii="宋体"/>
                <w:sz w:val="18"/>
              </w:rPr>
              <w:t>5,211,818.39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宋体" w:hAnsi="宋体" w:cs="宋体" w:eastAsia="宋体" w:hint="default"/>
                <w:sz w:val="18"/>
                <w:szCs w:val="18"/>
              </w:rPr>
            </w:pPr>
            <w:r>
              <w:rPr>
                <w:rFonts w:ascii="宋体"/>
                <w:spacing w:val="-1"/>
                <w:sz w:val="18"/>
              </w:rPr>
              <w:t>1,787,774.94</w:t>
            </w:r>
          </w:p>
        </w:tc>
        <w:tc>
          <w:tcPr>
            <w:tcW w:w="95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4"/>
              <w:jc w:val="right"/>
              <w:rPr>
                <w:rFonts w:ascii="宋体" w:hAnsi="宋体" w:cs="宋体" w:eastAsia="宋体" w:hint="default"/>
                <w:sz w:val="18"/>
                <w:szCs w:val="18"/>
              </w:rPr>
            </w:pPr>
            <w:r>
              <w:rPr>
                <w:rFonts w:ascii="宋体"/>
                <w:spacing w:val="-1"/>
                <w:sz w:val="18"/>
              </w:rPr>
              <w:t>1,787,774.94</w:t>
            </w:r>
          </w:p>
        </w:tc>
      </w:tr>
      <w:tr>
        <w:trPr>
          <w:trHeight w:val="480" w:hRule="exact"/>
        </w:trPr>
        <w:tc>
          <w:tcPr>
            <w:tcW w:w="15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10" w:right="0"/>
              <w:jc w:val="left"/>
              <w:rPr>
                <w:rFonts w:ascii="宋体" w:hAnsi="宋体" w:cs="宋体" w:eastAsia="宋体" w:hint="default"/>
                <w:sz w:val="18"/>
                <w:szCs w:val="18"/>
              </w:rPr>
            </w:pPr>
            <w:r>
              <w:rPr>
                <w:rFonts w:ascii="宋体" w:hAnsi="宋体" w:cs="宋体" w:eastAsia="宋体" w:hint="default"/>
                <w:sz w:val="18"/>
                <w:szCs w:val="18"/>
              </w:rPr>
              <w:t>实施中项目成本</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宋体" w:hAnsi="宋体" w:cs="宋体" w:eastAsia="宋体" w:hint="default"/>
                <w:sz w:val="18"/>
                <w:szCs w:val="18"/>
              </w:rPr>
            </w:pPr>
            <w:r>
              <w:rPr>
                <w:rFonts w:ascii="宋体"/>
                <w:spacing w:val="-1"/>
                <w:sz w:val="18"/>
              </w:rPr>
              <w:t>1,972,558.74</w:t>
            </w: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47" w:right="0"/>
              <w:jc w:val="center"/>
              <w:rPr>
                <w:rFonts w:ascii="宋体" w:hAnsi="宋体" w:cs="宋体" w:eastAsia="宋体" w:hint="default"/>
                <w:sz w:val="18"/>
                <w:szCs w:val="18"/>
              </w:rPr>
            </w:pPr>
            <w:r>
              <w:rPr>
                <w:rFonts w:ascii="宋体"/>
                <w:sz w:val="18"/>
              </w:rPr>
              <w:t>1,972,558.74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宋体" w:hAnsi="宋体" w:cs="宋体" w:eastAsia="宋体" w:hint="default"/>
                <w:sz w:val="18"/>
                <w:szCs w:val="18"/>
              </w:rPr>
            </w:pPr>
            <w:r>
              <w:rPr>
                <w:rFonts w:ascii="宋体"/>
                <w:spacing w:val="-1"/>
                <w:sz w:val="18"/>
              </w:rPr>
              <w:t>645,608.45</w:t>
            </w:r>
          </w:p>
        </w:tc>
        <w:tc>
          <w:tcPr>
            <w:tcW w:w="95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4"/>
              <w:jc w:val="right"/>
              <w:rPr>
                <w:rFonts w:ascii="宋体" w:hAnsi="宋体" w:cs="宋体" w:eastAsia="宋体" w:hint="default"/>
                <w:sz w:val="18"/>
                <w:szCs w:val="18"/>
              </w:rPr>
            </w:pPr>
            <w:r>
              <w:rPr>
                <w:rFonts w:ascii="宋体"/>
                <w:spacing w:val="-1"/>
                <w:sz w:val="18"/>
              </w:rPr>
              <w:t>645,608.45</w:t>
            </w:r>
          </w:p>
        </w:tc>
      </w:tr>
      <w:tr>
        <w:trPr>
          <w:trHeight w:val="478" w:hRule="exact"/>
        </w:trPr>
        <w:tc>
          <w:tcPr>
            <w:tcW w:w="15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10"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20,665,910.65</w:t>
            </w: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6" w:right="0"/>
              <w:jc w:val="center"/>
              <w:rPr>
                <w:rFonts w:ascii="宋体" w:hAnsi="宋体" w:cs="宋体" w:eastAsia="宋体" w:hint="default"/>
                <w:sz w:val="18"/>
                <w:szCs w:val="18"/>
              </w:rPr>
            </w:pPr>
            <w:r>
              <w:rPr>
                <w:rFonts w:ascii="宋体"/>
                <w:sz w:val="18"/>
              </w:rPr>
              <w:t>20,665,910.65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13,579,211.97</w:t>
            </w:r>
          </w:p>
        </w:tc>
        <w:tc>
          <w:tcPr>
            <w:tcW w:w="95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13,579,211.97</w:t>
            </w:r>
          </w:p>
        </w:tc>
      </w:tr>
      <w:tr>
        <w:trPr>
          <w:trHeight w:val="518" w:hRule="exact"/>
        </w:trPr>
        <w:tc>
          <w:tcPr>
            <w:tcW w:w="15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宋体" w:hAnsi="宋体" w:cs="宋体" w:eastAsia="宋体" w:hint="default"/>
                <w:sz w:val="18"/>
                <w:szCs w:val="18"/>
              </w:rPr>
            </w:pPr>
            <w:r>
              <w:rPr>
                <w:rFonts w:ascii="宋体"/>
                <w:spacing w:val="-1"/>
                <w:sz w:val="18"/>
              </w:rPr>
              <w:t>27,850,287.78</w:t>
            </w: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56" w:right="0"/>
              <w:jc w:val="center"/>
              <w:rPr>
                <w:rFonts w:ascii="宋体" w:hAnsi="宋体" w:cs="宋体" w:eastAsia="宋体" w:hint="default"/>
                <w:sz w:val="18"/>
                <w:szCs w:val="18"/>
              </w:rPr>
            </w:pPr>
            <w:r>
              <w:rPr>
                <w:rFonts w:ascii="宋体"/>
                <w:sz w:val="18"/>
              </w:rPr>
              <w:t>27,850,287.78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宋体" w:hAnsi="宋体" w:cs="宋体" w:eastAsia="宋体" w:hint="default"/>
                <w:sz w:val="18"/>
                <w:szCs w:val="18"/>
              </w:rPr>
            </w:pPr>
            <w:r>
              <w:rPr>
                <w:rFonts w:ascii="宋体"/>
                <w:spacing w:val="-1"/>
                <w:sz w:val="18"/>
              </w:rPr>
              <w:t>16,012,595.36</w:t>
            </w:r>
          </w:p>
        </w:tc>
        <w:tc>
          <w:tcPr>
            <w:tcW w:w="95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9"/>
              <w:ind w:right="104"/>
              <w:jc w:val="right"/>
              <w:rPr>
                <w:rFonts w:ascii="宋体" w:hAnsi="宋体" w:cs="宋体" w:eastAsia="宋体" w:hint="default"/>
                <w:sz w:val="18"/>
                <w:szCs w:val="18"/>
              </w:rPr>
            </w:pPr>
            <w:r>
              <w:rPr>
                <w:rFonts w:ascii="宋体"/>
                <w:spacing w:val="-1"/>
                <w:sz w:val="18"/>
              </w:rPr>
              <w:t>16,012,595.36</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before="26"/>
        <w:ind w:left="715" w:right="279"/>
        <w:jc w:val="left"/>
      </w:pPr>
      <w:r>
        <w:rPr/>
        <w:pict>
          <v:group style="position:absolute;margin-left:47.639999pt;margin-top:107.475609pt;width:.1pt;height:10.35pt;mso-position-horizontal-relative:page;mso-position-vertical-relative:paragraph;z-index:4072" coordorigin="953,2150" coordsize="2,207">
            <v:shape style="position:absolute;left:953;top:2150;width:2;height:207" coordorigin="953,2150" coordsize="0,207" path="m953,2150l953,2356e" filled="false" stroked="true" strokeweight=".12pt" strokecolor="#000000">
              <v:path arrowok="t"/>
            </v:shape>
            <w10:wrap type="none"/>
          </v:group>
        </w:pict>
      </w:r>
      <w:r>
        <w:rPr/>
        <w:t>8. 其他流动资产</w:t>
      </w:r>
    </w:p>
    <w:p>
      <w:pPr>
        <w:spacing w:line="240" w:lineRule="auto" w:before="11"/>
        <w:rPr>
          <w:rFonts w:ascii="宋体" w:hAnsi="宋体" w:cs="宋体" w:eastAsia="宋体" w:hint="default"/>
          <w:sz w:val="14"/>
          <w:szCs w:val="14"/>
        </w:rPr>
      </w:pPr>
    </w:p>
    <w:tbl>
      <w:tblPr>
        <w:tblW w:w="0" w:type="auto"/>
        <w:jc w:val="left"/>
        <w:tblInd w:w="287" w:type="dxa"/>
        <w:tblLayout w:type="fixed"/>
        <w:tblCellMar>
          <w:top w:w="0" w:type="dxa"/>
          <w:left w:w="0" w:type="dxa"/>
          <w:bottom w:w="0" w:type="dxa"/>
          <w:right w:w="0" w:type="dxa"/>
        </w:tblCellMar>
        <w:tblLook w:val="01E0"/>
      </w:tblPr>
      <w:tblGrid>
        <w:gridCol w:w="3600"/>
        <w:gridCol w:w="2520"/>
        <w:gridCol w:w="2520"/>
      </w:tblGrid>
      <w:tr>
        <w:trPr>
          <w:trHeight w:val="559" w:hRule="exact"/>
        </w:trPr>
        <w:tc>
          <w:tcPr>
            <w:tcW w:w="36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2472"/>
              <w:jc w:val="center"/>
              <w:rPr>
                <w:rFonts w:ascii="宋体" w:hAnsi="宋体" w:cs="宋体" w:eastAsia="宋体" w:hint="default"/>
                <w:sz w:val="18"/>
                <w:szCs w:val="18"/>
              </w:rPr>
            </w:pPr>
            <w:r>
              <w:rPr>
                <w:rFonts w:ascii="宋体" w:hAnsi="宋体" w:cs="宋体" w:eastAsia="宋体" w:hint="default"/>
                <w:sz w:val="18"/>
                <w:szCs w:val="18"/>
              </w:rPr>
              <w:t>项  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7" w:hRule="exact"/>
        </w:trPr>
        <w:tc>
          <w:tcPr>
            <w:tcW w:w="36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2472"/>
              <w:jc w:val="center"/>
              <w:rPr>
                <w:rFonts w:ascii="宋体" w:hAnsi="宋体" w:cs="宋体" w:eastAsia="宋体" w:hint="default"/>
                <w:sz w:val="18"/>
                <w:szCs w:val="18"/>
              </w:rPr>
            </w:pPr>
            <w:r>
              <w:rPr>
                <w:rFonts w:ascii="宋体" w:hAnsi="宋体" w:cs="宋体" w:eastAsia="宋体" w:hint="default"/>
                <w:sz w:val="18"/>
                <w:szCs w:val="18"/>
              </w:rPr>
              <w:t>预缴营业税</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509" w:right="0"/>
              <w:jc w:val="left"/>
              <w:rPr>
                <w:rFonts w:ascii="宋体" w:hAnsi="宋体" w:cs="宋体" w:eastAsia="宋体" w:hint="default"/>
                <w:sz w:val="18"/>
                <w:szCs w:val="18"/>
              </w:rPr>
            </w:pPr>
            <w:r>
              <w:rPr>
                <w:rFonts w:ascii="宋体"/>
                <w:sz w:val="18"/>
              </w:rPr>
              <w:t>191,432.67</w:t>
            </w:r>
          </w:p>
        </w:tc>
        <w:tc>
          <w:tcPr>
            <w:tcW w:w="252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5" w:footer="979" w:top="1060" w:bottom="1160" w:left="840" w:right="1020"/>
        </w:sectPr>
      </w:pPr>
    </w:p>
    <w:p>
      <w:pPr>
        <w:spacing w:line="240" w:lineRule="auto" w:before="6"/>
        <w:rPr>
          <w:rFonts w:ascii="宋体" w:hAnsi="宋体" w:cs="宋体" w:eastAsia="宋体" w:hint="default"/>
          <w:sz w:val="28"/>
          <w:szCs w:val="28"/>
        </w:rPr>
      </w:pPr>
      <w:r>
        <w:rPr/>
        <w:pict>
          <v:group style="position:absolute;margin-left:547.559998pt;margin-top:781.919983pt;width:.1pt;height:10.35pt;mso-position-horizontal-relative:page;mso-position-vertical-relative:page;z-index:4096" coordorigin="10951,15638" coordsize="2,207">
            <v:shape style="position:absolute;left:10951;top:15638;width:2;height:207" coordorigin="10951,15638" coordsize="0,207" path="m10951,15638l10951,15845e" filled="false" stroked="true" strokeweight=".12pt" strokecolor="#000000">
              <v:path arrowok="t"/>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3600"/>
        <w:gridCol w:w="2520"/>
        <w:gridCol w:w="2520"/>
      </w:tblGrid>
      <w:tr>
        <w:trPr>
          <w:trHeight w:val="557" w:hRule="exact"/>
        </w:trPr>
        <w:tc>
          <w:tcPr>
            <w:tcW w:w="36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预缴房产税</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30,583.12</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81,964.31</w:t>
            </w:r>
          </w:p>
        </w:tc>
      </w:tr>
      <w:tr>
        <w:trPr>
          <w:trHeight w:val="559" w:hRule="exact"/>
        </w:trPr>
        <w:tc>
          <w:tcPr>
            <w:tcW w:w="36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10"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1,788,363.50</w:t>
            </w:r>
          </w:p>
        </w:tc>
        <w:tc>
          <w:tcPr>
            <w:tcW w:w="252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36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08"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601,301.19</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1,730,226.07</w:t>
            </w:r>
          </w:p>
        </w:tc>
      </w:tr>
      <w:tr>
        <w:trPr>
          <w:trHeight w:val="559" w:hRule="exact"/>
        </w:trPr>
        <w:tc>
          <w:tcPr>
            <w:tcW w:w="36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08" w:right="0"/>
              <w:jc w:val="left"/>
              <w:rPr>
                <w:rFonts w:ascii="宋体" w:hAnsi="宋体" w:cs="宋体" w:eastAsia="宋体" w:hint="default"/>
                <w:sz w:val="18"/>
                <w:szCs w:val="18"/>
              </w:rPr>
            </w:pPr>
            <w:r>
              <w:rPr>
                <w:rFonts w:ascii="宋体" w:hAnsi="宋体" w:cs="宋体" w:eastAsia="宋体" w:hint="default"/>
                <w:sz w:val="18"/>
                <w:szCs w:val="18"/>
              </w:rPr>
              <w:t>预缴水利建设基金</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4,991.14</w:t>
            </w:r>
          </w:p>
        </w:tc>
        <w:tc>
          <w:tcPr>
            <w:tcW w:w="252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36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9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2,616,671.62</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1,812,190.38</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before="26"/>
        <w:ind w:left="535" w:right="279"/>
        <w:jc w:val="left"/>
      </w:pPr>
      <w:r>
        <w:rPr/>
        <w:t>9. 长期股权投资</w:t>
      </w:r>
    </w:p>
    <w:p>
      <w:pPr>
        <w:spacing w:line="240" w:lineRule="auto" w:before="11"/>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1378"/>
        <w:gridCol w:w="1279"/>
        <w:gridCol w:w="1615"/>
        <w:gridCol w:w="1399"/>
        <w:gridCol w:w="1495"/>
        <w:gridCol w:w="1474"/>
      </w:tblGrid>
      <w:tr>
        <w:trPr>
          <w:trHeight w:val="444" w:hRule="exact"/>
        </w:trPr>
        <w:tc>
          <w:tcPr>
            <w:tcW w:w="1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24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1"/>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36"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2"/>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76"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left="456"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713" w:hRule="exact"/>
        </w:trPr>
        <w:tc>
          <w:tcPr>
            <w:tcW w:w="137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10" w:right="96"/>
              <w:jc w:val="left"/>
              <w:rPr>
                <w:rFonts w:ascii="宋体" w:hAnsi="宋体" w:cs="宋体" w:eastAsia="宋体" w:hint="default"/>
                <w:sz w:val="18"/>
                <w:szCs w:val="18"/>
              </w:rPr>
            </w:pPr>
            <w:r>
              <w:rPr>
                <w:rFonts w:ascii="宋体" w:hAnsi="宋体" w:cs="宋体" w:eastAsia="宋体" w:hint="default"/>
                <w:spacing w:val="13"/>
                <w:sz w:val="18"/>
                <w:szCs w:val="18"/>
              </w:rPr>
              <w:t>杭州讯能科技</w:t>
            </w:r>
            <w:r>
              <w:rPr>
                <w:rFonts w:ascii="宋体" w:hAnsi="宋体" w:cs="宋体" w:eastAsia="宋体" w:hint="default"/>
                <w:sz w:val="18"/>
                <w:szCs w:val="18"/>
              </w:rPr>
              <w:t> 有限公司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2,316,526.21</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 w:right="0"/>
              <w:jc w:val="center"/>
              <w:rPr>
                <w:rFonts w:ascii="宋体" w:hAnsi="宋体" w:cs="宋体" w:eastAsia="宋体" w:hint="default"/>
                <w:sz w:val="18"/>
                <w:szCs w:val="18"/>
              </w:rPr>
            </w:pPr>
            <w:r>
              <w:rPr>
                <w:rFonts w:ascii="宋体"/>
                <w:sz w:val="18"/>
              </w:rPr>
              <w:t>2,316,526.21</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2,316,526.21</w:t>
            </w:r>
          </w:p>
        </w:tc>
      </w:tr>
      <w:tr>
        <w:trPr>
          <w:trHeight w:val="1027" w:hRule="exact"/>
        </w:trPr>
        <w:tc>
          <w:tcPr>
            <w:tcW w:w="137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10" w:right="96"/>
              <w:jc w:val="both"/>
              <w:rPr>
                <w:rFonts w:ascii="宋体" w:hAnsi="宋体" w:cs="宋体" w:eastAsia="宋体" w:hint="default"/>
                <w:sz w:val="18"/>
                <w:szCs w:val="18"/>
              </w:rPr>
            </w:pPr>
            <w:r>
              <w:rPr>
                <w:rFonts w:ascii="宋体" w:hAnsi="宋体" w:cs="宋体" w:eastAsia="宋体" w:hint="default"/>
                <w:spacing w:val="13"/>
                <w:sz w:val="18"/>
                <w:szCs w:val="18"/>
              </w:rPr>
              <w:t>杭州市江干区</w:t>
            </w:r>
            <w:r>
              <w:rPr>
                <w:rFonts w:ascii="宋体" w:hAnsi="宋体" w:cs="宋体" w:eastAsia="宋体" w:hint="default"/>
                <w:sz w:val="18"/>
                <w:szCs w:val="18"/>
              </w:rPr>
              <w:t> </w:t>
            </w:r>
            <w:r>
              <w:rPr>
                <w:rFonts w:ascii="宋体" w:hAnsi="宋体" w:cs="宋体" w:eastAsia="宋体" w:hint="default"/>
                <w:spacing w:val="13"/>
                <w:sz w:val="18"/>
                <w:szCs w:val="18"/>
              </w:rPr>
              <w:t>和瑞科创小额</w:t>
            </w:r>
            <w:r>
              <w:rPr>
                <w:rFonts w:ascii="宋体" w:hAnsi="宋体" w:cs="宋体" w:eastAsia="宋体" w:hint="default"/>
                <w:sz w:val="18"/>
                <w:szCs w:val="18"/>
              </w:rPr>
              <w:t> 贷款有限公司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25,000,000.00</w:t>
            </w:r>
          </w:p>
        </w:tc>
        <w:tc>
          <w:tcPr>
            <w:tcW w:w="139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25,000,000.00</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25,000,000.00</w:t>
            </w:r>
          </w:p>
        </w:tc>
      </w:tr>
      <w:tr>
        <w:trPr>
          <w:trHeight w:val="557" w:hRule="exact"/>
        </w:trPr>
        <w:tc>
          <w:tcPr>
            <w:tcW w:w="13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99"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279"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27,316,526.21</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4" w:right="0"/>
              <w:jc w:val="center"/>
              <w:rPr>
                <w:rFonts w:ascii="宋体" w:hAnsi="宋体" w:cs="宋体" w:eastAsia="宋体" w:hint="default"/>
                <w:sz w:val="18"/>
                <w:szCs w:val="18"/>
              </w:rPr>
            </w:pPr>
            <w:r>
              <w:rPr>
                <w:rFonts w:ascii="宋体"/>
                <w:sz w:val="18"/>
              </w:rPr>
              <w:t>2,316,526.21</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25,000,000.00</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27,316,526.21</w:t>
            </w:r>
          </w:p>
        </w:tc>
      </w:tr>
    </w:tbl>
    <w:p>
      <w:pPr>
        <w:spacing w:line="240" w:lineRule="auto" w:before="8"/>
        <w:rPr>
          <w:rFonts w:ascii="宋体" w:hAnsi="宋体" w:cs="宋体" w:eastAsia="宋体" w:hint="default"/>
          <w:sz w:val="6"/>
          <w:szCs w:val="6"/>
        </w:rPr>
      </w:pPr>
    </w:p>
    <w:p>
      <w:pPr>
        <w:spacing w:before="44"/>
        <w:ind w:left="535" w:right="279"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0"/>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1440"/>
        <w:gridCol w:w="1080"/>
        <w:gridCol w:w="1080"/>
        <w:gridCol w:w="1980"/>
        <w:gridCol w:w="1080"/>
        <w:gridCol w:w="1080"/>
        <w:gridCol w:w="900"/>
      </w:tblGrid>
      <w:tr>
        <w:trPr>
          <w:trHeight w:val="754" w:hRule="exact"/>
        </w:trPr>
        <w:tc>
          <w:tcPr>
            <w:tcW w:w="1440"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51"/>
              <w:ind w:left="542" w:right="443" w:hanging="92"/>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211" w:right="227" w:firstLine="134"/>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211" w:right="227" w:firstLine="43"/>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434" w:right="95" w:hanging="360"/>
              <w:jc w:val="left"/>
              <w:rPr>
                <w:rFonts w:ascii="宋体" w:hAnsi="宋体" w:cs="宋体" w:eastAsia="宋体" w:hint="default"/>
                <w:sz w:val="18"/>
                <w:szCs w:val="18"/>
              </w:rPr>
            </w:pPr>
            <w:r>
              <w:rPr>
                <w:rFonts w:ascii="宋体" w:hAnsi="宋体" w:cs="宋体" w:eastAsia="宋体" w:hint="default"/>
                <w:sz w:val="18"/>
                <w:szCs w:val="18"/>
              </w:rPr>
              <w:t>持股比例与表决权比例 不一致的说明</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1"/>
              <w:ind w:left="165" w:right="182"/>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51"/>
              <w:ind w:left="254" w:right="9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713" w:hRule="exact"/>
        </w:trPr>
        <w:tc>
          <w:tcPr>
            <w:tcW w:w="144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10" w:right="98"/>
              <w:jc w:val="left"/>
              <w:rPr>
                <w:rFonts w:ascii="宋体" w:hAnsi="宋体" w:cs="宋体" w:eastAsia="宋体" w:hint="default"/>
                <w:sz w:val="18"/>
                <w:szCs w:val="18"/>
              </w:rPr>
            </w:pPr>
            <w:r>
              <w:rPr>
                <w:rFonts w:ascii="宋体" w:hAnsi="宋体" w:cs="宋体" w:eastAsia="宋体" w:hint="default"/>
                <w:sz w:val="18"/>
                <w:szCs w:val="18"/>
              </w:rPr>
              <w:t>杭</w:t>
            </w:r>
            <w:r>
              <w:rPr>
                <w:rFonts w:ascii="宋体" w:hAnsi="宋体" w:cs="宋体" w:eastAsia="宋体" w:hint="default"/>
                <w:spacing w:val="-62"/>
                <w:sz w:val="18"/>
                <w:szCs w:val="18"/>
              </w:rPr>
              <w:t> </w:t>
            </w:r>
            <w:r>
              <w:rPr>
                <w:rFonts w:ascii="宋体" w:hAnsi="宋体" w:cs="宋体" w:eastAsia="宋体" w:hint="default"/>
                <w:sz w:val="18"/>
                <w:szCs w:val="18"/>
              </w:rPr>
              <w:t>州</w:t>
            </w:r>
            <w:r>
              <w:rPr>
                <w:rFonts w:ascii="宋体" w:hAnsi="宋体" w:cs="宋体" w:eastAsia="宋体" w:hint="default"/>
                <w:spacing w:val="-62"/>
                <w:sz w:val="18"/>
                <w:szCs w:val="18"/>
              </w:rPr>
              <w:t> </w:t>
            </w:r>
            <w:r>
              <w:rPr>
                <w:rFonts w:ascii="宋体" w:hAnsi="宋体" w:cs="宋体" w:eastAsia="宋体" w:hint="default"/>
                <w:sz w:val="18"/>
                <w:szCs w:val="18"/>
              </w:rPr>
              <w:t>讯</w:t>
            </w:r>
            <w:r>
              <w:rPr>
                <w:rFonts w:ascii="宋体" w:hAnsi="宋体" w:cs="宋体" w:eastAsia="宋体" w:hint="default"/>
                <w:spacing w:val="-62"/>
                <w:sz w:val="18"/>
                <w:szCs w:val="18"/>
              </w:rPr>
              <w:t> </w:t>
            </w:r>
            <w:r>
              <w:rPr>
                <w:rFonts w:ascii="宋体" w:hAnsi="宋体" w:cs="宋体" w:eastAsia="宋体" w:hint="default"/>
                <w:sz w:val="18"/>
                <w:szCs w:val="18"/>
              </w:rPr>
              <w:t>能</w:t>
            </w:r>
            <w:r>
              <w:rPr>
                <w:rFonts w:ascii="宋体" w:hAnsi="宋体" w:cs="宋体" w:eastAsia="宋体" w:hint="default"/>
                <w:spacing w:val="-62"/>
                <w:sz w:val="18"/>
                <w:szCs w:val="18"/>
              </w:rPr>
              <w:t> </w:t>
            </w:r>
            <w:r>
              <w:rPr>
                <w:rFonts w:ascii="宋体" w:hAnsi="宋体" w:cs="宋体" w:eastAsia="宋体" w:hint="default"/>
                <w:sz w:val="18"/>
                <w:szCs w:val="18"/>
              </w:rPr>
              <w:t>科</w:t>
            </w:r>
            <w:r>
              <w:rPr>
                <w:rFonts w:ascii="宋体" w:hAnsi="宋体" w:cs="宋体" w:eastAsia="宋体" w:hint="default"/>
                <w:spacing w:val="-62"/>
                <w:sz w:val="18"/>
                <w:szCs w:val="18"/>
              </w:rPr>
              <w:t> </w:t>
            </w:r>
            <w:r>
              <w:rPr>
                <w:rFonts w:ascii="宋体" w:hAnsi="宋体" w:cs="宋体" w:eastAsia="宋体" w:hint="default"/>
                <w:sz w:val="18"/>
                <w:szCs w:val="18"/>
              </w:rPr>
              <w:t>技</w:t>
            </w:r>
            <w:r>
              <w:rPr>
                <w:rFonts w:ascii="宋体" w:hAnsi="宋体" w:cs="宋体" w:eastAsia="宋体" w:hint="default"/>
                <w:sz w:val="18"/>
                <w:szCs w:val="18"/>
              </w:rPr>
              <w:t> 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15.72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15.72</w:t>
            </w:r>
          </w:p>
        </w:tc>
        <w:tc>
          <w:tcPr>
            <w:tcW w:w="19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nil" w:sz="6" w:space="0" w:color="auto"/>
            </w:tcBorders>
          </w:tcPr>
          <w:p>
            <w:pPr/>
          </w:p>
        </w:tc>
      </w:tr>
      <w:tr>
        <w:trPr>
          <w:trHeight w:val="1027" w:hRule="exact"/>
        </w:trPr>
        <w:tc>
          <w:tcPr>
            <w:tcW w:w="144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10" w:right="98"/>
              <w:jc w:val="both"/>
              <w:rPr>
                <w:rFonts w:ascii="宋体" w:hAnsi="宋体" w:cs="宋体" w:eastAsia="宋体" w:hint="default"/>
                <w:sz w:val="18"/>
                <w:szCs w:val="18"/>
              </w:rPr>
            </w:pPr>
            <w:r>
              <w:rPr>
                <w:rFonts w:ascii="宋体" w:hAnsi="宋体" w:cs="宋体" w:eastAsia="宋体" w:hint="default"/>
                <w:sz w:val="18"/>
                <w:szCs w:val="18"/>
              </w:rPr>
              <w:t>杭</w:t>
            </w:r>
            <w:r>
              <w:rPr>
                <w:rFonts w:ascii="宋体" w:hAnsi="宋体" w:cs="宋体" w:eastAsia="宋体" w:hint="default"/>
                <w:spacing w:val="-62"/>
                <w:sz w:val="18"/>
                <w:szCs w:val="18"/>
              </w:rPr>
              <w:t> </w:t>
            </w:r>
            <w:r>
              <w:rPr>
                <w:rFonts w:ascii="宋体" w:hAnsi="宋体" w:cs="宋体" w:eastAsia="宋体" w:hint="default"/>
                <w:sz w:val="18"/>
                <w:szCs w:val="18"/>
              </w:rPr>
              <w:t>州</w:t>
            </w:r>
            <w:r>
              <w:rPr>
                <w:rFonts w:ascii="宋体" w:hAnsi="宋体" w:cs="宋体" w:eastAsia="宋体" w:hint="default"/>
                <w:spacing w:val="-62"/>
                <w:sz w:val="18"/>
                <w:szCs w:val="18"/>
              </w:rPr>
              <w:t> </w:t>
            </w:r>
            <w:r>
              <w:rPr>
                <w:rFonts w:ascii="宋体" w:hAnsi="宋体" w:cs="宋体" w:eastAsia="宋体" w:hint="default"/>
                <w:sz w:val="18"/>
                <w:szCs w:val="18"/>
              </w:rPr>
              <w:t>市</w:t>
            </w:r>
            <w:r>
              <w:rPr>
                <w:rFonts w:ascii="宋体" w:hAnsi="宋体" w:cs="宋体" w:eastAsia="宋体" w:hint="default"/>
                <w:spacing w:val="-62"/>
                <w:sz w:val="18"/>
                <w:szCs w:val="18"/>
              </w:rPr>
              <w:t> </w:t>
            </w:r>
            <w:r>
              <w:rPr>
                <w:rFonts w:ascii="宋体" w:hAnsi="宋体" w:cs="宋体" w:eastAsia="宋体" w:hint="default"/>
                <w:sz w:val="18"/>
                <w:szCs w:val="18"/>
              </w:rPr>
              <w:t>江</w:t>
            </w:r>
            <w:r>
              <w:rPr>
                <w:rFonts w:ascii="宋体" w:hAnsi="宋体" w:cs="宋体" w:eastAsia="宋体" w:hint="default"/>
                <w:spacing w:val="-62"/>
                <w:sz w:val="18"/>
                <w:szCs w:val="18"/>
              </w:rPr>
              <w:t> </w:t>
            </w:r>
            <w:r>
              <w:rPr>
                <w:rFonts w:ascii="宋体" w:hAnsi="宋体" w:cs="宋体" w:eastAsia="宋体" w:hint="default"/>
                <w:sz w:val="18"/>
                <w:szCs w:val="18"/>
              </w:rPr>
              <w:t>干</w:t>
            </w:r>
            <w:r>
              <w:rPr>
                <w:rFonts w:ascii="宋体" w:hAnsi="宋体" w:cs="宋体" w:eastAsia="宋体" w:hint="default"/>
                <w:spacing w:val="-62"/>
                <w:sz w:val="18"/>
                <w:szCs w:val="18"/>
              </w:rPr>
              <w:t> </w:t>
            </w:r>
            <w:r>
              <w:rPr>
                <w:rFonts w:ascii="宋体" w:hAnsi="宋体" w:cs="宋体" w:eastAsia="宋体" w:hint="default"/>
                <w:sz w:val="18"/>
                <w:szCs w:val="18"/>
              </w:rPr>
              <w:t>区</w:t>
            </w:r>
            <w:r>
              <w:rPr>
                <w:rFonts w:ascii="宋体" w:hAnsi="宋体" w:cs="宋体" w:eastAsia="宋体" w:hint="default"/>
                <w:sz w:val="18"/>
                <w:szCs w:val="18"/>
              </w:rPr>
              <w:t> 和</w:t>
            </w:r>
            <w:r>
              <w:rPr>
                <w:rFonts w:ascii="宋体" w:hAnsi="宋体" w:cs="宋体" w:eastAsia="宋体" w:hint="default"/>
                <w:spacing w:val="-62"/>
                <w:sz w:val="18"/>
                <w:szCs w:val="18"/>
              </w:rPr>
              <w:t> </w:t>
            </w:r>
            <w:r>
              <w:rPr>
                <w:rFonts w:ascii="宋体" w:hAnsi="宋体" w:cs="宋体" w:eastAsia="宋体" w:hint="default"/>
                <w:sz w:val="18"/>
                <w:szCs w:val="18"/>
              </w:rPr>
              <w:t>瑞</w:t>
            </w:r>
            <w:r>
              <w:rPr>
                <w:rFonts w:ascii="宋体" w:hAnsi="宋体" w:cs="宋体" w:eastAsia="宋体" w:hint="default"/>
                <w:spacing w:val="-62"/>
                <w:sz w:val="18"/>
                <w:szCs w:val="18"/>
              </w:rPr>
              <w:t> </w:t>
            </w:r>
            <w:r>
              <w:rPr>
                <w:rFonts w:ascii="宋体" w:hAnsi="宋体" w:cs="宋体" w:eastAsia="宋体" w:hint="default"/>
                <w:sz w:val="18"/>
                <w:szCs w:val="18"/>
              </w:rPr>
              <w:t>科</w:t>
            </w:r>
            <w:r>
              <w:rPr>
                <w:rFonts w:ascii="宋体" w:hAnsi="宋体" w:cs="宋体" w:eastAsia="宋体" w:hint="default"/>
                <w:spacing w:val="-62"/>
                <w:sz w:val="18"/>
                <w:szCs w:val="18"/>
              </w:rPr>
              <w:t> </w:t>
            </w:r>
            <w:r>
              <w:rPr>
                <w:rFonts w:ascii="宋体" w:hAnsi="宋体" w:cs="宋体" w:eastAsia="宋体" w:hint="default"/>
                <w:sz w:val="18"/>
                <w:szCs w:val="18"/>
              </w:rPr>
              <w:t>创</w:t>
            </w:r>
            <w:r>
              <w:rPr>
                <w:rFonts w:ascii="宋体" w:hAnsi="宋体" w:cs="宋体" w:eastAsia="宋体" w:hint="default"/>
                <w:spacing w:val="-62"/>
                <w:sz w:val="18"/>
                <w:szCs w:val="18"/>
              </w:rPr>
              <w:t> </w:t>
            </w:r>
            <w:r>
              <w:rPr>
                <w:rFonts w:ascii="宋体" w:hAnsi="宋体" w:cs="宋体" w:eastAsia="宋体" w:hint="default"/>
                <w:sz w:val="18"/>
                <w:szCs w:val="18"/>
              </w:rPr>
              <w:t>小</w:t>
            </w:r>
            <w:r>
              <w:rPr>
                <w:rFonts w:ascii="宋体" w:hAnsi="宋体" w:cs="宋体" w:eastAsia="宋体" w:hint="default"/>
                <w:spacing w:val="-62"/>
                <w:sz w:val="18"/>
                <w:szCs w:val="18"/>
              </w:rPr>
              <w:t> </w:t>
            </w:r>
            <w:r>
              <w:rPr>
                <w:rFonts w:ascii="宋体" w:hAnsi="宋体" w:cs="宋体" w:eastAsia="宋体" w:hint="default"/>
                <w:sz w:val="18"/>
                <w:szCs w:val="18"/>
              </w:rPr>
              <w:t>额</w:t>
            </w:r>
            <w:r>
              <w:rPr>
                <w:rFonts w:ascii="宋体" w:hAnsi="宋体" w:cs="宋体" w:eastAsia="宋体" w:hint="default"/>
                <w:sz w:val="18"/>
                <w:szCs w:val="18"/>
              </w:rPr>
              <w:t> 贷款有限公司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10.00</w:t>
            </w:r>
          </w:p>
        </w:tc>
        <w:tc>
          <w:tcPr>
            <w:tcW w:w="19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9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before="26"/>
        <w:ind w:left="535" w:right="279"/>
        <w:jc w:val="left"/>
      </w:pPr>
      <w:r>
        <w:rPr/>
        <w:t>10. 固定资产</w:t>
      </w:r>
    </w:p>
    <w:p>
      <w:pPr>
        <w:spacing w:line="240" w:lineRule="auto" w:before="9"/>
        <w:rPr>
          <w:rFonts w:ascii="宋体" w:hAnsi="宋体" w:cs="宋体" w:eastAsia="宋体" w:hint="default"/>
          <w:sz w:val="21"/>
          <w:szCs w:val="21"/>
        </w:rPr>
      </w:pPr>
    </w:p>
    <w:p>
      <w:pPr>
        <w:spacing w:before="0"/>
        <w:ind w:left="535" w:right="279"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
          <w:sz w:val="18"/>
          <w:szCs w:val="18"/>
        </w:rPr>
        <w:t> </w:t>
      </w:r>
      <w:r>
        <w:rPr>
          <w:rFonts w:ascii="宋体" w:hAnsi="宋体" w:cs="宋体" w:eastAsia="宋体" w:hint="default"/>
          <w:sz w:val="18"/>
          <w:szCs w:val="18"/>
        </w:rPr>
        <w:t>明细情况</w:t>
      </w:r>
    </w:p>
    <w:p>
      <w:pPr>
        <w:spacing w:line="240" w:lineRule="auto" w:before="0"/>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1610"/>
        <w:gridCol w:w="1510"/>
        <w:gridCol w:w="2302"/>
        <w:gridCol w:w="1673"/>
        <w:gridCol w:w="1546"/>
      </w:tblGrid>
      <w:tr>
        <w:trPr>
          <w:trHeight w:val="559" w:hRule="exact"/>
        </w:trPr>
        <w:tc>
          <w:tcPr>
            <w:tcW w:w="1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79"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8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7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499"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57" w:hRule="exact"/>
        </w:trPr>
        <w:tc>
          <w:tcPr>
            <w:tcW w:w="1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账面原值小计</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87,355,690.11</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288" w:right="0"/>
              <w:jc w:val="left"/>
              <w:rPr>
                <w:rFonts w:ascii="宋体" w:hAnsi="宋体" w:cs="宋体" w:eastAsia="宋体" w:hint="default"/>
                <w:sz w:val="18"/>
                <w:szCs w:val="18"/>
              </w:rPr>
            </w:pPr>
            <w:r>
              <w:rPr>
                <w:rFonts w:ascii="宋体"/>
                <w:sz w:val="18"/>
              </w:rPr>
              <w:t>564,165.83</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60" w:right="0"/>
              <w:jc w:val="left"/>
              <w:rPr>
                <w:rFonts w:ascii="宋体" w:hAnsi="宋体" w:cs="宋体" w:eastAsia="宋体" w:hint="default"/>
                <w:sz w:val="18"/>
                <w:szCs w:val="18"/>
              </w:rPr>
            </w:pPr>
            <w:r>
              <w:rPr>
                <w:rFonts w:ascii="宋体"/>
                <w:sz w:val="18"/>
              </w:rPr>
              <w:t>564,575.00</w:t>
            </w: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87,355,280.94</w:t>
            </w:r>
          </w:p>
        </w:tc>
      </w:tr>
      <w:tr>
        <w:trPr>
          <w:trHeight w:val="559" w:hRule="exact"/>
        </w:trPr>
        <w:tc>
          <w:tcPr>
            <w:tcW w:w="1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71,617,321.96</w:t>
            </w:r>
          </w:p>
        </w:tc>
        <w:tc>
          <w:tcPr>
            <w:tcW w:w="230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71,617,321.96</w:t>
            </w:r>
          </w:p>
        </w:tc>
      </w:tr>
    </w:tbl>
    <w:p>
      <w:pPr>
        <w:spacing w:after="0" w:line="240" w:lineRule="auto"/>
        <w:jc w:val="right"/>
        <w:rPr>
          <w:rFonts w:ascii="宋体" w:hAnsi="宋体" w:cs="宋体" w:eastAsia="宋体" w:hint="default"/>
          <w:sz w:val="18"/>
          <w:szCs w:val="18"/>
        </w:rPr>
        <w:sectPr>
          <w:pgSz w:w="11910" w:h="16840"/>
          <w:pgMar w:header="745" w:footer="979" w:top="1060" w:bottom="1160" w:left="1020" w:right="840"/>
        </w:sectPr>
      </w:pPr>
    </w:p>
    <w:p>
      <w:pPr>
        <w:spacing w:line="240" w:lineRule="auto" w:before="6"/>
        <w:rPr>
          <w:rFonts w:ascii="宋体" w:hAnsi="宋体" w:cs="宋体" w:eastAsia="宋体" w:hint="default"/>
          <w:sz w:val="28"/>
          <w:szCs w:val="28"/>
        </w:rPr>
      </w:pPr>
      <w:r>
        <w:rPr/>
        <w:pict>
          <v:group style="position:absolute;margin-left:47.639999pt;margin-top:781.919983pt;width:.1pt;height:10.35pt;mso-position-horizontal-relative:page;mso-position-vertical-relative:page;z-index:4120" coordorigin="953,15638" coordsize="2,207">
            <v:shape style="position:absolute;left:953;top:15638;width:2;height:207" coordorigin="953,15638" coordsize="0,207" path="m953,15638l953,15845e" filled="false" stroked="true" strokeweight=".12pt" strokecolor="#000000">
              <v:path arrowok="t"/>
            </v:shape>
            <w10:wrap type="none"/>
          </v:group>
        </w:pict>
      </w:r>
    </w:p>
    <w:tbl>
      <w:tblPr>
        <w:tblW w:w="0" w:type="auto"/>
        <w:jc w:val="left"/>
        <w:tblInd w:w="287" w:type="dxa"/>
        <w:tblLayout w:type="fixed"/>
        <w:tblCellMar>
          <w:top w:w="0" w:type="dxa"/>
          <w:left w:w="0" w:type="dxa"/>
          <w:bottom w:w="0" w:type="dxa"/>
          <w:right w:w="0" w:type="dxa"/>
        </w:tblCellMar>
        <w:tblLook w:val="01E0"/>
      </w:tblPr>
      <w:tblGrid>
        <w:gridCol w:w="1610"/>
        <w:gridCol w:w="1510"/>
        <w:gridCol w:w="1003"/>
        <w:gridCol w:w="1298"/>
        <w:gridCol w:w="1673"/>
        <w:gridCol w:w="1546"/>
      </w:tblGrid>
      <w:tr>
        <w:trPr>
          <w:trHeight w:val="557" w:hRule="exact"/>
        </w:trPr>
        <w:tc>
          <w:tcPr>
            <w:tcW w:w="1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6,878,299.25</w:t>
            </w:r>
          </w:p>
        </w:tc>
        <w:tc>
          <w:tcPr>
            <w:tcW w:w="2302" w:type="dxa"/>
            <w:gridSpan w:val="2"/>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60" w:right="0"/>
              <w:jc w:val="left"/>
              <w:rPr>
                <w:rFonts w:ascii="宋体" w:hAnsi="宋体" w:cs="宋体" w:eastAsia="宋体" w:hint="default"/>
                <w:sz w:val="18"/>
                <w:szCs w:val="18"/>
              </w:rPr>
            </w:pPr>
            <w:r>
              <w:rPr>
                <w:rFonts w:ascii="宋体"/>
                <w:sz w:val="18"/>
              </w:rPr>
              <w:t>564,575.00</w:t>
            </w: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6,313,724.25</w:t>
            </w:r>
          </w:p>
        </w:tc>
      </w:tr>
      <w:tr>
        <w:trPr>
          <w:trHeight w:val="559" w:hRule="exact"/>
        </w:trPr>
        <w:tc>
          <w:tcPr>
            <w:tcW w:w="1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8,860,068.90</w:t>
            </w:r>
          </w:p>
        </w:tc>
        <w:tc>
          <w:tcPr>
            <w:tcW w:w="2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288" w:right="0"/>
              <w:jc w:val="left"/>
              <w:rPr>
                <w:rFonts w:ascii="宋体" w:hAnsi="宋体" w:cs="宋体" w:eastAsia="宋体" w:hint="default"/>
                <w:sz w:val="18"/>
                <w:szCs w:val="18"/>
              </w:rPr>
            </w:pPr>
            <w:r>
              <w:rPr>
                <w:rFonts w:ascii="宋体"/>
                <w:sz w:val="18"/>
              </w:rPr>
              <w:t>564,165.83</w:t>
            </w:r>
          </w:p>
        </w:tc>
        <w:tc>
          <w:tcPr>
            <w:tcW w:w="1673"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9,424,234.73</w:t>
            </w:r>
          </w:p>
        </w:tc>
      </w:tr>
      <w:tr>
        <w:trPr>
          <w:trHeight w:val="557" w:hRule="exact"/>
        </w:trPr>
        <w:tc>
          <w:tcPr>
            <w:tcW w:w="1610" w:type="dxa"/>
            <w:tcBorders>
              <w:top w:val="single" w:sz="4" w:space="0" w:color="000000"/>
              <w:left w:val="nil" w:sz="6" w:space="0" w:color="auto"/>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29" w:right="0"/>
              <w:jc w:val="left"/>
              <w:rPr>
                <w:rFonts w:ascii="宋体" w:hAnsi="宋体" w:cs="宋体" w:eastAsia="宋体" w:hint="default"/>
                <w:sz w:val="18"/>
                <w:szCs w:val="18"/>
              </w:rPr>
            </w:pPr>
            <w:r>
              <w:rPr>
                <w:rFonts w:ascii="宋体" w:hAnsi="宋体" w:cs="宋体" w:eastAsia="宋体" w:hint="default"/>
                <w:sz w:val="18"/>
                <w:szCs w:val="18"/>
              </w:rPr>
              <w:t>本期转入</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1"/>
              <w:jc w:val="center"/>
              <w:rPr>
                <w:rFonts w:ascii="宋体" w:hAnsi="宋体" w:cs="宋体" w:eastAsia="宋体" w:hint="default"/>
                <w:sz w:val="18"/>
                <w:szCs w:val="18"/>
              </w:rPr>
            </w:pPr>
            <w:r>
              <w:rPr>
                <w:rFonts w:ascii="宋体" w:hAnsi="宋体" w:cs="宋体" w:eastAsia="宋体" w:hint="default"/>
                <w:sz w:val="18"/>
                <w:szCs w:val="18"/>
              </w:rPr>
              <w:t>本期计提</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52" w:right="0"/>
              <w:jc w:val="left"/>
              <w:rPr>
                <w:rFonts w:ascii="宋体" w:hAnsi="宋体" w:cs="宋体" w:eastAsia="宋体" w:hint="default"/>
                <w:sz w:val="18"/>
                <w:szCs w:val="18"/>
              </w:rPr>
            </w:pPr>
            <w:r>
              <w:rPr>
                <w:rFonts w:ascii="宋体" w:hAnsi="宋体" w:cs="宋体" w:eastAsia="宋体" w:hint="default"/>
                <w:sz w:val="18"/>
                <w:szCs w:val="18"/>
              </w:rPr>
              <w:t>——</w:t>
            </w: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559" w:hRule="exact"/>
        </w:trPr>
        <w:tc>
          <w:tcPr>
            <w:tcW w:w="1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累计折旧小计</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12,232,185.38</w:t>
            </w:r>
          </w:p>
        </w:tc>
        <w:tc>
          <w:tcPr>
            <w:tcW w:w="100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 w:right="0"/>
              <w:jc w:val="center"/>
              <w:rPr>
                <w:rFonts w:ascii="宋体" w:hAnsi="宋体" w:cs="宋体" w:eastAsia="宋体" w:hint="default"/>
                <w:sz w:val="18"/>
                <w:szCs w:val="18"/>
              </w:rPr>
            </w:pPr>
            <w:r>
              <w:rPr>
                <w:rFonts w:ascii="宋体"/>
                <w:sz w:val="18"/>
              </w:rPr>
              <w:t>5,022,986.06</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660" w:right="0"/>
              <w:jc w:val="left"/>
              <w:rPr>
                <w:rFonts w:ascii="宋体" w:hAnsi="宋体" w:cs="宋体" w:eastAsia="宋体" w:hint="default"/>
                <w:sz w:val="18"/>
                <w:szCs w:val="18"/>
              </w:rPr>
            </w:pPr>
            <w:r>
              <w:rPr>
                <w:rFonts w:ascii="宋体"/>
                <w:sz w:val="18"/>
              </w:rPr>
              <w:t>352,982.45</w:t>
            </w: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16,902,188.99</w:t>
            </w:r>
          </w:p>
        </w:tc>
      </w:tr>
      <w:tr>
        <w:trPr>
          <w:trHeight w:val="557" w:hRule="exact"/>
        </w:trPr>
        <w:tc>
          <w:tcPr>
            <w:tcW w:w="1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5,019,777.47</w:t>
            </w:r>
          </w:p>
        </w:tc>
        <w:tc>
          <w:tcPr>
            <w:tcW w:w="100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 w:right="0"/>
              <w:jc w:val="center"/>
              <w:rPr>
                <w:rFonts w:ascii="宋体" w:hAnsi="宋体" w:cs="宋体" w:eastAsia="宋体" w:hint="default"/>
                <w:sz w:val="18"/>
                <w:szCs w:val="18"/>
              </w:rPr>
            </w:pPr>
            <w:r>
              <w:rPr>
                <w:rFonts w:ascii="宋体"/>
                <w:sz w:val="18"/>
              </w:rPr>
              <w:t>2,262,795.97</w:t>
            </w:r>
          </w:p>
        </w:tc>
        <w:tc>
          <w:tcPr>
            <w:tcW w:w="1673"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7,282,573.44</w:t>
            </w:r>
          </w:p>
        </w:tc>
      </w:tr>
      <w:tr>
        <w:trPr>
          <w:trHeight w:val="559" w:hRule="exact"/>
        </w:trPr>
        <w:tc>
          <w:tcPr>
            <w:tcW w:w="1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2,779,817.37</w:t>
            </w:r>
          </w:p>
        </w:tc>
        <w:tc>
          <w:tcPr>
            <w:tcW w:w="100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 w:right="0"/>
              <w:jc w:val="center"/>
              <w:rPr>
                <w:rFonts w:ascii="宋体" w:hAnsi="宋体" w:cs="宋体" w:eastAsia="宋体" w:hint="default"/>
                <w:sz w:val="18"/>
                <w:szCs w:val="18"/>
              </w:rPr>
            </w:pPr>
            <w:r>
              <w:rPr>
                <w:rFonts w:ascii="宋体"/>
                <w:sz w:val="18"/>
              </w:rPr>
              <w:t>1,351,754.10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60" w:right="0"/>
              <w:jc w:val="left"/>
              <w:rPr>
                <w:rFonts w:ascii="宋体" w:hAnsi="宋体" w:cs="宋体" w:eastAsia="宋体" w:hint="default"/>
                <w:sz w:val="18"/>
                <w:szCs w:val="18"/>
              </w:rPr>
            </w:pPr>
            <w:r>
              <w:rPr>
                <w:rFonts w:ascii="宋体"/>
                <w:sz w:val="18"/>
              </w:rPr>
              <w:t>352,982.45</w:t>
            </w: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3,778,589.02</w:t>
            </w:r>
          </w:p>
        </w:tc>
      </w:tr>
      <w:tr>
        <w:trPr>
          <w:trHeight w:val="557" w:hRule="exact"/>
        </w:trPr>
        <w:tc>
          <w:tcPr>
            <w:tcW w:w="1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4,432,590.54</w:t>
            </w:r>
          </w:p>
        </w:tc>
        <w:tc>
          <w:tcPr>
            <w:tcW w:w="1003"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 w:right="0"/>
              <w:jc w:val="center"/>
              <w:rPr>
                <w:rFonts w:ascii="宋体" w:hAnsi="宋体" w:cs="宋体" w:eastAsia="宋体" w:hint="default"/>
                <w:sz w:val="18"/>
                <w:szCs w:val="18"/>
              </w:rPr>
            </w:pPr>
            <w:r>
              <w:rPr>
                <w:rFonts w:ascii="宋体"/>
                <w:sz w:val="18"/>
              </w:rPr>
              <w:t>1,408,435.99</w:t>
            </w:r>
          </w:p>
        </w:tc>
        <w:tc>
          <w:tcPr>
            <w:tcW w:w="1673"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5,841,026.53</w:t>
            </w:r>
          </w:p>
        </w:tc>
      </w:tr>
      <w:tr>
        <w:trPr>
          <w:trHeight w:val="559" w:hRule="exact"/>
        </w:trPr>
        <w:tc>
          <w:tcPr>
            <w:tcW w:w="1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2"/>
                <w:sz w:val="18"/>
                <w:szCs w:val="18"/>
              </w:rPr>
              <w:t> </w:t>
            </w:r>
            <w:r>
              <w:rPr>
                <w:rFonts w:ascii="宋体" w:hAnsi="宋体" w:cs="宋体" w:eastAsia="宋体" w:hint="default"/>
                <w:sz w:val="18"/>
                <w:szCs w:val="18"/>
              </w:rPr>
              <w:t>账面净值小计</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75,123,504.73</w:t>
            </w:r>
          </w:p>
        </w:tc>
        <w:tc>
          <w:tcPr>
            <w:tcW w:w="2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652" w:right="0"/>
              <w:jc w:val="left"/>
              <w:rPr>
                <w:rFonts w:ascii="宋体" w:hAnsi="宋体" w:cs="宋体" w:eastAsia="宋体" w:hint="default"/>
                <w:sz w:val="18"/>
                <w:szCs w:val="18"/>
              </w:rPr>
            </w:pPr>
            <w:r>
              <w:rPr>
                <w:rFonts w:ascii="宋体" w:hAnsi="宋体" w:cs="宋体" w:eastAsia="宋体" w:hint="default"/>
                <w:sz w:val="18"/>
                <w:szCs w:val="18"/>
              </w:rPr>
              <w:t>——</w:t>
            </w: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70,453,091.95</w:t>
            </w:r>
          </w:p>
        </w:tc>
      </w:tr>
      <w:tr>
        <w:trPr>
          <w:trHeight w:val="557" w:hRule="exact"/>
        </w:trPr>
        <w:tc>
          <w:tcPr>
            <w:tcW w:w="1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66,597,544.49</w:t>
            </w:r>
          </w:p>
        </w:tc>
        <w:tc>
          <w:tcPr>
            <w:tcW w:w="2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52" w:right="0"/>
              <w:jc w:val="left"/>
              <w:rPr>
                <w:rFonts w:ascii="宋体" w:hAnsi="宋体" w:cs="宋体" w:eastAsia="宋体" w:hint="default"/>
                <w:sz w:val="18"/>
                <w:szCs w:val="18"/>
              </w:rPr>
            </w:pPr>
            <w:r>
              <w:rPr>
                <w:rFonts w:ascii="宋体" w:hAnsi="宋体" w:cs="宋体" w:eastAsia="宋体" w:hint="default"/>
                <w:sz w:val="18"/>
                <w:szCs w:val="18"/>
              </w:rPr>
              <w:t>——</w:t>
            </w: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64,334,748.52</w:t>
            </w:r>
          </w:p>
        </w:tc>
      </w:tr>
      <w:tr>
        <w:trPr>
          <w:trHeight w:val="559" w:hRule="exact"/>
        </w:trPr>
        <w:tc>
          <w:tcPr>
            <w:tcW w:w="1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4,098,481.88</w:t>
            </w:r>
          </w:p>
        </w:tc>
        <w:tc>
          <w:tcPr>
            <w:tcW w:w="2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652" w:right="0"/>
              <w:jc w:val="left"/>
              <w:rPr>
                <w:rFonts w:ascii="宋体" w:hAnsi="宋体" w:cs="宋体" w:eastAsia="宋体" w:hint="default"/>
                <w:sz w:val="18"/>
                <w:szCs w:val="18"/>
              </w:rPr>
            </w:pPr>
            <w:r>
              <w:rPr>
                <w:rFonts w:ascii="宋体" w:hAnsi="宋体" w:cs="宋体" w:eastAsia="宋体" w:hint="default"/>
                <w:sz w:val="18"/>
                <w:szCs w:val="18"/>
              </w:rPr>
              <w:t>——</w:t>
            </w: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2,535,135.23</w:t>
            </w:r>
          </w:p>
        </w:tc>
      </w:tr>
      <w:tr>
        <w:trPr>
          <w:trHeight w:val="557" w:hRule="exact"/>
        </w:trPr>
        <w:tc>
          <w:tcPr>
            <w:tcW w:w="1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4,427,478.36</w:t>
            </w:r>
          </w:p>
        </w:tc>
        <w:tc>
          <w:tcPr>
            <w:tcW w:w="2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52" w:right="0"/>
              <w:jc w:val="left"/>
              <w:rPr>
                <w:rFonts w:ascii="宋体" w:hAnsi="宋体" w:cs="宋体" w:eastAsia="宋体" w:hint="default"/>
                <w:sz w:val="18"/>
                <w:szCs w:val="18"/>
              </w:rPr>
            </w:pPr>
            <w:r>
              <w:rPr>
                <w:rFonts w:ascii="宋体" w:hAnsi="宋体" w:cs="宋体" w:eastAsia="宋体" w:hint="default"/>
                <w:sz w:val="18"/>
                <w:szCs w:val="18"/>
              </w:rPr>
              <w:t>——</w:t>
            </w: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3,583,208.20</w:t>
            </w:r>
          </w:p>
        </w:tc>
      </w:tr>
      <w:tr>
        <w:trPr>
          <w:trHeight w:val="559" w:hRule="exact"/>
        </w:trPr>
        <w:tc>
          <w:tcPr>
            <w:tcW w:w="1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2"/>
                <w:sz w:val="18"/>
                <w:szCs w:val="18"/>
              </w:rPr>
              <w:t> </w:t>
            </w:r>
            <w:r>
              <w:rPr>
                <w:rFonts w:ascii="宋体" w:hAnsi="宋体" w:cs="宋体" w:eastAsia="宋体" w:hint="default"/>
                <w:sz w:val="18"/>
                <w:szCs w:val="18"/>
              </w:rPr>
              <w:t>减值准备小计</w:t>
            </w:r>
          </w:p>
        </w:tc>
        <w:tc>
          <w:tcPr>
            <w:tcW w:w="1510" w:type="dxa"/>
            <w:tcBorders>
              <w:top w:val="single" w:sz="4" w:space="0" w:color="000000"/>
              <w:left w:val="single" w:sz="4" w:space="0" w:color="000000"/>
              <w:bottom w:val="single" w:sz="4" w:space="0" w:color="000000"/>
              <w:right w:val="single" w:sz="4" w:space="0" w:color="000000"/>
            </w:tcBorders>
          </w:tcPr>
          <w:p>
            <w:pPr/>
          </w:p>
        </w:tc>
        <w:tc>
          <w:tcPr>
            <w:tcW w:w="2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52" w:right="0"/>
              <w:jc w:val="left"/>
              <w:rPr>
                <w:rFonts w:ascii="宋体" w:hAnsi="宋体" w:cs="宋体" w:eastAsia="宋体" w:hint="default"/>
                <w:sz w:val="18"/>
                <w:szCs w:val="18"/>
              </w:rPr>
            </w:pPr>
            <w:r>
              <w:rPr>
                <w:rFonts w:ascii="宋体" w:hAnsi="宋体" w:cs="宋体" w:eastAsia="宋体" w:hint="default"/>
                <w:sz w:val="18"/>
                <w:szCs w:val="18"/>
              </w:rPr>
              <w:t>——</w:t>
            </w:r>
          </w:p>
        </w:tc>
        <w:tc>
          <w:tcPr>
            <w:tcW w:w="1546"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10" w:type="dxa"/>
            <w:tcBorders>
              <w:top w:val="single" w:sz="4" w:space="0" w:color="000000"/>
              <w:left w:val="single" w:sz="4" w:space="0" w:color="000000"/>
              <w:bottom w:val="single" w:sz="4" w:space="0" w:color="000000"/>
              <w:right w:val="single" w:sz="4" w:space="0" w:color="000000"/>
            </w:tcBorders>
          </w:tcPr>
          <w:p>
            <w:pPr/>
          </w:p>
        </w:tc>
        <w:tc>
          <w:tcPr>
            <w:tcW w:w="2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52" w:right="0"/>
              <w:jc w:val="left"/>
              <w:rPr>
                <w:rFonts w:ascii="宋体" w:hAnsi="宋体" w:cs="宋体" w:eastAsia="宋体" w:hint="default"/>
                <w:sz w:val="18"/>
                <w:szCs w:val="18"/>
              </w:rPr>
            </w:pPr>
            <w:r>
              <w:rPr>
                <w:rFonts w:ascii="宋体" w:hAnsi="宋体" w:cs="宋体" w:eastAsia="宋体" w:hint="default"/>
                <w:sz w:val="18"/>
                <w:szCs w:val="18"/>
              </w:rPr>
              <w:t>——</w:t>
            </w:r>
          </w:p>
        </w:tc>
        <w:tc>
          <w:tcPr>
            <w:tcW w:w="1546"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10" w:type="dxa"/>
            <w:tcBorders>
              <w:top w:val="single" w:sz="4" w:space="0" w:color="000000"/>
              <w:left w:val="single" w:sz="4" w:space="0" w:color="000000"/>
              <w:bottom w:val="single" w:sz="4" w:space="0" w:color="000000"/>
              <w:right w:val="single" w:sz="4" w:space="0" w:color="000000"/>
            </w:tcBorders>
          </w:tcPr>
          <w:p>
            <w:pPr/>
          </w:p>
        </w:tc>
        <w:tc>
          <w:tcPr>
            <w:tcW w:w="2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52" w:right="0"/>
              <w:jc w:val="left"/>
              <w:rPr>
                <w:rFonts w:ascii="宋体" w:hAnsi="宋体" w:cs="宋体" w:eastAsia="宋体" w:hint="default"/>
                <w:sz w:val="18"/>
                <w:szCs w:val="18"/>
              </w:rPr>
            </w:pPr>
            <w:r>
              <w:rPr>
                <w:rFonts w:ascii="宋体" w:hAnsi="宋体" w:cs="宋体" w:eastAsia="宋体" w:hint="default"/>
                <w:sz w:val="18"/>
                <w:szCs w:val="18"/>
              </w:rPr>
              <w:t>——</w:t>
            </w:r>
          </w:p>
        </w:tc>
        <w:tc>
          <w:tcPr>
            <w:tcW w:w="1546"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10" w:type="dxa"/>
            <w:tcBorders>
              <w:top w:val="single" w:sz="4" w:space="0" w:color="000000"/>
              <w:left w:val="single" w:sz="4" w:space="0" w:color="000000"/>
              <w:bottom w:val="single" w:sz="4" w:space="0" w:color="000000"/>
              <w:right w:val="single" w:sz="4" w:space="0" w:color="000000"/>
            </w:tcBorders>
          </w:tcPr>
          <w:p>
            <w:pPr/>
          </w:p>
        </w:tc>
        <w:tc>
          <w:tcPr>
            <w:tcW w:w="2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52" w:right="0"/>
              <w:jc w:val="left"/>
              <w:rPr>
                <w:rFonts w:ascii="宋体" w:hAnsi="宋体" w:cs="宋体" w:eastAsia="宋体" w:hint="default"/>
                <w:sz w:val="18"/>
                <w:szCs w:val="18"/>
              </w:rPr>
            </w:pPr>
            <w:r>
              <w:rPr>
                <w:rFonts w:ascii="宋体" w:hAnsi="宋体" w:cs="宋体" w:eastAsia="宋体" w:hint="default"/>
                <w:sz w:val="18"/>
                <w:szCs w:val="18"/>
              </w:rPr>
              <w:t>——</w:t>
            </w:r>
          </w:p>
        </w:tc>
        <w:tc>
          <w:tcPr>
            <w:tcW w:w="1546"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2"/>
                <w:sz w:val="18"/>
                <w:szCs w:val="18"/>
              </w:rPr>
              <w:t> </w:t>
            </w:r>
            <w:r>
              <w:rPr>
                <w:rFonts w:ascii="宋体" w:hAnsi="宋体" w:cs="宋体" w:eastAsia="宋体" w:hint="default"/>
                <w:sz w:val="18"/>
                <w:szCs w:val="18"/>
              </w:rPr>
              <w:t>账面价值合计</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75,123,504.73</w:t>
            </w:r>
          </w:p>
        </w:tc>
        <w:tc>
          <w:tcPr>
            <w:tcW w:w="2302" w:type="dxa"/>
            <w:gridSpan w:val="2"/>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70,453,091.95</w:t>
            </w:r>
          </w:p>
        </w:tc>
      </w:tr>
      <w:tr>
        <w:trPr>
          <w:trHeight w:val="557" w:hRule="exact"/>
        </w:trPr>
        <w:tc>
          <w:tcPr>
            <w:tcW w:w="1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66,597,544.49</w:t>
            </w:r>
          </w:p>
        </w:tc>
        <w:tc>
          <w:tcPr>
            <w:tcW w:w="2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52" w:right="0"/>
              <w:jc w:val="left"/>
              <w:rPr>
                <w:rFonts w:ascii="宋体" w:hAnsi="宋体" w:cs="宋体" w:eastAsia="宋体" w:hint="default"/>
                <w:sz w:val="18"/>
                <w:szCs w:val="18"/>
              </w:rPr>
            </w:pPr>
            <w:r>
              <w:rPr>
                <w:rFonts w:ascii="宋体" w:hAnsi="宋体" w:cs="宋体" w:eastAsia="宋体" w:hint="default"/>
                <w:sz w:val="18"/>
                <w:szCs w:val="18"/>
              </w:rPr>
              <w:t>——</w:t>
            </w: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64,334,748.52</w:t>
            </w:r>
          </w:p>
        </w:tc>
      </w:tr>
      <w:tr>
        <w:trPr>
          <w:trHeight w:val="559" w:hRule="exact"/>
        </w:trPr>
        <w:tc>
          <w:tcPr>
            <w:tcW w:w="1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4,098,481.88</w:t>
            </w:r>
          </w:p>
        </w:tc>
        <w:tc>
          <w:tcPr>
            <w:tcW w:w="2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652" w:right="0"/>
              <w:jc w:val="left"/>
              <w:rPr>
                <w:rFonts w:ascii="宋体" w:hAnsi="宋体" w:cs="宋体" w:eastAsia="宋体" w:hint="default"/>
                <w:sz w:val="18"/>
                <w:szCs w:val="18"/>
              </w:rPr>
            </w:pPr>
            <w:r>
              <w:rPr>
                <w:rFonts w:ascii="宋体" w:hAnsi="宋体" w:cs="宋体" w:eastAsia="宋体" w:hint="default"/>
                <w:sz w:val="18"/>
                <w:szCs w:val="18"/>
              </w:rPr>
              <w:t>——</w:t>
            </w: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2,535,135.23</w:t>
            </w:r>
          </w:p>
        </w:tc>
      </w:tr>
      <w:tr>
        <w:trPr>
          <w:trHeight w:val="557" w:hRule="exact"/>
        </w:trPr>
        <w:tc>
          <w:tcPr>
            <w:tcW w:w="1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4,427,478.36</w:t>
            </w:r>
          </w:p>
        </w:tc>
        <w:tc>
          <w:tcPr>
            <w:tcW w:w="2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52" w:right="0"/>
              <w:jc w:val="left"/>
              <w:rPr>
                <w:rFonts w:ascii="宋体" w:hAnsi="宋体" w:cs="宋体" w:eastAsia="宋体" w:hint="default"/>
                <w:sz w:val="18"/>
                <w:szCs w:val="18"/>
              </w:rPr>
            </w:pPr>
            <w:r>
              <w:rPr>
                <w:rFonts w:ascii="宋体" w:hAnsi="宋体" w:cs="宋体" w:eastAsia="宋体" w:hint="default"/>
                <w:sz w:val="18"/>
                <w:szCs w:val="18"/>
              </w:rPr>
              <w:t>——</w:t>
            </w:r>
          </w:p>
        </w:tc>
        <w:tc>
          <w:tcPr>
            <w:tcW w:w="1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3,583,208.20</w:t>
            </w:r>
          </w:p>
        </w:tc>
      </w:tr>
    </w:tbl>
    <w:p>
      <w:pPr>
        <w:pStyle w:val="BodyText"/>
        <w:spacing w:line="240" w:lineRule="auto" w:before="3"/>
        <w:ind w:left="715" w:right="279"/>
        <w:jc w:val="left"/>
      </w:pPr>
      <w:r>
        <w:rPr/>
        <w:t>本期折旧额为</w:t>
      </w:r>
      <w:r>
        <w:rPr>
          <w:spacing w:val="-60"/>
        </w:rPr>
        <w:t> </w:t>
      </w:r>
      <w:r>
        <w:rPr/>
        <w:t>5,022,986.06</w:t>
      </w:r>
      <w:r>
        <w:rPr>
          <w:spacing w:val="-60"/>
        </w:rPr>
        <w:t> </w:t>
      </w:r>
      <w:r>
        <w:rPr/>
        <w:t>元。</w:t>
      </w:r>
    </w:p>
    <w:p>
      <w:pPr>
        <w:pStyle w:val="BodyText"/>
        <w:spacing w:line="240" w:lineRule="auto" w:before="194"/>
        <w:ind w:left="715" w:right="279"/>
        <w:jc w:val="left"/>
      </w:pPr>
      <w:r>
        <w:rPr/>
        <w:t>(2) 经营租出固定资产</w:t>
      </w:r>
    </w:p>
    <w:p>
      <w:pPr>
        <w:spacing w:line="240" w:lineRule="auto" w:before="11"/>
        <w:rPr>
          <w:rFonts w:ascii="宋体" w:hAnsi="宋体" w:cs="宋体" w:eastAsia="宋体" w:hint="default"/>
          <w:sz w:val="14"/>
          <w:szCs w:val="14"/>
        </w:rPr>
      </w:pPr>
    </w:p>
    <w:tbl>
      <w:tblPr>
        <w:tblW w:w="0" w:type="auto"/>
        <w:jc w:val="left"/>
        <w:tblInd w:w="287" w:type="dxa"/>
        <w:tblLayout w:type="fixed"/>
        <w:tblCellMar>
          <w:top w:w="0" w:type="dxa"/>
          <w:left w:w="0" w:type="dxa"/>
          <w:bottom w:w="0" w:type="dxa"/>
          <w:right w:w="0" w:type="dxa"/>
        </w:tblCellMar>
        <w:tblLook w:val="01E0"/>
      </w:tblPr>
      <w:tblGrid>
        <w:gridCol w:w="1985"/>
        <w:gridCol w:w="1843"/>
      </w:tblGrid>
      <w:tr>
        <w:trPr>
          <w:trHeight w:val="559"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290"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56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57"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9,145,751.42</w:t>
            </w:r>
          </w:p>
        </w:tc>
      </w:tr>
      <w:tr>
        <w:trPr>
          <w:trHeight w:val="559"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290"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9,145,751.42</w:t>
            </w:r>
          </w:p>
        </w:tc>
      </w:tr>
    </w:tbl>
    <w:p>
      <w:pPr>
        <w:spacing w:after="0" w:line="240" w:lineRule="auto"/>
        <w:jc w:val="right"/>
        <w:rPr>
          <w:rFonts w:ascii="宋体" w:hAnsi="宋体" w:cs="宋体" w:eastAsia="宋体" w:hint="default"/>
          <w:sz w:val="18"/>
          <w:szCs w:val="18"/>
        </w:rPr>
        <w:sectPr>
          <w:pgSz w:w="11910" w:h="16840"/>
          <w:pgMar w:header="745" w:footer="979" w:top="1060" w:bottom="1160" w:left="840" w:right="1020"/>
        </w:sectPr>
      </w:pPr>
    </w:p>
    <w:p>
      <w:pPr>
        <w:spacing w:line="240" w:lineRule="auto" w:before="6"/>
        <w:rPr>
          <w:rFonts w:ascii="宋体" w:hAnsi="宋体" w:cs="宋体" w:eastAsia="宋体" w:hint="default"/>
          <w:sz w:val="29"/>
          <w:szCs w:val="29"/>
        </w:rPr>
      </w:pPr>
    </w:p>
    <w:p>
      <w:pPr>
        <w:pStyle w:val="BodyText"/>
        <w:spacing w:line="240" w:lineRule="auto" w:before="26"/>
        <w:ind w:left="595" w:right="279"/>
        <w:jc w:val="left"/>
      </w:pPr>
      <w:r>
        <w:rPr/>
        <w:t>11.</w:t>
      </w:r>
      <w:r>
        <w:rPr>
          <w:spacing w:val="-3"/>
        </w:rPr>
        <w:t> </w:t>
      </w:r>
      <w:r>
        <w:rPr/>
        <w:t>无形资产</w:t>
      </w:r>
    </w:p>
    <w:p>
      <w:pPr>
        <w:pStyle w:val="BodyText"/>
        <w:spacing w:line="240" w:lineRule="auto" w:before="194"/>
        <w:ind w:left="595" w:right="279"/>
        <w:jc w:val="left"/>
      </w:pPr>
      <w:r>
        <w:rPr/>
        <w:t>(1)</w:t>
      </w:r>
      <w:r>
        <w:rPr>
          <w:spacing w:val="-3"/>
        </w:rPr>
        <w:t> </w:t>
      </w:r>
      <w:r>
        <w:rPr/>
        <w:t>明细情况</w:t>
      </w:r>
    </w:p>
    <w:p>
      <w:pPr>
        <w:spacing w:line="240" w:lineRule="auto" w:before="10"/>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2160"/>
        <w:gridCol w:w="2160"/>
        <w:gridCol w:w="1711"/>
        <w:gridCol w:w="1709"/>
        <w:gridCol w:w="1711"/>
      </w:tblGrid>
      <w:tr>
        <w:trPr>
          <w:trHeight w:val="559" w:hRule="exact"/>
        </w:trPr>
        <w:tc>
          <w:tcPr>
            <w:tcW w:w="2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90"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7"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9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57" w:hRule="exact"/>
        </w:trPr>
        <w:tc>
          <w:tcPr>
            <w:tcW w:w="2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账面原值小计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60,228,538.15</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11,881,998.33</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7"/>
              <w:jc w:val="right"/>
              <w:rPr>
                <w:rFonts w:ascii="宋体" w:hAnsi="宋体" w:cs="宋体" w:eastAsia="宋体" w:hint="default"/>
                <w:sz w:val="18"/>
                <w:szCs w:val="18"/>
              </w:rPr>
            </w:pPr>
            <w:r>
              <w:rPr>
                <w:rFonts w:ascii="宋体"/>
                <w:spacing w:val="-1"/>
                <w:sz w:val="18"/>
              </w:rPr>
              <w:t>72,110,536.48</w:t>
            </w:r>
          </w:p>
        </w:tc>
      </w:tr>
      <w:tr>
        <w:trPr>
          <w:trHeight w:val="559" w:hRule="exact"/>
        </w:trPr>
        <w:tc>
          <w:tcPr>
            <w:tcW w:w="2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1,983,780.00</w:t>
            </w:r>
          </w:p>
        </w:tc>
        <w:tc>
          <w:tcPr>
            <w:tcW w:w="1711"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1,983,780.00</w:t>
            </w:r>
          </w:p>
        </w:tc>
      </w:tr>
      <w:tr>
        <w:trPr>
          <w:trHeight w:val="557" w:hRule="exact"/>
        </w:trPr>
        <w:tc>
          <w:tcPr>
            <w:tcW w:w="2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58,244,758.15</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11,881,998.33</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7"/>
              <w:jc w:val="right"/>
              <w:rPr>
                <w:rFonts w:ascii="宋体" w:hAnsi="宋体" w:cs="宋体" w:eastAsia="宋体" w:hint="default"/>
                <w:sz w:val="18"/>
                <w:szCs w:val="18"/>
              </w:rPr>
            </w:pPr>
            <w:r>
              <w:rPr>
                <w:rFonts w:ascii="宋体"/>
                <w:spacing w:val="-1"/>
                <w:sz w:val="18"/>
              </w:rPr>
              <w:t>70,126,756.48</w:t>
            </w:r>
          </w:p>
        </w:tc>
      </w:tr>
      <w:tr>
        <w:trPr>
          <w:trHeight w:val="559" w:hRule="exact"/>
        </w:trPr>
        <w:tc>
          <w:tcPr>
            <w:tcW w:w="2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累计摊销小计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15,147,493.22</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9,480,997.19</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7"/>
              <w:jc w:val="right"/>
              <w:rPr>
                <w:rFonts w:ascii="宋体" w:hAnsi="宋体" w:cs="宋体" w:eastAsia="宋体" w:hint="default"/>
                <w:sz w:val="18"/>
                <w:szCs w:val="18"/>
              </w:rPr>
            </w:pPr>
            <w:r>
              <w:rPr>
                <w:rFonts w:ascii="宋体"/>
                <w:spacing w:val="-1"/>
                <w:sz w:val="18"/>
              </w:rPr>
              <w:t>24,628,490.41</w:t>
            </w:r>
          </w:p>
        </w:tc>
      </w:tr>
      <w:tr>
        <w:trPr>
          <w:trHeight w:val="413" w:hRule="exact"/>
        </w:trPr>
        <w:tc>
          <w:tcPr>
            <w:tcW w:w="2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202,426.78</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40,485.36</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4"/>
              <w:jc w:val="right"/>
              <w:rPr>
                <w:rFonts w:ascii="宋体" w:hAnsi="宋体" w:cs="宋体" w:eastAsia="宋体" w:hint="default"/>
                <w:sz w:val="18"/>
                <w:szCs w:val="18"/>
              </w:rPr>
            </w:pPr>
            <w:r>
              <w:rPr>
                <w:rFonts w:ascii="宋体"/>
                <w:spacing w:val="-1"/>
                <w:sz w:val="18"/>
              </w:rPr>
              <w:t>242,912.14</w:t>
            </w:r>
          </w:p>
        </w:tc>
      </w:tr>
      <w:tr>
        <w:trPr>
          <w:trHeight w:val="413" w:hRule="exact"/>
        </w:trPr>
        <w:tc>
          <w:tcPr>
            <w:tcW w:w="2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10"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pacing w:val="-1"/>
                <w:sz w:val="18"/>
              </w:rPr>
              <w:t>14,945,066.44</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pacing w:val="-1"/>
                <w:sz w:val="18"/>
              </w:rPr>
              <w:t>9,440,511.83</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7"/>
              <w:jc w:val="right"/>
              <w:rPr>
                <w:rFonts w:ascii="宋体" w:hAnsi="宋体" w:cs="宋体" w:eastAsia="宋体" w:hint="default"/>
                <w:sz w:val="18"/>
                <w:szCs w:val="18"/>
              </w:rPr>
            </w:pPr>
            <w:r>
              <w:rPr>
                <w:rFonts w:ascii="宋体"/>
                <w:spacing w:val="-1"/>
                <w:sz w:val="18"/>
              </w:rPr>
              <w:t>24,385,578.27</w:t>
            </w:r>
          </w:p>
        </w:tc>
      </w:tr>
      <w:tr>
        <w:trPr>
          <w:trHeight w:val="557" w:hRule="exact"/>
        </w:trPr>
        <w:tc>
          <w:tcPr>
            <w:tcW w:w="2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2"/>
                <w:sz w:val="18"/>
                <w:szCs w:val="18"/>
              </w:rPr>
              <w:t> </w:t>
            </w:r>
            <w:r>
              <w:rPr>
                <w:rFonts w:ascii="宋体" w:hAnsi="宋体" w:cs="宋体" w:eastAsia="宋体" w:hint="default"/>
                <w:sz w:val="18"/>
                <w:szCs w:val="18"/>
              </w:rPr>
              <w:t>账面价值合计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45,081,044.93</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11,881,998.33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9,480,997.19</w:t>
            </w: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7"/>
              <w:jc w:val="right"/>
              <w:rPr>
                <w:rFonts w:ascii="宋体" w:hAnsi="宋体" w:cs="宋体" w:eastAsia="宋体" w:hint="default"/>
                <w:sz w:val="18"/>
                <w:szCs w:val="18"/>
              </w:rPr>
            </w:pPr>
            <w:r>
              <w:rPr>
                <w:rFonts w:ascii="宋体"/>
                <w:spacing w:val="-1"/>
                <w:sz w:val="18"/>
              </w:rPr>
              <w:t>47,482,046.07</w:t>
            </w:r>
          </w:p>
        </w:tc>
      </w:tr>
      <w:tr>
        <w:trPr>
          <w:trHeight w:val="480" w:hRule="exact"/>
        </w:trPr>
        <w:tc>
          <w:tcPr>
            <w:tcW w:w="2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10"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1,781,353.22</w:t>
            </w:r>
          </w:p>
        </w:tc>
        <w:tc>
          <w:tcPr>
            <w:tcW w:w="1711"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40,485.36</w:t>
            </w: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4"/>
              <w:jc w:val="right"/>
              <w:rPr>
                <w:rFonts w:ascii="宋体" w:hAnsi="宋体" w:cs="宋体" w:eastAsia="宋体" w:hint="default"/>
                <w:sz w:val="18"/>
                <w:szCs w:val="18"/>
              </w:rPr>
            </w:pPr>
            <w:r>
              <w:rPr>
                <w:rFonts w:ascii="宋体"/>
                <w:spacing w:val="-1"/>
                <w:sz w:val="18"/>
              </w:rPr>
              <w:t>1,740,867.86</w:t>
            </w:r>
          </w:p>
        </w:tc>
      </w:tr>
      <w:tr>
        <w:trPr>
          <w:trHeight w:val="439" w:hRule="exact"/>
        </w:trPr>
        <w:tc>
          <w:tcPr>
            <w:tcW w:w="2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10"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宋体" w:hAnsi="宋体" w:cs="宋体" w:eastAsia="宋体" w:hint="default"/>
                <w:sz w:val="18"/>
                <w:szCs w:val="18"/>
              </w:rPr>
            </w:pPr>
            <w:r>
              <w:rPr>
                <w:rFonts w:ascii="宋体"/>
                <w:spacing w:val="-1"/>
                <w:sz w:val="18"/>
              </w:rPr>
              <w:t>43,299,691.71</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宋体" w:hAnsi="宋体" w:cs="宋体" w:eastAsia="宋体" w:hint="default"/>
                <w:sz w:val="18"/>
                <w:szCs w:val="18"/>
              </w:rPr>
            </w:pPr>
            <w:r>
              <w:rPr>
                <w:rFonts w:ascii="宋体"/>
                <w:spacing w:val="-1"/>
                <w:sz w:val="18"/>
              </w:rPr>
              <w:t>11,881,998.33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宋体" w:hAnsi="宋体" w:cs="宋体" w:eastAsia="宋体" w:hint="default"/>
                <w:sz w:val="18"/>
                <w:szCs w:val="18"/>
              </w:rPr>
            </w:pPr>
            <w:r>
              <w:rPr>
                <w:rFonts w:ascii="宋体"/>
                <w:spacing w:val="-1"/>
                <w:sz w:val="18"/>
              </w:rPr>
              <w:t>9,440,511.83</w:t>
            </w: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7"/>
              <w:jc w:val="right"/>
              <w:rPr>
                <w:rFonts w:ascii="宋体" w:hAnsi="宋体" w:cs="宋体" w:eastAsia="宋体" w:hint="default"/>
                <w:sz w:val="18"/>
                <w:szCs w:val="18"/>
              </w:rPr>
            </w:pPr>
            <w:r>
              <w:rPr>
                <w:rFonts w:ascii="宋体"/>
                <w:spacing w:val="-1"/>
                <w:sz w:val="18"/>
              </w:rPr>
              <w:t>45,741,178.21</w:t>
            </w:r>
          </w:p>
        </w:tc>
      </w:tr>
    </w:tbl>
    <w:p>
      <w:pPr>
        <w:pStyle w:val="BodyText"/>
        <w:spacing w:line="240" w:lineRule="auto" w:before="79"/>
        <w:ind w:left="595" w:right="279"/>
        <w:jc w:val="left"/>
      </w:pPr>
      <w:r>
        <w:rPr/>
        <w:t>本期摊销额</w:t>
      </w:r>
      <w:r>
        <w:rPr>
          <w:spacing w:val="-60"/>
        </w:rPr>
        <w:t> </w:t>
      </w:r>
      <w:r>
        <w:rPr/>
        <w:t>9,480,997.19</w:t>
      </w:r>
      <w:r>
        <w:rPr>
          <w:spacing w:val="-63"/>
        </w:rPr>
        <w:t> </w:t>
      </w:r>
      <w:r>
        <w:rPr/>
        <w:t>元。</w:t>
      </w:r>
    </w:p>
    <w:p>
      <w:pPr>
        <w:pStyle w:val="BodyText"/>
        <w:spacing w:line="240" w:lineRule="auto" w:before="194"/>
        <w:ind w:left="595" w:right="279"/>
        <w:jc w:val="left"/>
      </w:pPr>
      <w:r>
        <w:rPr/>
        <w:t>(2)</w:t>
      </w:r>
      <w:r>
        <w:rPr>
          <w:spacing w:val="-3"/>
        </w:rPr>
        <w:t> </w:t>
      </w:r>
      <w:r>
        <w:rPr/>
        <w:t>开发项目支出</w:t>
      </w:r>
    </w:p>
    <w:p>
      <w:pPr>
        <w:spacing w:line="240" w:lineRule="auto" w:before="10"/>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843"/>
        <w:gridCol w:w="1397"/>
        <w:gridCol w:w="1620"/>
        <w:gridCol w:w="1236"/>
        <w:gridCol w:w="1440"/>
        <w:gridCol w:w="1474"/>
      </w:tblGrid>
      <w:tr>
        <w:trPr>
          <w:trHeight w:val="430" w:hRule="exact"/>
        </w:trPr>
        <w:tc>
          <w:tcPr>
            <w:tcW w:w="1843"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90" w:right="0"/>
              <w:jc w:val="left"/>
              <w:rPr>
                <w:rFonts w:ascii="宋体" w:hAnsi="宋体" w:cs="宋体" w:eastAsia="宋体" w:hint="default"/>
                <w:sz w:val="18"/>
                <w:szCs w:val="18"/>
              </w:rPr>
            </w:pPr>
            <w:bookmarkStart w:name="项目" w:id="140"/>
            <w:bookmarkEnd w:id="140"/>
            <w:r>
              <w:rPr/>
            </w:r>
            <w:bookmarkStart w:name="期初数" w:id="141"/>
            <w:bookmarkEnd w:id="141"/>
            <w:r>
              <w:rPr/>
            </w:r>
            <w:bookmarkStart w:name="本期增加" w:id="142"/>
            <w:bookmarkEnd w:id="142"/>
            <w:r>
              <w:rPr/>
            </w:r>
            <w:bookmarkStart w:name="本期减少" w:id="143"/>
            <w:bookmarkEnd w:id="143"/>
            <w:r>
              <w:rPr/>
            </w:r>
            <w:bookmarkStart w:name="期末数" w:id="144"/>
            <w:bookmarkEnd w:id="144"/>
            <w:r>
              <w:rPr/>
            </w:r>
            <w:bookmarkStart w:name="计入当期损益" w:id="145"/>
            <w:bookmarkEnd w:id="145"/>
            <w:r>
              <w:rPr/>
            </w:r>
            <w:bookmarkStart w:name="确认为无形资产" w:id="146"/>
            <w:bookmarkEnd w:id="146"/>
            <w:r>
              <w:rPr/>
            </w:r>
            <w:r>
              <w:rPr>
                <w:rFonts w:ascii="宋体" w:hAnsi="宋体" w:cs="宋体" w:eastAsia="宋体" w:hint="default"/>
                <w:sz w:val="18"/>
                <w:szCs w:val="18"/>
              </w:rPr>
              <w:t>项  目</w:t>
            </w:r>
          </w:p>
        </w:tc>
        <w:tc>
          <w:tcPr>
            <w:tcW w:w="13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44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6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6"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74" w:type="dxa"/>
            <w:vMerge w:val="restart"/>
            <w:tcBorders>
              <w:top w:val="single" w:sz="4" w:space="0" w:color="000000"/>
              <w:left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46" w:hRule="exact"/>
        </w:trPr>
        <w:tc>
          <w:tcPr>
            <w:tcW w:w="1843" w:type="dxa"/>
            <w:vMerge/>
            <w:tcBorders>
              <w:left w:val="nil" w:sz="6" w:space="0" w:color="auto"/>
              <w:bottom w:val="single" w:sz="4" w:space="0" w:color="000000"/>
              <w:right w:val="single" w:sz="4" w:space="0" w:color="000000"/>
            </w:tcBorders>
          </w:tcPr>
          <w:p>
            <w:pPr/>
          </w:p>
        </w:tc>
        <w:tc>
          <w:tcPr>
            <w:tcW w:w="1397" w:type="dxa"/>
            <w:vMerge/>
            <w:tcBorders>
              <w:left w:val="single" w:sz="4" w:space="0" w:color="000000"/>
              <w:bottom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72"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4"/>
              <w:jc w:val="right"/>
              <w:rPr>
                <w:rFonts w:ascii="宋体" w:hAnsi="宋体" w:cs="宋体" w:eastAsia="宋体" w:hint="default"/>
                <w:sz w:val="18"/>
                <w:szCs w:val="18"/>
              </w:rPr>
            </w:pPr>
            <w:r>
              <w:rPr>
                <w:rFonts w:ascii="宋体" w:hAnsi="宋体" w:cs="宋体" w:eastAsia="宋体" w:hint="default"/>
                <w:sz w:val="18"/>
                <w:szCs w:val="18"/>
              </w:rPr>
              <w:t>确认为无形资产</w:t>
            </w:r>
          </w:p>
        </w:tc>
        <w:tc>
          <w:tcPr>
            <w:tcW w:w="1474" w:type="dxa"/>
            <w:vMerge/>
            <w:tcBorders>
              <w:left w:val="single" w:sz="4" w:space="0" w:color="000000"/>
              <w:bottom w:val="single" w:sz="4" w:space="0" w:color="000000"/>
              <w:right w:val="nil" w:sz="6" w:space="0" w:color="auto"/>
            </w:tcBorders>
          </w:tcPr>
          <w:p>
            <w:pPr/>
          </w:p>
        </w:tc>
      </w:tr>
      <w:tr>
        <w:trPr>
          <w:trHeight w:val="607" w:hRule="exact"/>
        </w:trPr>
        <w:tc>
          <w:tcPr>
            <w:tcW w:w="1843" w:type="dxa"/>
            <w:tcBorders>
              <w:top w:val="single" w:sz="4" w:space="0" w:color="000000"/>
              <w:left w:val="nil" w:sz="6" w:space="0" w:color="auto"/>
              <w:bottom w:val="single" w:sz="4" w:space="0" w:color="000000"/>
              <w:right w:val="single" w:sz="4" w:space="0" w:color="000000"/>
            </w:tcBorders>
          </w:tcPr>
          <w:p>
            <w:pPr>
              <w:pStyle w:val="TableParagraph"/>
              <w:spacing w:line="312" w:lineRule="exact" w:before="12"/>
              <w:ind w:left="110" w:right="107"/>
              <w:jc w:val="left"/>
              <w:rPr>
                <w:rFonts w:ascii="宋体" w:hAnsi="宋体" w:cs="宋体" w:eastAsia="宋体" w:hint="default"/>
                <w:sz w:val="18"/>
                <w:szCs w:val="18"/>
              </w:rPr>
            </w:pPr>
            <w:r>
              <w:rPr>
                <w:rFonts w:ascii="宋体" w:hAnsi="宋体" w:cs="宋体" w:eastAsia="宋体" w:hint="default"/>
                <w:sz w:val="18"/>
                <w:szCs w:val="18"/>
              </w:rPr>
              <w:t>电力信息化管理系统 软件</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宋体" w:hAnsi="宋体" w:cs="宋体" w:eastAsia="宋体" w:hint="default"/>
                <w:sz w:val="18"/>
                <w:szCs w:val="18"/>
              </w:rPr>
            </w:pPr>
            <w:r>
              <w:rPr>
                <w:rFonts w:ascii="宋体"/>
                <w:spacing w:val="-1"/>
                <w:sz w:val="18"/>
              </w:rPr>
              <w:t>3,360,986.14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宋体" w:hAnsi="宋体" w:cs="宋体" w:eastAsia="宋体" w:hint="default"/>
                <w:sz w:val="18"/>
                <w:szCs w:val="18"/>
              </w:rPr>
            </w:pPr>
            <w:r>
              <w:rPr>
                <w:rFonts w:ascii="宋体"/>
                <w:spacing w:val="-1"/>
                <w:sz w:val="18"/>
              </w:rPr>
              <w:t>458,812.95</w:t>
            </w:r>
          </w:p>
        </w:tc>
        <w:tc>
          <w:tcPr>
            <w:tcW w:w="123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宋体" w:hAnsi="宋体" w:cs="宋体" w:eastAsia="宋体" w:hint="default"/>
                <w:sz w:val="18"/>
                <w:szCs w:val="18"/>
              </w:rPr>
            </w:pPr>
            <w:r>
              <w:rPr>
                <w:rFonts w:ascii="宋体"/>
                <w:spacing w:val="-1"/>
                <w:sz w:val="18"/>
              </w:rPr>
              <w:t>3,819,799.09</w:t>
            </w:r>
          </w:p>
        </w:tc>
        <w:tc>
          <w:tcPr>
            <w:tcW w:w="1474" w:type="dxa"/>
            <w:tcBorders>
              <w:top w:val="single" w:sz="4" w:space="0" w:color="000000"/>
              <w:left w:val="single" w:sz="4" w:space="0" w:color="000000"/>
              <w:bottom w:val="single" w:sz="4" w:space="0" w:color="000000"/>
              <w:right w:val="nil" w:sz="6" w:space="0" w:color="auto"/>
            </w:tcBorders>
          </w:tcPr>
          <w:p>
            <w:pPr/>
          </w:p>
        </w:tc>
      </w:tr>
      <w:tr>
        <w:trPr>
          <w:trHeight w:val="607" w:hRule="exact"/>
        </w:trPr>
        <w:tc>
          <w:tcPr>
            <w:tcW w:w="1843" w:type="dxa"/>
            <w:tcBorders>
              <w:top w:val="single" w:sz="4" w:space="0" w:color="000000"/>
              <w:left w:val="nil" w:sz="6" w:space="0" w:color="auto"/>
              <w:bottom w:val="single" w:sz="4" w:space="0" w:color="000000"/>
              <w:right w:val="single" w:sz="4" w:space="0" w:color="000000"/>
            </w:tcBorders>
          </w:tcPr>
          <w:p>
            <w:pPr>
              <w:pStyle w:val="TableParagraph"/>
              <w:spacing w:line="312" w:lineRule="exact" w:before="12"/>
              <w:ind w:left="110" w:right="107"/>
              <w:jc w:val="left"/>
              <w:rPr>
                <w:rFonts w:ascii="宋体" w:hAnsi="宋体" w:cs="宋体" w:eastAsia="宋体" w:hint="default"/>
                <w:sz w:val="18"/>
                <w:szCs w:val="18"/>
              </w:rPr>
            </w:pPr>
            <w:r>
              <w:rPr>
                <w:rFonts w:ascii="宋体" w:hAnsi="宋体" w:cs="宋体" w:eastAsia="宋体" w:hint="default"/>
                <w:sz w:val="18"/>
                <w:szCs w:val="18"/>
              </w:rPr>
              <w:t>烟草信息化管理系统 软件</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宋体" w:hAnsi="宋体" w:cs="宋体" w:eastAsia="宋体" w:hint="default"/>
                <w:sz w:val="18"/>
                <w:szCs w:val="18"/>
              </w:rPr>
            </w:pPr>
            <w:r>
              <w:rPr>
                <w:rFonts w:ascii="宋体"/>
                <w:spacing w:val="-1"/>
                <w:sz w:val="18"/>
              </w:rPr>
              <w:t>1,566,311.74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宋体" w:hAnsi="宋体" w:cs="宋体" w:eastAsia="宋体" w:hint="default"/>
                <w:sz w:val="18"/>
                <w:szCs w:val="18"/>
              </w:rPr>
            </w:pPr>
            <w:r>
              <w:rPr>
                <w:rFonts w:ascii="宋体"/>
                <w:spacing w:val="-1"/>
                <w:sz w:val="18"/>
              </w:rPr>
              <w:t>2,634,800.58</w:t>
            </w:r>
          </w:p>
        </w:tc>
        <w:tc>
          <w:tcPr>
            <w:tcW w:w="123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宋体" w:hAnsi="宋体" w:cs="宋体" w:eastAsia="宋体" w:hint="default"/>
                <w:sz w:val="18"/>
                <w:szCs w:val="18"/>
              </w:rPr>
            </w:pPr>
            <w:r>
              <w:rPr>
                <w:rFonts w:ascii="宋体"/>
                <w:spacing w:val="-1"/>
                <w:sz w:val="18"/>
              </w:rPr>
              <w:t>4,201,112.32</w:t>
            </w:r>
          </w:p>
        </w:tc>
        <w:tc>
          <w:tcPr>
            <w:tcW w:w="1474" w:type="dxa"/>
            <w:tcBorders>
              <w:top w:val="single" w:sz="4" w:space="0" w:color="000000"/>
              <w:left w:val="single" w:sz="4" w:space="0" w:color="000000"/>
              <w:bottom w:val="single" w:sz="4" w:space="0" w:color="000000"/>
              <w:right w:val="nil" w:sz="6" w:space="0" w:color="auto"/>
            </w:tcBorders>
          </w:tcPr>
          <w:p>
            <w:pPr/>
          </w:p>
        </w:tc>
      </w:tr>
      <w:tr>
        <w:trPr>
          <w:trHeight w:val="662" w:hRule="exact"/>
        </w:trPr>
        <w:tc>
          <w:tcPr>
            <w:tcW w:w="184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10" w:right="107"/>
              <w:jc w:val="left"/>
              <w:rPr>
                <w:rFonts w:ascii="宋体" w:hAnsi="宋体" w:cs="宋体" w:eastAsia="宋体" w:hint="default"/>
                <w:sz w:val="18"/>
                <w:szCs w:val="18"/>
              </w:rPr>
            </w:pPr>
            <w:r>
              <w:rPr>
                <w:rFonts w:ascii="宋体" w:hAnsi="宋体" w:cs="宋体" w:eastAsia="宋体" w:hint="default"/>
                <w:sz w:val="18"/>
                <w:szCs w:val="18"/>
              </w:rPr>
              <w:t>研发及客户支持中心 技改</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2,210,356.11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5,569,029.37</w:t>
            </w:r>
          </w:p>
        </w:tc>
        <w:tc>
          <w:tcPr>
            <w:tcW w:w="123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200,000.00</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7,579,385.48</w:t>
            </w:r>
          </w:p>
        </w:tc>
      </w:tr>
      <w:tr>
        <w:trPr>
          <w:trHeight w:val="605" w:hRule="exact"/>
        </w:trPr>
        <w:tc>
          <w:tcPr>
            <w:tcW w:w="1843" w:type="dxa"/>
            <w:tcBorders>
              <w:top w:val="single" w:sz="4" w:space="0" w:color="000000"/>
              <w:left w:val="nil" w:sz="6" w:space="0" w:color="auto"/>
              <w:bottom w:val="single" w:sz="4" w:space="0" w:color="000000"/>
              <w:right w:val="single" w:sz="4" w:space="0" w:color="000000"/>
            </w:tcBorders>
          </w:tcPr>
          <w:p>
            <w:pPr>
              <w:pStyle w:val="TableParagraph"/>
              <w:spacing w:line="312" w:lineRule="exact" w:before="9"/>
              <w:ind w:left="110" w:right="107"/>
              <w:jc w:val="left"/>
              <w:rPr>
                <w:rFonts w:ascii="宋体" w:hAnsi="宋体" w:cs="宋体" w:eastAsia="宋体" w:hint="default"/>
                <w:sz w:val="18"/>
                <w:szCs w:val="18"/>
              </w:rPr>
            </w:pPr>
            <w:r>
              <w:rPr>
                <w:rFonts w:ascii="宋体" w:hAnsi="宋体" w:cs="宋体" w:eastAsia="宋体" w:hint="default"/>
                <w:sz w:val="18"/>
                <w:szCs w:val="18"/>
              </w:rPr>
              <w:t>烟草内管工作协作信 息平台项目</w:t>
            </w:r>
          </w:p>
        </w:tc>
        <w:tc>
          <w:tcPr>
            <w:tcW w:w="1397"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宋体" w:hAnsi="宋体" w:cs="宋体" w:eastAsia="宋体" w:hint="default"/>
                <w:sz w:val="18"/>
                <w:szCs w:val="18"/>
              </w:rPr>
            </w:pPr>
            <w:r>
              <w:rPr>
                <w:rFonts w:ascii="宋体"/>
                <w:spacing w:val="-1"/>
                <w:sz w:val="18"/>
              </w:rPr>
              <w:t>2,538,950.18</w:t>
            </w:r>
          </w:p>
        </w:tc>
        <w:tc>
          <w:tcPr>
            <w:tcW w:w="123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宋体" w:hAnsi="宋体" w:cs="宋体" w:eastAsia="宋体" w:hint="default"/>
                <w:sz w:val="18"/>
                <w:szCs w:val="18"/>
              </w:rPr>
            </w:pPr>
            <w:r>
              <w:rPr>
                <w:rFonts w:ascii="宋体"/>
                <w:spacing w:val="-1"/>
                <w:sz w:val="18"/>
              </w:rPr>
              <w:t>2,538,950.18</w:t>
            </w:r>
          </w:p>
        </w:tc>
        <w:tc>
          <w:tcPr>
            <w:tcW w:w="1474" w:type="dxa"/>
            <w:tcBorders>
              <w:top w:val="single" w:sz="4" w:space="0" w:color="000000"/>
              <w:left w:val="single" w:sz="4" w:space="0" w:color="000000"/>
              <w:bottom w:val="single" w:sz="4" w:space="0" w:color="000000"/>
              <w:right w:val="nil" w:sz="6" w:space="0" w:color="auto"/>
            </w:tcBorders>
          </w:tcPr>
          <w:p>
            <w:pPr/>
          </w:p>
        </w:tc>
      </w:tr>
      <w:tr>
        <w:trPr>
          <w:trHeight w:val="607" w:hRule="exact"/>
        </w:trPr>
        <w:tc>
          <w:tcPr>
            <w:tcW w:w="1843" w:type="dxa"/>
            <w:tcBorders>
              <w:top w:val="single" w:sz="4" w:space="0" w:color="000000"/>
              <w:left w:val="nil" w:sz="6" w:space="0" w:color="auto"/>
              <w:bottom w:val="single" w:sz="4" w:space="0" w:color="000000"/>
              <w:right w:val="single" w:sz="4" w:space="0" w:color="000000"/>
            </w:tcBorders>
          </w:tcPr>
          <w:p>
            <w:pPr>
              <w:pStyle w:val="TableParagraph"/>
              <w:spacing w:line="312" w:lineRule="exact" w:before="12"/>
              <w:ind w:left="110" w:right="107"/>
              <w:jc w:val="left"/>
              <w:rPr>
                <w:rFonts w:ascii="宋体" w:hAnsi="宋体" w:cs="宋体" w:eastAsia="宋体" w:hint="default"/>
                <w:sz w:val="18"/>
                <w:szCs w:val="18"/>
              </w:rPr>
            </w:pPr>
            <w:r>
              <w:rPr>
                <w:rFonts w:ascii="宋体" w:hAnsi="宋体" w:cs="宋体" w:eastAsia="宋体" w:hint="default"/>
                <w:sz w:val="18"/>
                <w:szCs w:val="18"/>
              </w:rPr>
              <w:t>电力配网一体化生产 实时指挥系统项目</w:t>
            </w:r>
          </w:p>
        </w:tc>
        <w:tc>
          <w:tcPr>
            <w:tcW w:w="1397"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pacing w:val="-1"/>
                <w:sz w:val="18"/>
              </w:rPr>
              <w:t>1,710,020.70</w:t>
            </w:r>
          </w:p>
        </w:tc>
        <w:tc>
          <w:tcPr>
            <w:tcW w:w="123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2"/>
              <w:jc w:val="right"/>
              <w:rPr>
                <w:rFonts w:ascii="宋体" w:hAnsi="宋体" w:cs="宋体" w:eastAsia="宋体" w:hint="default"/>
                <w:sz w:val="18"/>
                <w:szCs w:val="18"/>
              </w:rPr>
            </w:pPr>
            <w:r>
              <w:rPr>
                <w:rFonts w:ascii="宋体"/>
                <w:spacing w:val="-1"/>
                <w:sz w:val="18"/>
              </w:rPr>
              <w:t>1,710,020.70</w:t>
            </w:r>
          </w:p>
        </w:tc>
      </w:tr>
      <w:tr>
        <w:trPr>
          <w:trHeight w:val="607" w:hRule="exact"/>
        </w:trPr>
        <w:tc>
          <w:tcPr>
            <w:tcW w:w="1843" w:type="dxa"/>
            <w:tcBorders>
              <w:top w:val="single" w:sz="4" w:space="0" w:color="000000"/>
              <w:left w:val="nil" w:sz="6" w:space="0" w:color="auto"/>
              <w:bottom w:val="single" w:sz="4" w:space="0" w:color="000000"/>
              <w:right w:val="single" w:sz="4" w:space="0" w:color="000000"/>
            </w:tcBorders>
          </w:tcPr>
          <w:p>
            <w:pPr>
              <w:pStyle w:val="TableParagraph"/>
              <w:spacing w:line="312" w:lineRule="exact" w:before="12"/>
              <w:ind w:left="110" w:right="107"/>
              <w:jc w:val="left"/>
              <w:rPr>
                <w:rFonts w:ascii="宋体" w:hAnsi="宋体" w:cs="宋体" w:eastAsia="宋体" w:hint="default"/>
                <w:sz w:val="18"/>
                <w:szCs w:val="18"/>
              </w:rPr>
            </w:pPr>
            <w:r>
              <w:rPr>
                <w:rFonts w:ascii="宋体" w:hAnsi="宋体" w:cs="宋体" w:eastAsia="宋体" w:hint="default"/>
                <w:sz w:val="18"/>
                <w:szCs w:val="18"/>
              </w:rPr>
              <w:t>轻工业生产全流程监 管系统项目</w:t>
            </w:r>
          </w:p>
        </w:tc>
        <w:tc>
          <w:tcPr>
            <w:tcW w:w="1397"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0"/>
              <w:jc w:val="right"/>
              <w:rPr>
                <w:rFonts w:ascii="宋体" w:hAnsi="宋体" w:cs="宋体" w:eastAsia="宋体" w:hint="default"/>
                <w:sz w:val="18"/>
                <w:szCs w:val="18"/>
              </w:rPr>
            </w:pPr>
            <w:r>
              <w:rPr>
                <w:rFonts w:ascii="宋体"/>
                <w:spacing w:val="-1"/>
                <w:sz w:val="18"/>
              </w:rPr>
              <w:t>656,758.07</w:t>
            </w:r>
          </w:p>
        </w:tc>
        <w:tc>
          <w:tcPr>
            <w:tcW w:w="123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2"/>
              <w:jc w:val="right"/>
              <w:rPr>
                <w:rFonts w:ascii="宋体" w:hAnsi="宋体" w:cs="宋体" w:eastAsia="宋体" w:hint="default"/>
                <w:sz w:val="18"/>
                <w:szCs w:val="18"/>
              </w:rPr>
            </w:pPr>
            <w:r>
              <w:rPr>
                <w:rFonts w:ascii="宋体"/>
                <w:spacing w:val="-1"/>
                <w:sz w:val="18"/>
              </w:rPr>
              <w:t>656,758.07</w:t>
            </w:r>
          </w:p>
        </w:tc>
      </w:tr>
      <w:tr>
        <w:trPr>
          <w:trHeight w:val="607" w:hRule="exact"/>
        </w:trPr>
        <w:tc>
          <w:tcPr>
            <w:tcW w:w="1843" w:type="dxa"/>
            <w:tcBorders>
              <w:top w:val="single" w:sz="4" w:space="0" w:color="000000"/>
              <w:left w:val="nil" w:sz="6" w:space="0" w:color="auto"/>
              <w:bottom w:val="single" w:sz="4" w:space="0" w:color="000000"/>
              <w:right w:val="single" w:sz="4" w:space="0" w:color="000000"/>
            </w:tcBorders>
          </w:tcPr>
          <w:p>
            <w:pPr>
              <w:pStyle w:val="TableParagraph"/>
              <w:spacing w:line="312" w:lineRule="exact" w:before="12"/>
              <w:ind w:left="110" w:right="107"/>
              <w:jc w:val="left"/>
              <w:rPr>
                <w:rFonts w:ascii="宋体" w:hAnsi="宋体" w:cs="宋体" w:eastAsia="宋体" w:hint="default"/>
                <w:sz w:val="18"/>
                <w:szCs w:val="18"/>
              </w:rPr>
            </w:pPr>
            <w:r>
              <w:rPr>
                <w:rFonts w:ascii="宋体" w:hAnsi="宋体" w:cs="宋体" w:eastAsia="宋体" w:hint="default"/>
                <w:sz w:val="18"/>
                <w:szCs w:val="18"/>
              </w:rPr>
              <w:t>基于车联网的营运车 辆监管平台项目</w:t>
            </w:r>
          </w:p>
        </w:tc>
        <w:tc>
          <w:tcPr>
            <w:tcW w:w="1397"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0"/>
              <w:jc w:val="right"/>
              <w:rPr>
                <w:rFonts w:ascii="宋体" w:hAnsi="宋体" w:cs="宋体" w:eastAsia="宋体" w:hint="default"/>
                <w:sz w:val="18"/>
                <w:szCs w:val="18"/>
              </w:rPr>
            </w:pPr>
            <w:r>
              <w:rPr>
                <w:rFonts w:ascii="宋体"/>
                <w:spacing w:val="-1"/>
                <w:sz w:val="18"/>
              </w:rPr>
              <w:t>548,779.51</w:t>
            </w:r>
          </w:p>
        </w:tc>
        <w:tc>
          <w:tcPr>
            <w:tcW w:w="123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right="102"/>
              <w:jc w:val="right"/>
              <w:rPr>
                <w:rFonts w:ascii="宋体" w:hAnsi="宋体" w:cs="宋体" w:eastAsia="宋体" w:hint="default"/>
                <w:sz w:val="18"/>
                <w:szCs w:val="18"/>
              </w:rPr>
            </w:pPr>
            <w:r>
              <w:rPr>
                <w:rFonts w:ascii="宋体"/>
                <w:spacing w:val="-1"/>
                <w:sz w:val="18"/>
              </w:rPr>
              <w:t>548,779.51</w:t>
            </w:r>
          </w:p>
        </w:tc>
      </w:tr>
      <w:tr>
        <w:trPr>
          <w:trHeight w:val="559" w:hRule="exact"/>
        </w:trPr>
        <w:tc>
          <w:tcPr>
            <w:tcW w:w="1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7" w:right="0"/>
              <w:jc w:val="center"/>
              <w:rPr>
                <w:rFonts w:ascii="宋体" w:hAnsi="宋体" w:cs="宋体" w:eastAsia="宋体" w:hint="default"/>
                <w:sz w:val="18"/>
                <w:szCs w:val="18"/>
              </w:rPr>
            </w:pPr>
            <w:bookmarkStart w:name="小计" w:id="147"/>
            <w:bookmarkEnd w:id="147"/>
            <w:r>
              <w:rPr/>
            </w:r>
            <w:bookmarkStart w:name="7,137,653.99" w:id="148"/>
            <w:bookmarkEnd w:id="148"/>
            <w:r>
              <w:rPr/>
            </w:r>
            <w:r>
              <w:rPr>
                <w:rFonts w:ascii="宋体" w:hAnsi="宋体" w:cs="宋体" w:eastAsia="宋体" w:hint="default"/>
                <w:sz w:val="18"/>
                <w:szCs w:val="18"/>
              </w:rPr>
              <w:t>小  计</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7,137,653.99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14,117,151.36</w:t>
            </w:r>
          </w:p>
        </w:tc>
        <w:tc>
          <w:tcPr>
            <w:tcW w:w="123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10,759,861.59</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10,494,943.76</w:t>
            </w:r>
          </w:p>
        </w:tc>
      </w:tr>
    </w:tbl>
    <w:p>
      <w:pPr>
        <w:pStyle w:val="BodyText"/>
        <w:spacing w:line="357" w:lineRule="auto" w:before="79"/>
        <w:ind w:left="112" w:right="274" w:firstLine="482"/>
        <w:jc w:val="left"/>
      </w:pPr>
      <w:r>
        <w:rPr/>
        <w:pict>
          <v:group style="position:absolute;margin-left:547.559998pt;margin-top:63.805607pt;width:.1pt;height:10.35pt;mso-position-horizontal-relative:page;mso-position-vertical-relative:paragraph;z-index:4144" coordorigin="10951,1276" coordsize="2,207">
            <v:shape style="position:absolute;left:10951;top:1276;width:2;height:207" coordorigin="10951,1276" coordsize="0,207" path="m10951,1276l10951,1483e" filled="false" stroked="true" strokeweight=".12pt" strokecolor="#000000">
              <v:path arrowok="t"/>
            </v:shape>
            <w10:wrap type="none"/>
          </v:group>
        </w:pict>
      </w:r>
      <w:r>
        <w:rPr/>
        <w:t>本期开发支出占本期研究开发项目支出总额的比例为</w:t>
      </w:r>
      <w:r>
        <w:rPr>
          <w:spacing w:val="-82"/>
        </w:rPr>
        <w:t> </w:t>
      </w:r>
      <w:r>
        <w:rPr/>
        <w:t>60.20%。通过公司内部研发形成的</w:t>
      </w:r>
      <w:r>
        <w:rPr/>
        <w:t> 无形资产占无形资产期末账面价值的比例为</w:t>
      </w:r>
      <w:r>
        <w:rPr>
          <w:spacing w:val="-58"/>
        </w:rPr>
        <w:t> </w:t>
      </w:r>
      <w:r>
        <w:rPr/>
        <w:t>89.45%。</w:t>
      </w:r>
    </w:p>
    <w:p>
      <w:pPr>
        <w:spacing w:after="0" w:line="357" w:lineRule="auto"/>
        <w:jc w:val="left"/>
        <w:sectPr>
          <w:footerReference w:type="default" r:id="rId27"/>
          <w:pgSz w:w="11910" w:h="16840"/>
          <w:pgMar w:footer="979" w:header="745" w:top="1060" w:bottom="1160" w:left="1020" w:right="840"/>
          <w:pgNumType w:start="9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spacing w:line="240" w:lineRule="auto" w:before="26"/>
        <w:ind w:left="1015" w:right="96"/>
        <w:jc w:val="left"/>
      </w:pPr>
      <w:r>
        <w:rPr/>
        <w:t>12.</w:t>
      </w:r>
      <w:r>
        <w:rPr>
          <w:spacing w:val="-3"/>
        </w:rPr>
        <w:t> </w:t>
      </w:r>
      <w:r>
        <w:rPr/>
        <w:t>商誉</w:t>
      </w:r>
    </w:p>
    <w:p>
      <w:pPr>
        <w:pStyle w:val="BodyText"/>
        <w:spacing w:line="240" w:lineRule="auto" w:before="194"/>
        <w:ind w:left="1015" w:right="96"/>
        <w:jc w:val="left"/>
      </w:pPr>
      <w:r>
        <w:rPr/>
        <w:t>(1)</w:t>
      </w:r>
      <w:r>
        <w:rPr>
          <w:spacing w:val="-3"/>
        </w:rPr>
        <w:t> </w:t>
      </w:r>
      <w:r>
        <w:rPr/>
        <w:t>商誉增减变动情况</w:t>
      </w:r>
    </w:p>
    <w:p>
      <w:pPr>
        <w:spacing w:line="240" w:lineRule="auto" w:before="10"/>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2976"/>
        <w:gridCol w:w="1361"/>
        <w:gridCol w:w="1315"/>
        <w:gridCol w:w="1229"/>
        <w:gridCol w:w="1361"/>
        <w:gridCol w:w="1378"/>
      </w:tblGrid>
      <w:tr>
        <w:trPr>
          <w:trHeight w:val="418"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873" w:right="0"/>
              <w:jc w:val="left"/>
              <w:rPr>
                <w:rFonts w:ascii="宋体" w:hAnsi="宋体" w:cs="宋体" w:eastAsia="宋体" w:hint="default"/>
                <w:sz w:val="18"/>
                <w:szCs w:val="18"/>
              </w:rPr>
            </w:pPr>
            <w:r>
              <w:rPr>
                <w:rFonts w:ascii="宋体" w:hAnsi="宋体" w:cs="宋体" w:eastAsia="宋体" w:hint="default"/>
                <w:spacing w:val="-5"/>
                <w:sz w:val="18"/>
                <w:szCs w:val="18"/>
              </w:rPr>
              <w:t>被投资单位名称</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pacing w:val="-4"/>
                <w:sz w:val="18"/>
                <w:szCs w:val="18"/>
              </w:rPr>
              <w:t>期初数</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04" w:right="0"/>
              <w:jc w:val="left"/>
              <w:rPr>
                <w:rFonts w:ascii="宋体" w:hAnsi="宋体" w:cs="宋体" w:eastAsia="宋体" w:hint="default"/>
                <w:sz w:val="18"/>
                <w:szCs w:val="18"/>
              </w:rPr>
            </w:pPr>
            <w:r>
              <w:rPr>
                <w:rFonts w:ascii="宋体" w:hAnsi="宋体" w:cs="宋体" w:eastAsia="宋体" w:hint="default"/>
                <w:spacing w:val="-4"/>
                <w:sz w:val="18"/>
                <w:szCs w:val="18"/>
              </w:rPr>
              <w:t>本期增加</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61" w:right="0"/>
              <w:jc w:val="left"/>
              <w:rPr>
                <w:rFonts w:ascii="宋体" w:hAnsi="宋体" w:cs="宋体" w:eastAsia="宋体" w:hint="default"/>
                <w:sz w:val="18"/>
                <w:szCs w:val="18"/>
              </w:rPr>
            </w:pPr>
            <w:r>
              <w:rPr>
                <w:rFonts w:ascii="宋体" w:hAnsi="宋体" w:cs="宋体" w:eastAsia="宋体" w:hint="default"/>
                <w:spacing w:val="-4"/>
                <w:sz w:val="18"/>
                <w:szCs w:val="18"/>
              </w:rPr>
              <w:t>本期减少</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pacing w:val="-4"/>
                <w:sz w:val="18"/>
                <w:szCs w:val="18"/>
              </w:rPr>
              <w:t>期末数</w:t>
            </w:r>
          </w:p>
        </w:tc>
        <w:tc>
          <w:tcPr>
            <w:tcW w:w="1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158" w:right="0"/>
              <w:jc w:val="left"/>
              <w:rPr>
                <w:rFonts w:ascii="宋体" w:hAnsi="宋体" w:cs="宋体" w:eastAsia="宋体" w:hint="default"/>
                <w:sz w:val="18"/>
                <w:szCs w:val="18"/>
              </w:rPr>
            </w:pPr>
            <w:r>
              <w:rPr>
                <w:rFonts w:ascii="宋体" w:hAnsi="宋体" w:cs="宋体" w:eastAsia="宋体" w:hint="default"/>
                <w:spacing w:val="-5"/>
                <w:sz w:val="18"/>
                <w:szCs w:val="18"/>
              </w:rPr>
              <w:t>期末减值准备</w:t>
            </w:r>
          </w:p>
        </w:tc>
      </w:tr>
      <w:tr>
        <w:trPr>
          <w:trHeight w:val="559"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08" w:right="0"/>
              <w:jc w:val="left"/>
              <w:rPr>
                <w:rFonts w:ascii="宋体" w:hAnsi="宋体" w:cs="宋体" w:eastAsia="宋体" w:hint="default"/>
                <w:sz w:val="18"/>
                <w:szCs w:val="18"/>
              </w:rPr>
            </w:pPr>
            <w:r>
              <w:rPr>
                <w:rFonts w:ascii="宋体" w:hAnsi="宋体" w:cs="宋体" w:eastAsia="宋体" w:hint="default"/>
                <w:spacing w:val="-5"/>
                <w:sz w:val="18"/>
                <w:szCs w:val="18"/>
              </w:rPr>
              <w:t>南京江琛自动化系统有限责任公司</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8" w:right="0"/>
              <w:jc w:val="center"/>
              <w:rPr>
                <w:rFonts w:ascii="宋体" w:hAnsi="宋体" w:cs="宋体" w:eastAsia="宋体" w:hint="default"/>
                <w:sz w:val="18"/>
                <w:szCs w:val="18"/>
              </w:rPr>
            </w:pPr>
            <w:r>
              <w:rPr>
                <w:rFonts w:ascii="宋体"/>
                <w:spacing w:val="-3"/>
                <w:sz w:val="18"/>
              </w:rPr>
              <w:t>24,731,060.09</w:t>
            </w:r>
          </w:p>
        </w:tc>
        <w:tc>
          <w:tcPr>
            <w:tcW w:w="131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 w:right="0"/>
              <w:jc w:val="center"/>
              <w:rPr>
                <w:rFonts w:ascii="宋体" w:hAnsi="宋体" w:cs="宋体" w:eastAsia="宋体" w:hint="default"/>
                <w:sz w:val="18"/>
                <w:szCs w:val="18"/>
              </w:rPr>
            </w:pPr>
            <w:r>
              <w:rPr>
                <w:rFonts w:ascii="宋体"/>
                <w:spacing w:val="-3"/>
                <w:sz w:val="18"/>
              </w:rPr>
              <w:t>24,731,060.09</w:t>
            </w:r>
          </w:p>
        </w:tc>
        <w:tc>
          <w:tcPr>
            <w:tcW w:w="1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122" w:right="0"/>
              <w:jc w:val="left"/>
              <w:rPr>
                <w:rFonts w:ascii="宋体" w:hAnsi="宋体" w:cs="宋体" w:eastAsia="宋体" w:hint="default"/>
                <w:sz w:val="18"/>
                <w:szCs w:val="18"/>
              </w:rPr>
            </w:pPr>
            <w:r>
              <w:rPr>
                <w:rFonts w:ascii="宋体"/>
                <w:spacing w:val="-3"/>
                <w:sz w:val="18"/>
              </w:rPr>
              <w:t>19,315,650.47</w:t>
            </w:r>
          </w:p>
        </w:tc>
      </w:tr>
      <w:tr>
        <w:trPr>
          <w:trHeight w:val="557"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08" w:right="0"/>
              <w:jc w:val="left"/>
              <w:rPr>
                <w:rFonts w:ascii="宋体" w:hAnsi="宋体" w:cs="宋体" w:eastAsia="宋体" w:hint="default"/>
                <w:sz w:val="18"/>
                <w:szCs w:val="18"/>
              </w:rPr>
            </w:pPr>
            <w:r>
              <w:rPr>
                <w:rFonts w:ascii="宋体" w:hAnsi="宋体" w:cs="宋体" w:eastAsia="宋体" w:hint="default"/>
                <w:spacing w:val="-5"/>
                <w:sz w:val="18"/>
                <w:szCs w:val="18"/>
              </w:rPr>
              <w:t>杭州德创电子有限公司</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8" w:right="0"/>
              <w:jc w:val="center"/>
              <w:rPr>
                <w:rFonts w:ascii="宋体" w:hAnsi="宋体" w:cs="宋体" w:eastAsia="宋体" w:hint="default"/>
                <w:sz w:val="18"/>
                <w:szCs w:val="18"/>
              </w:rPr>
            </w:pPr>
            <w:r>
              <w:rPr>
                <w:rFonts w:ascii="宋体"/>
                <w:spacing w:val="-3"/>
                <w:sz w:val="18"/>
              </w:rPr>
              <w:t>13,752,112.10</w:t>
            </w:r>
          </w:p>
        </w:tc>
        <w:tc>
          <w:tcPr>
            <w:tcW w:w="131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 w:right="0"/>
              <w:jc w:val="center"/>
              <w:rPr>
                <w:rFonts w:ascii="宋体" w:hAnsi="宋体" w:cs="宋体" w:eastAsia="宋体" w:hint="default"/>
                <w:sz w:val="18"/>
                <w:szCs w:val="18"/>
              </w:rPr>
            </w:pPr>
            <w:r>
              <w:rPr>
                <w:rFonts w:ascii="宋体"/>
                <w:spacing w:val="-3"/>
                <w:sz w:val="18"/>
              </w:rPr>
              <w:t>13,752,112.10</w:t>
            </w:r>
          </w:p>
        </w:tc>
        <w:tc>
          <w:tcPr>
            <w:tcW w:w="1378"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283"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78"/>
                <w:sz w:val="18"/>
                <w:szCs w:val="18"/>
              </w:rPr>
              <w:t> </w:t>
            </w:r>
            <w:r>
              <w:rPr>
                <w:rFonts w:ascii="宋体" w:hAnsi="宋体" w:cs="宋体" w:eastAsia="宋体" w:hint="default"/>
                <w:sz w:val="18"/>
                <w:szCs w:val="18"/>
              </w:rPr>
              <w:t>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8" w:right="0"/>
              <w:jc w:val="center"/>
              <w:rPr>
                <w:rFonts w:ascii="宋体" w:hAnsi="宋体" w:cs="宋体" w:eastAsia="宋体" w:hint="default"/>
                <w:sz w:val="18"/>
                <w:szCs w:val="18"/>
              </w:rPr>
            </w:pPr>
            <w:r>
              <w:rPr>
                <w:rFonts w:ascii="宋体"/>
                <w:spacing w:val="-3"/>
                <w:sz w:val="18"/>
              </w:rPr>
              <w:t>38,483,172.19</w:t>
            </w:r>
          </w:p>
        </w:tc>
        <w:tc>
          <w:tcPr>
            <w:tcW w:w="131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 w:right="0"/>
              <w:jc w:val="center"/>
              <w:rPr>
                <w:rFonts w:ascii="宋体" w:hAnsi="宋体" w:cs="宋体" w:eastAsia="宋体" w:hint="default"/>
                <w:sz w:val="18"/>
                <w:szCs w:val="18"/>
              </w:rPr>
            </w:pPr>
            <w:r>
              <w:rPr>
                <w:rFonts w:ascii="宋体"/>
                <w:spacing w:val="-3"/>
                <w:sz w:val="18"/>
              </w:rPr>
              <w:t>38,483,172.19</w:t>
            </w:r>
          </w:p>
        </w:tc>
        <w:tc>
          <w:tcPr>
            <w:tcW w:w="1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122" w:right="0"/>
              <w:jc w:val="left"/>
              <w:rPr>
                <w:rFonts w:ascii="宋体" w:hAnsi="宋体" w:cs="宋体" w:eastAsia="宋体" w:hint="default"/>
                <w:sz w:val="18"/>
                <w:szCs w:val="18"/>
              </w:rPr>
            </w:pPr>
            <w:r>
              <w:rPr>
                <w:rFonts w:ascii="宋体"/>
                <w:spacing w:val="-3"/>
                <w:sz w:val="18"/>
              </w:rPr>
              <w:t>19,315,650.47</w:t>
            </w:r>
          </w:p>
        </w:tc>
      </w:tr>
    </w:tbl>
    <w:p>
      <w:pPr>
        <w:pStyle w:val="BodyText"/>
        <w:spacing w:line="240" w:lineRule="auto" w:before="79"/>
        <w:ind w:left="1015" w:right="96"/>
        <w:jc w:val="left"/>
      </w:pPr>
      <w:r>
        <w:rPr/>
        <w:t>(2)</w:t>
      </w:r>
      <w:r>
        <w:rPr>
          <w:spacing w:val="-3"/>
        </w:rPr>
        <w:t> </w:t>
      </w:r>
      <w:r>
        <w:rPr/>
        <w:t>商誉的减值测试方法及减值准备计提方法。</w:t>
      </w:r>
    </w:p>
    <w:p>
      <w:pPr>
        <w:pStyle w:val="BodyText"/>
        <w:spacing w:line="357" w:lineRule="auto" w:before="194"/>
        <w:ind w:left="532" w:right="96" w:firstLine="482"/>
        <w:jc w:val="left"/>
      </w:pPr>
      <w:r>
        <w:rPr/>
        <w:t>本期对子公司南京江琛自动化系统有限责任公司计提商誉减值准备 19,315,650.47</w:t>
      </w:r>
      <w:r>
        <w:rPr>
          <w:spacing w:val="-84"/>
        </w:rPr>
        <w:t> </w:t>
      </w:r>
      <w:r>
        <w:rPr/>
        <w:t>元，</w:t>
      </w:r>
      <w:r>
        <w:rPr/>
        <w:t> 详见本财务报表附注十、其他重要事项之说明。</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BodyText"/>
        <w:spacing w:line="240" w:lineRule="auto" w:before="0"/>
        <w:ind w:left="1015" w:right="96"/>
        <w:jc w:val="left"/>
      </w:pPr>
      <w:r>
        <w:rPr/>
        <w:t>13.</w:t>
      </w:r>
      <w:r>
        <w:rPr>
          <w:spacing w:val="-3"/>
        </w:rPr>
        <w:t> </w:t>
      </w:r>
      <w:r>
        <w:rPr/>
        <w:t>长期待摊费用</w:t>
      </w:r>
    </w:p>
    <w:p>
      <w:pPr>
        <w:spacing w:line="240" w:lineRule="auto" w:before="10"/>
        <w:rPr>
          <w:rFonts w:ascii="宋体" w:hAnsi="宋体" w:cs="宋体" w:eastAsia="宋体" w:hint="default"/>
          <w:sz w:val="11"/>
          <w:szCs w:val="11"/>
        </w:rPr>
      </w:pPr>
    </w:p>
    <w:tbl>
      <w:tblPr>
        <w:tblW w:w="0" w:type="auto"/>
        <w:jc w:val="left"/>
        <w:tblInd w:w="527" w:type="dxa"/>
        <w:tblLayout w:type="fixed"/>
        <w:tblCellMar>
          <w:top w:w="0" w:type="dxa"/>
          <w:left w:w="0" w:type="dxa"/>
          <w:bottom w:w="0" w:type="dxa"/>
          <w:right w:w="0" w:type="dxa"/>
        </w:tblCellMar>
        <w:tblLook w:val="01E0"/>
      </w:tblPr>
      <w:tblGrid>
        <w:gridCol w:w="1337"/>
        <w:gridCol w:w="1296"/>
        <w:gridCol w:w="1334"/>
        <w:gridCol w:w="1154"/>
        <w:gridCol w:w="1164"/>
        <w:gridCol w:w="1459"/>
        <w:gridCol w:w="1025"/>
      </w:tblGrid>
      <w:tr>
        <w:trPr>
          <w:trHeight w:val="634"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本期摊销</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4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025"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232" w:right="155" w:hanging="89"/>
              <w:jc w:val="left"/>
              <w:rPr>
                <w:rFonts w:ascii="宋体" w:hAnsi="宋体" w:cs="宋体" w:eastAsia="宋体" w:hint="default"/>
                <w:sz w:val="18"/>
                <w:szCs w:val="18"/>
              </w:rPr>
            </w:pPr>
            <w:r>
              <w:rPr>
                <w:rFonts w:ascii="宋体" w:hAnsi="宋体" w:cs="宋体" w:eastAsia="宋体" w:hint="default"/>
                <w:sz w:val="18"/>
                <w:szCs w:val="18"/>
              </w:rPr>
              <w:t>其他减少 的原因</w:t>
            </w:r>
          </w:p>
        </w:tc>
      </w:tr>
      <w:tr>
        <w:trPr>
          <w:trHeight w:val="480"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10" w:right="0"/>
              <w:jc w:val="left"/>
              <w:rPr>
                <w:rFonts w:ascii="宋体" w:hAnsi="宋体" w:cs="宋体" w:eastAsia="宋体" w:hint="default"/>
                <w:sz w:val="18"/>
                <w:szCs w:val="18"/>
              </w:rPr>
            </w:pPr>
            <w:r>
              <w:rPr>
                <w:rFonts w:ascii="宋体" w:hAnsi="宋体" w:cs="宋体" w:eastAsia="宋体" w:hint="default"/>
                <w:sz w:val="18"/>
                <w:szCs w:val="18"/>
              </w:rPr>
              <w:t>高尔夫会员费</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1,322,500.00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2" w:right="0"/>
              <w:jc w:val="left"/>
              <w:rPr>
                <w:rFonts w:ascii="宋体" w:hAnsi="宋体" w:cs="宋体" w:eastAsia="宋体" w:hint="default"/>
                <w:sz w:val="18"/>
                <w:szCs w:val="18"/>
              </w:rPr>
            </w:pPr>
            <w:r>
              <w:rPr>
                <w:rFonts w:ascii="宋体"/>
                <w:sz w:val="18"/>
              </w:rPr>
              <w:t>27,600.00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7"/>
              <w:jc w:val="right"/>
              <w:rPr>
                <w:rFonts w:ascii="宋体" w:hAnsi="宋体" w:cs="宋体" w:eastAsia="宋体" w:hint="default"/>
                <w:sz w:val="18"/>
                <w:szCs w:val="18"/>
              </w:rPr>
            </w:pPr>
            <w:r>
              <w:rPr>
                <w:rFonts w:ascii="宋体"/>
                <w:spacing w:val="-1"/>
                <w:sz w:val="18"/>
              </w:rPr>
              <w:t>1,294,900.00</w:t>
            </w:r>
          </w:p>
        </w:tc>
        <w:tc>
          <w:tcPr>
            <w:tcW w:w="1025"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10"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637,149.90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91,406.22</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1" w:right="0"/>
              <w:jc w:val="left"/>
              <w:rPr>
                <w:rFonts w:ascii="宋体" w:hAnsi="宋体" w:cs="宋体" w:eastAsia="宋体" w:hint="default"/>
                <w:sz w:val="18"/>
                <w:szCs w:val="18"/>
              </w:rPr>
            </w:pPr>
            <w:r>
              <w:rPr>
                <w:rFonts w:ascii="宋体"/>
                <w:sz w:val="18"/>
              </w:rPr>
              <w:t>205,372.69</w:t>
            </w:r>
          </w:p>
        </w:tc>
        <w:tc>
          <w:tcPr>
            <w:tcW w:w="1164"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pacing w:val="-1"/>
                <w:sz w:val="18"/>
              </w:rPr>
              <w:t>523,183.43</w:t>
            </w:r>
          </w:p>
        </w:tc>
        <w:tc>
          <w:tcPr>
            <w:tcW w:w="1025"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29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1,959,649.90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91,406.22</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1" w:right="0"/>
              <w:jc w:val="left"/>
              <w:rPr>
                <w:rFonts w:ascii="宋体" w:hAnsi="宋体" w:cs="宋体" w:eastAsia="宋体" w:hint="default"/>
                <w:sz w:val="18"/>
                <w:szCs w:val="18"/>
              </w:rPr>
            </w:pPr>
            <w:r>
              <w:rPr>
                <w:rFonts w:ascii="宋体"/>
                <w:sz w:val="18"/>
              </w:rPr>
              <w:t>232,972.69</w:t>
            </w:r>
          </w:p>
        </w:tc>
        <w:tc>
          <w:tcPr>
            <w:tcW w:w="1164"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pacing w:val="-1"/>
                <w:sz w:val="18"/>
              </w:rPr>
              <w:t>1,818,083.43</w:t>
            </w:r>
          </w:p>
        </w:tc>
        <w:tc>
          <w:tcPr>
            <w:tcW w:w="1025"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BodyText"/>
        <w:spacing w:line="240" w:lineRule="auto" w:before="26"/>
        <w:ind w:left="1015" w:right="96"/>
        <w:jc w:val="left"/>
      </w:pPr>
      <w:r>
        <w:rPr/>
        <w:t>14.</w:t>
      </w:r>
      <w:r>
        <w:rPr>
          <w:spacing w:val="-3"/>
        </w:rPr>
        <w:t> </w:t>
      </w:r>
      <w:r>
        <w:rPr/>
        <w:t>递延所得税资产</w:t>
      </w:r>
    </w:p>
    <w:p>
      <w:pPr>
        <w:pStyle w:val="BodyText"/>
        <w:spacing w:line="240" w:lineRule="auto" w:before="194"/>
        <w:ind w:left="1015" w:right="96"/>
        <w:jc w:val="left"/>
      </w:pPr>
      <w:r>
        <w:rPr/>
        <w:t>(1)</w:t>
      </w:r>
      <w:r>
        <w:rPr>
          <w:spacing w:val="-3"/>
        </w:rPr>
        <w:t> </w:t>
      </w:r>
      <w:r>
        <w:rPr/>
        <w:t>已确认的递延所得税资产</w:t>
      </w:r>
    </w:p>
    <w:p>
      <w:pPr>
        <w:spacing w:line="240" w:lineRule="auto" w:before="10"/>
        <w:rPr>
          <w:rFonts w:ascii="宋体" w:hAnsi="宋体" w:cs="宋体" w:eastAsia="宋体" w:hint="default"/>
          <w:sz w:val="11"/>
          <w:szCs w:val="11"/>
        </w:rPr>
      </w:pPr>
    </w:p>
    <w:tbl>
      <w:tblPr>
        <w:tblW w:w="0" w:type="auto"/>
        <w:jc w:val="left"/>
        <w:tblInd w:w="527" w:type="dxa"/>
        <w:tblLayout w:type="fixed"/>
        <w:tblCellMar>
          <w:top w:w="0" w:type="dxa"/>
          <w:left w:w="0" w:type="dxa"/>
          <w:bottom w:w="0" w:type="dxa"/>
          <w:right w:w="0" w:type="dxa"/>
        </w:tblCellMar>
        <w:tblLook w:val="01E0"/>
      </w:tblPr>
      <w:tblGrid>
        <w:gridCol w:w="3168"/>
        <w:gridCol w:w="2647"/>
        <w:gridCol w:w="2645"/>
      </w:tblGrid>
      <w:tr>
        <w:trPr>
          <w:trHeight w:val="559" w:hRule="exact"/>
        </w:trPr>
        <w:tc>
          <w:tcPr>
            <w:tcW w:w="3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90"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7" w:hRule="exact"/>
        </w:trPr>
        <w:tc>
          <w:tcPr>
            <w:tcW w:w="3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647" w:type="dxa"/>
            <w:tcBorders>
              <w:top w:val="single" w:sz="4" w:space="0" w:color="000000"/>
              <w:left w:val="single" w:sz="4" w:space="0" w:color="000000"/>
              <w:bottom w:val="single" w:sz="4" w:space="0" w:color="000000"/>
              <w:right w:val="single" w:sz="4" w:space="0" w:color="000000"/>
            </w:tcBorders>
          </w:tcPr>
          <w:p>
            <w:pPr/>
          </w:p>
        </w:tc>
        <w:tc>
          <w:tcPr>
            <w:tcW w:w="2645"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3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7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1,226,584.60</w:t>
            </w:r>
          </w:p>
        </w:tc>
        <w:tc>
          <w:tcPr>
            <w:tcW w:w="2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825,043.34</w:t>
            </w:r>
          </w:p>
        </w:tc>
      </w:tr>
      <w:tr>
        <w:trPr>
          <w:trHeight w:val="557" w:hRule="exact"/>
        </w:trPr>
        <w:tc>
          <w:tcPr>
            <w:tcW w:w="3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79" w:right="0"/>
              <w:jc w:val="left"/>
              <w:rPr>
                <w:rFonts w:ascii="宋体" w:hAnsi="宋体" w:cs="宋体" w:eastAsia="宋体" w:hint="default"/>
                <w:sz w:val="18"/>
                <w:szCs w:val="18"/>
              </w:rPr>
            </w:pPr>
            <w:r>
              <w:rPr>
                <w:rFonts w:ascii="宋体" w:hAnsi="宋体" w:cs="宋体" w:eastAsia="宋体" w:hint="default"/>
                <w:sz w:val="18"/>
                <w:szCs w:val="18"/>
              </w:rPr>
              <w:t>售后服务费</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34,219.95</w:t>
            </w:r>
          </w:p>
        </w:tc>
        <w:tc>
          <w:tcPr>
            <w:tcW w:w="2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186,930.31</w:t>
            </w:r>
          </w:p>
        </w:tc>
      </w:tr>
      <w:tr>
        <w:trPr>
          <w:trHeight w:val="559" w:hRule="exact"/>
        </w:trPr>
        <w:tc>
          <w:tcPr>
            <w:tcW w:w="3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90"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450,244.29</w:t>
            </w:r>
          </w:p>
        </w:tc>
        <w:tc>
          <w:tcPr>
            <w:tcW w:w="2645"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31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9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1,711,048.84</w:t>
            </w:r>
          </w:p>
        </w:tc>
        <w:tc>
          <w:tcPr>
            <w:tcW w:w="2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1,011,973.65</w:t>
            </w:r>
          </w:p>
        </w:tc>
      </w:tr>
    </w:tbl>
    <w:p>
      <w:pPr>
        <w:pStyle w:val="BodyText"/>
        <w:spacing w:line="240" w:lineRule="auto" w:before="82"/>
        <w:ind w:left="1015" w:right="96"/>
        <w:jc w:val="left"/>
      </w:pPr>
      <w:r>
        <w:rPr/>
        <w:pict>
          <v:group style="position:absolute;margin-left:47.639999pt;margin-top:47.635609pt;width:.1pt;height:10.35pt;mso-position-horizontal-relative:page;mso-position-vertical-relative:paragraph;z-index:4168" coordorigin="953,953" coordsize="2,207">
            <v:shape style="position:absolute;left:953;top:953;width:2;height:207" coordorigin="953,953" coordsize="0,207" path="m953,953l953,1159e" filled="false" stroked="true" strokeweight=".12pt" strokecolor="#000000">
              <v:path arrowok="t"/>
            </v:shape>
            <w10:wrap type="none"/>
          </v:group>
        </w:pict>
      </w:r>
      <w:r>
        <w:rPr/>
        <w:t>(2)</w:t>
      </w:r>
      <w:r>
        <w:rPr>
          <w:spacing w:val="-3"/>
        </w:rPr>
        <w:t> </w:t>
      </w:r>
      <w:r>
        <w:rPr/>
        <w:t>引起暂时性差异的资产或负债项目对应的暂时性差异</w:t>
      </w:r>
    </w:p>
    <w:p>
      <w:pPr>
        <w:spacing w:after="0" w:line="240" w:lineRule="auto"/>
        <w:jc w:val="left"/>
        <w:sectPr>
          <w:pgSz w:w="11910" w:h="16840"/>
          <w:pgMar w:header="745" w:footer="979" w:top="1060" w:bottom="1160" w:left="600" w:right="1020"/>
        </w:sectPr>
      </w:pPr>
    </w:p>
    <w:p>
      <w:pPr>
        <w:spacing w:line="240" w:lineRule="auto" w:before="6"/>
        <w:rPr>
          <w:rFonts w:ascii="宋体" w:hAnsi="宋体" w:cs="宋体" w:eastAsia="宋体" w:hint="default"/>
          <w:sz w:val="28"/>
          <w:szCs w:val="28"/>
        </w:rPr>
      </w:pPr>
    </w:p>
    <w:tbl>
      <w:tblPr>
        <w:tblW w:w="0" w:type="auto"/>
        <w:jc w:val="left"/>
        <w:tblInd w:w="107" w:type="dxa"/>
        <w:tblLayout w:type="fixed"/>
        <w:tblCellMar>
          <w:top w:w="0" w:type="dxa"/>
          <w:left w:w="0" w:type="dxa"/>
          <w:bottom w:w="0" w:type="dxa"/>
          <w:right w:w="0" w:type="dxa"/>
        </w:tblCellMar>
        <w:tblLook w:val="01E0"/>
      </w:tblPr>
      <w:tblGrid>
        <w:gridCol w:w="4656"/>
        <w:gridCol w:w="3758"/>
      </w:tblGrid>
      <w:tr>
        <w:trPr>
          <w:trHeight w:val="557" w:hRule="exact"/>
        </w:trPr>
        <w:tc>
          <w:tcPr>
            <w:tcW w:w="46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90" w:right="0"/>
              <w:jc w:val="left"/>
              <w:rPr>
                <w:rFonts w:ascii="宋体" w:hAnsi="宋体" w:cs="宋体" w:eastAsia="宋体" w:hint="default"/>
                <w:sz w:val="18"/>
                <w:szCs w:val="18"/>
              </w:rPr>
            </w:pPr>
            <w:bookmarkStart w:name="项目" w:id="149"/>
            <w:bookmarkEnd w:id="149"/>
            <w:r>
              <w:rPr/>
            </w:r>
            <w:bookmarkStart w:name="暂时性差异金额" w:id="150"/>
            <w:bookmarkEnd w:id="150"/>
            <w:r>
              <w:rPr/>
            </w:r>
            <w:r>
              <w:rPr>
                <w:rFonts w:ascii="宋体" w:hAnsi="宋体" w:cs="宋体" w:eastAsia="宋体" w:hint="default"/>
                <w:sz w:val="18"/>
                <w:szCs w:val="18"/>
              </w:rPr>
              <w:t>项  目</w:t>
            </w:r>
          </w:p>
        </w:tc>
        <w:tc>
          <w:tcPr>
            <w:tcW w:w="3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1245" w:right="0"/>
              <w:jc w:val="left"/>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559" w:hRule="exact"/>
        </w:trPr>
        <w:tc>
          <w:tcPr>
            <w:tcW w:w="46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bookmarkStart w:name="可抵扣暂时性差异" w:id="151"/>
            <w:bookmarkEnd w:id="151"/>
            <w:r>
              <w:rPr/>
            </w:r>
            <w:r>
              <w:rPr>
                <w:rFonts w:ascii="宋体" w:hAnsi="宋体" w:cs="宋体" w:eastAsia="宋体" w:hint="default"/>
                <w:sz w:val="18"/>
                <w:szCs w:val="18"/>
              </w:rPr>
              <w:t>可抵扣暂时性差异</w:t>
            </w:r>
          </w:p>
        </w:tc>
        <w:tc>
          <w:tcPr>
            <w:tcW w:w="3758"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6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79" w:right="0"/>
              <w:jc w:val="left"/>
              <w:rPr>
                <w:rFonts w:ascii="宋体" w:hAnsi="宋体" w:cs="宋体" w:eastAsia="宋体" w:hint="default"/>
                <w:sz w:val="18"/>
                <w:szCs w:val="18"/>
              </w:rPr>
            </w:pPr>
            <w:bookmarkStart w:name="资产减值准备" w:id="152"/>
            <w:bookmarkEnd w:id="152"/>
            <w:r>
              <w:rPr/>
            </w:r>
            <w:bookmarkStart w:name="8,177,230.75" w:id="153"/>
            <w:bookmarkEnd w:id="153"/>
            <w:r>
              <w:rPr/>
            </w:r>
            <w:r>
              <w:rPr>
                <w:rFonts w:ascii="宋体" w:hAnsi="宋体" w:cs="宋体" w:eastAsia="宋体" w:hint="default"/>
                <w:sz w:val="18"/>
                <w:szCs w:val="18"/>
              </w:rPr>
              <w:t>资产减值准备</w:t>
            </w:r>
          </w:p>
        </w:tc>
        <w:tc>
          <w:tcPr>
            <w:tcW w:w="3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8,177,230.75</w:t>
            </w:r>
          </w:p>
        </w:tc>
      </w:tr>
      <w:tr>
        <w:trPr>
          <w:trHeight w:val="559" w:hRule="exact"/>
        </w:trPr>
        <w:tc>
          <w:tcPr>
            <w:tcW w:w="46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379" w:right="0"/>
              <w:jc w:val="left"/>
              <w:rPr>
                <w:rFonts w:ascii="宋体" w:hAnsi="宋体" w:cs="宋体" w:eastAsia="宋体" w:hint="default"/>
                <w:sz w:val="18"/>
                <w:szCs w:val="18"/>
              </w:rPr>
            </w:pPr>
            <w:bookmarkStart w:name="售后服务费" w:id="154"/>
            <w:bookmarkEnd w:id="154"/>
            <w:r>
              <w:rPr/>
            </w:r>
            <w:bookmarkStart w:name="228,132.99" w:id="155"/>
            <w:bookmarkEnd w:id="155"/>
            <w:r>
              <w:rPr/>
            </w:r>
            <w:r>
              <w:rPr>
                <w:rFonts w:ascii="宋体" w:hAnsi="宋体" w:cs="宋体" w:eastAsia="宋体" w:hint="default"/>
                <w:sz w:val="18"/>
                <w:szCs w:val="18"/>
              </w:rPr>
              <w:t>售后服务费</w:t>
            </w:r>
          </w:p>
        </w:tc>
        <w:tc>
          <w:tcPr>
            <w:tcW w:w="3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228,132.99</w:t>
            </w:r>
          </w:p>
        </w:tc>
      </w:tr>
      <w:tr>
        <w:trPr>
          <w:trHeight w:val="557" w:hRule="exact"/>
        </w:trPr>
        <w:tc>
          <w:tcPr>
            <w:tcW w:w="46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79" w:right="0"/>
              <w:jc w:val="left"/>
              <w:rPr>
                <w:rFonts w:ascii="宋体" w:hAnsi="宋体" w:cs="宋体" w:eastAsia="宋体" w:hint="default"/>
                <w:sz w:val="18"/>
                <w:szCs w:val="18"/>
              </w:rPr>
            </w:pPr>
            <w:bookmarkStart w:name="递延收益" w:id="156"/>
            <w:bookmarkEnd w:id="156"/>
            <w:r>
              <w:rPr/>
            </w:r>
            <w:bookmarkStart w:name="3,001,628.60" w:id="157"/>
            <w:bookmarkEnd w:id="157"/>
            <w:r>
              <w:rPr/>
            </w:r>
            <w:r>
              <w:rPr>
                <w:rFonts w:ascii="宋体" w:hAnsi="宋体" w:cs="宋体" w:eastAsia="宋体" w:hint="default"/>
                <w:sz w:val="18"/>
                <w:szCs w:val="18"/>
              </w:rPr>
              <w:t>递延收益</w:t>
            </w:r>
          </w:p>
        </w:tc>
        <w:tc>
          <w:tcPr>
            <w:tcW w:w="3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3,001,628.60</w:t>
            </w:r>
          </w:p>
        </w:tc>
      </w:tr>
      <w:tr>
        <w:trPr>
          <w:trHeight w:val="559" w:hRule="exact"/>
        </w:trPr>
        <w:tc>
          <w:tcPr>
            <w:tcW w:w="46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90" w:right="0"/>
              <w:jc w:val="left"/>
              <w:rPr>
                <w:rFonts w:ascii="宋体" w:hAnsi="宋体" w:cs="宋体" w:eastAsia="宋体" w:hint="default"/>
                <w:sz w:val="18"/>
                <w:szCs w:val="18"/>
              </w:rPr>
            </w:pPr>
            <w:bookmarkStart w:name="小计" w:id="158"/>
            <w:bookmarkEnd w:id="158"/>
            <w:r>
              <w:rPr/>
            </w:r>
            <w:bookmarkStart w:name="11,406,992.34" w:id="159"/>
            <w:bookmarkEnd w:id="159"/>
            <w:r>
              <w:rPr/>
            </w:r>
            <w:r>
              <w:rPr>
                <w:rFonts w:ascii="宋体" w:hAnsi="宋体" w:cs="宋体" w:eastAsia="宋体" w:hint="default"/>
                <w:sz w:val="18"/>
                <w:szCs w:val="18"/>
              </w:rPr>
              <w:t>小  计</w:t>
            </w:r>
          </w:p>
        </w:tc>
        <w:tc>
          <w:tcPr>
            <w:tcW w:w="3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11,406,992.34</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BodyText"/>
        <w:spacing w:line="240" w:lineRule="auto" w:before="26"/>
        <w:ind w:left="595" w:right="279"/>
        <w:jc w:val="left"/>
      </w:pPr>
      <w:r>
        <w:rPr/>
        <w:t>15.</w:t>
      </w:r>
      <w:r>
        <w:rPr>
          <w:spacing w:val="-3"/>
        </w:rPr>
        <w:t> </w:t>
      </w:r>
      <w:r>
        <w:rPr/>
        <w:t>资产减值准备明细</w:t>
      </w:r>
    </w:p>
    <w:p>
      <w:pPr>
        <w:spacing w:line="240" w:lineRule="auto" w:before="10"/>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2448"/>
        <w:gridCol w:w="1296"/>
        <w:gridCol w:w="1385"/>
        <w:gridCol w:w="1063"/>
        <w:gridCol w:w="1063"/>
        <w:gridCol w:w="1385"/>
      </w:tblGrid>
      <w:tr>
        <w:trPr>
          <w:trHeight w:val="338" w:hRule="exact"/>
        </w:trPr>
        <w:tc>
          <w:tcPr>
            <w:tcW w:w="2448" w:type="dxa"/>
            <w:vMerge w:val="restart"/>
            <w:tcBorders>
              <w:top w:val="single" w:sz="4"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2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0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85" w:type="dxa"/>
            <w:vMerge w:val="restart"/>
            <w:tcBorders>
              <w:top w:val="single" w:sz="4" w:space="0" w:color="000000"/>
              <w:left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41" w:hRule="exact"/>
        </w:trPr>
        <w:tc>
          <w:tcPr>
            <w:tcW w:w="2448" w:type="dxa"/>
            <w:vMerge/>
            <w:tcBorders>
              <w:left w:val="nil" w:sz="6" w:space="0" w:color="auto"/>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1385" w:type="dxa"/>
            <w:vMerge/>
            <w:tcBorders>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0" w:right="0"/>
              <w:jc w:val="left"/>
              <w:rPr>
                <w:rFonts w:ascii="宋体" w:hAnsi="宋体" w:cs="宋体" w:eastAsia="宋体" w:hint="default"/>
                <w:sz w:val="18"/>
                <w:szCs w:val="18"/>
              </w:rPr>
            </w:pPr>
            <w:r>
              <w:rPr>
                <w:rFonts w:ascii="宋体" w:hAnsi="宋体" w:cs="宋体" w:eastAsia="宋体" w:hint="default"/>
                <w:sz w:val="18"/>
                <w:szCs w:val="18"/>
              </w:rPr>
              <w:t>转回</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385" w:type="dxa"/>
            <w:vMerge/>
            <w:tcBorders>
              <w:left w:val="single" w:sz="4" w:space="0" w:color="000000"/>
              <w:bottom w:val="single" w:sz="4" w:space="0" w:color="000000"/>
              <w:right w:val="nil" w:sz="6" w:space="0" w:color="auto"/>
            </w:tcBorders>
          </w:tcPr>
          <w:p>
            <w:pPr/>
          </w:p>
        </w:tc>
      </w:tr>
      <w:tr>
        <w:trPr>
          <w:trHeight w:val="559" w:hRule="exact"/>
        </w:trPr>
        <w:tc>
          <w:tcPr>
            <w:tcW w:w="2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 w:right="0"/>
              <w:jc w:val="center"/>
              <w:rPr>
                <w:rFonts w:ascii="宋体" w:hAnsi="宋体" w:cs="宋体" w:eastAsia="宋体" w:hint="default"/>
                <w:sz w:val="18"/>
                <w:szCs w:val="18"/>
              </w:rPr>
            </w:pPr>
            <w:r>
              <w:rPr>
                <w:rFonts w:ascii="宋体"/>
                <w:sz w:val="18"/>
              </w:rPr>
              <w:t>6,152,544.53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94" w:right="0"/>
              <w:jc w:val="center"/>
              <w:rPr>
                <w:rFonts w:ascii="宋体" w:hAnsi="宋体" w:cs="宋体" w:eastAsia="宋体" w:hint="default"/>
                <w:sz w:val="18"/>
                <w:szCs w:val="18"/>
              </w:rPr>
            </w:pPr>
            <w:r>
              <w:rPr>
                <w:rFonts w:ascii="宋体"/>
                <w:sz w:val="18"/>
              </w:rPr>
              <w:t>3,942,390.86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4" w:right="0"/>
              <w:jc w:val="center"/>
              <w:rPr>
                <w:rFonts w:ascii="宋体" w:hAnsi="宋体" w:cs="宋体" w:eastAsia="宋体" w:hint="default"/>
                <w:sz w:val="18"/>
                <w:szCs w:val="18"/>
              </w:rPr>
            </w:pPr>
            <w:r>
              <w:rPr>
                <w:rFonts w:ascii="宋体"/>
                <w:sz w:val="18"/>
              </w:rPr>
              <w:t>27,106.14</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
              <w:jc w:val="center"/>
              <w:rPr>
                <w:rFonts w:ascii="宋体" w:hAnsi="宋体" w:cs="宋体" w:eastAsia="宋体" w:hint="default"/>
                <w:sz w:val="18"/>
                <w:szCs w:val="18"/>
              </w:rPr>
            </w:pPr>
            <w:r>
              <w:rPr>
                <w:rFonts w:ascii="宋体"/>
                <w:sz w:val="18"/>
              </w:rPr>
              <w:t>10,067,829.25</w:t>
            </w:r>
          </w:p>
        </w:tc>
      </w:tr>
      <w:tr>
        <w:trPr>
          <w:trHeight w:val="557" w:hRule="exact"/>
        </w:trPr>
        <w:tc>
          <w:tcPr>
            <w:tcW w:w="2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商誉减值准备</w:t>
            </w:r>
          </w:p>
        </w:tc>
        <w:tc>
          <w:tcPr>
            <w:tcW w:w="129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 w:right="0"/>
              <w:jc w:val="center"/>
              <w:rPr>
                <w:rFonts w:ascii="宋体" w:hAnsi="宋体" w:cs="宋体" w:eastAsia="宋体" w:hint="default"/>
                <w:sz w:val="18"/>
                <w:szCs w:val="18"/>
              </w:rPr>
            </w:pPr>
            <w:r>
              <w:rPr>
                <w:rFonts w:ascii="宋体"/>
                <w:sz w:val="18"/>
              </w:rPr>
              <w:t>19,315,650.47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19,315,650.47</w:t>
            </w:r>
          </w:p>
        </w:tc>
      </w:tr>
      <w:tr>
        <w:trPr>
          <w:trHeight w:val="559" w:hRule="exact"/>
        </w:trPr>
        <w:tc>
          <w:tcPr>
            <w:tcW w:w="24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9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 w:right="0"/>
              <w:jc w:val="center"/>
              <w:rPr>
                <w:rFonts w:ascii="宋体" w:hAnsi="宋体" w:cs="宋体" w:eastAsia="宋体" w:hint="default"/>
                <w:sz w:val="18"/>
                <w:szCs w:val="18"/>
              </w:rPr>
            </w:pPr>
            <w:r>
              <w:rPr>
                <w:rFonts w:ascii="宋体"/>
                <w:sz w:val="18"/>
              </w:rPr>
              <w:t>6,152,544.53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 w:right="0"/>
              <w:jc w:val="center"/>
              <w:rPr>
                <w:rFonts w:ascii="宋体" w:hAnsi="宋体" w:cs="宋体" w:eastAsia="宋体" w:hint="default"/>
                <w:sz w:val="18"/>
                <w:szCs w:val="18"/>
              </w:rPr>
            </w:pPr>
            <w:r>
              <w:rPr>
                <w:rFonts w:ascii="宋体"/>
                <w:sz w:val="18"/>
              </w:rPr>
              <w:t>23,258,041.33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4" w:right="0"/>
              <w:jc w:val="center"/>
              <w:rPr>
                <w:rFonts w:ascii="宋体" w:hAnsi="宋体" w:cs="宋体" w:eastAsia="宋体" w:hint="default"/>
                <w:sz w:val="18"/>
                <w:szCs w:val="18"/>
              </w:rPr>
            </w:pPr>
            <w:r>
              <w:rPr>
                <w:rFonts w:ascii="宋体"/>
                <w:sz w:val="18"/>
              </w:rPr>
              <w:t>27,106.14</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29,383,479.72</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BodyText"/>
        <w:spacing w:line="240" w:lineRule="auto" w:before="26"/>
        <w:ind w:left="595" w:right="279"/>
        <w:jc w:val="left"/>
      </w:pPr>
      <w:r>
        <w:rPr/>
        <w:t>16.</w:t>
      </w:r>
      <w:r>
        <w:rPr>
          <w:spacing w:val="-3"/>
        </w:rPr>
        <w:t> </w:t>
      </w:r>
      <w:r>
        <w:rPr/>
        <w:t>应付账款</w:t>
      </w:r>
    </w:p>
    <w:p>
      <w:pPr>
        <w:pStyle w:val="BodyText"/>
        <w:spacing w:line="240" w:lineRule="auto" w:before="192"/>
        <w:ind w:left="595" w:right="279"/>
        <w:jc w:val="left"/>
      </w:pPr>
      <w:r>
        <w:rPr/>
        <w:t>(1)</w:t>
      </w:r>
      <w:r>
        <w:rPr>
          <w:spacing w:val="-3"/>
        </w:rPr>
        <w:t> </w:t>
      </w:r>
      <w:r>
        <w:rPr/>
        <w:t>明细情况</w:t>
      </w:r>
    </w:p>
    <w:p>
      <w:pPr>
        <w:spacing w:line="240" w:lineRule="auto" w:before="10"/>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3240"/>
        <w:gridCol w:w="2611"/>
        <w:gridCol w:w="2609"/>
      </w:tblGrid>
      <w:tr>
        <w:trPr>
          <w:trHeight w:val="559" w:hRule="exact"/>
        </w:trPr>
        <w:tc>
          <w:tcPr>
            <w:tcW w:w="3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290"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9" w:hRule="exact"/>
        </w:trPr>
        <w:tc>
          <w:tcPr>
            <w:tcW w:w="3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290" w:right="0"/>
              <w:jc w:val="left"/>
              <w:rPr>
                <w:rFonts w:ascii="宋体" w:hAnsi="宋体" w:cs="宋体" w:eastAsia="宋体" w:hint="default"/>
                <w:sz w:val="18"/>
                <w:szCs w:val="18"/>
              </w:rPr>
            </w:pPr>
            <w:r>
              <w:rPr>
                <w:rFonts w:ascii="宋体" w:hAnsi="宋体" w:cs="宋体" w:eastAsia="宋体" w:hint="default"/>
                <w:sz w:val="18"/>
                <w:szCs w:val="18"/>
              </w:rPr>
              <w:t>应付货款、劳务款</w:t>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44,708,825.56</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26,031,196.12</w:t>
            </w:r>
          </w:p>
        </w:tc>
      </w:tr>
      <w:tr>
        <w:trPr>
          <w:trHeight w:val="478" w:hRule="exact"/>
        </w:trPr>
        <w:tc>
          <w:tcPr>
            <w:tcW w:w="3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29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44,708,825.56</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26,031,196.12</w:t>
            </w:r>
          </w:p>
        </w:tc>
      </w:tr>
    </w:tbl>
    <w:p>
      <w:pPr>
        <w:pStyle w:val="BodyText"/>
        <w:spacing w:line="388" w:lineRule="auto" w:before="79"/>
        <w:ind w:left="595" w:right="194"/>
        <w:jc w:val="left"/>
      </w:pPr>
      <w:r>
        <w:rPr/>
        <w:t>(2)</w:t>
      </w:r>
      <w:r>
        <w:rPr>
          <w:spacing w:val="-3"/>
        </w:rPr>
        <w:t> </w:t>
      </w:r>
      <w:r>
        <w:rPr/>
        <w:t>期末无应付持有公司</w:t>
      </w:r>
      <w:r>
        <w:rPr>
          <w:spacing w:val="-60"/>
        </w:rPr>
        <w:t> </w:t>
      </w:r>
      <w:r>
        <w:rPr/>
        <w:t>5%以上(含</w:t>
      </w:r>
      <w:r>
        <w:rPr>
          <w:spacing w:val="-60"/>
        </w:rPr>
        <w:t> </w:t>
      </w:r>
      <w:r>
        <w:rPr/>
        <w:t>5%)表决权股份的股东单位和其他关联方款项情况。</w:t>
      </w:r>
      <w:r>
        <w:rPr/>
        <w:t> (3)</w:t>
      </w:r>
      <w:r>
        <w:rPr>
          <w:spacing w:val="-3"/>
        </w:rPr>
        <w:t> </w:t>
      </w:r>
      <w:r>
        <w:rPr/>
        <w:t>期末无账龄超过</w:t>
      </w:r>
      <w:r>
        <w:rPr>
          <w:spacing w:val="-60"/>
        </w:rPr>
        <w:t> </w:t>
      </w:r>
      <w:r>
        <w:rPr/>
        <w:t>1</w:t>
      </w:r>
      <w:r>
        <w:rPr>
          <w:spacing w:val="-60"/>
        </w:rPr>
        <w:t> </w:t>
      </w:r>
      <w:r>
        <w:rPr/>
        <w:t>年的大额应付账款。</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18"/>
          <w:szCs w:val="18"/>
        </w:rPr>
      </w:pPr>
    </w:p>
    <w:p>
      <w:pPr>
        <w:pStyle w:val="BodyText"/>
        <w:spacing w:line="240" w:lineRule="auto" w:before="0"/>
        <w:ind w:left="595" w:right="279"/>
        <w:jc w:val="left"/>
      </w:pPr>
      <w:r>
        <w:rPr/>
        <w:t>17.</w:t>
      </w:r>
      <w:r>
        <w:rPr>
          <w:spacing w:val="-3"/>
        </w:rPr>
        <w:t> </w:t>
      </w:r>
      <w:r>
        <w:rPr/>
        <w:t>预收款项</w:t>
      </w:r>
    </w:p>
    <w:p>
      <w:pPr>
        <w:pStyle w:val="BodyText"/>
        <w:spacing w:line="240" w:lineRule="auto" w:before="194"/>
        <w:ind w:left="595" w:right="279"/>
        <w:jc w:val="left"/>
      </w:pPr>
      <w:r>
        <w:rPr/>
        <w:pict>
          <v:group style="position:absolute;margin-left:547.559998pt;margin-top:116.715607pt;width:.1pt;height:10.35pt;mso-position-horizontal-relative:page;mso-position-vertical-relative:paragraph;z-index:4192" coordorigin="10951,2334" coordsize="2,207">
            <v:shape style="position:absolute;left:10951;top:2334;width:2;height:207" coordorigin="10951,2334" coordsize="0,207" path="m10951,2334l10951,2541e" filled="false" stroked="true" strokeweight=".12pt" strokecolor="#000000">
              <v:path arrowok="t"/>
            </v:shape>
            <w10:wrap type="none"/>
          </v:group>
        </w:pict>
      </w:r>
      <w:r>
        <w:rPr/>
        <w:t>(1)</w:t>
      </w:r>
      <w:r>
        <w:rPr>
          <w:spacing w:val="-3"/>
        </w:rPr>
        <w:t> </w:t>
      </w:r>
      <w:r>
        <w:rPr/>
        <w:t>明细情况</w:t>
      </w:r>
    </w:p>
    <w:p>
      <w:pPr>
        <w:spacing w:line="240" w:lineRule="auto" w:before="10"/>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3240"/>
        <w:gridCol w:w="2611"/>
        <w:gridCol w:w="2609"/>
      </w:tblGrid>
      <w:tr>
        <w:trPr>
          <w:trHeight w:val="557" w:hRule="exact"/>
        </w:trPr>
        <w:tc>
          <w:tcPr>
            <w:tcW w:w="3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290"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9" w:hRule="exact"/>
        </w:trPr>
        <w:tc>
          <w:tcPr>
            <w:tcW w:w="3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290" w:right="0"/>
              <w:jc w:val="left"/>
              <w:rPr>
                <w:rFonts w:ascii="宋体" w:hAnsi="宋体" w:cs="宋体" w:eastAsia="宋体" w:hint="default"/>
                <w:sz w:val="18"/>
                <w:szCs w:val="18"/>
              </w:rPr>
            </w:pPr>
            <w:r>
              <w:rPr>
                <w:rFonts w:ascii="宋体" w:hAnsi="宋体" w:cs="宋体" w:eastAsia="宋体" w:hint="default"/>
                <w:sz w:val="18"/>
                <w:szCs w:val="18"/>
              </w:rPr>
              <w:t>货物及服务款</w:t>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418" w:right="0"/>
              <w:jc w:val="left"/>
              <w:rPr>
                <w:rFonts w:ascii="宋体" w:hAnsi="宋体" w:cs="宋体" w:eastAsia="宋体" w:hint="default"/>
                <w:sz w:val="18"/>
                <w:szCs w:val="18"/>
              </w:rPr>
            </w:pPr>
            <w:r>
              <w:rPr>
                <w:rFonts w:ascii="宋体"/>
                <w:sz w:val="18"/>
              </w:rPr>
              <w:t>5,926,599.18</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1327" w:right="0"/>
              <w:jc w:val="left"/>
              <w:rPr>
                <w:rFonts w:ascii="宋体" w:hAnsi="宋体" w:cs="宋体" w:eastAsia="宋体" w:hint="default"/>
                <w:sz w:val="18"/>
                <w:szCs w:val="18"/>
              </w:rPr>
            </w:pPr>
            <w:r>
              <w:rPr>
                <w:rFonts w:ascii="宋体"/>
                <w:sz w:val="18"/>
              </w:rPr>
              <w:t>13,088,851.91</w:t>
            </w:r>
          </w:p>
        </w:tc>
      </w:tr>
    </w:tbl>
    <w:p>
      <w:pPr>
        <w:spacing w:after="0" w:line="240" w:lineRule="auto"/>
        <w:jc w:val="left"/>
        <w:rPr>
          <w:rFonts w:ascii="宋体" w:hAnsi="宋体" w:cs="宋体" w:eastAsia="宋体" w:hint="default"/>
          <w:sz w:val="18"/>
          <w:szCs w:val="18"/>
        </w:rPr>
        <w:sectPr>
          <w:pgSz w:w="11910" w:h="16840"/>
          <w:pgMar w:header="745" w:footer="979" w:top="1060" w:bottom="1160" w:left="1020" w:right="840"/>
        </w:sectPr>
      </w:pPr>
    </w:p>
    <w:p>
      <w:pPr>
        <w:spacing w:line="240" w:lineRule="auto" w:before="6"/>
        <w:rPr>
          <w:rFonts w:ascii="宋体" w:hAnsi="宋体" w:cs="宋体" w:eastAsia="宋体" w:hint="default"/>
          <w:sz w:val="28"/>
          <w:szCs w:val="28"/>
        </w:rPr>
      </w:pPr>
      <w:r>
        <w:rPr/>
        <w:pict>
          <v:group style="position:absolute;margin-left:47.639999pt;margin-top:781.919983pt;width:.1pt;height:10.35pt;mso-position-horizontal-relative:page;mso-position-vertical-relative:page;z-index:4216" coordorigin="953,15638" coordsize="2,207">
            <v:shape style="position:absolute;left:953;top:15638;width:2;height:207" coordorigin="953,15638" coordsize="0,207" path="m953,15638l953,15845e" filled="false" stroked="true" strokeweight=".12pt" strokecolor="#000000">
              <v:path arrowok="t"/>
            </v:shape>
            <w10:wrap type="none"/>
          </v:group>
        </w:pict>
      </w:r>
    </w:p>
    <w:tbl>
      <w:tblPr>
        <w:tblW w:w="0" w:type="auto"/>
        <w:jc w:val="left"/>
        <w:tblInd w:w="287" w:type="dxa"/>
        <w:tblLayout w:type="fixed"/>
        <w:tblCellMar>
          <w:top w:w="0" w:type="dxa"/>
          <w:left w:w="0" w:type="dxa"/>
          <w:bottom w:w="0" w:type="dxa"/>
          <w:right w:w="0" w:type="dxa"/>
        </w:tblCellMar>
        <w:tblLook w:val="01E0"/>
      </w:tblPr>
      <w:tblGrid>
        <w:gridCol w:w="3240"/>
        <w:gridCol w:w="2611"/>
        <w:gridCol w:w="2609"/>
      </w:tblGrid>
      <w:tr>
        <w:trPr>
          <w:trHeight w:val="557" w:hRule="exact"/>
        </w:trPr>
        <w:tc>
          <w:tcPr>
            <w:tcW w:w="3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29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418" w:right="0"/>
              <w:jc w:val="left"/>
              <w:rPr>
                <w:rFonts w:ascii="宋体" w:hAnsi="宋体" w:cs="宋体" w:eastAsia="宋体" w:hint="default"/>
                <w:sz w:val="18"/>
                <w:szCs w:val="18"/>
              </w:rPr>
            </w:pPr>
            <w:r>
              <w:rPr>
                <w:rFonts w:ascii="宋体"/>
                <w:sz w:val="18"/>
              </w:rPr>
              <w:t>5,926,599.18</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1327" w:right="0"/>
              <w:jc w:val="left"/>
              <w:rPr>
                <w:rFonts w:ascii="宋体" w:hAnsi="宋体" w:cs="宋体" w:eastAsia="宋体" w:hint="default"/>
                <w:sz w:val="18"/>
                <w:szCs w:val="18"/>
              </w:rPr>
            </w:pPr>
            <w:r>
              <w:rPr>
                <w:rFonts w:ascii="宋体"/>
                <w:sz w:val="18"/>
              </w:rPr>
              <w:t>13,088,851.91</w:t>
            </w:r>
          </w:p>
        </w:tc>
      </w:tr>
    </w:tbl>
    <w:p>
      <w:pPr>
        <w:pStyle w:val="BodyText"/>
        <w:spacing w:line="240" w:lineRule="auto" w:before="82"/>
        <w:ind w:left="775" w:right="279"/>
        <w:jc w:val="left"/>
      </w:pPr>
      <w:r>
        <w:rPr/>
        <w:t>(2)</w:t>
      </w:r>
      <w:r>
        <w:rPr>
          <w:spacing w:val="-3"/>
        </w:rPr>
        <w:t> </w:t>
      </w:r>
      <w:r>
        <w:rPr/>
        <w:t>无预收持有公司</w:t>
      </w:r>
      <w:r>
        <w:rPr>
          <w:spacing w:val="-60"/>
        </w:rPr>
        <w:t> </w:t>
      </w:r>
      <w:r>
        <w:rPr/>
        <w:t>5%以上(含</w:t>
      </w:r>
      <w:r>
        <w:rPr>
          <w:spacing w:val="-58"/>
        </w:rPr>
        <w:t> </w:t>
      </w:r>
      <w:r>
        <w:rPr/>
        <w:t>5%)表决权股份的股东单位和其他关联方款项。</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pStyle w:val="BodyText"/>
        <w:spacing w:line="240" w:lineRule="auto" w:before="0"/>
        <w:ind w:left="775" w:right="279"/>
        <w:jc w:val="left"/>
      </w:pPr>
      <w:r>
        <w:rPr/>
        <w:t>18.</w:t>
      </w:r>
      <w:r>
        <w:rPr>
          <w:spacing w:val="-3"/>
        </w:rPr>
        <w:t> </w:t>
      </w:r>
      <w:r>
        <w:rPr/>
        <w:t>应付职工薪酬</w:t>
      </w:r>
    </w:p>
    <w:p>
      <w:pPr>
        <w:pStyle w:val="BodyText"/>
        <w:spacing w:line="240" w:lineRule="auto" w:before="194"/>
        <w:ind w:left="775" w:right="279"/>
        <w:jc w:val="left"/>
      </w:pPr>
      <w:r>
        <w:rPr/>
        <w:t>(1)</w:t>
      </w:r>
      <w:r>
        <w:rPr>
          <w:spacing w:val="-3"/>
        </w:rPr>
        <w:t> </w:t>
      </w:r>
      <w:r>
        <w:rPr/>
        <w:t>明细情况</w:t>
      </w:r>
    </w:p>
    <w:p>
      <w:pPr>
        <w:spacing w:line="240" w:lineRule="auto" w:before="10"/>
        <w:rPr>
          <w:rFonts w:ascii="宋体" w:hAnsi="宋体" w:cs="宋体" w:eastAsia="宋体" w:hint="default"/>
          <w:sz w:val="11"/>
          <w:szCs w:val="11"/>
        </w:rPr>
      </w:pPr>
    </w:p>
    <w:tbl>
      <w:tblPr>
        <w:tblW w:w="0" w:type="auto"/>
        <w:jc w:val="left"/>
        <w:tblInd w:w="287" w:type="dxa"/>
        <w:tblLayout w:type="fixed"/>
        <w:tblCellMar>
          <w:top w:w="0" w:type="dxa"/>
          <w:left w:w="0" w:type="dxa"/>
          <w:bottom w:w="0" w:type="dxa"/>
          <w:right w:w="0" w:type="dxa"/>
        </w:tblCellMar>
        <w:tblLook w:val="01E0"/>
      </w:tblPr>
      <w:tblGrid>
        <w:gridCol w:w="2834"/>
        <w:gridCol w:w="1582"/>
        <w:gridCol w:w="1582"/>
        <w:gridCol w:w="1582"/>
        <w:gridCol w:w="1476"/>
      </w:tblGrid>
      <w:tr>
        <w:trPr>
          <w:trHeight w:val="557" w:hRule="exact"/>
        </w:trPr>
        <w:tc>
          <w:tcPr>
            <w:tcW w:w="2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90"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8"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3"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91"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59" w:hRule="exact"/>
        </w:trPr>
        <w:tc>
          <w:tcPr>
            <w:tcW w:w="2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290"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8" w:right="0"/>
              <w:jc w:val="center"/>
              <w:rPr>
                <w:rFonts w:ascii="宋体" w:hAnsi="宋体" w:cs="宋体" w:eastAsia="宋体" w:hint="default"/>
                <w:sz w:val="18"/>
                <w:szCs w:val="18"/>
              </w:rPr>
            </w:pPr>
            <w:r>
              <w:rPr>
                <w:rFonts w:ascii="宋体"/>
                <w:sz w:val="18"/>
              </w:rPr>
              <w:t>8,834,251.16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97" w:right="0"/>
              <w:jc w:val="center"/>
              <w:rPr>
                <w:rFonts w:ascii="宋体" w:hAnsi="宋体" w:cs="宋体" w:eastAsia="宋体" w:hint="default"/>
                <w:sz w:val="18"/>
                <w:szCs w:val="18"/>
              </w:rPr>
            </w:pPr>
            <w:r>
              <w:rPr>
                <w:rFonts w:ascii="宋体"/>
                <w:sz w:val="18"/>
              </w:rPr>
              <w:t>36,740,765.09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97" w:right="0"/>
              <w:jc w:val="center"/>
              <w:rPr>
                <w:rFonts w:ascii="宋体" w:hAnsi="宋体" w:cs="宋体" w:eastAsia="宋体" w:hint="default"/>
                <w:sz w:val="18"/>
                <w:szCs w:val="18"/>
              </w:rPr>
            </w:pPr>
            <w:r>
              <w:rPr>
                <w:rFonts w:ascii="宋体"/>
                <w:sz w:val="18"/>
              </w:rPr>
              <w:t>37,656,196.12</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90" w:right="0"/>
              <w:jc w:val="center"/>
              <w:rPr>
                <w:rFonts w:ascii="宋体" w:hAnsi="宋体" w:cs="宋体" w:eastAsia="宋体" w:hint="default"/>
                <w:sz w:val="18"/>
                <w:szCs w:val="18"/>
              </w:rPr>
            </w:pPr>
            <w:r>
              <w:rPr>
                <w:rFonts w:ascii="宋体"/>
                <w:sz w:val="18"/>
              </w:rPr>
              <w:t>7,918,820.13</w:t>
            </w:r>
          </w:p>
        </w:tc>
      </w:tr>
      <w:tr>
        <w:trPr>
          <w:trHeight w:val="557" w:hRule="exact"/>
        </w:trPr>
        <w:tc>
          <w:tcPr>
            <w:tcW w:w="2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90"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 w:right="0"/>
              <w:jc w:val="center"/>
              <w:rPr>
                <w:rFonts w:ascii="宋体" w:hAnsi="宋体" w:cs="宋体" w:eastAsia="宋体" w:hint="default"/>
                <w:sz w:val="18"/>
                <w:szCs w:val="18"/>
              </w:rPr>
            </w:pPr>
            <w:r>
              <w:rPr>
                <w:rFonts w:ascii="宋体"/>
                <w:sz w:val="18"/>
              </w:rPr>
              <w:t>386,740.58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9" w:right="0"/>
              <w:jc w:val="center"/>
              <w:rPr>
                <w:rFonts w:ascii="宋体" w:hAnsi="宋体" w:cs="宋体" w:eastAsia="宋体" w:hint="default"/>
                <w:sz w:val="18"/>
                <w:szCs w:val="18"/>
              </w:rPr>
            </w:pPr>
            <w:r>
              <w:rPr>
                <w:rFonts w:ascii="宋体"/>
                <w:sz w:val="18"/>
              </w:rPr>
              <w:t>2,570,167.59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4" w:right="0"/>
              <w:jc w:val="center"/>
              <w:rPr>
                <w:rFonts w:ascii="宋体" w:hAnsi="宋体" w:cs="宋体" w:eastAsia="宋体" w:hint="default"/>
                <w:sz w:val="18"/>
                <w:szCs w:val="18"/>
              </w:rPr>
            </w:pPr>
            <w:r>
              <w:rPr>
                <w:rFonts w:ascii="宋体"/>
                <w:sz w:val="18"/>
              </w:rPr>
              <w:t>2,514,561.74</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92" w:right="0"/>
              <w:jc w:val="center"/>
              <w:rPr>
                <w:rFonts w:ascii="宋体" w:hAnsi="宋体" w:cs="宋体" w:eastAsia="宋体" w:hint="default"/>
                <w:sz w:val="18"/>
                <w:szCs w:val="18"/>
              </w:rPr>
            </w:pPr>
            <w:r>
              <w:rPr>
                <w:rFonts w:ascii="宋体"/>
                <w:sz w:val="18"/>
              </w:rPr>
              <w:t>442,346.43</w:t>
            </w:r>
          </w:p>
        </w:tc>
      </w:tr>
      <w:tr>
        <w:trPr>
          <w:trHeight w:val="559" w:hRule="exact"/>
        </w:trPr>
        <w:tc>
          <w:tcPr>
            <w:tcW w:w="2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290"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6" w:right="0"/>
              <w:jc w:val="center"/>
              <w:rPr>
                <w:rFonts w:ascii="宋体" w:hAnsi="宋体" w:cs="宋体" w:eastAsia="宋体" w:hint="default"/>
                <w:sz w:val="18"/>
                <w:szCs w:val="18"/>
              </w:rPr>
            </w:pPr>
            <w:r>
              <w:rPr>
                <w:rFonts w:ascii="宋体"/>
                <w:sz w:val="18"/>
              </w:rPr>
              <w:t>35,587.54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97" w:right="0"/>
              <w:jc w:val="center"/>
              <w:rPr>
                <w:rFonts w:ascii="宋体" w:hAnsi="宋体" w:cs="宋体" w:eastAsia="宋体" w:hint="default"/>
                <w:sz w:val="18"/>
                <w:szCs w:val="18"/>
              </w:rPr>
            </w:pPr>
            <w:r>
              <w:rPr>
                <w:rFonts w:ascii="宋体"/>
                <w:sz w:val="18"/>
              </w:rPr>
              <w:t>779,608.58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97" w:right="0"/>
              <w:jc w:val="center"/>
              <w:rPr>
                <w:rFonts w:ascii="宋体" w:hAnsi="宋体" w:cs="宋体" w:eastAsia="宋体" w:hint="default"/>
                <w:sz w:val="18"/>
                <w:szCs w:val="18"/>
              </w:rPr>
            </w:pPr>
            <w:r>
              <w:rPr>
                <w:rFonts w:ascii="宋体"/>
                <w:sz w:val="18"/>
              </w:rPr>
              <w:t>778,202.44</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87" w:right="0"/>
              <w:jc w:val="center"/>
              <w:rPr>
                <w:rFonts w:ascii="宋体" w:hAnsi="宋体" w:cs="宋体" w:eastAsia="宋体" w:hint="default"/>
                <w:sz w:val="18"/>
                <w:szCs w:val="18"/>
              </w:rPr>
            </w:pPr>
            <w:r>
              <w:rPr>
                <w:rFonts w:ascii="宋体"/>
                <w:sz w:val="18"/>
              </w:rPr>
              <w:t>36,993.68</w:t>
            </w:r>
          </w:p>
        </w:tc>
      </w:tr>
      <w:tr>
        <w:trPr>
          <w:trHeight w:val="557" w:hRule="exact"/>
        </w:trPr>
        <w:tc>
          <w:tcPr>
            <w:tcW w:w="2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828"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 w:right="0"/>
              <w:jc w:val="center"/>
              <w:rPr>
                <w:rFonts w:ascii="宋体" w:hAnsi="宋体" w:cs="宋体" w:eastAsia="宋体" w:hint="default"/>
                <w:sz w:val="18"/>
                <w:szCs w:val="18"/>
              </w:rPr>
            </w:pPr>
            <w:r>
              <w:rPr>
                <w:rFonts w:ascii="宋体"/>
                <w:sz w:val="18"/>
              </w:rPr>
              <w:t>304,250.64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9" w:right="0"/>
              <w:jc w:val="center"/>
              <w:rPr>
                <w:rFonts w:ascii="宋体" w:hAnsi="宋体" w:cs="宋体" w:eastAsia="宋体" w:hint="default"/>
                <w:sz w:val="18"/>
                <w:szCs w:val="18"/>
              </w:rPr>
            </w:pPr>
            <w:r>
              <w:rPr>
                <w:rFonts w:ascii="宋体"/>
                <w:sz w:val="18"/>
              </w:rPr>
              <w:t>1,518,552.67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4" w:right="0"/>
              <w:jc w:val="center"/>
              <w:rPr>
                <w:rFonts w:ascii="宋体" w:hAnsi="宋体" w:cs="宋体" w:eastAsia="宋体" w:hint="default"/>
                <w:sz w:val="18"/>
                <w:szCs w:val="18"/>
              </w:rPr>
            </w:pPr>
            <w:r>
              <w:rPr>
                <w:rFonts w:ascii="宋体"/>
                <w:sz w:val="18"/>
              </w:rPr>
              <w:t>1,471,640.33</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92" w:right="0"/>
              <w:jc w:val="center"/>
              <w:rPr>
                <w:rFonts w:ascii="宋体" w:hAnsi="宋体" w:cs="宋体" w:eastAsia="宋体" w:hint="default"/>
                <w:sz w:val="18"/>
                <w:szCs w:val="18"/>
              </w:rPr>
            </w:pPr>
            <w:r>
              <w:rPr>
                <w:rFonts w:ascii="宋体"/>
                <w:sz w:val="18"/>
              </w:rPr>
              <w:t>351,162.98</w:t>
            </w:r>
          </w:p>
        </w:tc>
      </w:tr>
      <w:tr>
        <w:trPr>
          <w:trHeight w:val="559" w:hRule="exact"/>
        </w:trPr>
        <w:tc>
          <w:tcPr>
            <w:tcW w:w="2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828"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6" w:right="0"/>
              <w:jc w:val="center"/>
              <w:rPr>
                <w:rFonts w:ascii="宋体" w:hAnsi="宋体" w:cs="宋体" w:eastAsia="宋体" w:hint="default"/>
                <w:sz w:val="18"/>
                <w:szCs w:val="18"/>
              </w:rPr>
            </w:pPr>
            <w:r>
              <w:rPr>
                <w:rFonts w:ascii="宋体"/>
                <w:sz w:val="18"/>
              </w:rPr>
              <w:t>46,902.40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97" w:right="0"/>
              <w:jc w:val="center"/>
              <w:rPr>
                <w:rFonts w:ascii="宋体" w:hAnsi="宋体" w:cs="宋体" w:eastAsia="宋体" w:hint="default"/>
                <w:sz w:val="18"/>
                <w:szCs w:val="18"/>
              </w:rPr>
            </w:pPr>
            <w:r>
              <w:rPr>
                <w:rFonts w:ascii="宋体"/>
                <w:sz w:val="18"/>
              </w:rPr>
              <w:t>208,787.32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97" w:right="0"/>
              <w:jc w:val="center"/>
              <w:rPr>
                <w:rFonts w:ascii="宋体" w:hAnsi="宋体" w:cs="宋体" w:eastAsia="宋体" w:hint="default"/>
                <w:sz w:val="18"/>
                <w:szCs w:val="18"/>
              </w:rPr>
            </w:pPr>
            <w:r>
              <w:rPr>
                <w:rFonts w:ascii="宋体"/>
                <w:sz w:val="18"/>
              </w:rPr>
              <w:t>201,499.95</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87" w:right="0"/>
              <w:jc w:val="center"/>
              <w:rPr>
                <w:rFonts w:ascii="宋体" w:hAnsi="宋体" w:cs="宋体" w:eastAsia="宋体" w:hint="default"/>
                <w:sz w:val="18"/>
                <w:szCs w:val="18"/>
              </w:rPr>
            </w:pPr>
            <w:r>
              <w:rPr>
                <w:rFonts w:ascii="宋体"/>
                <w:sz w:val="18"/>
              </w:rPr>
              <w:t>54,189.77</w:t>
            </w:r>
          </w:p>
        </w:tc>
      </w:tr>
      <w:tr>
        <w:trPr>
          <w:trHeight w:val="557" w:hRule="exact"/>
        </w:trPr>
        <w:tc>
          <w:tcPr>
            <w:tcW w:w="2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828"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7" w:right="0"/>
              <w:jc w:val="center"/>
              <w:rPr>
                <w:rFonts w:ascii="宋体" w:hAnsi="宋体" w:cs="宋体" w:eastAsia="宋体" w:hint="default"/>
                <w:sz w:val="18"/>
                <w:szCs w:val="18"/>
              </w:rPr>
            </w:pPr>
            <w:r>
              <w:rPr>
                <w:rFonts w:ascii="宋体"/>
                <w:sz w:val="18"/>
              </w:rPr>
              <w:t>21,572.04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7" w:right="0"/>
              <w:jc w:val="center"/>
              <w:rPr>
                <w:rFonts w:ascii="宋体" w:hAnsi="宋体" w:cs="宋体" w:eastAsia="宋体" w:hint="default"/>
                <w:sz w:val="18"/>
                <w:szCs w:val="18"/>
              </w:rPr>
            </w:pPr>
            <w:r>
              <w:rPr>
                <w:rFonts w:ascii="宋体"/>
                <w:sz w:val="18"/>
              </w:rPr>
              <w:t>21,572.04</w:t>
            </w: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828"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7" w:right="0"/>
              <w:jc w:val="center"/>
              <w:rPr>
                <w:rFonts w:ascii="宋体" w:hAnsi="宋体" w:cs="宋体" w:eastAsia="宋体" w:hint="default"/>
                <w:sz w:val="18"/>
                <w:szCs w:val="18"/>
              </w:rPr>
            </w:pPr>
            <w:r>
              <w:rPr>
                <w:rFonts w:ascii="宋体"/>
                <w:sz w:val="18"/>
              </w:rPr>
              <w:t>41,646.98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7" w:right="0"/>
              <w:jc w:val="center"/>
              <w:rPr>
                <w:rFonts w:ascii="宋体" w:hAnsi="宋体" w:cs="宋体" w:eastAsia="宋体" w:hint="default"/>
                <w:sz w:val="18"/>
                <w:szCs w:val="18"/>
              </w:rPr>
            </w:pPr>
            <w:r>
              <w:rPr>
                <w:rFonts w:ascii="宋体"/>
                <w:sz w:val="18"/>
              </w:rPr>
              <w:t>41,646.98</w:t>
            </w: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90"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 w:right="0"/>
              <w:jc w:val="center"/>
              <w:rPr>
                <w:rFonts w:ascii="宋体" w:hAnsi="宋体" w:cs="宋体" w:eastAsia="宋体" w:hint="default"/>
                <w:sz w:val="18"/>
                <w:szCs w:val="18"/>
              </w:rPr>
            </w:pPr>
            <w:r>
              <w:rPr>
                <w:rFonts w:ascii="宋体"/>
                <w:sz w:val="18"/>
              </w:rPr>
              <w:t>150.00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9" w:right="0"/>
              <w:jc w:val="center"/>
              <w:rPr>
                <w:rFonts w:ascii="宋体" w:hAnsi="宋体" w:cs="宋体" w:eastAsia="宋体" w:hint="default"/>
                <w:sz w:val="18"/>
                <w:szCs w:val="18"/>
              </w:rPr>
            </w:pPr>
            <w:r>
              <w:rPr>
                <w:rFonts w:ascii="宋体"/>
                <w:sz w:val="18"/>
              </w:rPr>
              <w:t>1,090,420.38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4" w:right="0"/>
              <w:jc w:val="center"/>
              <w:rPr>
                <w:rFonts w:ascii="宋体" w:hAnsi="宋体" w:cs="宋体" w:eastAsia="宋体" w:hint="default"/>
                <w:sz w:val="18"/>
                <w:szCs w:val="18"/>
              </w:rPr>
            </w:pPr>
            <w:r>
              <w:rPr>
                <w:rFonts w:ascii="宋体"/>
                <w:sz w:val="18"/>
              </w:rPr>
              <w:t>1,088,387.38</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90" w:right="0"/>
              <w:jc w:val="center"/>
              <w:rPr>
                <w:rFonts w:ascii="宋体" w:hAnsi="宋体" w:cs="宋体" w:eastAsia="宋体" w:hint="default"/>
                <w:sz w:val="18"/>
                <w:szCs w:val="18"/>
              </w:rPr>
            </w:pPr>
            <w:r>
              <w:rPr>
                <w:rFonts w:ascii="宋体"/>
                <w:sz w:val="18"/>
              </w:rPr>
              <w:t>2,183.00</w:t>
            </w:r>
          </w:p>
        </w:tc>
      </w:tr>
      <w:tr>
        <w:trPr>
          <w:trHeight w:val="559" w:hRule="exact"/>
        </w:trPr>
        <w:tc>
          <w:tcPr>
            <w:tcW w:w="2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9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 w:right="0"/>
              <w:jc w:val="center"/>
              <w:rPr>
                <w:rFonts w:ascii="宋体" w:hAnsi="宋体" w:cs="宋体" w:eastAsia="宋体" w:hint="default"/>
                <w:sz w:val="18"/>
                <w:szCs w:val="18"/>
              </w:rPr>
            </w:pPr>
            <w:r>
              <w:rPr>
                <w:rFonts w:ascii="宋体"/>
                <w:sz w:val="18"/>
              </w:rPr>
              <w:t>736,656.17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7" w:right="0"/>
              <w:jc w:val="center"/>
              <w:rPr>
                <w:rFonts w:ascii="宋体" w:hAnsi="宋体" w:cs="宋体" w:eastAsia="宋体" w:hint="default"/>
                <w:sz w:val="18"/>
                <w:szCs w:val="18"/>
              </w:rPr>
            </w:pPr>
            <w:r>
              <w:rPr>
                <w:rFonts w:ascii="宋体"/>
                <w:sz w:val="18"/>
              </w:rPr>
              <w:t>900,828.79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7" w:right="0"/>
              <w:jc w:val="center"/>
              <w:rPr>
                <w:rFonts w:ascii="宋体" w:hAnsi="宋体" w:cs="宋体" w:eastAsia="宋体" w:hint="default"/>
                <w:sz w:val="18"/>
                <w:szCs w:val="18"/>
              </w:rPr>
            </w:pPr>
            <w:r>
              <w:rPr>
                <w:rFonts w:ascii="宋体"/>
                <w:sz w:val="18"/>
              </w:rPr>
              <w:t>818,266.54</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92" w:right="0"/>
              <w:jc w:val="center"/>
              <w:rPr>
                <w:rFonts w:ascii="宋体" w:hAnsi="宋体" w:cs="宋体" w:eastAsia="宋体" w:hint="default"/>
                <w:sz w:val="18"/>
                <w:szCs w:val="18"/>
              </w:rPr>
            </w:pPr>
            <w:r>
              <w:rPr>
                <w:rFonts w:ascii="宋体"/>
                <w:sz w:val="18"/>
              </w:rPr>
              <w:t>819,218.42</w:t>
            </w:r>
          </w:p>
        </w:tc>
      </w:tr>
      <w:tr>
        <w:trPr>
          <w:trHeight w:val="557" w:hRule="exact"/>
        </w:trPr>
        <w:tc>
          <w:tcPr>
            <w:tcW w:w="2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9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8" w:right="0"/>
              <w:jc w:val="center"/>
              <w:rPr>
                <w:rFonts w:ascii="宋体" w:hAnsi="宋体" w:cs="宋体" w:eastAsia="宋体" w:hint="default"/>
                <w:sz w:val="18"/>
                <w:szCs w:val="18"/>
              </w:rPr>
            </w:pPr>
            <w:r>
              <w:rPr>
                <w:rFonts w:ascii="宋体"/>
                <w:sz w:val="18"/>
              </w:rPr>
              <w:t>9,957,797.91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7" w:right="0"/>
              <w:jc w:val="center"/>
              <w:rPr>
                <w:rFonts w:ascii="宋体" w:hAnsi="宋体" w:cs="宋体" w:eastAsia="宋体" w:hint="default"/>
                <w:sz w:val="18"/>
                <w:szCs w:val="18"/>
              </w:rPr>
            </w:pPr>
            <w:r>
              <w:rPr>
                <w:rFonts w:ascii="宋体"/>
                <w:sz w:val="18"/>
              </w:rPr>
              <w:t>41,302,181.85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7" w:right="0"/>
              <w:jc w:val="center"/>
              <w:rPr>
                <w:rFonts w:ascii="宋体" w:hAnsi="宋体" w:cs="宋体" w:eastAsia="宋体" w:hint="default"/>
                <w:sz w:val="18"/>
                <w:szCs w:val="18"/>
              </w:rPr>
            </w:pPr>
            <w:r>
              <w:rPr>
                <w:rFonts w:ascii="宋体"/>
                <w:sz w:val="18"/>
              </w:rPr>
              <w:t>42,077,411.78</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90" w:right="0"/>
              <w:jc w:val="center"/>
              <w:rPr>
                <w:rFonts w:ascii="宋体" w:hAnsi="宋体" w:cs="宋体" w:eastAsia="宋体" w:hint="default"/>
                <w:sz w:val="18"/>
                <w:szCs w:val="18"/>
              </w:rPr>
            </w:pPr>
            <w:r>
              <w:rPr>
                <w:rFonts w:ascii="宋体"/>
                <w:sz w:val="18"/>
              </w:rPr>
              <w:t>9,182,567.98</w:t>
            </w:r>
          </w:p>
        </w:tc>
      </w:tr>
    </w:tbl>
    <w:p>
      <w:pPr>
        <w:pStyle w:val="BodyText"/>
        <w:spacing w:line="386" w:lineRule="auto" w:before="82"/>
        <w:ind w:left="775" w:right="3491"/>
        <w:jc w:val="left"/>
      </w:pPr>
      <w:r>
        <w:rPr/>
        <w:t>应付职工薪酬其他期末数为工会经费和职工教育经费。 (2)</w:t>
      </w:r>
      <w:r>
        <w:rPr>
          <w:spacing w:val="-3"/>
        </w:rPr>
        <w:t> </w:t>
      </w:r>
      <w:r>
        <w:rPr/>
        <w:t>应付职工薪酬预计发放时间、金额等安排</w:t>
      </w:r>
    </w:p>
    <w:p>
      <w:pPr>
        <w:pStyle w:val="BodyText"/>
        <w:spacing w:line="240" w:lineRule="auto" w:before="48"/>
        <w:ind w:left="775" w:right="0"/>
        <w:jc w:val="left"/>
      </w:pPr>
      <w:r>
        <w:rPr>
          <w:spacing w:val="-7"/>
          <w:w w:val="95"/>
        </w:rPr>
        <w:t>应付工资、奖金、津贴和补贴、应付社会保险费、工会经费等已于  </w:t>
      </w:r>
      <w:r>
        <w:rPr>
          <w:w w:val="95"/>
        </w:rPr>
        <w:t>2013 </w:t>
      </w:r>
      <w:r>
        <w:rPr>
          <w:spacing w:val="26"/>
          <w:w w:val="95"/>
        </w:rPr>
        <w:t> </w:t>
      </w:r>
      <w:r>
        <w:rPr>
          <w:w w:val="95"/>
        </w:rPr>
        <w:t>年初发放或上缴；</w:t>
      </w:r>
      <w:r>
        <w:rPr/>
      </w:r>
    </w:p>
    <w:p>
      <w:pPr>
        <w:pStyle w:val="BodyText"/>
        <w:spacing w:line="240" w:lineRule="auto" w:before="154"/>
        <w:ind w:right="279"/>
        <w:jc w:val="left"/>
      </w:pPr>
      <w:r>
        <w:rPr/>
        <w:t>职工教育经费计划将于</w:t>
      </w:r>
      <w:r>
        <w:rPr>
          <w:spacing w:val="-58"/>
        </w:rPr>
        <w:t> </w:t>
      </w:r>
      <w:r>
        <w:rPr/>
        <w:t>2013</w:t>
      </w:r>
      <w:r>
        <w:rPr>
          <w:spacing w:val="-63"/>
        </w:rPr>
        <w:t> </w:t>
      </w:r>
      <w:r>
        <w:rPr/>
        <w:t>年使用。</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pStyle w:val="BodyText"/>
        <w:spacing w:line="240" w:lineRule="auto" w:before="0"/>
        <w:ind w:left="775" w:right="279"/>
        <w:jc w:val="left"/>
      </w:pPr>
      <w:r>
        <w:rPr/>
        <w:t>19.</w:t>
      </w:r>
      <w:r>
        <w:rPr>
          <w:spacing w:val="-3"/>
        </w:rPr>
        <w:t> </w:t>
      </w:r>
      <w:r>
        <w:rPr/>
        <w:t>应交税费</w:t>
      </w:r>
    </w:p>
    <w:p>
      <w:pPr>
        <w:spacing w:line="240" w:lineRule="auto" w:before="10"/>
        <w:rPr>
          <w:rFonts w:ascii="宋体" w:hAnsi="宋体" w:cs="宋体" w:eastAsia="宋体" w:hint="default"/>
          <w:sz w:val="11"/>
          <w:szCs w:val="11"/>
        </w:rPr>
      </w:pPr>
    </w:p>
    <w:tbl>
      <w:tblPr>
        <w:tblW w:w="0" w:type="auto"/>
        <w:jc w:val="left"/>
        <w:tblInd w:w="287" w:type="dxa"/>
        <w:tblLayout w:type="fixed"/>
        <w:tblCellMar>
          <w:top w:w="0" w:type="dxa"/>
          <w:left w:w="0" w:type="dxa"/>
          <w:bottom w:w="0" w:type="dxa"/>
          <w:right w:w="0" w:type="dxa"/>
        </w:tblCellMar>
        <w:tblLook w:val="01E0"/>
      </w:tblPr>
      <w:tblGrid>
        <w:gridCol w:w="2854"/>
        <w:gridCol w:w="2803"/>
        <w:gridCol w:w="2803"/>
      </w:tblGrid>
      <w:tr>
        <w:trPr>
          <w:trHeight w:val="482"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290"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10"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4,131,162.00</w:t>
            </w:r>
          </w:p>
        </w:tc>
        <w:tc>
          <w:tcPr>
            <w:tcW w:w="2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4"/>
              <w:jc w:val="right"/>
              <w:rPr>
                <w:rFonts w:ascii="宋体" w:hAnsi="宋体" w:cs="宋体" w:eastAsia="宋体" w:hint="default"/>
                <w:sz w:val="18"/>
                <w:szCs w:val="18"/>
              </w:rPr>
            </w:pPr>
            <w:r>
              <w:rPr>
                <w:rFonts w:ascii="宋体"/>
                <w:spacing w:val="-1"/>
                <w:sz w:val="18"/>
              </w:rPr>
              <w:t>4,529,357.11</w:t>
            </w:r>
          </w:p>
        </w:tc>
      </w:tr>
      <w:tr>
        <w:trPr>
          <w:trHeight w:val="480"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10"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803" w:type="dxa"/>
            <w:tcBorders>
              <w:top w:val="single" w:sz="4" w:space="0" w:color="000000"/>
              <w:left w:val="single" w:sz="4" w:space="0" w:color="000000"/>
              <w:bottom w:val="single" w:sz="4" w:space="0" w:color="000000"/>
              <w:right w:val="single" w:sz="4" w:space="0" w:color="000000"/>
            </w:tcBorders>
          </w:tcPr>
          <w:p>
            <w:pPr/>
          </w:p>
        </w:tc>
        <w:tc>
          <w:tcPr>
            <w:tcW w:w="2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4"/>
              <w:jc w:val="right"/>
              <w:rPr>
                <w:rFonts w:ascii="宋体" w:hAnsi="宋体" w:cs="宋体" w:eastAsia="宋体" w:hint="default"/>
                <w:sz w:val="18"/>
                <w:szCs w:val="18"/>
              </w:rPr>
            </w:pPr>
            <w:r>
              <w:rPr>
                <w:rFonts w:ascii="宋体"/>
                <w:spacing w:val="-1"/>
                <w:sz w:val="18"/>
              </w:rPr>
              <w:t>1,431,182.19</w:t>
            </w:r>
          </w:p>
        </w:tc>
      </w:tr>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10"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4,122,484.03</w:t>
            </w:r>
          </w:p>
        </w:tc>
        <w:tc>
          <w:tcPr>
            <w:tcW w:w="2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4,419,132.01</w:t>
            </w:r>
          </w:p>
        </w:tc>
      </w:tr>
    </w:tbl>
    <w:p>
      <w:pPr>
        <w:spacing w:after="0" w:line="240" w:lineRule="auto"/>
        <w:jc w:val="right"/>
        <w:rPr>
          <w:rFonts w:ascii="宋体" w:hAnsi="宋体" w:cs="宋体" w:eastAsia="宋体" w:hint="default"/>
          <w:sz w:val="18"/>
          <w:szCs w:val="18"/>
        </w:rPr>
        <w:sectPr>
          <w:pgSz w:w="11910" w:h="16840"/>
          <w:pgMar w:header="745" w:footer="979" w:top="1060" w:bottom="1160" w:left="840" w:right="1020"/>
        </w:sectPr>
      </w:pPr>
    </w:p>
    <w:p>
      <w:pPr>
        <w:spacing w:line="240" w:lineRule="auto" w:before="6"/>
        <w:rPr>
          <w:rFonts w:ascii="宋体" w:hAnsi="宋体" w:cs="宋体" w:eastAsia="宋体" w:hint="default"/>
          <w:sz w:val="28"/>
          <w:szCs w:val="28"/>
        </w:rPr>
      </w:pPr>
    </w:p>
    <w:tbl>
      <w:tblPr>
        <w:tblW w:w="0" w:type="auto"/>
        <w:jc w:val="left"/>
        <w:tblInd w:w="107" w:type="dxa"/>
        <w:tblLayout w:type="fixed"/>
        <w:tblCellMar>
          <w:top w:w="0" w:type="dxa"/>
          <w:left w:w="0" w:type="dxa"/>
          <w:bottom w:w="0" w:type="dxa"/>
          <w:right w:w="0" w:type="dxa"/>
        </w:tblCellMar>
        <w:tblLook w:val="01E0"/>
      </w:tblPr>
      <w:tblGrid>
        <w:gridCol w:w="2851"/>
        <w:gridCol w:w="2806"/>
        <w:gridCol w:w="2803"/>
      </w:tblGrid>
      <w:tr>
        <w:trPr>
          <w:trHeight w:val="478"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10"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195,018.46</w:t>
            </w:r>
          </w:p>
        </w:tc>
        <w:tc>
          <w:tcPr>
            <w:tcW w:w="2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171,545.56</w:t>
            </w:r>
          </w:p>
        </w:tc>
      </w:tr>
      <w:tr>
        <w:trPr>
          <w:trHeight w:val="478"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10"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166,742.68</w:t>
            </w:r>
          </w:p>
        </w:tc>
        <w:tc>
          <w:tcPr>
            <w:tcW w:w="2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345,662.72</w:t>
            </w:r>
          </w:p>
        </w:tc>
      </w:tr>
      <w:tr>
        <w:trPr>
          <w:trHeight w:val="478"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10"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197.50</w:t>
            </w:r>
          </w:p>
        </w:tc>
        <w:tc>
          <w:tcPr>
            <w:tcW w:w="2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4"/>
              <w:jc w:val="right"/>
              <w:rPr>
                <w:rFonts w:ascii="宋体" w:hAnsi="宋体" w:cs="宋体" w:eastAsia="宋体" w:hint="default"/>
                <w:sz w:val="18"/>
                <w:szCs w:val="18"/>
              </w:rPr>
            </w:pPr>
            <w:r>
              <w:rPr>
                <w:rFonts w:ascii="宋体"/>
                <w:spacing w:val="-1"/>
                <w:sz w:val="18"/>
              </w:rPr>
              <w:t>10,687.73</w:t>
            </w:r>
          </w:p>
        </w:tc>
      </w:tr>
      <w:tr>
        <w:trPr>
          <w:trHeight w:val="478"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10"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70,503.40</w:t>
            </w:r>
          </w:p>
        </w:tc>
        <w:tc>
          <w:tcPr>
            <w:tcW w:w="2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4"/>
              <w:jc w:val="right"/>
              <w:rPr>
                <w:rFonts w:ascii="宋体" w:hAnsi="宋体" w:cs="宋体" w:eastAsia="宋体" w:hint="default"/>
                <w:sz w:val="18"/>
                <w:szCs w:val="18"/>
              </w:rPr>
            </w:pPr>
            <w:r>
              <w:rPr>
                <w:rFonts w:ascii="宋体"/>
                <w:spacing w:val="-1"/>
                <w:sz w:val="18"/>
              </w:rPr>
              <w:t>218,346.08</w:t>
            </w:r>
          </w:p>
        </w:tc>
      </w:tr>
      <w:tr>
        <w:trPr>
          <w:trHeight w:val="478"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10"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47,002.27</w:t>
            </w:r>
          </w:p>
        </w:tc>
        <w:tc>
          <w:tcPr>
            <w:tcW w:w="2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4"/>
              <w:jc w:val="right"/>
              <w:rPr>
                <w:rFonts w:ascii="宋体" w:hAnsi="宋体" w:cs="宋体" w:eastAsia="宋体" w:hint="default"/>
                <w:sz w:val="18"/>
                <w:szCs w:val="18"/>
              </w:rPr>
            </w:pPr>
            <w:r>
              <w:rPr>
                <w:rFonts w:ascii="宋体"/>
                <w:spacing w:val="-1"/>
                <w:sz w:val="18"/>
              </w:rPr>
              <w:t>26,959.67</w:t>
            </w:r>
          </w:p>
        </w:tc>
      </w:tr>
      <w:tr>
        <w:trPr>
          <w:trHeight w:val="480"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10"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69,480.52</w:t>
            </w:r>
          </w:p>
        </w:tc>
        <w:tc>
          <w:tcPr>
            <w:tcW w:w="2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4"/>
              <w:jc w:val="right"/>
              <w:rPr>
                <w:rFonts w:ascii="宋体" w:hAnsi="宋体" w:cs="宋体" w:eastAsia="宋体" w:hint="default"/>
                <w:sz w:val="18"/>
                <w:szCs w:val="18"/>
              </w:rPr>
            </w:pPr>
            <w:r>
              <w:rPr>
                <w:rFonts w:ascii="宋体"/>
                <w:spacing w:val="-1"/>
                <w:sz w:val="18"/>
              </w:rPr>
              <w:t>83,557.05</w:t>
            </w:r>
          </w:p>
        </w:tc>
      </w:tr>
      <w:tr>
        <w:trPr>
          <w:trHeight w:val="478" w:hRule="exact"/>
        </w:trPr>
        <w:tc>
          <w:tcPr>
            <w:tcW w:w="28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8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8,802,590.86</w:t>
            </w:r>
          </w:p>
        </w:tc>
        <w:tc>
          <w:tcPr>
            <w:tcW w:w="2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11,236,430.12</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BodyText"/>
        <w:spacing w:line="240" w:lineRule="auto" w:before="26"/>
        <w:ind w:left="595" w:right="279"/>
        <w:jc w:val="left"/>
      </w:pPr>
      <w:r>
        <w:rPr/>
        <w:t>20.</w:t>
      </w:r>
      <w:r>
        <w:rPr>
          <w:spacing w:val="-3"/>
        </w:rPr>
        <w:t> </w:t>
      </w:r>
      <w:r>
        <w:rPr/>
        <w:t>其他应付款</w:t>
      </w:r>
    </w:p>
    <w:p>
      <w:pPr>
        <w:pStyle w:val="BodyText"/>
        <w:spacing w:line="240" w:lineRule="auto" w:before="194"/>
        <w:ind w:left="595" w:right="279"/>
        <w:jc w:val="left"/>
      </w:pPr>
      <w:r>
        <w:rPr/>
        <w:t>(1)</w:t>
      </w:r>
      <w:r>
        <w:rPr>
          <w:spacing w:val="-3"/>
        </w:rPr>
        <w:t> </w:t>
      </w:r>
      <w:r>
        <w:rPr/>
        <w:t>明细情况</w:t>
      </w:r>
    </w:p>
    <w:p>
      <w:pPr>
        <w:spacing w:line="240" w:lineRule="auto" w:before="10"/>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3240"/>
        <w:gridCol w:w="2611"/>
        <w:gridCol w:w="2609"/>
      </w:tblGrid>
      <w:tr>
        <w:trPr>
          <w:trHeight w:val="557" w:hRule="exact"/>
        </w:trPr>
        <w:tc>
          <w:tcPr>
            <w:tcW w:w="3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90"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78" w:hRule="exact"/>
        </w:trPr>
        <w:tc>
          <w:tcPr>
            <w:tcW w:w="3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10"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815,636.90</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4"/>
              <w:jc w:val="right"/>
              <w:rPr>
                <w:rFonts w:ascii="宋体" w:hAnsi="宋体" w:cs="宋体" w:eastAsia="宋体" w:hint="default"/>
                <w:sz w:val="18"/>
                <w:szCs w:val="18"/>
              </w:rPr>
            </w:pPr>
            <w:r>
              <w:rPr>
                <w:rFonts w:ascii="宋体"/>
                <w:spacing w:val="-1"/>
                <w:sz w:val="18"/>
              </w:rPr>
              <w:t>694,785.16</w:t>
            </w:r>
          </w:p>
        </w:tc>
      </w:tr>
      <w:tr>
        <w:trPr>
          <w:trHeight w:val="478" w:hRule="exact"/>
        </w:trPr>
        <w:tc>
          <w:tcPr>
            <w:tcW w:w="3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580,479.47</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4"/>
              <w:jc w:val="right"/>
              <w:rPr>
                <w:rFonts w:ascii="宋体" w:hAnsi="宋体" w:cs="宋体" w:eastAsia="宋体" w:hint="default"/>
                <w:sz w:val="18"/>
                <w:szCs w:val="18"/>
              </w:rPr>
            </w:pPr>
            <w:r>
              <w:rPr>
                <w:rFonts w:ascii="宋体"/>
                <w:spacing w:val="-1"/>
                <w:sz w:val="18"/>
              </w:rPr>
              <w:t>614,641.19</w:t>
            </w:r>
          </w:p>
        </w:tc>
      </w:tr>
      <w:tr>
        <w:trPr>
          <w:trHeight w:val="480" w:hRule="exact"/>
        </w:trPr>
        <w:tc>
          <w:tcPr>
            <w:tcW w:w="3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29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1,396,116.37</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4"/>
              <w:jc w:val="right"/>
              <w:rPr>
                <w:rFonts w:ascii="宋体" w:hAnsi="宋体" w:cs="宋体" w:eastAsia="宋体" w:hint="default"/>
                <w:sz w:val="18"/>
                <w:szCs w:val="18"/>
              </w:rPr>
            </w:pPr>
            <w:r>
              <w:rPr>
                <w:rFonts w:ascii="宋体"/>
                <w:spacing w:val="-1"/>
                <w:sz w:val="18"/>
              </w:rPr>
              <w:t>1,309,426.35</w:t>
            </w:r>
          </w:p>
        </w:tc>
      </w:tr>
    </w:tbl>
    <w:p>
      <w:pPr>
        <w:pStyle w:val="BodyText"/>
        <w:spacing w:line="388" w:lineRule="auto" w:before="79"/>
        <w:ind w:left="595" w:right="674"/>
        <w:jc w:val="left"/>
      </w:pPr>
      <w:r>
        <w:rPr/>
        <w:t>(2)</w:t>
      </w:r>
      <w:r>
        <w:rPr>
          <w:spacing w:val="-3"/>
        </w:rPr>
        <w:t> </w:t>
      </w:r>
      <w:r>
        <w:rPr/>
        <w:t>期末无应付持有公司</w:t>
      </w:r>
      <w:r>
        <w:rPr>
          <w:spacing w:val="-60"/>
        </w:rPr>
        <w:t> </w:t>
      </w:r>
      <w:r>
        <w:rPr/>
        <w:t>5%以上(含</w:t>
      </w:r>
      <w:r>
        <w:rPr>
          <w:spacing w:val="-60"/>
        </w:rPr>
        <w:t> </w:t>
      </w:r>
      <w:r>
        <w:rPr/>
        <w:t>5%)表决权股份的股东单位和其他关联方款项。</w:t>
      </w:r>
      <w:r>
        <w:rPr/>
        <w:t> (3)</w:t>
      </w:r>
      <w:r>
        <w:rPr>
          <w:spacing w:val="-3"/>
        </w:rPr>
        <w:t> </w:t>
      </w:r>
      <w:r>
        <w:rPr/>
        <w:t>账龄超过</w:t>
      </w:r>
      <w:r>
        <w:rPr>
          <w:spacing w:val="-58"/>
        </w:rPr>
        <w:t> </w:t>
      </w:r>
      <w:r>
        <w:rPr/>
        <w:t>1</w:t>
      </w:r>
      <w:r>
        <w:rPr>
          <w:spacing w:val="-60"/>
        </w:rPr>
        <w:t> </w:t>
      </w:r>
      <w:r>
        <w:rPr/>
        <w:t>年的大额其他应付款系押金。</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18"/>
          <w:szCs w:val="18"/>
        </w:rPr>
      </w:pPr>
    </w:p>
    <w:p>
      <w:pPr>
        <w:pStyle w:val="BodyText"/>
        <w:spacing w:line="240" w:lineRule="auto" w:before="0"/>
        <w:ind w:left="595" w:right="279"/>
        <w:jc w:val="left"/>
      </w:pPr>
      <w:r>
        <w:rPr/>
        <w:t>21.</w:t>
      </w:r>
      <w:r>
        <w:rPr>
          <w:spacing w:val="-3"/>
        </w:rPr>
        <w:t> </w:t>
      </w:r>
      <w:r>
        <w:rPr/>
        <w:t>其他流动负债</w:t>
      </w:r>
    </w:p>
    <w:p>
      <w:pPr>
        <w:pStyle w:val="BodyText"/>
        <w:spacing w:line="240" w:lineRule="auto" w:before="194"/>
        <w:ind w:left="595" w:right="279"/>
        <w:jc w:val="left"/>
      </w:pPr>
      <w:r>
        <w:rPr/>
        <w:t>(1)</w:t>
      </w:r>
      <w:r>
        <w:rPr>
          <w:spacing w:val="-3"/>
        </w:rPr>
        <w:t> </w:t>
      </w:r>
      <w:r>
        <w:rPr/>
        <w:t>明细情况</w:t>
      </w:r>
    </w:p>
    <w:p>
      <w:pPr>
        <w:spacing w:line="240" w:lineRule="auto" w:before="10"/>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3240"/>
        <w:gridCol w:w="2611"/>
        <w:gridCol w:w="2609"/>
      </w:tblGrid>
      <w:tr>
        <w:trPr>
          <w:trHeight w:val="478" w:hRule="exact"/>
        </w:trPr>
        <w:tc>
          <w:tcPr>
            <w:tcW w:w="3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290"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78" w:hRule="exact"/>
        </w:trPr>
        <w:tc>
          <w:tcPr>
            <w:tcW w:w="3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99" w:right="0"/>
              <w:jc w:val="left"/>
              <w:rPr>
                <w:rFonts w:ascii="宋体" w:hAnsi="宋体" w:cs="宋体" w:eastAsia="宋体" w:hint="default"/>
                <w:sz w:val="18"/>
                <w:szCs w:val="18"/>
              </w:rPr>
            </w:pPr>
            <w:r>
              <w:rPr>
                <w:rFonts w:ascii="宋体" w:hAnsi="宋体" w:cs="宋体" w:eastAsia="宋体" w:hint="default"/>
                <w:sz w:val="18"/>
                <w:szCs w:val="18"/>
              </w:rPr>
              <w:t>售后服务费</w:t>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228,132.99</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4"/>
              <w:jc w:val="right"/>
              <w:rPr>
                <w:rFonts w:ascii="宋体" w:hAnsi="宋体" w:cs="宋体" w:eastAsia="宋体" w:hint="default"/>
                <w:sz w:val="18"/>
                <w:szCs w:val="18"/>
              </w:rPr>
            </w:pPr>
            <w:r>
              <w:rPr>
                <w:rFonts w:ascii="宋体"/>
                <w:spacing w:val="-1"/>
                <w:sz w:val="18"/>
              </w:rPr>
              <w:t>1,246,202.10</w:t>
            </w:r>
          </w:p>
        </w:tc>
      </w:tr>
      <w:tr>
        <w:trPr>
          <w:trHeight w:val="478" w:hRule="exact"/>
        </w:trPr>
        <w:tc>
          <w:tcPr>
            <w:tcW w:w="3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99"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611" w:type="dxa"/>
            <w:tcBorders>
              <w:top w:val="single" w:sz="4" w:space="0" w:color="000000"/>
              <w:left w:val="single" w:sz="4" w:space="0" w:color="000000"/>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4"/>
              <w:jc w:val="right"/>
              <w:rPr>
                <w:rFonts w:ascii="宋体" w:hAnsi="宋体" w:cs="宋体" w:eastAsia="宋体" w:hint="default"/>
                <w:sz w:val="18"/>
                <w:szCs w:val="18"/>
              </w:rPr>
            </w:pPr>
            <w:r>
              <w:rPr>
                <w:rFonts w:ascii="宋体"/>
                <w:spacing w:val="-1"/>
                <w:sz w:val="18"/>
              </w:rPr>
              <w:t>934,599.56</w:t>
            </w:r>
          </w:p>
        </w:tc>
      </w:tr>
      <w:tr>
        <w:trPr>
          <w:trHeight w:val="480" w:hRule="exact"/>
        </w:trPr>
        <w:tc>
          <w:tcPr>
            <w:tcW w:w="3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29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228,132.99</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4"/>
              <w:jc w:val="right"/>
              <w:rPr>
                <w:rFonts w:ascii="宋体" w:hAnsi="宋体" w:cs="宋体" w:eastAsia="宋体" w:hint="default"/>
                <w:sz w:val="18"/>
                <w:szCs w:val="18"/>
              </w:rPr>
            </w:pPr>
            <w:r>
              <w:rPr>
                <w:rFonts w:ascii="宋体"/>
                <w:spacing w:val="-1"/>
                <w:sz w:val="18"/>
              </w:rPr>
              <w:t>2,180,801.66</w:t>
            </w:r>
          </w:p>
        </w:tc>
      </w:tr>
    </w:tbl>
    <w:p>
      <w:pPr>
        <w:pStyle w:val="BodyText"/>
        <w:spacing w:line="240" w:lineRule="auto" w:before="79"/>
        <w:ind w:left="595" w:right="279"/>
        <w:jc w:val="left"/>
      </w:pPr>
      <w:r>
        <w:rPr/>
        <w:t>(2)</w:t>
      </w:r>
      <w:r>
        <w:rPr>
          <w:spacing w:val="-3"/>
        </w:rPr>
        <w:t> </w:t>
      </w:r>
      <w:r>
        <w:rPr/>
        <w:t>其他说明</w:t>
      </w:r>
    </w:p>
    <w:p>
      <w:pPr>
        <w:pStyle w:val="BodyText"/>
        <w:spacing w:line="357" w:lineRule="auto" w:before="194"/>
        <w:ind w:left="112" w:right="280" w:firstLine="482"/>
        <w:jc w:val="left"/>
      </w:pPr>
      <w:r>
        <w:rPr/>
        <w:t>期初递延收益本期均已摊销计入营业外收入，详见本财务报表附注五、</w:t>
      </w:r>
      <w:r>
        <w:rPr>
          <w:spacing w:val="-89"/>
        </w:rPr>
        <w:t> </w:t>
      </w:r>
      <w:r>
        <w:rPr/>
        <w:t>(一)23.</w:t>
      </w:r>
      <w:r>
        <w:rPr>
          <w:spacing w:val="1"/>
        </w:rPr>
        <w:t> </w:t>
      </w:r>
      <w:r>
        <w:rPr/>
        <w:t>其他非</w:t>
      </w:r>
      <w:r>
        <w:rPr/>
        <w:t> 流动负债之说明。</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BodyText"/>
        <w:spacing w:line="240" w:lineRule="auto" w:before="0"/>
        <w:ind w:left="595" w:right="279"/>
        <w:jc w:val="left"/>
      </w:pPr>
      <w:r>
        <w:rPr/>
        <w:pict>
          <v:group style="position:absolute;margin-left:547.559998pt;margin-top:35.135605pt;width:.1pt;height:10.35pt;mso-position-horizontal-relative:page;mso-position-vertical-relative:paragraph;z-index:4240" coordorigin="10951,703" coordsize="2,207">
            <v:shape style="position:absolute;left:10951;top:703;width:2;height:207" coordorigin="10951,703" coordsize="0,207" path="m10951,703l10951,909e" filled="false" stroked="true" strokeweight=".12pt" strokecolor="#000000">
              <v:path arrowok="t"/>
            </v:shape>
            <w10:wrap type="none"/>
          </v:group>
        </w:pict>
      </w:r>
      <w:r>
        <w:rPr/>
        <w:t>22.</w:t>
      </w:r>
      <w:r>
        <w:rPr>
          <w:spacing w:val="-3"/>
        </w:rPr>
        <w:t> </w:t>
      </w:r>
      <w:r>
        <w:rPr/>
        <w:t>专项应付款</w:t>
      </w:r>
    </w:p>
    <w:p>
      <w:pPr>
        <w:spacing w:after="0" w:line="240" w:lineRule="auto"/>
        <w:jc w:val="left"/>
        <w:sectPr>
          <w:pgSz w:w="11910" w:h="16840"/>
          <w:pgMar w:header="745" w:footer="979" w:top="1060" w:bottom="1160" w:left="1020" w:right="840"/>
        </w:sectPr>
      </w:pPr>
    </w:p>
    <w:p>
      <w:pPr>
        <w:spacing w:line="240" w:lineRule="auto" w:before="6"/>
        <w:rPr>
          <w:rFonts w:ascii="宋体" w:hAnsi="宋体" w:cs="宋体" w:eastAsia="宋体" w:hint="default"/>
          <w:sz w:val="28"/>
          <w:szCs w:val="28"/>
        </w:rPr>
      </w:pPr>
    </w:p>
    <w:tbl>
      <w:tblPr>
        <w:tblW w:w="0" w:type="auto"/>
        <w:jc w:val="left"/>
        <w:tblInd w:w="287" w:type="dxa"/>
        <w:tblLayout w:type="fixed"/>
        <w:tblCellMar>
          <w:top w:w="0" w:type="dxa"/>
          <w:left w:w="0" w:type="dxa"/>
          <w:bottom w:w="0" w:type="dxa"/>
          <w:right w:w="0" w:type="dxa"/>
        </w:tblCellMar>
        <w:tblLook w:val="01E0"/>
      </w:tblPr>
      <w:tblGrid>
        <w:gridCol w:w="1980"/>
        <w:gridCol w:w="1224"/>
        <w:gridCol w:w="1224"/>
        <w:gridCol w:w="1224"/>
        <w:gridCol w:w="1224"/>
        <w:gridCol w:w="1764"/>
      </w:tblGrid>
      <w:tr>
        <w:trPr>
          <w:trHeight w:val="557" w:hRule="exact"/>
        </w:trPr>
        <w:tc>
          <w:tcPr>
            <w:tcW w:w="19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1142"/>
              <w:jc w:val="right"/>
              <w:rPr>
                <w:rFonts w:ascii="宋体" w:hAnsi="宋体" w:cs="宋体" w:eastAsia="宋体" w:hint="default"/>
                <w:sz w:val="18"/>
                <w:szCs w:val="18"/>
              </w:rPr>
            </w:pPr>
            <w:r>
              <w:rPr>
                <w:rFonts w:ascii="宋体" w:hAnsi="宋体" w:cs="宋体" w:eastAsia="宋体" w:hint="default"/>
                <w:sz w:val="18"/>
                <w:szCs w:val="18"/>
              </w:rPr>
              <w:t>项  目</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3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3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7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559" w:hRule="exact"/>
        </w:trPr>
        <w:tc>
          <w:tcPr>
            <w:tcW w:w="19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1145"/>
              <w:jc w:val="right"/>
              <w:rPr>
                <w:rFonts w:ascii="宋体" w:hAnsi="宋体" w:cs="宋体" w:eastAsia="宋体" w:hint="default"/>
                <w:sz w:val="18"/>
                <w:szCs w:val="18"/>
              </w:rPr>
            </w:pPr>
            <w:r>
              <w:rPr>
                <w:rFonts w:ascii="宋体" w:hAnsi="宋体" w:cs="宋体" w:eastAsia="宋体" w:hint="default"/>
                <w:sz w:val="18"/>
                <w:szCs w:val="18"/>
              </w:rPr>
              <w:t>政府补助</w:t>
            </w:r>
          </w:p>
        </w:tc>
        <w:tc>
          <w:tcPr>
            <w:tcW w:w="122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11,567.00</w:t>
            </w:r>
          </w:p>
        </w:tc>
        <w:tc>
          <w:tcPr>
            <w:tcW w:w="122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sz w:val="18"/>
              </w:rPr>
              <w:t>11,567.00</w:t>
            </w:r>
          </w:p>
        </w:tc>
        <w:tc>
          <w:tcPr>
            <w:tcW w:w="17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304" w:right="0"/>
              <w:jc w:val="left"/>
              <w:rPr>
                <w:rFonts w:ascii="宋体" w:hAnsi="宋体" w:cs="宋体" w:eastAsia="宋体" w:hint="default"/>
                <w:sz w:val="18"/>
                <w:szCs w:val="18"/>
              </w:rPr>
            </w:pPr>
            <w:r>
              <w:rPr>
                <w:rFonts w:ascii="宋体" w:hAnsi="宋体" w:cs="宋体" w:eastAsia="宋体" w:hint="default"/>
                <w:sz w:val="18"/>
                <w:szCs w:val="18"/>
              </w:rPr>
              <w:t>人才激励专项资金</w:t>
            </w:r>
          </w:p>
        </w:tc>
      </w:tr>
      <w:tr>
        <w:trPr>
          <w:trHeight w:val="557" w:hRule="exact"/>
        </w:trPr>
        <w:tc>
          <w:tcPr>
            <w:tcW w:w="19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1142"/>
              <w:jc w:val="right"/>
              <w:rPr>
                <w:rFonts w:ascii="宋体" w:hAnsi="宋体" w:cs="宋体" w:eastAsia="宋体" w:hint="default"/>
                <w:sz w:val="18"/>
                <w:szCs w:val="18"/>
              </w:rPr>
            </w:pPr>
            <w:r>
              <w:rPr>
                <w:rFonts w:ascii="宋体" w:hAnsi="宋体" w:cs="宋体" w:eastAsia="宋体" w:hint="default"/>
                <w:sz w:val="18"/>
                <w:szCs w:val="18"/>
              </w:rPr>
              <w:t>合  计</w:t>
            </w:r>
          </w:p>
        </w:tc>
        <w:tc>
          <w:tcPr>
            <w:tcW w:w="122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11,567.00</w:t>
            </w:r>
          </w:p>
        </w:tc>
        <w:tc>
          <w:tcPr>
            <w:tcW w:w="122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02" w:right="0"/>
              <w:jc w:val="left"/>
              <w:rPr>
                <w:rFonts w:ascii="宋体" w:hAnsi="宋体" w:cs="宋体" w:eastAsia="宋体" w:hint="default"/>
                <w:sz w:val="18"/>
                <w:szCs w:val="18"/>
              </w:rPr>
            </w:pPr>
            <w:r>
              <w:rPr>
                <w:rFonts w:ascii="宋体"/>
                <w:sz w:val="18"/>
              </w:rPr>
              <w:t>11,567.00</w:t>
            </w:r>
          </w:p>
        </w:tc>
        <w:tc>
          <w:tcPr>
            <w:tcW w:w="1764"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BodyText"/>
        <w:spacing w:line="240" w:lineRule="auto" w:before="26"/>
        <w:ind w:left="775" w:right="279"/>
        <w:jc w:val="left"/>
      </w:pPr>
      <w:r>
        <w:rPr/>
        <w:t>23.</w:t>
      </w:r>
      <w:r>
        <w:rPr>
          <w:spacing w:val="-3"/>
        </w:rPr>
        <w:t> </w:t>
      </w:r>
      <w:r>
        <w:rPr/>
        <w:t>其他非流动负债</w:t>
      </w:r>
    </w:p>
    <w:p>
      <w:pPr>
        <w:pStyle w:val="BodyText"/>
        <w:spacing w:line="240" w:lineRule="auto" w:before="194"/>
        <w:ind w:left="775" w:right="279"/>
        <w:jc w:val="left"/>
      </w:pPr>
      <w:r>
        <w:rPr/>
        <w:t>(1)</w:t>
      </w:r>
      <w:r>
        <w:rPr>
          <w:spacing w:val="-3"/>
        </w:rPr>
        <w:t> </w:t>
      </w:r>
      <w:r>
        <w:rPr/>
        <w:t>明细情况</w:t>
      </w:r>
    </w:p>
    <w:p>
      <w:pPr>
        <w:spacing w:line="240" w:lineRule="auto" w:before="10"/>
        <w:rPr>
          <w:rFonts w:ascii="宋体" w:hAnsi="宋体" w:cs="宋体" w:eastAsia="宋体" w:hint="default"/>
          <w:sz w:val="11"/>
          <w:szCs w:val="11"/>
        </w:rPr>
      </w:pPr>
    </w:p>
    <w:tbl>
      <w:tblPr>
        <w:tblW w:w="0" w:type="auto"/>
        <w:jc w:val="left"/>
        <w:tblInd w:w="287" w:type="dxa"/>
        <w:tblLayout w:type="fixed"/>
        <w:tblCellMar>
          <w:top w:w="0" w:type="dxa"/>
          <w:left w:w="0" w:type="dxa"/>
          <w:bottom w:w="0" w:type="dxa"/>
          <w:right w:w="0" w:type="dxa"/>
        </w:tblCellMar>
        <w:tblLook w:val="01E0"/>
      </w:tblPr>
      <w:tblGrid>
        <w:gridCol w:w="3240"/>
        <w:gridCol w:w="2611"/>
        <w:gridCol w:w="2609"/>
      </w:tblGrid>
      <w:tr>
        <w:trPr>
          <w:trHeight w:val="478" w:hRule="exact"/>
        </w:trPr>
        <w:tc>
          <w:tcPr>
            <w:tcW w:w="3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2402"/>
              <w:jc w:val="right"/>
              <w:rPr>
                <w:rFonts w:ascii="宋体" w:hAnsi="宋体" w:cs="宋体" w:eastAsia="宋体" w:hint="default"/>
                <w:sz w:val="18"/>
                <w:szCs w:val="18"/>
              </w:rPr>
            </w:pPr>
            <w:r>
              <w:rPr>
                <w:rFonts w:ascii="宋体" w:hAnsi="宋体" w:cs="宋体" w:eastAsia="宋体" w:hint="default"/>
                <w:sz w:val="18"/>
                <w:szCs w:val="18"/>
              </w:rPr>
              <w:t>项  目</w:t>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78" w:hRule="exact"/>
        </w:trPr>
        <w:tc>
          <w:tcPr>
            <w:tcW w:w="3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2402"/>
              <w:jc w:val="right"/>
              <w:rPr>
                <w:rFonts w:ascii="宋体" w:hAnsi="宋体" w:cs="宋体" w:eastAsia="宋体" w:hint="default"/>
                <w:sz w:val="18"/>
                <w:szCs w:val="18"/>
              </w:rPr>
            </w:pPr>
            <w:r>
              <w:rPr>
                <w:rFonts w:ascii="宋体" w:hAnsi="宋体" w:cs="宋体" w:eastAsia="宋体" w:hint="default"/>
                <w:sz w:val="18"/>
                <w:szCs w:val="18"/>
              </w:rPr>
              <w:t>递延收益</w:t>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9,821,850.08</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4"/>
              <w:jc w:val="right"/>
              <w:rPr>
                <w:rFonts w:ascii="宋体" w:hAnsi="宋体" w:cs="宋体" w:eastAsia="宋体" w:hint="default"/>
                <w:sz w:val="18"/>
                <w:szCs w:val="18"/>
              </w:rPr>
            </w:pPr>
            <w:r>
              <w:rPr>
                <w:rFonts w:ascii="宋体"/>
                <w:spacing w:val="-1"/>
                <w:sz w:val="18"/>
              </w:rPr>
              <w:t>6,735,043.28</w:t>
            </w:r>
          </w:p>
        </w:tc>
      </w:tr>
      <w:tr>
        <w:trPr>
          <w:trHeight w:val="478" w:hRule="exact"/>
        </w:trPr>
        <w:tc>
          <w:tcPr>
            <w:tcW w:w="3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2402"/>
              <w:jc w:val="right"/>
              <w:rPr>
                <w:rFonts w:ascii="宋体" w:hAnsi="宋体" w:cs="宋体" w:eastAsia="宋体" w:hint="default"/>
                <w:sz w:val="18"/>
                <w:szCs w:val="18"/>
              </w:rPr>
            </w:pPr>
            <w:r>
              <w:rPr>
                <w:rFonts w:ascii="宋体" w:hAnsi="宋体" w:cs="宋体" w:eastAsia="宋体" w:hint="default"/>
                <w:sz w:val="18"/>
                <w:szCs w:val="18"/>
              </w:rPr>
              <w:t>合  计</w:t>
            </w:r>
          </w:p>
        </w:tc>
        <w:tc>
          <w:tcPr>
            <w:tcW w:w="2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pacing w:val="-1"/>
                <w:sz w:val="18"/>
              </w:rPr>
              <w:t>9,821,850.08</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4"/>
              <w:jc w:val="right"/>
              <w:rPr>
                <w:rFonts w:ascii="宋体" w:hAnsi="宋体" w:cs="宋体" w:eastAsia="宋体" w:hint="default"/>
                <w:sz w:val="18"/>
                <w:szCs w:val="18"/>
              </w:rPr>
            </w:pPr>
            <w:r>
              <w:rPr>
                <w:rFonts w:ascii="宋体"/>
                <w:spacing w:val="-1"/>
                <w:sz w:val="18"/>
              </w:rPr>
              <w:t>6,735,043.28</w:t>
            </w:r>
          </w:p>
        </w:tc>
      </w:tr>
    </w:tbl>
    <w:p>
      <w:pPr>
        <w:pStyle w:val="BodyText"/>
        <w:spacing w:line="240" w:lineRule="auto" w:before="82"/>
        <w:ind w:left="775" w:right="279"/>
        <w:jc w:val="left"/>
      </w:pPr>
      <w:r>
        <w:rPr/>
        <w:t>(2)</w:t>
      </w:r>
      <w:r>
        <w:rPr>
          <w:spacing w:val="-3"/>
        </w:rPr>
        <w:t> </w:t>
      </w:r>
      <w:r>
        <w:rPr/>
        <w:t>其他说明</w:t>
      </w:r>
    </w:p>
    <w:p>
      <w:pPr>
        <w:pStyle w:val="BodyText"/>
        <w:spacing w:line="357" w:lineRule="auto" w:before="194"/>
        <w:ind w:right="109" w:firstLine="482"/>
        <w:jc w:val="both"/>
      </w:pPr>
      <w:r>
        <w:rPr>
          <w:spacing w:val="-3"/>
        </w:rPr>
        <w:t>根据杭州高新区科学技术局、杭州高新区财政局《关于下达杭州高新区</w:t>
      </w:r>
      <w:r>
        <w:rPr>
          <w:spacing w:val="-57"/>
        </w:rPr>
        <w:t> </w:t>
      </w:r>
      <w:r>
        <w:rPr/>
        <w:t>2009</w:t>
      </w:r>
      <w:r>
        <w:rPr>
          <w:spacing w:val="-57"/>
        </w:rPr>
        <w:t> </w:t>
      </w:r>
      <w:r>
        <w:rPr/>
        <w:t>年杭州市重</w:t>
      </w:r>
      <w:r>
        <w:rPr/>
        <w:t> 大科技创新项目配套经费的通知》（区科技〔2009〕25</w:t>
      </w:r>
      <w:r>
        <w:rPr>
          <w:spacing w:val="-67"/>
        </w:rPr>
        <w:t> </w:t>
      </w:r>
      <w:r>
        <w:rPr/>
        <w:t>号、区财〔2009〕156</w:t>
      </w:r>
      <w:r>
        <w:rPr>
          <w:spacing w:val="-67"/>
        </w:rPr>
        <w:t> </w:t>
      </w:r>
      <w:r>
        <w:rPr/>
        <w:t>号），2009</w:t>
      </w:r>
      <w:r>
        <w:rPr>
          <w:spacing w:val="-67"/>
        </w:rPr>
        <w:t> </w:t>
      </w:r>
      <w:r>
        <w:rPr/>
        <w:t>年</w:t>
      </w:r>
      <w:r>
        <w:rPr/>
        <w:t> 度和</w:t>
      </w:r>
      <w:r>
        <w:rPr>
          <w:spacing w:val="-54"/>
        </w:rPr>
        <w:t> </w:t>
      </w:r>
      <w:r>
        <w:rPr/>
        <w:t>2010</w:t>
      </w:r>
      <w:r>
        <w:rPr>
          <w:spacing w:val="-59"/>
        </w:rPr>
        <w:t> </w:t>
      </w:r>
      <w:r>
        <w:rPr>
          <w:spacing w:val="-3"/>
        </w:rPr>
        <w:t>年度公司各收到“基于实时数据与</w:t>
      </w:r>
      <w:r>
        <w:rPr>
          <w:spacing w:val="-56"/>
        </w:rPr>
        <w:t> </w:t>
      </w:r>
      <w:r>
        <w:rPr/>
        <w:t>SVG</w:t>
      </w:r>
      <w:r>
        <w:rPr>
          <w:spacing w:val="-56"/>
        </w:rPr>
        <w:t> </w:t>
      </w:r>
      <w:r>
        <w:rPr>
          <w:spacing w:val="-3"/>
        </w:rPr>
        <w:t>图形的电力配网智能停电管理系统”项目资</w:t>
      </w:r>
      <w:r>
        <w:rPr/>
        <w:t> 助</w:t>
      </w:r>
      <w:r>
        <w:rPr>
          <w:spacing w:val="-51"/>
        </w:rPr>
        <w:t> </w:t>
      </w:r>
      <w:r>
        <w:rPr/>
        <w:t>75</w:t>
      </w:r>
      <w:r>
        <w:rPr>
          <w:spacing w:val="-48"/>
        </w:rPr>
        <w:t> </w:t>
      </w:r>
      <w:r>
        <w:rPr/>
        <w:t>万元，共计</w:t>
      </w:r>
      <w:r>
        <w:rPr>
          <w:spacing w:val="-51"/>
        </w:rPr>
        <w:t> </w:t>
      </w:r>
      <w:r>
        <w:rPr/>
        <w:t>150</w:t>
      </w:r>
      <w:r>
        <w:rPr>
          <w:spacing w:val="-48"/>
        </w:rPr>
        <w:t> </w:t>
      </w:r>
      <w:r>
        <w:rPr/>
        <w:t>万元，2011</w:t>
      </w:r>
      <w:r>
        <w:rPr>
          <w:spacing w:val="-51"/>
        </w:rPr>
        <w:t> </w:t>
      </w:r>
      <w:r>
        <w:rPr/>
        <w:t>年度收到项目资助</w:t>
      </w:r>
      <w:r>
        <w:rPr>
          <w:spacing w:val="-48"/>
        </w:rPr>
        <w:t> </w:t>
      </w:r>
      <w:r>
        <w:rPr/>
        <w:t>100</w:t>
      </w:r>
      <w:r>
        <w:rPr>
          <w:spacing w:val="-48"/>
        </w:rPr>
        <w:t> </w:t>
      </w:r>
      <w:r>
        <w:rPr/>
        <w:t>万元。该项目相关支出公司已资本</w:t>
      </w:r>
    </w:p>
    <w:p>
      <w:pPr>
        <w:pStyle w:val="BodyText"/>
        <w:spacing w:line="240" w:lineRule="auto"/>
        <w:ind w:right="0"/>
        <w:jc w:val="both"/>
      </w:pPr>
      <w:r>
        <w:rPr/>
        <w:t>化计入无形资产，并分期摊销，本期补助摊销计入营业外收入 357,142.80</w:t>
      </w:r>
      <w:r>
        <w:rPr>
          <w:spacing w:val="-87"/>
        </w:rPr>
        <w:t> </w:t>
      </w:r>
      <w:r>
        <w:rPr/>
        <w:t>元(均为其他流动</w:t>
      </w:r>
    </w:p>
    <w:p>
      <w:pPr>
        <w:pStyle w:val="BodyText"/>
        <w:spacing w:line="240" w:lineRule="auto" w:before="154"/>
        <w:ind w:right="0"/>
        <w:jc w:val="both"/>
      </w:pPr>
      <w:r>
        <w:rPr/>
        <w:t>负债-递延收益摊销计入)，结余</w:t>
      </w:r>
      <w:r>
        <w:rPr>
          <w:spacing w:val="-61"/>
        </w:rPr>
        <w:t> </w:t>
      </w:r>
      <w:r>
        <w:rPr/>
        <w:t>1,875,000.10</w:t>
      </w:r>
      <w:r>
        <w:rPr>
          <w:spacing w:val="-59"/>
        </w:rPr>
        <w:t> </w:t>
      </w:r>
      <w:r>
        <w:rPr/>
        <w:t>元。</w:t>
      </w:r>
    </w:p>
    <w:p>
      <w:pPr>
        <w:pStyle w:val="BodyText"/>
        <w:spacing w:line="357" w:lineRule="auto" w:before="192"/>
        <w:ind w:right="110" w:firstLine="482"/>
        <w:jc w:val="both"/>
      </w:pPr>
      <w:r>
        <w:rPr>
          <w:spacing w:val="-4"/>
        </w:rPr>
        <w:t>根据杭州市财政局和杭州市信息化办公室《关于下达</w:t>
      </w:r>
      <w:r>
        <w:rPr>
          <w:spacing w:val="-57"/>
        </w:rPr>
        <w:t> </w:t>
      </w:r>
      <w:r>
        <w:rPr/>
        <w:t>2010</w:t>
      </w:r>
      <w:r>
        <w:rPr>
          <w:spacing w:val="-57"/>
        </w:rPr>
        <w:t> </w:t>
      </w:r>
      <w:r>
        <w:rPr/>
        <w:t>年省信息服务业发展专项资金</w:t>
      </w:r>
      <w:r>
        <w:rPr/>
        <w:t> 的通知》（杭财企〔2010〕922</w:t>
      </w:r>
      <w:r>
        <w:rPr>
          <w:spacing w:val="-80"/>
        </w:rPr>
        <w:t> </w:t>
      </w:r>
      <w:r>
        <w:rPr/>
        <w:t>号），2011</w:t>
      </w:r>
      <w:r>
        <w:rPr>
          <w:spacing w:val="-80"/>
        </w:rPr>
        <w:t> </w:t>
      </w:r>
      <w:r>
        <w:rPr/>
        <w:t>年公司收到“停电管理系统”项目资助</w:t>
      </w:r>
      <w:r>
        <w:rPr>
          <w:spacing w:val="-79"/>
        </w:rPr>
        <w:t> </w:t>
      </w:r>
      <w:r>
        <w:rPr/>
        <w:t>40</w:t>
      </w:r>
      <w:r>
        <w:rPr>
          <w:spacing w:val="-80"/>
        </w:rPr>
        <w:t> </w:t>
      </w:r>
      <w:r>
        <w:rPr/>
        <w:t>万元，</w:t>
      </w:r>
      <w:r>
        <w:rPr>
          <w:w w:val="66"/>
        </w:rPr>
        <w:t> </w:t>
      </w:r>
      <w:r>
        <w:rPr>
          <w:spacing w:val="6"/>
        </w:rPr>
        <w:t>该项目相关支出公司已资本化计入无形资产，并分期摊销，本期补助摊销计入营业外收入</w:t>
      </w:r>
      <w:r>
        <w:rPr>
          <w:spacing w:val="-84"/>
        </w:rPr>
        <w:t> </w:t>
      </w:r>
      <w:r>
        <w:rPr>
          <w:spacing w:val="-84"/>
        </w:rPr>
      </w:r>
      <w:r>
        <w:rPr/>
        <w:t>42,857.10</w:t>
      </w:r>
      <w:r>
        <w:rPr>
          <w:spacing w:val="-60"/>
        </w:rPr>
        <w:t> </w:t>
      </w:r>
      <w:r>
        <w:rPr/>
        <w:t>元(均为其他流动负债-递延收益摊销计入)，结余</w:t>
      </w:r>
      <w:r>
        <w:rPr>
          <w:spacing w:val="-63"/>
        </w:rPr>
        <w:t> </w:t>
      </w:r>
      <w:r>
        <w:rPr/>
        <w:t>357,142.90</w:t>
      </w:r>
      <w:r>
        <w:rPr>
          <w:spacing w:val="-60"/>
        </w:rPr>
        <w:t> </w:t>
      </w:r>
      <w:r>
        <w:rPr/>
        <w:t>元。</w:t>
      </w:r>
    </w:p>
    <w:p>
      <w:pPr>
        <w:pStyle w:val="BodyText"/>
        <w:spacing w:line="357" w:lineRule="auto" w:before="77"/>
        <w:ind w:right="110" w:firstLine="482"/>
        <w:jc w:val="both"/>
      </w:pPr>
      <w:r>
        <w:rPr>
          <w:spacing w:val="-4"/>
        </w:rPr>
        <w:t>根据杭州市财政局、杭州市信息化办公室《关于下达</w:t>
      </w:r>
      <w:r>
        <w:rPr>
          <w:spacing w:val="-57"/>
        </w:rPr>
        <w:t> </w:t>
      </w:r>
      <w:r>
        <w:rPr/>
        <w:t>2009</w:t>
      </w:r>
      <w:r>
        <w:rPr>
          <w:spacing w:val="-57"/>
        </w:rPr>
        <w:t> </w:t>
      </w:r>
      <w:r>
        <w:rPr/>
        <w:t>年度第一批杭州市信息服务业</w:t>
      </w:r>
      <w:r>
        <w:rPr/>
        <w:t> 发展项目资助资金的通知》（杭财企〔2009〕1041</w:t>
      </w:r>
      <w:r>
        <w:rPr>
          <w:spacing w:val="-53"/>
        </w:rPr>
        <w:t> </w:t>
      </w:r>
      <w:r>
        <w:rPr/>
        <w:t>号），2009</w:t>
      </w:r>
      <w:r>
        <w:rPr>
          <w:spacing w:val="-53"/>
        </w:rPr>
        <w:t> </w:t>
      </w:r>
      <w:r>
        <w:rPr/>
        <w:t>年公司收到“基于</w:t>
      </w:r>
      <w:r>
        <w:rPr>
          <w:spacing w:val="-51"/>
        </w:rPr>
        <w:t> </w:t>
      </w:r>
      <w:r>
        <w:rPr/>
        <w:t>3G</w:t>
      </w:r>
      <w:r>
        <w:rPr>
          <w:spacing w:val="-53"/>
        </w:rPr>
        <w:t> </w:t>
      </w:r>
      <w:r>
        <w:rPr/>
        <w:t>的电力</w:t>
      </w:r>
      <w:r>
        <w:rPr/>
        <w:t> 移动作业软件”项目资助资金</w:t>
      </w:r>
      <w:r>
        <w:rPr>
          <w:spacing w:val="-64"/>
        </w:rPr>
        <w:t> </w:t>
      </w:r>
      <w:r>
        <w:rPr/>
        <w:t>58.8</w:t>
      </w:r>
      <w:r>
        <w:rPr>
          <w:spacing w:val="-64"/>
        </w:rPr>
        <w:t> </w:t>
      </w:r>
      <w:r>
        <w:rPr>
          <w:spacing w:val="-3"/>
        </w:rPr>
        <w:t>万元。根据杭州市财政局、杭州市信息化办公室《关于下</w:t>
      </w:r>
    </w:p>
    <w:p>
      <w:pPr>
        <w:pStyle w:val="BodyText"/>
        <w:spacing w:line="357" w:lineRule="auto"/>
        <w:ind w:right="112"/>
        <w:jc w:val="both"/>
      </w:pPr>
      <w:r>
        <w:rPr/>
        <w:t>达</w:t>
      </w:r>
      <w:r>
        <w:rPr>
          <w:spacing w:val="-55"/>
        </w:rPr>
        <w:t> </w:t>
      </w:r>
      <w:r>
        <w:rPr/>
        <w:t>2010</w:t>
      </w:r>
      <w:r>
        <w:rPr>
          <w:spacing w:val="-55"/>
        </w:rPr>
        <w:t> </w:t>
      </w:r>
      <w:r>
        <w:rPr>
          <w:spacing w:val="3"/>
        </w:rPr>
        <w:t>年度杭州市信息服务业验收合格项目剩余资助资金的通知》（杭财企〔2010〕1042</w:t>
      </w:r>
      <w:r>
        <w:rPr/>
        <w:t> 号），2010</w:t>
      </w:r>
      <w:r>
        <w:rPr>
          <w:spacing w:val="-52"/>
        </w:rPr>
        <w:t> </w:t>
      </w:r>
      <w:r>
        <w:rPr/>
        <w:t>年公司收到“基于</w:t>
      </w:r>
      <w:r>
        <w:rPr>
          <w:spacing w:val="-52"/>
        </w:rPr>
        <w:t> </w:t>
      </w:r>
      <w:r>
        <w:rPr/>
        <w:t>3G</w:t>
      </w:r>
      <w:r>
        <w:rPr>
          <w:spacing w:val="-52"/>
        </w:rPr>
        <w:t> </w:t>
      </w:r>
      <w:r>
        <w:rPr>
          <w:spacing w:val="2"/>
        </w:rPr>
        <w:t>的电力移动作业软件”项目资助资金</w:t>
      </w:r>
      <w:r>
        <w:rPr>
          <w:spacing w:val="-50"/>
        </w:rPr>
        <w:t> </w:t>
      </w:r>
      <w:r>
        <w:rPr/>
        <w:t>39.20</w:t>
      </w:r>
      <w:r>
        <w:rPr>
          <w:spacing w:val="-52"/>
        </w:rPr>
        <w:t> </w:t>
      </w:r>
      <w:r>
        <w:rPr/>
        <w:t>万元。该项目</w:t>
      </w:r>
      <w:r>
        <w:rPr>
          <w:spacing w:val="-118"/>
        </w:rPr>
        <w:t> </w:t>
      </w:r>
      <w:r>
        <w:rPr>
          <w:spacing w:val="-118"/>
        </w:rPr>
      </w:r>
      <w:r>
        <w:rPr>
          <w:spacing w:val="-7"/>
        </w:rPr>
        <w:t>相关支出公司已资本化计入无形资产，并分期摊销，本期补助摊销计入营业外收入</w:t>
      </w:r>
      <w:r>
        <w:rPr>
          <w:spacing w:val="-71"/>
        </w:rPr>
        <w:t> </w:t>
      </w:r>
      <w:r>
        <w:rPr/>
        <w:t>140,000.04</w:t>
      </w:r>
    </w:p>
    <w:p>
      <w:pPr>
        <w:pStyle w:val="BodyText"/>
        <w:spacing w:line="240" w:lineRule="auto"/>
        <w:ind w:right="0"/>
        <w:jc w:val="both"/>
      </w:pPr>
      <w:r>
        <w:rPr/>
        <w:t>元(均为其他流动负债-递延收益摊销计入)，结余</w:t>
      </w:r>
      <w:r>
        <w:rPr>
          <w:spacing w:val="-59"/>
        </w:rPr>
        <w:t> </w:t>
      </w:r>
      <w:r>
        <w:rPr/>
        <w:t>524,999.92</w:t>
      </w:r>
      <w:r>
        <w:rPr>
          <w:spacing w:val="-62"/>
        </w:rPr>
        <w:t> </w:t>
      </w:r>
      <w:r>
        <w:rPr/>
        <w:t>元。</w:t>
      </w:r>
    </w:p>
    <w:p>
      <w:pPr>
        <w:pStyle w:val="BodyText"/>
        <w:spacing w:line="240" w:lineRule="auto" w:before="194"/>
        <w:ind w:left="775" w:right="0"/>
        <w:jc w:val="left"/>
      </w:pPr>
      <w:r>
        <w:rPr/>
        <w:pict>
          <v:group style="position:absolute;margin-left:47.639999pt;margin-top:51.795605pt;width:.1pt;height:10.35pt;mso-position-horizontal-relative:page;mso-position-vertical-relative:paragraph;z-index:4264" coordorigin="953,1036" coordsize="2,207">
            <v:shape style="position:absolute;left:953;top:1036;width:2;height:207" coordorigin="953,1036" coordsize="0,207" path="m953,1036l953,1242e" filled="false" stroked="true" strokeweight=".12pt" strokecolor="#000000">
              <v:path arrowok="t"/>
            </v:shape>
            <w10:wrap type="none"/>
          </v:group>
        </w:pict>
      </w:r>
      <w:r>
        <w:rPr>
          <w:spacing w:val="-4"/>
        </w:rPr>
        <w:t>根据杭州市财政局、杭州市信息化办公室《关于下达</w:t>
      </w:r>
      <w:r>
        <w:rPr>
          <w:spacing w:val="-57"/>
        </w:rPr>
        <w:t> </w:t>
      </w:r>
      <w:r>
        <w:rPr/>
        <w:t>2010</w:t>
      </w:r>
      <w:r>
        <w:rPr>
          <w:spacing w:val="-57"/>
        </w:rPr>
        <w:t> </w:t>
      </w:r>
      <w:r>
        <w:rPr/>
        <w:t>年度第二批杭州市信息服务业</w:t>
      </w:r>
    </w:p>
    <w:p>
      <w:pPr>
        <w:spacing w:after="0" w:line="240" w:lineRule="auto"/>
        <w:jc w:val="left"/>
        <w:sectPr>
          <w:pgSz w:w="11910" w:h="16840"/>
          <w:pgMar w:header="745" w:footer="979" w:top="1060" w:bottom="1160" w:left="840" w:right="1020"/>
        </w:sectPr>
      </w:pPr>
    </w:p>
    <w:p>
      <w:pPr>
        <w:spacing w:line="240" w:lineRule="auto" w:before="6"/>
        <w:rPr>
          <w:rFonts w:ascii="宋体" w:hAnsi="宋体" w:cs="宋体" w:eastAsia="宋体" w:hint="default"/>
          <w:sz w:val="29"/>
          <w:szCs w:val="29"/>
        </w:rPr>
      </w:pPr>
    </w:p>
    <w:p>
      <w:pPr>
        <w:pStyle w:val="BodyText"/>
        <w:spacing w:line="357" w:lineRule="auto" w:before="26"/>
        <w:ind w:left="112" w:right="290"/>
        <w:jc w:val="both"/>
      </w:pPr>
      <w:r>
        <w:rPr/>
        <w:t>发展专项首次资助资金的通知》（杭财企〔2010〕1134</w:t>
      </w:r>
      <w:r>
        <w:rPr>
          <w:spacing w:val="-85"/>
        </w:rPr>
        <w:t> </w:t>
      </w:r>
      <w:r>
        <w:rPr>
          <w:spacing w:val="-4"/>
        </w:rPr>
        <w:t>号），2011</w:t>
      </w:r>
      <w:r>
        <w:rPr>
          <w:spacing w:val="-85"/>
        </w:rPr>
        <w:t> </w:t>
      </w:r>
      <w:r>
        <w:rPr/>
        <w:t>年公司收到“基于统一信</w:t>
      </w:r>
      <w:r>
        <w:rPr/>
        <w:t> 息资源目录的应用集成门户系统”项目资助资金</w:t>
      </w:r>
      <w:r>
        <w:rPr>
          <w:spacing w:val="-67"/>
        </w:rPr>
        <w:t> </w:t>
      </w:r>
      <w:r>
        <w:rPr/>
        <w:t>41.4</w:t>
      </w:r>
      <w:r>
        <w:rPr>
          <w:spacing w:val="-67"/>
        </w:rPr>
        <w:t> </w:t>
      </w:r>
      <w:r>
        <w:rPr>
          <w:spacing w:val="-4"/>
        </w:rPr>
        <w:t>万元。根据杭州市财政局、杭州市信息</w:t>
      </w:r>
    </w:p>
    <w:p>
      <w:pPr>
        <w:pStyle w:val="BodyText"/>
        <w:spacing w:line="357" w:lineRule="auto"/>
        <w:ind w:left="112" w:right="289"/>
        <w:jc w:val="both"/>
      </w:pPr>
      <w:r>
        <w:rPr/>
        <w:t>化办公室《关于下达</w:t>
      </w:r>
      <w:r>
        <w:rPr>
          <w:spacing w:val="-57"/>
        </w:rPr>
        <w:t> </w:t>
      </w:r>
      <w:r>
        <w:rPr/>
        <w:t>2011</w:t>
      </w:r>
      <w:r>
        <w:rPr>
          <w:spacing w:val="-62"/>
        </w:rPr>
        <w:t> </w:t>
      </w:r>
      <w:r>
        <w:rPr>
          <w:spacing w:val="-3"/>
        </w:rPr>
        <w:t>年杭州市信息服务业（含“信息港”产业、信息服务与软件业）验</w:t>
      </w:r>
      <w:r>
        <w:rPr/>
        <w:t> 收合格项目剩余资金的通知》（杭财企〔2011〕957</w:t>
      </w:r>
      <w:r>
        <w:rPr>
          <w:spacing w:val="-67"/>
        </w:rPr>
        <w:t> </w:t>
      </w:r>
      <w:r>
        <w:rPr/>
        <w:t>号），公司</w:t>
      </w:r>
      <w:r>
        <w:rPr>
          <w:spacing w:val="-67"/>
        </w:rPr>
        <w:t> </w:t>
      </w:r>
      <w:r>
        <w:rPr/>
        <w:t>2011</w:t>
      </w:r>
      <w:r>
        <w:rPr>
          <w:spacing w:val="-67"/>
        </w:rPr>
        <w:t> </w:t>
      </w:r>
      <w:r>
        <w:rPr/>
        <w:t>年收到“基于统一信息</w:t>
      </w:r>
      <w:r>
        <w:rPr/>
        <w:t> </w:t>
      </w:r>
      <w:r>
        <w:rPr>
          <w:spacing w:val="-3"/>
        </w:rPr>
        <w:t>资源目录的应用集成门户系统”项目资助资金 </w:t>
      </w:r>
      <w:r>
        <w:rPr/>
        <w:t>27.6</w:t>
      </w:r>
      <w:r>
        <w:rPr>
          <w:spacing w:val="-85"/>
        </w:rPr>
        <w:t> </w:t>
      </w:r>
      <w:r>
        <w:rPr>
          <w:spacing w:val="-3"/>
        </w:rPr>
        <w:t>万元。该项目相关支出公司已资本化计入</w:t>
      </w:r>
    </w:p>
    <w:p>
      <w:pPr>
        <w:pStyle w:val="BodyText"/>
        <w:spacing w:line="240" w:lineRule="auto"/>
        <w:ind w:left="112" w:right="0"/>
        <w:jc w:val="both"/>
      </w:pPr>
      <w:r>
        <w:rPr/>
        <w:t>无形资产，并分期摊销，本期补助摊销计入营业外收入 78,857.20</w:t>
      </w:r>
      <w:r>
        <w:rPr>
          <w:spacing w:val="-83"/>
        </w:rPr>
        <w:t> </w:t>
      </w:r>
      <w:r>
        <w:rPr/>
        <w:t>元(均为其他流动负债-递</w:t>
      </w:r>
    </w:p>
    <w:p>
      <w:pPr>
        <w:pStyle w:val="BodyText"/>
        <w:spacing w:line="240" w:lineRule="auto" w:before="154"/>
        <w:ind w:left="112" w:right="0"/>
        <w:jc w:val="both"/>
      </w:pPr>
      <w:r>
        <w:rPr/>
        <w:t>延收益摊销计入)，结余</w:t>
      </w:r>
      <w:r>
        <w:rPr>
          <w:spacing w:val="-63"/>
        </w:rPr>
        <w:t> </w:t>
      </w:r>
      <w:r>
        <w:rPr/>
        <w:t>558,571.36</w:t>
      </w:r>
      <w:r>
        <w:rPr>
          <w:spacing w:val="-57"/>
        </w:rPr>
        <w:t> </w:t>
      </w:r>
      <w:r>
        <w:rPr/>
        <w:t>元。</w:t>
      </w:r>
    </w:p>
    <w:p>
      <w:pPr>
        <w:pStyle w:val="BodyText"/>
        <w:spacing w:line="357" w:lineRule="auto" w:before="194"/>
        <w:ind w:left="112" w:right="289" w:firstLine="482"/>
        <w:jc w:val="both"/>
      </w:pPr>
      <w:r>
        <w:rPr>
          <w:spacing w:val="-4"/>
        </w:rPr>
        <w:t>根据杭州市科学技术局、杭州市财政局《关于下达</w:t>
      </w:r>
      <w:r>
        <w:rPr>
          <w:spacing w:val="-59"/>
        </w:rPr>
        <w:t> </w:t>
      </w:r>
      <w:r>
        <w:rPr/>
        <w:t>2010</w:t>
      </w:r>
      <w:r>
        <w:rPr>
          <w:spacing w:val="-59"/>
        </w:rPr>
        <w:t> </w:t>
      </w:r>
      <w:r>
        <w:rPr/>
        <w:t>年杭州市第一批重大科技创新项</w:t>
      </w:r>
      <w:r>
        <w:rPr/>
        <w:t> 目补助经费的通知》(杭科计〔2010〕40</w:t>
      </w:r>
      <w:r>
        <w:rPr>
          <w:spacing w:val="-67"/>
        </w:rPr>
        <w:t> </w:t>
      </w:r>
      <w:r>
        <w:rPr/>
        <w:t>号、杭财教〔2010〕232</w:t>
      </w:r>
      <w:r>
        <w:rPr>
          <w:spacing w:val="-67"/>
        </w:rPr>
        <w:t> </w:t>
      </w:r>
      <w:r>
        <w:rPr/>
        <w:t>号)，2010</w:t>
      </w:r>
      <w:r>
        <w:rPr>
          <w:spacing w:val="-67"/>
        </w:rPr>
        <w:t> </w:t>
      </w:r>
      <w:r>
        <w:rPr/>
        <w:t>年公司收到研发</w:t>
      </w:r>
      <w:r>
        <w:rPr/>
        <w:t> 中心补助经费</w:t>
      </w:r>
      <w:r>
        <w:rPr>
          <w:spacing w:val="-58"/>
        </w:rPr>
        <w:t> </w:t>
      </w:r>
      <w:r>
        <w:rPr/>
        <w:t>100</w:t>
      </w:r>
      <w:r>
        <w:rPr>
          <w:spacing w:val="-60"/>
        </w:rPr>
        <w:t> </w:t>
      </w:r>
      <w:r>
        <w:rPr>
          <w:spacing w:val="-6"/>
        </w:rPr>
        <w:t>万元，本期摊销计入营业外收入</w:t>
      </w:r>
      <w:r>
        <w:rPr>
          <w:spacing w:val="-60"/>
        </w:rPr>
        <w:t> </w:t>
      </w:r>
      <w:r>
        <w:rPr/>
        <w:t>142,857.14</w:t>
      </w:r>
      <w:r>
        <w:rPr>
          <w:spacing w:val="-60"/>
        </w:rPr>
        <w:t> </w:t>
      </w:r>
      <w:r>
        <w:rPr/>
        <w:t>元(均为其他流动负债-递延收</w:t>
      </w:r>
    </w:p>
    <w:p>
      <w:pPr>
        <w:pStyle w:val="BodyText"/>
        <w:spacing w:line="388" w:lineRule="auto"/>
        <w:ind w:left="595" w:right="311" w:hanging="483"/>
        <w:jc w:val="left"/>
      </w:pPr>
      <w:r>
        <w:rPr/>
        <w:t>益摊销计入)，结余</w:t>
      </w:r>
      <w:r>
        <w:rPr>
          <w:spacing w:val="-58"/>
        </w:rPr>
        <w:t> </w:t>
      </w:r>
      <w:r>
        <w:rPr/>
        <w:t>571,428.58</w:t>
      </w:r>
      <w:r>
        <w:rPr>
          <w:spacing w:val="-63"/>
        </w:rPr>
        <w:t> </w:t>
      </w:r>
      <w:r>
        <w:rPr/>
        <w:t>元。</w:t>
      </w:r>
      <w:r>
        <w:rPr/>
        <w:t> 根据杭州高新技术产业开发区科学技术部、杭州市滨江区科学技术局、杭州高新技术产</w:t>
      </w:r>
    </w:p>
    <w:p>
      <w:pPr>
        <w:pStyle w:val="BodyText"/>
        <w:spacing w:line="357" w:lineRule="auto" w:before="5"/>
        <w:ind w:left="112" w:right="290"/>
        <w:jc w:val="both"/>
      </w:pPr>
      <w:r>
        <w:rPr/>
        <w:t>业开发区财政局与杭州市滨江区财政局《关于下达杭州高新区（滨江）2011</w:t>
      </w:r>
      <w:r>
        <w:rPr>
          <w:spacing w:val="-79"/>
        </w:rPr>
        <w:t> </w:t>
      </w:r>
      <w:r>
        <w:rPr/>
        <w:t>年杭州市重大科</w:t>
      </w:r>
      <w:r>
        <w:rPr/>
        <w:t> 技创新项目配套经费的通知》(区科技〔2011〕29</w:t>
      </w:r>
      <w:r>
        <w:rPr>
          <w:spacing w:val="-54"/>
        </w:rPr>
        <w:t> </w:t>
      </w:r>
      <w:r>
        <w:rPr/>
        <w:t>号、区财〔2011〕150</w:t>
      </w:r>
      <w:r>
        <w:rPr>
          <w:spacing w:val="-56"/>
        </w:rPr>
        <w:t> </w:t>
      </w:r>
      <w:r>
        <w:rPr/>
        <w:t>号)</w:t>
      </w:r>
      <w:r>
        <w:rPr>
          <w:spacing w:val="8"/>
        </w:rPr>
        <w:t> </w:t>
      </w:r>
      <w:r>
        <w:rPr/>
        <w:t>，公司</w:t>
      </w:r>
      <w:r>
        <w:rPr>
          <w:spacing w:val="-52"/>
        </w:rPr>
        <w:t> </w:t>
      </w:r>
      <w:r>
        <w:rPr/>
        <w:t>2011</w:t>
      </w:r>
      <w:r>
        <w:rPr>
          <w:spacing w:val="-56"/>
        </w:rPr>
        <w:t> </w:t>
      </w:r>
      <w:r>
        <w:rPr/>
        <w:t>年</w:t>
      </w:r>
      <w:r>
        <w:rPr/>
        <w:t> 收到“支持云计算的服务运维监控平台研究及在交通物流领域的应用”项目资助经费</w:t>
      </w:r>
      <w:r>
        <w:rPr>
          <w:spacing w:val="-39"/>
        </w:rPr>
        <w:t> </w:t>
      </w:r>
      <w:r>
        <w:rPr/>
        <w:t>175</w:t>
      </w:r>
      <w:r>
        <w:rPr>
          <w:spacing w:val="-47"/>
        </w:rPr>
        <w:t> </w:t>
      </w:r>
      <w:r>
        <w:rPr/>
        <w:t>万</w:t>
      </w:r>
      <w:r>
        <w:rPr>
          <w:spacing w:val="-118"/>
        </w:rPr>
        <w:t> </w:t>
      </w:r>
      <w:r>
        <w:rPr>
          <w:spacing w:val="-118"/>
        </w:rPr>
      </w:r>
      <w:r>
        <w:rPr/>
        <w:t>元，本期收到“支持云计算的服务运维监控平台研究及在交通物流领域的应用”项目资助经</w:t>
      </w:r>
      <w:r>
        <w:rPr>
          <w:spacing w:val="-85"/>
        </w:rPr>
        <w:t> </w:t>
      </w:r>
      <w:r>
        <w:rPr>
          <w:spacing w:val="-85"/>
        </w:rPr>
      </w:r>
      <w:r>
        <w:rPr/>
        <w:t>费</w:t>
      </w:r>
      <w:r>
        <w:rPr>
          <w:spacing w:val="-58"/>
        </w:rPr>
        <w:t> </w:t>
      </w:r>
      <w:r>
        <w:rPr/>
        <w:t>175</w:t>
      </w:r>
      <w:r>
        <w:rPr>
          <w:spacing w:val="-63"/>
        </w:rPr>
        <w:t> </w:t>
      </w:r>
      <w:r>
        <w:rPr/>
        <w:t>万元，共计</w:t>
      </w:r>
      <w:r>
        <w:rPr>
          <w:spacing w:val="-58"/>
        </w:rPr>
        <w:t> </w:t>
      </w:r>
      <w:r>
        <w:rPr/>
        <w:t>350</w:t>
      </w:r>
      <w:r>
        <w:rPr>
          <w:spacing w:val="-60"/>
        </w:rPr>
        <w:t> </w:t>
      </w:r>
      <w:r>
        <w:rPr/>
        <w:t>万元，该项目尚在开发中。</w:t>
      </w:r>
    </w:p>
    <w:p>
      <w:pPr>
        <w:pStyle w:val="BodyText"/>
        <w:spacing w:line="357" w:lineRule="auto" w:before="74"/>
        <w:ind w:left="112" w:right="292" w:firstLine="482"/>
        <w:jc w:val="both"/>
      </w:pPr>
      <w:r>
        <w:rPr>
          <w:spacing w:val="-4"/>
        </w:rPr>
        <w:t>根据杭州市财政局与杭州市经济和信息化委员会《关于下达</w:t>
      </w:r>
      <w:r>
        <w:rPr>
          <w:spacing w:val="-51"/>
        </w:rPr>
        <w:t> </w:t>
      </w:r>
      <w:r>
        <w:rPr/>
        <w:t>2012</w:t>
      </w:r>
      <w:r>
        <w:rPr>
          <w:spacing w:val="-51"/>
        </w:rPr>
        <w:t> </w:t>
      </w:r>
      <w:r>
        <w:rPr/>
        <w:t>年度第一批杭州市信息</w:t>
      </w:r>
      <w:r>
        <w:rPr/>
        <w:t> 服务业发展专项资助项目资金的通知》（杭财企〔2012〕469 号），本期公司收到“烟草行</w:t>
      </w:r>
      <w:r>
        <w:rPr>
          <w:spacing w:val="-98"/>
        </w:rPr>
        <w:t> </w:t>
      </w:r>
      <w:r>
        <w:rPr>
          <w:spacing w:val="-98"/>
        </w:rPr>
      </w:r>
      <w:r>
        <w:rPr/>
        <w:t>业项目规范管理与办事公开民主管理平台”项目资助经费 79.92</w:t>
      </w:r>
      <w:r>
        <w:rPr>
          <w:spacing w:val="-94"/>
        </w:rPr>
        <w:t> </w:t>
      </w:r>
      <w:r>
        <w:rPr/>
        <w:t>万元，本期摊销计入营业外</w:t>
      </w:r>
    </w:p>
    <w:p>
      <w:pPr>
        <w:pStyle w:val="BodyText"/>
        <w:spacing w:line="240" w:lineRule="auto"/>
        <w:ind w:left="112" w:right="0"/>
        <w:jc w:val="both"/>
      </w:pPr>
      <w:r>
        <w:rPr/>
        <w:t>收入</w:t>
      </w:r>
      <w:r>
        <w:rPr>
          <w:spacing w:val="-58"/>
        </w:rPr>
        <w:t> </w:t>
      </w:r>
      <w:r>
        <w:rPr/>
        <w:t>47,571.40</w:t>
      </w:r>
      <w:r>
        <w:rPr>
          <w:spacing w:val="-60"/>
        </w:rPr>
        <w:t> </w:t>
      </w:r>
      <w:r>
        <w:rPr/>
        <w:t>元，结余</w:t>
      </w:r>
      <w:r>
        <w:rPr>
          <w:spacing w:val="-63"/>
        </w:rPr>
        <w:t> </w:t>
      </w:r>
      <w:r>
        <w:rPr/>
        <w:t>751,628.60</w:t>
      </w:r>
      <w:r>
        <w:rPr>
          <w:spacing w:val="-58"/>
        </w:rPr>
        <w:t> </w:t>
      </w:r>
      <w:r>
        <w:rPr/>
        <w:t>元。</w:t>
      </w:r>
    </w:p>
    <w:p>
      <w:pPr>
        <w:pStyle w:val="BodyText"/>
        <w:spacing w:line="357" w:lineRule="auto" w:before="194"/>
        <w:ind w:left="112" w:right="292" w:firstLine="482"/>
        <w:jc w:val="both"/>
      </w:pPr>
      <w:r>
        <w:rPr>
          <w:spacing w:val="-4"/>
        </w:rPr>
        <w:t>根据杭州市财政局与杭州市经济和信息化委员会《关于下达</w:t>
      </w:r>
      <w:r>
        <w:rPr>
          <w:spacing w:val="-51"/>
        </w:rPr>
        <w:t> </w:t>
      </w:r>
      <w:r>
        <w:rPr/>
        <w:t>2012</w:t>
      </w:r>
      <w:r>
        <w:rPr>
          <w:spacing w:val="-51"/>
        </w:rPr>
        <w:t> </w:t>
      </w:r>
      <w:r>
        <w:rPr/>
        <w:t>年省信息服务业发展专</w:t>
      </w:r>
      <w:r>
        <w:rPr/>
        <w:t> 项资金的通知》（杭财企〔2012〕765 号），本期公司收到“电力配网一体化生产实时指挥</w:t>
      </w:r>
      <w:r>
        <w:rPr>
          <w:spacing w:val="-101"/>
        </w:rPr>
        <w:t> </w:t>
      </w:r>
      <w:r>
        <w:rPr>
          <w:spacing w:val="-101"/>
        </w:rPr>
      </w:r>
      <w:r>
        <w:rPr/>
        <w:t>系统项目”资助经费</w:t>
      </w:r>
      <w:r>
        <w:rPr>
          <w:spacing w:val="-58"/>
        </w:rPr>
        <w:t> </w:t>
      </w:r>
      <w:r>
        <w:rPr/>
        <w:t>50</w:t>
      </w:r>
      <w:r>
        <w:rPr>
          <w:spacing w:val="-60"/>
        </w:rPr>
        <w:t> </w:t>
      </w:r>
      <w:r>
        <w:rPr/>
        <w:t>万元，该项目尚在开发中。</w:t>
      </w:r>
    </w:p>
    <w:p>
      <w:pPr>
        <w:pStyle w:val="BodyText"/>
        <w:spacing w:line="357" w:lineRule="auto" w:before="77"/>
        <w:ind w:left="112" w:right="292" w:firstLine="482"/>
        <w:jc w:val="both"/>
      </w:pPr>
      <w:r>
        <w:rPr>
          <w:spacing w:val="-4"/>
        </w:rPr>
        <w:t>根据杭州市财政局、杭州市信息化办公室《关于下达</w:t>
      </w:r>
      <w:r>
        <w:rPr>
          <w:spacing w:val="-57"/>
        </w:rPr>
        <w:t> </w:t>
      </w:r>
      <w:r>
        <w:rPr/>
        <w:t>2010</w:t>
      </w:r>
      <w:r>
        <w:rPr>
          <w:spacing w:val="-57"/>
        </w:rPr>
        <w:t> </w:t>
      </w:r>
      <w:r>
        <w:rPr/>
        <w:t>年度第一批杭州市信息服务业</w:t>
      </w:r>
      <w:r>
        <w:rPr/>
        <w:t> 发展专项首次资助项目资金的通知》（杭财企〔</w:t>
      </w:r>
      <w:r>
        <w:rPr>
          <w:spacing w:val="-95"/>
        </w:rPr>
        <w:t> </w:t>
      </w:r>
      <w:r>
        <w:rPr/>
        <w:t>2010〕798</w:t>
      </w:r>
      <w:r>
        <w:rPr>
          <w:spacing w:val="-57"/>
        </w:rPr>
        <w:t> </w:t>
      </w:r>
      <w:r>
        <w:rPr/>
        <w:t>号），2010</w:t>
      </w:r>
      <w:r>
        <w:rPr>
          <w:spacing w:val="-55"/>
        </w:rPr>
        <w:t> </w:t>
      </w:r>
      <w:r>
        <w:rPr/>
        <w:t>年公司收到“标准化</w:t>
      </w:r>
      <w:r>
        <w:rPr/>
        <w:t> </w:t>
      </w:r>
      <w:r>
        <w:rPr>
          <w:spacing w:val="-3"/>
        </w:rPr>
        <w:t>管理融合的业务流程管理平台”项目资助 </w:t>
      </w:r>
      <w:r>
        <w:rPr/>
        <w:t>37.8</w:t>
      </w:r>
      <w:r>
        <w:rPr>
          <w:spacing w:val="-85"/>
        </w:rPr>
        <w:t> </w:t>
      </w:r>
      <w:r>
        <w:rPr>
          <w:spacing w:val="-3"/>
        </w:rPr>
        <w:t>万元。该项目相关支出公司已资本化计入无形</w:t>
      </w:r>
    </w:p>
    <w:p>
      <w:pPr>
        <w:pStyle w:val="BodyText"/>
        <w:spacing w:line="240" w:lineRule="auto"/>
        <w:ind w:left="112" w:right="0"/>
        <w:jc w:val="both"/>
      </w:pPr>
      <w:r>
        <w:rPr/>
        <w:t>资产，并分期摊销，本期补助摊销计入营业外收入 54,000.00</w:t>
      </w:r>
      <w:r>
        <w:rPr>
          <w:spacing w:val="-87"/>
        </w:rPr>
        <w:t> </w:t>
      </w:r>
      <w:r>
        <w:rPr/>
        <w:t>元(其他流动负债-递延收益摊</w:t>
      </w:r>
    </w:p>
    <w:p>
      <w:pPr>
        <w:pStyle w:val="BodyText"/>
        <w:spacing w:line="240" w:lineRule="auto" w:before="154"/>
        <w:ind w:left="112" w:right="0"/>
        <w:jc w:val="both"/>
      </w:pPr>
      <w:r>
        <w:rPr/>
        <w:pict>
          <v:group style="position:absolute;margin-left:547.559998pt;margin-top:50.395611pt;width:.1pt;height:10.35pt;mso-position-horizontal-relative:page;mso-position-vertical-relative:paragraph;z-index:4288" coordorigin="10951,1008" coordsize="2,207">
            <v:shape style="position:absolute;left:10951;top:1008;width:2;height:207" coordorigin="10951,1008" coordsize="0,207" path="m10951,1008l10951,1214e" filled="false" stroked="true" strokeweight=".12pt" strokecolor="#000000">
              <v:path arrowok="t"/>
            </v:shape>
            <w10:wrap type="none"/>
          </v:group>
        </w:pict>
      </w:r>
      <w:r>
        <w:rPr/>
        <w:t>销计入</w:t>
      </w:r>
      <w:r>
        <w:rPr>
          <w:spacing w:val="-60"/>
        </w:rPr>
        <w:t> </w:t>
      </w:r>
      <w:r>
        <w:rPr/>
        <w:t>51,456.68</w:t>
      </w:r>
      <w:r>
        <w:rPr>
          <w:spacing w:val="-58"/>
        </w:rPr>
        <w:t> </w:t>
      </w:r>
      <w:r>
        <w:rPr/>
        <w:t>元)，结余</w:t>
      </w:r>
      <w:r>
        <w:rPr>
          <w:spacing w:val="-63"/>
        </w:rPr>
        <w:t> </w:t>
      </w:r>
      <w:r>
        <w:rPr/>
        <w:t>301,500.00</w:t>
      </w:r>
      <w:r>
        <w:rPr>
          <w:spacing w:val="-58"/>
        </w:rPr>
        <w:t> </w:t>
      </w:r>
      <w:r>
        <w:rPr/>
        <w:t>元。</w:t>
      </w:r>
    </w:p>
    <w:p>
      <w:pPr>
        <w:spacing w:after="0" w:line="240" w:lineRule="auto"/>
        <w:jc w:val="both"/>
        <w:sectPr>
          <w:pgSz w:w="11910" w:h="16840"/>
          <w:pgMar w:header="745" w:footer="979" w:top="1060" w:bottom="1160" w:left="1020" w:right="840"/>
        </w:sectPr>
      </w:pPr>
    </w:p>
    <w:p>
      <w:pPr>
        <w:spacing w:line="240" w:lineRule="auto" w:before="6"/>
        <w:rPr>
          <w:rFonts w:ascii="宋体" w:hAnsi="宋体" w:cs="宋体" w:eastAsia="宋体" w:hint="default"/>
          <w:sz w:val="29"/>
          <w:szCs w:val="29"/>
        </w:rPr>
      </w:pPr>
    </w:p>
    <w:p>
      <w:pPr>
        <w:pStyle w:val="BodyText"/>
        <w:spacing w:line="357" w:lineRule="auto" w:before="26"/>
        <w:ind w:right="110" w:firstLine="482"/>
        <w:jc w:val="both"/>
      </w:pPr>
      <w:r>
        <w:rPr>
          <w:spacing w:val="-9"/>
        </w:rPr>
        <w:t>根据杭州市财政局、杭州市经济和信息化委员会《关于下达</w:t>
      </w:r>
      <w:r>
        <w:rPr>
          <w:spacing w:val="-51"/>
        </w:rPr>
        <w:t> </w:t>
      </w:r>
      <w:r>
        <w:rPr/>
        <w:t>2011</w:t>
      </w:r>
      <w:r>
        <w:rPr>
          <w:spacing w:val="-51"/>
        </w:rPr>
        <w:t> </w:t>
      </w:r>
      <w:r>
        <w:rPr>
          <w:spacing w:val="-10"/>
        </w:rPr>
        <w:t>年杭州市信息服务业（含</w:t>
      </w:r>
      <w:r>
        <w:rPr/>
        <w:t> </w:t>
      </w:r>
      <w:r>
        <w:rPr>
          <w:spacing w:val="-2"/>
          <w:w w:val="95"/>
        </w:rPr>
        <w:t>“信息港”产业、信息服务于软件业）验收合格项目剩余资助资金的通知》（杭财企〔2011〕</w:t>
      </w:r>
      <w:r>
        <w:rPr>
          <w:w w:val="95"/>
        </w:rPr>
        <w:t>  </w:t>
      </w:r>
      <w:r>
        <w:rPr>
          <w:spacing w:val="33"/>
          <w:w w:val="95"/>
        </w:rPr>
        <w:t> </w:t>
      </w:r>
      <w:r>
        <w:rPr>
          <w:spacing w:val="33"/>
          <w:w w:val="95"/>
        </w:rPr>
      </w:r>
      <w:r>
        <w:rPr/>
        <w:t>957</w:t>
      </w:r>
      <w:r>
        <w:rPr>
          <w:spacing w:val="-52"/>
        </w:rPr>
        <w:t> </w:t>
      </w:r>
      <w:r>
        <w:rPr/>
        <w:t>号），2011</w:t>
      </w:r>
      <w:r>
        <w:rPr>
          <w:spacing w:val="-52"/>
        </w:rPr>
        <w:t> </w:t>
      </w:r>
      <w:r>
        <w:rPr/>
        <w:t>年公司收到“标准化管理融合的业务流程管理平台”项目资助</w:t>
      </w:r>
      <w:r>
        <w:rPr>
          <w:spacing w:val="-50"/>
        </w:rPr>
        <w:t> </w:t>
      </w:r>
      <w:r>
        <w:rPr/>
        <w:t>12.60</w:t>
      </w:r>
      <w:r>
        <w:rPr>
          <w:spacing w:val="-54"/>
        </w:rPr>
        <w:t> </w:t>
      </w:r>
      <w:r>
        <w:rPr/>
        <w:t>万元，</w:t>
      </w:r>
    </w:p>
    <w:p>
      <w:pPr>
        <w:pStyle w:val="BodyText"/>
        <w:spacing w:line="240" w:lineRule="auto"/>
        <w:ind w:right="0"/>
        <w:jc w:val="left"/>
      </w:pPr>
      <w:r>
        <w:rPr/>
        <w:t>本期公司收到“标准化管理融合的业务流程管理平台”项目资助 12.60</w:t>
      </w:r>
      <w:r>
        <w:rPr>
          <w:spacing w:val="-91"/>
        </w:rPr>
        <w:t> </w:t>
      </w:r>
      <w:r>
        <w:rPr/>
        <w:t>万元，该项目相关支</w:t>
      </w:r>
    </w:p>
    <w:p>
      <w:pPr>
        <w:pStyle w:val="BodyText"/>
        <w:spacing w:line="240" w:lineRule="auto" w:before="154"/>
        <w:ind w:right="0"/>
        <w:jc w:val="left"/>
      </w:pPr>
      <w:r>
        <w:rPr/>
        <w:t>出公司已资本化计入无形资产，并分期摊销，本期补助摊销计入营业外收入 38,278.48</w:t>
      </w:r>
      <w:r>
        <w:rPr>
          <w:spacing w:val="-82"/>
        </w:rPr>
        <w:t> </w:t>
      </w:r>
      <w:r>
        <w:rPr/>
        <w:t>元，</w:t>
      </w:r>
    </w:p>
    <w:p>
      <w:pPr>
        <w:pStyle w:val="BodyText"/>
        <w:spacing w:line="240" w:lineRule="auto" w:before="154"/>
        <w:ind w:right="279"/>
        <w:jc w:val="left"/>
      </w:pPr>
      <w:r>
        <w:rPr/>
        <w:t>结余</w:t>
      </w:r>
      <w:r>
        <w:rPr>
          <w:spacing w:val="-58"/>
        </w:rPr>
        <w:t> </w:t>
      </w:r>
      <w:r>
        <w:rPr/>
        <w:t>213,721.52</w:t>
      </w:r>
      <w:r>
        <w:rPr>
          <w:spacing w:val="-60"/>
        </w:rPr>
        <w:t> </w:t>
      </w:r>
      <w:r>
        <w:rPr/>
        <w:t>元。</w:t>
      </w:r>
    </w:p>
    <w:p>
      <w:pPr>
        <w:pStyle w:val="BodyText"/>
        <w:spacing w:line="357" w:lineRule="auto" w:before="194"/>
        <w:ind w:right="110" w:firstLine="602"/>
        <w:jc w:val="both"/>
      </w:pPr>
      <w:r>
        <w:rPr/>
        <w:t>根据浙江省财政厅、浙江省科学技术厅《关于下达 2010</w:t>
      </w:r>
      <w:r>
        <w:rPr>
          <w:spacing w:val="-99"/>
        </w:rPr>
        <w:t> </w:t>
      </w:r>
      <w:r>
        <w:rPr/>
        <w:t>年第一批科技型中小企业技术</w:t>
      </w:r>
      <w:r>
        <w:rPr/>
        <w:t> 创新项目补助经费的通知》（浙财教〔2010〕147 号），及科技部科技型中小企业技术创新</w:t>
      </w:r>
      <w:r>
        <w:rPr>
          <w:spacing w:val="-102"/>
        </w:rPr>
        <w:t> </w:t>
      </w:r>
      <w:r>
        <w:rPr>
          <w:spacing w:val="-102"/>
        </w:rPr>
      </w:r>
      <w:r>
        <w:rPr/>
        <w:t>基金管理中心、浙江省科学技术厅和公司签订的科技型中小企业技术创新基金无偿资助项目 </w:t>
      </w:r>
      <w:r>
        <w:rPr>
          <w:w w:val="95"/>
        </w:rPr>
        <w:t>合同，2010</w:t>
      </w:r>
      <w:r>
        <w:rPr>
          <w:spacing w:val="52"/>
          <w:w w:val="95"/>
        </w:rPr>
        <w:t> </w:t>
      </w:r>
      <w:r>
        <w:rPr>
          <w:w w:val="95"/>
        </w:rPr>
        <w:t>年公司收到“电网一体化的动态全生命周期管理模型与软件”项目资助</w:t>
      </w:r>
      <w:r>
        <w:rPr>
          <w:spacing w:val="52"/>
          <w:w w:val="95"/>
        </w:rPr>
        <w:t> </w:t>
      </w:r>
      <w:r>
        <w:rPr>
          <w:w w:val="95"/>
        </w:rPr>
        <w:t>55</w:t>
      </w:r>
      <w:r>
        <w:rPr>
          <w:spacing w:val="52"/>
          <w:w w:val="95"/>
        </w:rPr>
        <w:t> </w:t>
      </w:r>
      <w:r>
        <w:rPr>
          <w:w w:val="95"/>
        </w:rPr>
        <w:t>万元。</w:t>
      </w:r>
      <w:r>
        <w:rPr>
          <w:spacing w:val="-97"/>
          <w:w w:val="95"/>
        </w:rPr>
        <w:t> </w:t>
      </w:r>
      <w:r>
        <w:rPr>
          <w:spacing w:val="-97"/>
          <w:w w:val="95"/>
        </w:rPr>
      </w:r>
      <w:r>
        <w:rPr>
          <w:spacing w:val="-4"/>
        </w:rPr>
        <w:t>根据杭州高新区科学技术局、杭州高新区财政局《关于下达 </w:t>
      </w:r>
      <w:r>
        <w:rPr/>
        <w:t>2010</w:t>
      </w:r>
      <w:r>
        <w:rPr>
          <w:spacing w:val="-96"/>
        </w:rPr>
        <w:t> </w:t>
      </w:r>
      <w:r>
        <w:rPr/>
        <w:t>年杭州市高新区第二批科技</w:t>
      </w:r>
      <w:r>
        <w:rPr/>
        <w:t> 型中小企业技术创新资金项目配套经费的通知》（区科技〔2010〕24 号、区财〔2010〕119</w:t>
      </w:r>
      <w:r>
        <w:rPr>
          <w:spacing w:val="-97"/>
        </w:rPr>
        <w:t> </w:t>
      </w:r>
      <w:r>
        <w:rPr>
          <w:spacing w:val="-97"/>
        </w:rPr>
      </w:r>
      <w:r>
        <w:rPr>
          <w:w w:val="95"/>
        </w:rPr>
        <w:t>号），2010</w:t>
      </w:r>
      <w:r>
        <w:rPr>
          <w:spacing w:val="53"/>
          <w:w w:val="95"/>
        </w:rPr>
        <w:t> </w:t>
      </w:r>
      <w:r>
        <w:rPr>
          <w:w w:val="95"/>
        </w:rPr>
        <w:t>年公司收到“电网一体化的动态全生命周期管理模型与软件”项目资助</w:t>
      </w:r>
      <w:r>
        <w:rPr>
          <w:spacing w:val="53"/>
          <w:w w:val="95"/>
        </w:rPr>
        <w:t> </w:t>
      </w:r>
      <w:r>
        <w:rPr>
          <w:w w:val="95"/>
        </w:rPr>
        <w:t>30</w:t>
      </w:r>
      <w:r>
        <w:rPr>
          <w:spacing w:val="53"/>
          <w:w w:val="95"/>
        </w:rPr>
        <w:t> </w:t>
      </w:r>
      <w:r>
        <w:rPr>
          <w:w w:val="95"/>
        </w:rPr>
        <w:t>万元，</w:t>
      </w:r>
      <w:r>
        <w:rPr>
          <w:spacing w:val="-98"/>
          <w:w w:val="95"/>
        </w:rPr>
        <w:t> </w:t>
      </w:r>
      <w:r>
        <w:rPr>
          <w:spacing w:val="-98"/>
          <w:w w:val="95"/>
        </w:rPr>
      </w:r>
      <w:r>
        <w:rPr>
          <w:spacing w:val="6"/>
        </w:rPr>
        <w:t>该项目相关支出公司已资本化计入无形资产，并分期摊销，本期补助摊销计入营业外收入</w:t>
      </w:r>
      <w:r>
        <w:rPr>
          <w:spacing w:val="-84"/>
        </w:rPr>
        <w:t> </w:t>
      </w:r>
      <w:r>
        <w:rPr>
          <w:spacing w:val="-84"/>
        </w:rPr>
      </w:r>
      <w:r>
        <w:rPr/>
        <w:t>121,428.60</w:t>
      </w:r>
      <w:r>
        <w:rPr>
          <w:spacing w:val="-60"/>
        </w:rPr>
        <w:t> </w:t>
      </w:r>
      <w:r>
        <w:rPr/>
        <w:t>元(均为其他流动负债-递延收益摊销计入)，结余</w:t>
      </w:r>
      <w:r>
        <w:rPr>
          <w:spacing w:val="-63"/>
        </w:rPr>
        <w:t> </w:t>
      </w:r>
      <w:r>
        <w:rPr/>
        <w:t>667,857.10</w:t>
      </w:r>
      <w:r>
        <w:rPr>
          <w:spacing w:val="-60"/>
        </w:rPr>
        <w:t> </w:t>
      </w:r>
      <w:r>
        <w:rPr/>
        <w:t>元。</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BodyText"/>
        <w:spacing w:line="240" w:lineRule="auto" w:before="0"/>
        <w:ind w:left="775" w:right="279"/>
        <w:jc w:val="left"/>
      </w:pPr>
      <w:r>
        <w:rPr/>
        <w:t>24.</w:t>
      </w:r>
      <w:r>
        <w:rPr>
          <w:spacing w:val="-3"/>
        </w:rPr>
        <w:t> </w:t>
      </w:r>
      <w:r>
        <w:rPr/>
        <w:t>股本</w:t>
      </w:r>
    </w:p>
    <w:p>
      <w:pPr>
        <w:spacing w:line="240" w:lineRule="auto" w:before="9"/>
        <w:rPr>
          <w:rFonts w:ascii="宋体" w:hAnsi="宋体" w:cs="宋体" w:eastAsia="宋体" w:hint="default"/>
          <w:sz w:val="21"/>
          <w:szCs w:val="21"/>
        </w:rPr>
      </w:pPr>
    </w:p>
    <w:p>
      <w:pPr>
        <w:tabs>
          <w:tab w:pos="2779" w:val="left" w:leader="none"/>
          <w:tab w:pos="3043" w:val="left" w:leader="none"/>
          <w:tab w:pos="4538" w:val="left" w:leader="none"/>
          <w:tab w:pos="6023" w:val="left" w:leader="none"/>
          <w:tab w:pos="7456" w:val="left" w:leader="none"/>
          <w:tab w:pos="7708" w:val="left" w:leader="none"/>
        </w:tabs>
        <w:spacing w:line="516" w:lineRule="auto" w:before="0"/>
        <w:ind w:left="292" w:right="1327" w:firstLine="182"/>
        <w:jc w:val="left"/>
        <w:rPr>
          <w:rFonts w:ascii="宋体" w:hAnsi="宋体" w:cs="宋体" w:eastAsia="宋体" w:hint="default"/>
          <w:sz w:val="18"/>
          <w:szCs w:val="18"/>
        </w:rPr>
      </w:pPr>
      <w:r>
        <w:rPr>
          <w:rFonts w:ascii="宋体" w:hAnsi="宋体" w:cs="宋体" w:eastAsia="宋体" w:hint="default"/>
          <w:sz w:val="18"/>
          <w:szCs w:val="18"/>
        </w:rPr>
        <w:t>项  目</w:t>
        <w:tab/>
        <w:tab/>
        <w:t>期初数</w:t>
        <w:tab/>
        <w:t>本期增加</w:t>
        <w:tab/>
        <w:t>本期减少</w:t>
        <w:tab/>
        <w:tab/>
        <w:t>期末数 股份总数</w:t>
        <w:tab/>
      </w:r>
      <w:r>
        <w:rPr>
          <w:rFonts w:ascii="宋体" w:hAnsi="宋体" w:cs="宋体" w:eastAsia="宋体" w:hint="default"/>
          <w:spacing w:val="-1"/>
          <w:sz w:val="18"/>
          <w:szCs w:val="18"/>
        </w:rPr>
        <w:t>107,000,000.00</w:t>
        <w:tab/>
        <w:tab/>
        <w:tab/>
        <w:t>107,000,000.00</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2"/>
          <w:szCs w:val="22"/>
        </w:rPr>
      </w:pPr>
    </w:p>
    <w:p>
      <w:pPr>
        <w:pStyle w:val="BodyText"/>
        <w:spacing w:line="240" w:lineRule="auto" w:before="0"/>
        <w:ind w:left="775" w:right="279"/>
        <w:jc w:val="left"/>
      </w:pPr>
      <w:r>
        <w:rPr/>
        <w:t>25.</w:t>
      </w:r>
      <w:r>
        <w:rPr>
          <w:spacing w:val="-3"/>
        </w:rPr>
        <w:t> </w:t>
      </w:r>
      <w:r>
        <w:rPr/>
        <w:t>资本公积</w:t>
      </w:r>
    </w:p>
    <w:p>
      <w:pPr>
        <w:pStyle w:val="BodyText"/>
        <w:spacing w:line="240" w:lineRule="auto" w:before="192"/>
        <w:ind w:left="775" w:right="279"/>
        <w:jc w:val="left"/>
      </w:pPr>
      <w:r>
        <w:rPr/>
        <w:t>(1)</w:t>
      </w:r>
      <w:r>
        <w:rPr>
          <w:spacing w:val="-3"/>
        </w:rPr>
        <w:t> </w:t>
      </w:r>
      <w:r>
        <w:rPr/>
        <w:t>明细情况</w:t>
      </w:r>
    </w:p>
    <w:p>
      <w:pPr>
        <w:spacing w:line="240" w:lineRule="auto" w:before="10"/>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2340"/>
        <w:gridCol w:w="1800"/>
        <w:gridCol w:w="1620"/>
        <w:gridCol w:w="1620"/>
        <w:gridCol w:w="1800"/>
      </w:tblGrid>
      <w:tr>
        <w:trPr>
          <w:trHeight w:val="559" w:hRule="exact"/>
        </w:trPr>
        <w:tc>
          <w:tcPr>
            <w:tcW w:w="23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1502"/>
              <w:jc w:val="right"/>
              <w:rPr>
                <w:rFonts w:ascii="宋体" w:hAnsi="宋体" w:cs="宋体" w:eastAsia="宋体" w:hint="default"/>
                <w:sz w:val="18"/>
                <w:szCs w:val="18"/>
              </w:rPr>
            </w:pPr>
            <w:r>
              <w:rPr>
                <w:rFonts w:ascii="宋体" w:hAnsi="宋体" w:cs="宋体" w:eastAsia="宋体" w:hint="default"/>
                <w:sz w:val="18"/>
                <w:szCs w:val="18"/>
              </w:rPr>
              <w:t>项  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4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4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57" w:hRule="exact"/>
        </w:trPr>
        <w:tc>
          <w:tcPr>
            <w:tcW w:w="23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1505"/>
              <w:jc w:val="right"/>
              <w:rPr>
                <w:rFonts w:ascii="宋体" w:hAnsi="宋体" w:cs="宋体" w:eastAsia="宋体" w:hint="default"/>
                <w:sz w:val="18"/>
                <w:szCs w:val="18"/>
              </w:rPr>
            </w:pPr>
            <w:r>
              <w:rPr>
                <w:rFonts w:ascii="宋体" w:hAnsi="宋体" w:cs="宋体" w:eastAsia="宋体" w:hint="default"/>
                <w:sz w:val="18"/>
                <w:szCs w:val="18"/>
              </w:rPr>
              <w:t>股本溢价</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247,101,812.22</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29" w:right="0"/>
              <w:jc w:val="left"/>
              <w:rPr>
                <w:rFonts w:ascii="宋体" w:hAnsi="宋体" w:cs="宋体" w:eastAsia="宋体" w:hint="default"/>
                <w:sz w:val="18"/>
                <w:szCs w:val="18"/>
              </w:rPr>
            </w:pPr>
            <w:r>
              <w:rPr>
                <w:rFonts w:ascii="宋体"/>
                <w:sz w:val="18"/>
              </w:rPr>
              <w:t>5,268,332.47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241,833,479.75</w:t>
            </w:r>
          </w:p>
        </w:tc>
      </w:tr>
      <w:tr>
        <w:trPr>
          <w:trHeight w:val="559" w:hRule="exact"/>
        </w:trPr>
        <w:tc>
          <w:tcPr>
            <w:tcW w:w="23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1502"/>
              <w:jc w:val="right"/>
              <w:rPr>
                <w:rFonts w:ascii="宋体" w:hAnsi="宋体" w:cs="宋体" w:eastAsia="宋体" w:hint="default"/>
                <w:sz w:val="18"/>
                <w:szCs w:val="18"/>
              </w:rPr>
            </w:pPr>
            <w:r>
              <w:rPr>
                <w:rFonts w:ascii="宋体" w:hAnsi="宋体" w:cs="宋体" w:eastAsia="宋体" w:hint="default"/>
                <w:sz w:val="18"/>
                <w:szCs w:val="18"/>
              </w:rPr>
              <w:t>合  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247,101,812.22</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29" w:right="0"/>
              <w:jc w:val="left"/>
              <w:rPr>
                <w:rFonts w:ascii="宋体" w:hAnsi="宋体" w:cs="宋体" w:eastAsia="宋体" w:hint="default"/>
                <w:sz w:val="18"/>
                <w:szCs w:val="18"/>
              </w:rPr>
            </w:pPr>
            <w:r>
              <w:rPr>
                <w:rFonts w:ascii="宋体"/>
                <w:sz w:val="18"/>
              </w:rPr>
              <w:t>5,268,332.47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241,833,479.75</w:t>
            </w:r>
          </w:p>
        </w:tc>
      </w:tr>
    </w:tbl>
    <w:p>
      <w:pPr>
        <w:pStyle w:val="BodyText"/>
        <w:spacing w:line="240" w:lineRule="auto" w:before="79"/>
        <w:ind w:left="775" w:right="279"/>
        <w:jc w:val="left"/>
      </w:pPr>
      <w:r>
        <w:rPr/>
        <w:t>(2)</w:t>
      </w:r>
      <w:r>
        <w:rPr>
          <w:spacing w:val="-3"/>
        </w:rPr>
        <w:t> </w:t>
      </w:r>
      <w:r>
        <w:rPr/>
        <w:t>其他说明</w:t>
      </w:r>
    </w:p>
    <w:p>
      <w:pPr>
        <w:pStyle w:val="BodyText"/>
        <w:spacing w:line="240" w:lineRule="auto" w:before="194"/>
        <w:ind w:left="775" w:right="279"/>
        <w:jc w:val="left"/>
      </w:pPr>
      <w:r>
        <w:rPr/>
        <w:pict>
          <v:group style="position:absolute;margin-left:47.639999pt;margin-top:71.235611pt;width:.1pt;height:10.35pt;mso-position-horizontal-relative:page;mso-position-vertical-relative:paragraph;z-index:4312" coordorigin="953,1425" coordsize="2,207">
            <v:shape style="position:absolute;left:953;top:1425;width:2;height:207" coordorigin="953,1425" coordsize="0,207" path="m953,1425l953,1631e" filled="false" stroked="true" strokeweight=".12pt" strokecolor="#000000">
              <v:path arrowok="t"/>
            </v:shape>
            <w10:wrap type="none"/>
          </v:group>
        </w:pict>
      </w:r>
      <w:r>
        <w:rPr/>
        <w:t>本期减少系购买同一控制下子公司杭州德创电子有限公司</w:t>
      </w:r>
      <w:r>
        <w:rPr>
          <w:spacing w:val="-63"/>
        </w:rPr>
        <w:t> </w:t>
      </w:r>
      <w:r>
        <w:rPr/>
        <w:t>25%少数股东权益所致。</w:t>
      </w:r>
    </w:p>
    <w:p>
      <w:pPr>
        <w:spacing w:after="0" w:line="240" w:lineRule="auto"/>
        <w:jc w:val="left"/>
        <w:sectPr>
          <w:pgSz w:w="11910" w:h="16840"/>
          <w:pgMar w:header="745" w:footer="979" w:top="1060" w:bottom="1160" w:left="840" w:right="1020"/>
        </w:sectPr>
      </w:pPr>
    </w:p>
    <w:p>
      <w:pPr>
        <w:spacing w:line="240" w:lineRule="auto" w:before="6"/>
        <w:rPr>
          <w:rFonts w:ascii="宋体" w:hAnsi="宋体" w:cs="宋体" w:eastAsia="宋体" w:hint="default"/>
          <w:sz w:val="29"/>
          <w:szCs w:val="29"/>
        </w:rPr>
      </w:pPr>
    </w:p>
    <w:p>
      <w:pPr>
        <w:pStyle w:val="BodyText"/>
        <w:spacing w:line="240" w:lineRule="auto" w:before="26"/>
        <w:ind w:left="775" w:right="0"/>
        <w:jc w:val="left"/>
      </w:pPr>
      <w:r>
        <w:rPr/>
        <w:t>26.</w:t>
      </w:r>
      <w:r>
        <w:rPr>
          <w:spacing w:val="-3"/>
        </w:rPr>
        <w:t> </w:t>
      </w:r>
      <w:r>
        <w:rPr/>
        <w:t>盈余公积</w:t>
      </w:r>
    </w:p>
    <w:p>
      <w:pPr>
        <w:pStyle w:val="BodyText"/>
        <w:spacing w:line="240" w:lineRule="auto" w:before="194"/>
        <w:ind w:left="775" w:right="0"/>
        <w:jc w:val="left"/>
      </w:pPr>
      <w:r>
        <w:rPr/>
        <w:t>(1)</w:t>
      </w:r>
      <w:r>
        <w:rPr>
          <w:spacing w:val="-3"/>
        </w:rPr>
        <w:t> </w:t>
      </w:r>
      <w:r>
        <w:rPr/>
        <w:t>明细情况</w:t>
      </w:r>
    </w:p>
    <w:p>
      <w:pPr>
        <w:spacing w:line="240" w:lineRule="auto" w:before="10"/>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980"/>
        <w:gridCol w:w="1620"/>
        <w:gridCol w:w="1620"/>
        <w:gridCol w:w="1620"/>
        <w:gridCol w:w="1800"/>
      </w:tblGrid>
      <w:tr>
        <w:trPr>
          <w:trHeight w:val="557" w:hRule="exact"/>
        </w:trPr>
        <w:tc>
          <w:tcPr>
            <w:tcW w:w="19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90"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3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4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4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59" w:hRule="exact"/>
        </w:trPr>
        <w:tc>
          <w:tcPr>
            <w:tcW w:w="19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5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16,403,869.49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29" w:right="0"/>
              <w:jc w:val="left"/>
              <w:rPr>
                <w:rFonts w:ascii="宋体" w:hAnsi="宋体" w:cs="宋体" w:eastAsia="宋体" w:hint="default"/>
                <w:sz w:val="18"/>
                <w:szCs w:val="18"/>
              </w:rPr>
            </w:pPr>
            <w:r>
              <w:rPr>
                <w:rFonts w:ascii="宋体"/>
                <w:sz w:val="18"/>
              </w:rPr>
              <w:t>3,048,668.30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19,452,537.79</w:t>
            </w:r>
          </w:p>
        </w:tc>
      </w:tr>
      <w:tr>
        <w:trPr>
          <w:trHeight w:val="557" w:hRule="exact"/>
        </w:trPr>
        <w:tc>
          <w:tcPr>
            <w:tcW w:w="19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9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16,403,869.49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29" w:right="0"/>
              <w:jc w:val="left"/>
              <w:rPr>
                <w:rFonts w:ascii="宋体" w:hAnsi="宋体" w:cs="宋体" w:eastAsia="宋体" w:hint="default"/>
                <w:sz w:val="18"/>
                <w:szCs w:val="18"/>
              </w:rPr>
            </w:pPr>
            <w:r>
              <w:rPr>
                <w:rFonts w:ascii="宋体"/>
                <w:sz w:val="18"/>
              </w:rPr>
              <w:t>3,048,668.30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19,452,537.79</w:t>
            </w:r>
          </w:p>
        </w:tc>
      </w:tr>
    </w:tbl>
    <w:p>
      <w:pPr>
        <w:pStyle w:val="BodyText"/>
        <w:spacing w:line="240" w:lineRule="auto" w:before="82"/>
        <w:ind w:left="775" w:right="0"/>
        <w:jc w:val="left"/>
      </w:pPr>
      <w:r>
        <w:rPr/>
        <w:t>(2)</w:t>
      </w:r>
      <w:r>
        <w:rPr>
          <w:spacing w:val="-3"/>
        </w:rPr>
        <w:t> </w:t>
      </w:r>
      <w:r>
        <w:rPr/>
        <w:t>其他说明</w:t>
      </w:r>
    </w:p>
    <w:p>
      <w:pPr>
        <w:spacing w:line="240" w:lineRule="auto" w:before="12"/>
        <w:rPr>
          <w:rFonts w:ascii="宋体" w:hAnsi="宋体" w:cs="宋体" w:eastAsia="宋体" w:hint="default"/>
          <w:sz w:val="12"/>
          <w:szCs w:val="12"/>
        </w:rPr>
      </w:pPr>
    </w:p>
    <w:p>
      <w:pPr>
        <w:pStyle w:val="BodyText"/>
        <w:spacing w:line="240" w:lineRule="auto" w:before="26"/>
        <w:ind w:left="1252" w:right="0"/>
        <w:jc w:val="left"/>
      </w:pPr>
      <w:r>
        <w:rPr/>
        <w:t>本期增加系按照</w:t>
      </w:r>
      <w:r>
        <w:rPr>
          <w:spacing w:val="-81"/>
        </w:rPr>
        <w:t> </w:t>
      </w:r>
      <w:r>
        <w:rPr/>
        <w:t>2012</w:t>
      </w:r>
      <w:r>
        <w:rPr>
          <w:spacing w:val="-81"/>
        </w:rPr>
        <w:t> </w:t>
      </w:r>
      <w:r>
        <w:rPr/>
        <w:t>年度母公司实现净利润的</w:t>
      </w:r>
      <w:r>
        <w:rPr>
          <w:spacing w:val="-81"/>
        </w:rPr>
        <w:t> </w:t>
      </w:r>
      <w:r>
        <w:rPr/>
        <w:t>10%提取法定盈余公积</w:t>
      </w:r>
      <w:r>
        <w:rPr>
          <w:spacing w:val="-79"/>
        </w:rPr>
        <w:t> </w:t>
      </w:r>
      <w:r>
        <w:rPr/>
        <w:t>3,048,668.30</w:t>
      </w:r>
    </w:p>
    <w:p>
      <w:pPr>
        <w:pStyle w:val="BodyText"/>
        <w:spacing w:line="240" w:lineRule="auto" w:before="154"/>
        <w:ind w:right="0"/>
        <w:jc w:val="left"/>
      </w:pP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7"/>
        <w:ind w:left="775" w:right="0"/>
        <w:jc w:val="left"/>
      </w:pPr>
      <w:r>
        <w:rPr/>
        <w:t>27.</w:t>
      </w:r>
      <w:r>
        <w:rPr>
          <w:spacing w:val="-3"/>
        </w:rPr>
        <w:t> </w:t>
      </w:r>
      <w:r>
        <w:rPr/>
        <w:t>未分配利润</w:t>
      </w:r>
    </w:p>
    <w:p>
      <w:pPr>
        <w:spacing w:line="240" w:lineRule="auto" w:before="10"/>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4500"/>
        <w:gridCol w:w="2160"/>
        <w:gridCol w:w="1980"/>
      </w:tblGrid>
      <w:tr>
        <w:trPr>
          <w:trHeight w:val="557" w:hRule="exact"/>
        </w:trPr>
        <w:tc>
          <w:tcPr>
            <w:tcW w:w="4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90"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金  额</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559" w:hRule="exact"/>
        </w:trPr>
        <w:tc>
          <w:tcPr>
            <w:tcW w:w="4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08" w:right="0"/>
              <w:jc w:val="left"/>
              <w:rPr>
                <w:rFonts w:ascii="宋体" w:hAnsi="宋体" w:cs="宋体" w:eastAsia="宋体" w:hint="default"/>
                <w:sz w:val="18"/>
                <w:szCs w:val="18"/>
              </w:rPr>
            </w:pPr>
            <w:r>
              <w:rPr>
                <w:rFonts w:ascii="宋体" w:hAnsi="宋体" w:cs="宋体" w:eastAsia="宋体" w:hint="default"/>
                <w:sz w:val="18"/>
                <w:szCs w:val="18"/>
              </w:rPr>
              <w:t>期初未分配利润</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122,801,940.27</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557" w:hRule="exact"/>
        </w:trPr>
        <w:tc>
          <w:tcPr>
            <w:tcW w:w="4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08"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4,431,085.96</w:t>
            </w: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08"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3,048,668.30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
              <w:jc w:val="center"/>
              <w:rPr>
                <w:rFonts w:ascii="宋体" w:hAnsi="宋体" w:cs="宋体" w:eastAsia="宋体" w:hint="default"/>
                <w:sz w:val="18"/>
                <w:szCs w:val="18"/>
              </w:rPr>
            </w:pPr>
            <w:r>
              <w:rPr>
                <w:rFonts w:ascii="宋体"/>
                <w:sz w:val="18"/>
              </w:rPr>
              <w:t>10%</w:t>
            </w:r>
          </w:p>
        </w:tc>
      </w:tr>
      <w:tr>
        <w:trPr>
          <w:trHeight w:val="557" w:hRule="exact"/>
        </w:trPr>
        <w:tc>
          <w:tcPr>
            <w:tcW w:w="4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70"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12,839,999.98</w:t>
            </w: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08"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111,344,357.95</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BodyText"/>
        <w:spacing w:line="386" w:lineRule="auto" w:before="26"/>
        <w:ind w:left="775" w:right="6674"/>
        <w:jc w:val="left"/>
      </w:pPr>
      <w:r>
        <w:rPr/>
        <w:t>(二)</w:t>
      </w:r>
      <w:r>
        <w:rPr>
          <w:spacing w:val="-3"/>
        </w:rPr>
        <w:t> </w:t>
      </w:r>
      <w:r>
        <w:rPr/>
        <w:t>合并利润表项目注释</w:t>
      </w:r>
      <w:r>
        <w:rPr/>
        <w:t> 1.</w:t>
      </w:r>
      <w:r>
        <w:rPr>
          <w:spacing w:val="-1"/>
        </w:rPr>
        <w:t> </w:t>
      </w:r>
      <w:r>
        <w:rPr/>
        <w:t>营业收入/营业成本</w:t>
      </w:r>
    </w:p>
    <w:p>
      <w:pPr>
        <w:pStyle w:val="BodyText"/>
        <w:spacing w:line="240" w:lineRule="auto" w:before="48"/>
        <w:ind w:left="775" w:right="0"/>
        <w:jc w:val="left"/>
      </w:pPr>
      <w:r>
        <w:rPr/>
        <w:t>(1)</w:t>
      </w:r>
      <w:r>
        <w:rPr>
          <w:spacing w:val="-3"/>
        </w:rPr>
        <w:t> </w:t>
      </w:r>
      <w:r>
        <w:rPr/>
        <w:t>明细情况</w:t>
      </w:r>
    </w:p>
    <w:p>
      <w:pPr>
        <w:spacing w:line="240" w:lineRule="auto" w:before="10"/>
        <w:rPr>
          <w:rFonts w:ascii="宋体" w:hAnsi="宋体" w:cs="宋体" w:eastAsia="宋体" w:hint="default"/>
          <w:sz w:val="11"/>
          <w:szCs w:val="11"/>
        </w:rPr>
      </w:pPr>
    </w:p>
    <w:tbl>
      <w:tblPr>
        <w:tblW w:w="0" w:type="auto"/>
        <w:jc w:val="left"/>
        <w:tblInd w:w="287" w:type="dxa"/>
        <w:tblLayout w:type="fixed"/>
        <w:tblCellMar>
          <w:top w:w="0" w:type="dxa"/>
          <w:left w:w="0" w:type="dxa"/>
          <w:bottom w:w="0" w:type="dxa"/>
          <w:right w:w="0" w:type="dxa"/>
        </w:tblCellMar>
        <w:tblLook w:val="01E0"/>
      </w:tblPr>
      <w:tblGrid>
        <w:gridCol w:w="3022"/>
        <w:gridCol w:w="2810"/>
        <w:gridCol w:w="2808"/>
      </w:tblGrid>
      <w:tr>
        <w:trPr>
          <w:trHeight w:val="557"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90"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3"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31"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59"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252,986,050.31</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367,083,993.93</w:t>
            </w:r>
          </w:p>
        </w:tc>
      </w:tr>
      <w:tr>
        <w:trPr>
          <w:trHeight w:val="557"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1,833,450.78</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2,148,911.18</w:t>
            </w:r>
          </w:p>
        </w:tc>
      </w:tr>
      <w:tr>
        <w:trPr>
          <w:trHeight w:val="559"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168,601,712.53</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258,479,630.32</w:t>
            </w:r>
          </w:p>
        </w:tc>
      </w:tr>
    </w:tbl>
    <w:p>
      <w:pPr>
        <w:pStyle w:val="BodyText"/>
        <w:spacing w:line="240" w:lineRule="auto" w:before="79"/>
        <w:ind w:left="775" w:right="0"/>
        <w:jc w:val="left"/>
      </w:pPr>
      <w:r>
        <w:rPr/>
        <w:pict>
          <v:group style="position:absolute;margin-left:547.559998pt;margin-top:65.725609pt;width:.1pt;height:10.35pt;mso-position-horizontal-relative:page;mso-position-vertical-relative:paragraph;z-index:4432" coordorigin="10951,1315" coordsize="2,207">
            <v:shape style="position:absolute;left:10951;top:1315;width:2;height:207" coordorigin="10951,1315" coordsize="0,207" path="m10951,1315l10951,1521e" filled="false" stroked="true" strokeweight=".12pt" strokecolor="#000000">
              <v:path arrowok="t"/>
            </v:shape>
            <w10:wrap type="none"/>
          </v:group>
        </w:pict>
      </w:r>
      <w:r>
        <w:rPr/>
        <w:t>(2)</w:t>
      </w:r>
      <w:r>
        <w:rPr>
          <w:spacing w:val="-1"/>
        </w:rPr>
        <w:t> </w:t>
      </w:r>
      <w:r>
        <w:rPr/>
        <w:t>主营业务收入/主营业务成本</w:t>
      </w:r>
    </w:p>
    <w:p>
      <w:pPr>
        <w:spacing w:line="240" w:lineRule="auto" w:before="5"/>
        <w:rPr>
          <w:rFonts w:ascii="宋体" w:hAnsi="宋体" w:cs="宋体" w:eastAsia="宋体" w:hint="default"/>
          <w:sz w:val="11"/>
          <w:szCs w:val="11"/>
        </w:rPr>
      </w:pPr>
    </w:p>
    <w:p>
      <w:pPr>
        <w:spacing w:line="355" w:lineRule="exact"/>
        <w:ind w:left="288"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35.4pt;height:17.8pt;mso-position-horizontal-relative:char;mso-position-vertical-relative:line" coordorigin="0,0" coordsize="8708,356">
            <v:group style="position:absolute;left:5;top:10;width:8698;height:2" coordorigin="5,10" coordsize="8698,2">
              <v:shape style="position:absolute;left:5;top:10;width:8698;height:2" coordorigin="5,10" coordsize="8698,0" path="m5,10l8702,10e" filled="false" stroked="true" strokeweight=".48pt" strokecolor="#000000">
                <v:path arrowok="t"/>
              </v:shape>
            </v:group>
            <v:group style="position:absolute;left:5;top:350;width:8698;height:2" coordorigin="5,350" coordsize="8698,2">
              <v:shape style="position:absolute;left:5;top:350;width:8698;height:2" coordorigin="5,350" coordsize="8698,0" path="m5,350l8702,350e" filled="false" stroked="true" strokeweight=".48pt" strokecolor="#000000">
                <v:path arrowok="t"/>
              </v:shape>
            </v:group>
            <v:group style="position:absolute;left:1990;top:5;width:2;height:341" coordorigin="1990,5" coordsize="2,341">
              <v:shape style="position:absolute;left:1990;top:5;width:2;height:341" coordorigin="1990,5" coordsize="0,341" path="m1990,5l1990,346e" filled="false" stroked="true" strokeweight=".48pt" strokecolor="#000000">
                <v:path arrowok="t"/>
              </v:shape>
            </v:group>
            <v:group style="position:absolute;left:5534;top:5;width:2;height:341" coordorigin="5534,5" coordsize="2,341">
              <v:shape style="position:absolute;left:5534;top:5;width:2;height:341" coordorigin="5534,5" coordsize="0,341" path="m5534,5l5534,346e" filled="false" stroked="true" strokeweight=".48pt" strokecolor="#000000">
                <v:path arrowok="t"/>
              </v:shape>
              <v:shape style="position:absolute;left:1990;top:10;width:3545;height:341" type="#_x0000_t202" filled="false" stroked="false">
                <v:textbox inset="0,0,0,0">
                  <w:txbxContent>
                    <w:p>
                      <w:pPr>
                        <w:spacing w:before="56"/>
                        <w:ind w:left="96" w:right="0" w:firstLine="0"/>
                        <w:jc w:val="center"/>
                        <w:rPr>
                          <w:rFonts w:ascii="宋体" w:hAnsi="宋体" w:cs="宋体" w:eastAsia="宋体" w:hint="default"/>
                          <w:sz w:val="18"/>
                          <w:szCs w:val="18"/>
                        </w:rPr>
                      </w:pPr>
                      <w:r>
                        <w:rPr>
                          <w:rFonts w:ascii="宋体" w:hAnsi="宋体" w:cs="宋体" w:eastAsia="宋体" w:hint="default"/>
                          <w:sz w:val="18"/>
                          <w:szCs w:val="18"/>
                        </w:rPr>
                        <w:t>本期数</w:t>
                      </w:r>
                    </w:p>
                  </w:txbxContent>
                </v:textbox>
                <w10:wrap type="none"/>
              </v:shape>
              <v:shape style="position:absolute;left:295;top:121;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产品名称</w:t>
                      </w:r>
                    </w:p>
                  </w:txbxContent>
                </v:textbox>
                <w10:wrap type="none"/>
              </v:shape>
              <v:shape style="position:absolute;left:6715;top:121;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上年同期数</w:t>
                      </w:r>
                    </w:p>
                  </w:txbxContent>
                </v:textbox>
                <w10:wrap type="none"/>
              </v:shape>
            </v:group>
          </v:group>
        </w:pict>
      </w:r>
      <w:r>
        <w:rPr>
          <w:rFonts w:ascii="宋体" w:hAnsi="宋体" w:cs="宋体" w:eastAsia="宋体" w:hint="default"/>
          <w:position w:val="-6"/>
          <w:sz w:val="20"/>
          <w:szCs w:val="20"/>
        </w:rPr>
      </w:r>
    </w:p>
    <w:p>
      <w:pPr>
        <w:spacing w:after="0" w:line="355" w:lineRule="exact"/>
        <w:rPr>
          <w:rFonts w:ascii="宋体" w:hAnsi="宋体" w:cs="宋体" w:eastAsia="宋体" w:hint="default"/>
          <w:sz w:val="20"/>
          <w:szCs w:val="20"/>
        </w:rPr>
        <w:sectPr>
          <w:pgSz w:w="11910" w:h="16840"/>
          <w:pgMar w:header="745" w:footer="979" w:top="1060" w:bottom="1160" w:left="840" w:right="840"/>
        </w:sectPr>
      </w:pPr>
    </w:p>
    <w:p>
      <w:pPr>
        <w:spacing w:line="240" w:lineRule="auto" w:before="6"/>
        <w:rPr>
          <w:rFonts w:ascii="宋体" w:hAnsi="宋体" w:cs="宋体" w:eastAsia="宋体" w:hint="default"/>
          <w:sz w:val="28"/>
          <w:szCs w:val="28"/>
        </w:rPr>
      </w:pPr>
      <w:r>
        <w:rPr/>
        <w:pict>
          <v:group style="position:absolute;margin-left:47.639999pt;margin-top:781.919983pt;width:.1pt;height:10.35pt;mso-position-horizontal-relative:page;mso-position-vertical-relative:page;z-index:4456" coordorigin="953,15638" coordsize="2,207">
            <v:shape style="position:absolute;left:953;top:15638;width:2;height:207" coordorigin="953,15638" coordsize="0,207" path="m953,15638l953,15845e" filled="false" stroked="true" strokeweight=".12pt" strokecolor="#000000">
              <v:path arrowok="t"/>
            </v:shape>
            <w10:wrap type="none"/>
          </v:group>
        </w:pict>
      </w:r>
    </w:p>
    <w:tbl>
      <w:tblPr>
        <w:tblW w:w="0" w:type="auto"/>
        <w:jc w:val="left"/>
        <w:tblInd w:w="287" w:type="dxa"/>
        <w:tblLayout w:type="fixed"/>
        <w:tblCellMar>
          <w:top w:w="0" w:type="dxa"/>
          <w:left w:w="0" w:type="dxa"/>
          <w:bottom w:w="0" w:type="dxa"/>
          <w:right w:w="0" w:type="dxa"/>
        </w:tblCellMar>
        <w:tblLook w:val="01E0"/>
      </w:tblPr>
      <w:tblGrid>
        <w:gridCol w:w="1985"/>
        <w:gridCol w:w="1843"/>
        <w:gridCol w:w="1702"/>
        <w:gridCol w:w="1570"/>
        <w:gridCol w:w="1598"/>
      </w:tblGrid>
      <w:tr>
        <w:trPr>
          <w:trHeight w:val="338" w:hRule="exact"/>
        </w:trPr>
        <w:tc>
          <w:tcPr>
            <w:tcW w:w="1985" w:type="dxa"/>
            <w:tcBorders>
              <w:top w:val="single" w:sz="4" w:space="0" w:color="000000"/>
              <w:left w:val="nil" w:sz="6" w:space="0" w:color="auto"/>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3"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86"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56"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应用软件开发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
                <w:sz w:val="18"/>
              </w:rPr>
              <w:t>71,291,838.47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
                <w:sz w:val="18"/>
              </w:rPr>
              <w:t>10,185,042.29</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
                <w:sz w:val="18"/>
              </w:rPr>
              <w:t>62,543,720.56</w:t>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spacing w:val="-1"/>
                <w:sz w:val="18"/>
              </w:rPr>
              <w:t>10,273,629.17</w:t>
            </w:r>
          </w:p>
        </w:tc>
      </w:tr>
      <w:tr>
        <w:trPr>
          <w:trHeight w:val="454"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技术支持与服务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27,684,105.48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5,832,721.63</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25,392,635.07</w:t>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3,864,298.23</w:t>
            </w:r>
          </w:p>
        </w:tc>
      </w:tr>
      <w:tr>
        <w:trPr>
          <w:trHeight w:val="454"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系统集成与硬件销售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宋体" w:hAnsi="宋体" w:cs="宋体" w:eastAsia="宋体" w:hint="default"/>
                <w:sz w:val="18"/>
                <w:szCs w:val="18"/>
              </w:rPr>
            </w:pPr>
            <w:r>
              <w:rPr>
                <w:rFonts w:ascii="宋体"/>
                <w:spacing w:val="-1"/>
                <w:sz w:val="18"/>
              </w:rPr>
              <w:t>154,010,106.36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152,279,878.63</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279,147,638.30</w:t>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243,983,697.64</w:t>
            </w:r>
          </w:p>
        </w:tc>
      </w:tr>
      <w:tr>
        <w:trPr>
          <w:trHeight w:val="454"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90"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8"/>
                <w:szCs w:val="18"/>
              </w:rPr>
            </w:pPr>
            <w:r>
              <w:rPr>
                <w:rFonts w:ascii="宋体"/>
                <w:spacing w:val="-1"/>
                <w:sz w:val="18"/>
              </w:rPr>
              <w:t>252,986,050.31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
                <w:sz w:val="18"/>
              </w:rPr>
              <w:t>168,297,642.55</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367,083,993.93</w:t>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258,121,625.04</w:t>
            </w:r>
          </w:p>
        </w:tc>
      </w:tr>
    </w:tbl>
    <w:p>
      <w:pPr>
        <w:spacing w:line="240" w:lineRule="auto" w:before="5"/>
        <w:rPr>
          <w:rFonts w:ascii="宋体" w:hAnsi="宋体" w:cs="宋体" w:eastAsia="宋体" w:hint="default"/>
          <w:sz w:val="6"/>
          <w:szCs w:val="6"/>
        </w:rPr>
      </w:pPr>
    </w:p>
    <w:p>
      <w:pPr>
        <w:spacing w:before="44"/>
        <w:ind w:left="655" w:right="279"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
          <w:sz w:val="18"/>
          <w:szCs w:val="18"/>
        </w:rPr>
        <w:t> </w:t>
      </w: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名客户的营业收入情况</w:t>
      </w:r>
    </w:p>
    <w:p>
      <w:pPr>
        <w:spacing w:line="240" w:lineRule="auto" w:before="0"/>
        <w:rPr>
          <w:rFonts w:ascii="宋体" w:hAnsi="宋体" w:cs="宋体" w:eastAsia="宋体" w:hint="default"/>
          <w:sz w:val="14"/>
          <w:szCs w:val="14"/>
        </w:rPr>
      </w:pPr>
    </w:p>
    <w:tbl>
      <w:tblPr>
        <w:tblW w:w="0" w:type="auto"/>
        <w:jc w:val="left"/>
        <w:tblInd w:w="287" w:type="dxa"/>
        <w:tblLayout w:type="fixed"/>
        <w:tblCellMar>
          <w:top w:w="0" w:type="dxa"/>
          <w:left w:w="0" w:type="dxa"/>
          <w:bottom w:w="0" w:type="dxa"/>
          <w:right w:w="0" w:type="dxa"/>
        </w:tblCellMar>
        <w:tblLook w:val="01E0"/>
      </w:tblPr>
      <w:tblGrid>
        <w:gridCol w:w="3600"/>
        <w:gridCol w:w="2520"/>
        <w:gridCol w:w="2340"/>
      </w:tblGrid>
      <w:tr>
        <w:trPr>
          <w:trHeight w:val="756" w:hRule="exact"/>
        </w:trPr>
        <w:tc>
          <w:tcPr>
            <w:tcW w:w="36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客户名称</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51"/>
              <w:ind w:left="852" w:right="266" w:hanging="586"/>
              <w:jc w:val="left"/>
              <w:rPr>
                <w:rFonts w:ascii="宋体" w:hAnsi="宋体" w:cs="宋体" w:eastAsia="宋体" w:hint="default"/>
                <w:sz w:val="18"/>
                <w:szCs w:val="18"/>
              </w:rPr>
            </w:pPr>
            <w:r>
              <w:rPr>
                <w:rFonts w:ascii="宋体" w:hAnsi="宋体" w:cs="宋体" w:eastAsia="宋体" w:hint="default"/>
                <w:sz w:val="18"/>
                <w:szCs w:val="18"/>
              </w:rPr>
              <w:t>占公司全部营业收入的 比例(%)</w:t>
            </w:r>
          </w:p>
        </w:tc>
      </w:tr>
      <w:tr>
        <w:trPr>
          <w:trHeight w:val="557" w:hRule="exact"/>
        </w:trPr>
        <w:tc>
          <w:tcPr>
            <w:tcW w:w="36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浙江省电力公司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23,384,702.99</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985"/>
              <w:jc w:val="right"/>
              <w:rPr>
                <w:rFonts w:ascii="宋体" w:hAnsi="宋体" w:cs="宋体" w:eastAsia="宋体" w:hint="default"/>
                <w:sz w:val="18"/>
                <w:szCs w:val="18"/>
              </w:rPr>
            </w:pPr>
            <w:r>
              <w:rPr>
                <w:rFonts w:ascii="宋体"/>
                <w:sz w:val="18"/>
              </w:rPr>
              <w:t>9.18</w:t>
            </w:r>
          </w:p>
        </w:tc>
      </w:tr>
      <w:tr>
        <w:trPr>
          <w:trHeight w:val="559" w:hRule="exact"/>
        </w:trPr>
        <w:tc>
          <w:tcPr>
            <w:tcW w:w="36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浙江中烟工业有限责任公司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11,565,581.58</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985"/>
              <w:jc w:val="right"/>
              <w:rPr>
                <w:rFonts w:ascii="宋体" w:hAnsi="宋体" w:cs="宋体" w:eastAsia="宋体" w:hint="default"/>
                <w:sz w:val="18"/>
                <w:szCs w:val="18"/>
              </w:rPr>
            </w:pPr>
            <w:r>
              <w:rPr>
                <w:rFonts w:ascii="宋体"/>
                <w:sz w:val="18"/>
              </w:rPr>
              <w:t>4.54</w:t>
            </w:r>
          </w:p>
        </w:tc>
      </w:tr>
      <w:tr>
        <w:trPr>
          <w:trHeight w:val="557" w:hRule="exact"/>
        </w:trPr>
        <w:tc>
          <w:tcPr>
            <w:tcW w:w="36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辽宁省电力有限公司信息通信分公司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9,043,018.90</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985"/>
              <w:jc w:val="right"/>
              <w:rPr>
                <w:rFonts w:ascii="宋体" w:hAnsi="宋体" w:cs="宋体" w:eastAsia="宋体" w:hint="default"/>
                <w:sz w:val="18"/>
                <w:szCs w:val="18"/>
              </w:rPr>
            </w:pPr>
            <w:r>
              <w:rPr>
                <w:rFonts w:ascii="宋体"/>
                <w:sz w:val="18"/>
              </w:rPr>
              <w:t>3.55</w:t>
            </w:r>
          </w:p>
        </w:tc>
      </w:tr>
      <w:tr>
        <w:trPr>
          <w:trHeight w:val="559" w:hRule="exact"/>
        </w:trPr>
        <w:tc>
          <w:tcPr>
            <w:tcW w:w="36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浙江沃安互联科技有限公司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8,951,124.99</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985"/>
              <w:jc w:val="right"/>
              <w:rPr>
                <w:rFonts w:ascii="宋体" w:hAnsi="宋体" w:cs="宋体" w:eastAsia="宋体" w:hint="default"/>
                <w:sz w:val="18"/>
                <w:szCs w:val="18"/>
              </w:rPr>
            </w:pPr>
            <w:r>
              <w:rPr>
                <w:rFonts w:ascii="宋体"/>
                <w:sz w:val="18"/>
              </w:rPr>
              <w:t>3.51</w:t>
            </w:r>
          </w:p>
        </w:tc>
      </w:tr>
      <w:tr>
        <w:trPr>
          <w:trHeight w:val="557" w:hRule="exact"/>
        </w:trPr>
        <w:tc>
          <w:tcPr>
            <w:tcW w:w="36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浙江省交通运输厅信息中心</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8,157,272.19</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985"/>
              <w:jc w:val="right"/>
              <w:rPr>
                <w:rFonts w:ascii="宋体" w:hAnsi="宋体" w:cs="宋体" w:eastAsia="宋体" w:hint="default"/>
                <w:sz w:val="18"/>
                <w:szCs w:val="18"/>
              </w:rPr>
            </w:pPr>
            <w:r>
              <w:rPr>
                <w:rFonts w:ascii="宋体"/>
                <w:sz w:val="18"/>
              </w:rPr>
              <w:t>3.20</w:t>
            </w:r>
          </w:p>
        </w:tc>
      </w:tr>
      <w:tr>
        <w:trPr>
          <w:trHeight w:val="559" w:hRule="exact"/>
        </w:trPr>
        <w:tc>
          <w:tcPr>
            <w:tcW w:w="36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79"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61,101,700.65</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942"/>
              <w:jc w:val="right"/>
              <w:rPr>
                <w:rFonts w:ascii="宋体" w:hAnsi="宋体" w:cs="宋体" w:eastAsia="宋体" w:hint="default"/>
                <w:sz w:val="18"/>
                <w:szCs w:val="18"/>
              </w:rPr>
            </w:pPr>
            <w:r>
              <w:rPr>
                <w:rFonts w:ascii="宋体"/>
                <w:spacing w:val="-1"/>
                <w:sz w:val="18"/>
              </w:rPr>
              <w:t>23.98</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26"/>
        <w:ind w:left="775" w:right="279"/>
        <w:jc w:val="left"/>
      </w:pPr>
      <w:r>
        <w:rPr/>
        <w:t>2.</w:t>
      </w:r>
      <w:r>
        <w:rPr>
          <w:spacing w:val="-3"/>
        </w:rPr>
        <w:t> </w:t>
      </w:r>
      <w:r>
        <w:rPr/>
        <w:t>营业税金及附加</w:t>
      </w:r>
    </w:p>
    <w:p>
      <w:pPr>
        <w:spacing w:line="240" w:lineRule="auto" w:before="10"/>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702"/>
        <w:gridCol w:w="2081"/>
        <w:gridCol w:w="1961"/>
        <w:gridCol w:w="3257"/>
      </w:tblGrid>
      <w:tr>
        <w:trPr>
          <w:trHeight w:val="559"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90"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18"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3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557"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08"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pacing w:val="-1"/>
                <w:sz w:val="18"/>
              </w:rPr>
              <w:t>2,540,308.35</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3,137,886.69</w:t>
            </w:r>
          </w:p>
        </w:tc>
        <w:tc>
          <w:tcPr>
            <w:tcW w:w="3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详见本财务报表附注税项之说明</w:t>
            </w:r>
          </w:p>
        </w:tc>
      </w:tr>
      <w:tr>
        <w:trPr>
          <w:trHeight w:val="559"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08"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7"/>
              <w:jc w:val="right"/>
              <w:rPr>
                <w:rFonts w:ascii="宋体" w:hAnsi="宋体" w:cs="宋体" w:eastAsia="宋体" w:hint="default"/>
                <w:sz w:val="18"/>
                <w:szCs w:val="18"/>
              </w:rPr>
            </w:pPr>
            <w:r>
              <w:rPr>
                <w:rFonts w:ascii="宋体"/>
                <w:spacing w:val="-1"/>
                <w:sz w:val="18"/>
              </w:rPr>
              <w:t>539,865.17</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802,643.35</w:t>
            </w:r>
          </w:p>
        </w:tc>
        <w:tc>
          <w:tcPr>
            <w:tcW w:w="3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详见本财务报表附注税项之说明</w:t>
            </w:r>
          </w:p>
        </w:tc>
      </w:tr>
      <w:tr>
        <w:trPr>
          <w:trHeight w:val="557"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08"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pacing w:val="-1"/>
                <w:sz w:val="18"/>
              </w:rPr>
              <w:t>231,369.05</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343,990.01</w:t>
            </w:r>
          </w:p>
        </w:tc>
        <w:tc>
          <w:tcPr>
            <w:tcW w:w="3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详见本财务报表附注税项之说明</w:t>
            </w:r>
          </w:p>
        </w:tc>
      </w:tr>
      <w:tr>
        <w:trPr>
          <w:trHeight w:val="559"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08"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7"/>
              <w:jc w:val="right"/>
              <w:rPr>
                <w:rFonts w:ascii="宋体" w:hAnsi="宋体" w:cs="宋体" w:eastAsia="宋体" w:hint="default"/>
                <w:sz w:val="18"/>
                <w:szCs w:val="18"/>
              </w:rPr>
            </w:pPr>
            <w:r>
              <w:rPr>
                <w:rFonts w:ascii="宋体"/>
                <w:spacing w:val="-1"/>
                <w:sz w:val="18"/>
              </w:rPr>
              <w:t>154,246.05</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229,326.67</w:t>
            </w:r>
          </w:p>
        </w:tc>
        <w:tc>
          <w:tcPr>
            <w:tcW w:w="32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详见本财务报表附注税项之说明</w:t>
            </w:r>
          </w:p>
        </w:tc>
      </w:tr>
      <w:tr>
        <w:trPr>
          <w:trHeight w:val="557"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9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pacing w:val="-1"/>
                <w:sz w:val="18"/>
              </w:rPr>
              <w:t>3,465,788.62</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4,513,846.72</w:t>
            </w:r>
          </w:p>
        </w:tc>
        <w:tc>
          <w:tcPr>
            <w:tcW w:w="3257"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BodyText"/>
        <w:spacing w:line="240" w:lineRule="auto" w:before="26"/>
        <w:ind w:left="775" w:right="279"/>
        <w:jc w:val="left"/>
      </w:pPr>
      <w:r>
        <w:rPr/>
        <w:t>3.</w:t>
      </w:r>
      <w:r>
        <w:rPr>
          <w:spacing w:val="-3"/>
        </w:rPr>
        <w:t> </w:t>
      </w:r>
      <w:r>
        <w:rPr/>
        <w:t>销售费用</w:t>
      </w:r>
    </w:p>
    <w:p>
      <w:pPr>
        <w:spacing w:line="240" w:lineRule="auto" w:before="10"/>
        <w:rPr>
          <w:rFonts w:ascii="宋体" w:hAnsi="宋体" w:cs="宋体" w:eastAsia="宋体" w:hint="default"/>
          <w:sz w:val="11"/>
          <w:szCs w:val="11"/>
        </w:rPr>
      </w:pPr>
    </w:p>
    <w:tbl>
      <w:tblPr>
        <w:tblW w:w="0" w:type="auto"/>
        <w:jc w:val="left"/>
        <w:tblInd w:w="287" w:type="dxa"/>
        <w:tblLayout w:type="fixed"/>
        <w:tblCellMar>
          <w:top w:w="0" w:type="dxa"/>
          <w:left w:w="0" w:type="dxa"/>
          <w:bottom w:w="0" w:type="dxa"/>
          <w:right w:w="0" w:type="dxa"/>
        </w:tblCellMar>
        <w:tblLook w:val="01E0"/>
      </w:tblPr>
      <w:tblGrid>
        <w:gridCol w:w="3022"/>
        <w:gridCol w:w="2810"/>
        <w:gridCol w:w="2808"/>
      </w:tblGrid>
      <w:tr>
        <w:trPr>
          <w:trHeight w:val="559"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9"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3"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31"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57"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1,215,725.90</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2,124,391.66</w:t>
            </w:r>
          </w:p>
        </w:tc>
      </w:tr>
      <w:tr>
        <w:trPr>
          <w:trHeight w:val="559"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112,269.99</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86,659.54</w:t>
            </w:r>
          </w:p>
        </w:tc>
      </w:tr>
    </w:tbl>
    <w:p>
      <w:pPr>
        <w:spacing w:after="0" w:line="240" w:lineRule="auto"/>
        <w:jc w:val="right"/>
        <w:rPr>
          <w:rFonts w:ascii="宋体" w:hAnsi="宋体" w:cs="宋体" w:eastAsia="宋体" w:hint="default"/>
          <w:sz w:val="18"/>
          <w:szCs w:val="18"/>
        </w:rPr>
        <w:sectPr>
          <w:pgSz w:w="11910" w:h="16840"/>
          <w:pgMar w:header="745" w:footer="979" w:top="1060" w:bottom="1160" w:left="840" w:right="1020"/>
        </w:sectPr>
      </w:pPr>
    </w:p>
    <w:p>
      <w:pPr>
        <w:spacing w:line="240" w:lineRule="auto" w:before="6"/>
        <w:rPr>
          <w:rFonts w:ascii="宋体" w:hAnsi="宋体" w:cs="宋体" w:eastAsia="宋体" w:hint="default"/>
          <w:sz w:val="28"/>
          <w:szCs w:val="28"/>
        </w:rPr>
      </w:pPr>
    </w:p>
    <w:tbl>
      <w:tblPr>
        <w:tblW w:w="0" w:type="auto"/>
        <w:jc w:val="left"/>
        <w:tblInd w:w="107" w:type="dxa"/>
        <w:tblLayout w:type="fixed"/>
        <w:tblCellMar>
          <w:top w:w="0" w:type="dxa"/>
          <w:left w:w="0" w:type="dxa"/>
          <w:bottom w:w="0" w:type="dxa"/>
          <w:right w:w="0" w:type="dxa"/>
        </w:tblCellMar>
        <w:tblLook w:val="01E0"/>
      </w:tblPr>
      <w:tblGrid>
        <w:gridCol w:w="3022"/>
        <w:gridCol w:w="2810"/>
        <w:gridCol w:w="2808"/>
      </w:tblGrid>
      <w:tr>
        <w:trPr>
          <w:trHeight w:val="557"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投标费</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702,369.50</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708,530.20</w:t>
            </w:r>
          </w:p>
        </w:tc>
      </w:tr>
      <w:tr>
        <w:trPr>
          <w:trHeight w:val="559"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售后服务费</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1,459,232.74</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2,135,820.10</w:t>
            </w:r>
          </w:p>
        </w:tc>
      </w:tr>
      <w:tr>
        <w:trPr>
          <w:trHeight w:val="557"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车辆费用</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465,566.71</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285,756.08</w:t>
            </w:r>
          </w:p>
        </w:tc>
      </w:tr>
      <w:tr>
        <w:trPr>
          <w:trHeight w:val="559"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995,280.90</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1,162,688.13</w:t>
            </w:r>
          </w:p>
        </w:tc>
      </w:tr>
      <w:tr>
        <w:trPr>
          <w:trHeight w:val="557"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274,482.51</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345,055.43</w:t>
            </w:r>
          </w:p>
        </w:tc>
      </w:tr>
      <w:tr>
        <w:trPr>
          <w:trHeight w:val="559"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5,224,928.25</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6,848,901.14</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BodyText"/>
        <w:spacing w:line="240" w:lineRule="auto" w:before="26"/>
        <w:ind w:left="595" w:right="279"/>
        <w:jc w:val="left"/>
      </w:pPr>
      <w:r>
        <w:rPr/>
        <w:t>4.</w:t>
      </w:r>
      <w:r>
        <w:rPr>
          <w:spacing w:val="-3"/>
        </w:rPr>
        <w:t> </w:t>
      </w:r>
      <w:r>
        <w:rPr/>
        <w:t>管理费用</w:t>
      </w:r>
    </w:p>
    <w:p>
      <w:pPr>
        <w:spacing w:line="240" w:lineRule="auto" w:before="10"/>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3022"/>
        <w:gridCol w:w="2810"/>
        <w:gridCol w:w="2808"/>
      </w:tblGrid>
      <w:tr>
        <w:trPr>
          <w:trHeight w:val="557"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90"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3"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31"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59"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工资、社保、福利费</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9,553,914.89</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14,113,152.97</w:t>
            </w:r>
          </w:p>
        </w:tc>
      </w:tr>
      <w:tr>
        <w:trPr>
          <w:trHeight w:val="557"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14,200,385.86</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11,727,510.53</w:t>
            </w:r>
          </w:p>
        </w:tc>
      </w:tr>
      <w:tr>
        <w:trPr>
          <w:trHeight w:val="559"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6,727,235.11</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6,846,171.27</w:t>
            </w:r>
          </w:p>
        </w:tc>
      </w:tr>
      <w:tr>
        <w:trPr>
          <w:trHeight w:val="557"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5,529,005.97</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6,295,343.07</w:t>
            </w:r>
          </w:p>
        </w:tc>
      </w:tr>
      <w:tr>
        <w:trPr>
          <w:trHeight w:val="559"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税金、残保金</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590,939.24</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606,180.12</w:t>
            </w:r>
          </w:p>
        </w:tc>
      </w:tr>
      <w:tr>
        <w:trPr>
          <w:trHeight w:val="557"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4,495,947.06</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5,218,424.50</w:t>
            </w:r>
          </w:p>
        </w:tc>
      </w:tr>
      <w:tr>
        <w:trPr>
          <w:trHeight w:val="559"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董事会费</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137,520.00</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150,000.00</w:t>
            </w:r>
          </w:p>
        </w:tc>
      </w:tr>
      <w:tr>
        <w:trPr>
          <w:trHeight w:val="557"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工会经费</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514,759.28</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496,850.40</w:t>
            </w:r>
          </w:p>
        </w:tc>
      </w:tr>
      <w:tr>
        <w:trPr>
          <w:trHeight w:val="559"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职工教育经费</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386,665.41</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524,911.88</w:t>
            </w:r>
          </w:p>
        </w:tc>
      </w:tr>
      <w:tr>
        <w:trPr>
          <w:trHeight w:val="557"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9,000,050.81</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9,489,687.15</w:t>
            </w:r>
          </w:p>
        </w:tc>
      </w:tr>
      <w:tr>
        <w:trPr>
          <w:trHeight w:val="559"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610,861.70</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865,455.54</w:t>
            </w:r>
          </w:p>
        </w:tc>
      </w:tr>
      <w:tr>
        <w:trPr>
          <w:trHeight w:val="557"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51,747,285.33</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56,333,687.43</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BodyText"/>
        <w:spacing w:line="240" w:lineRule="auto" w:before="26"/>
        <w:ind w:left="595" w:right="279"/>
        <w:jc w:val="left"/>
      </w:pPr>
      <w:r>
        <w:rPr/>
        <w:pict>
          <v:group style="position:absolute;margin-left:547.559998pt;margin-top:99.315605pt;width:.1pt;height:10.35pt;mso-position-horizontal-relative:page;mso-position-vertical-relative:paragraph;z-index:4480" coordorigin="10951,1986" coordsize="2,207">
            <v:shape style="position:absolute;left:10951;top:1986;width:2;height:207" coordorigin="10951,1986" coordsize="0,207" path="m10951,1986l10951,2193e" filled="false" stroked="true" strokeweight=".12pt" strokecolor="#000000">
              <v:path arrowok="t"/>
            </v:shape>
            <w10:wrap type="none"/>
          </v:group>
        </w:pict>
      </w:r>
      <w:r>
        <w:rPr/>
        <w:t>5.</w:t>
      </w:r>
      <w:r>
        <w:rPr>
          <w:spacing w:val="-3"/>
        </w:rPr>
        <w:t> </w:t>
      </w:r>
      <w:r>
        <w:rPr/>
        <w:t>财务费用</w:t>
      </w:r>
    </w:p>
    <w:p>
      <w:pPr>
        <w:spacing w:line="240" w:lineRule="auto" w:before="10"/>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3022"/>
        <w:gridCol w:w="2810"/>
        <w:gridCol w:w="2808"/>
      </w:tblGrid>
      <w:tr>
        <w:trPr>
          <w:trHeight w:val="557"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2184"/>
              <w:jc w:val="right"/>
              <w:rPr>
                <w:rFonts w:ascii="宋体" w:hAnsi="宋体" w:cs="宋体" w:eastAsia="宋体" w:hint="default"/>
                <w:sz w:val="18"/>
                <w:szCs w:val="18"/>
              </w:rPr>
            </w:pPr>
            <w:r>
              <w:rPr>
                <w:rFonts w:ascii="宋体" w:hAnsi="宋体" w:cs="宋体" w:eastAsia="宋体" w:hint="default"/>
                <w:sz w:val="18"/>
                <w:szCs w:val="18"/>
              </w:rPr>
              <w:t>项  目</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3"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31"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59"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2184"/>
              <w:jc w:val="right"/>
              <w:rPr>
                <w:rFonts w:ascii="宋体" w:hAnsi="宋体" w:cs="宋体" w:eastAsia="宋体" w:hint="default"/>
                <w:sz w:val="18"/>
                <w:szCs w:val="18"/>
              </w:rPr>
            </w:pPr>
            <w:r>
              <w:rPr>
                <w:rFonts w:ascii="宋体" w:hAnsi="宋体" w:cs="宋体" w:eastAsia="宋体" w:hint="default"/>
                <w:sz w:val="18"/>
                <w:szCs w:val="18"/>
              </w:rPr>
              <w:t>利息支出</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797" w:right="0"/>
              <w:jc w:val="left"/>
              <w:rPr>
                <w:rFonts w:ascii="宋体" w:hAnsi="宋体" w:cs="宋体" w:eastAsia="宋体" w:hint="default"/>
                <w:sz w:val="18"/>
                <w:szCs w:val="18"/>
              </w:rPr>
            </w:pPr>
            <w:r>
              <w:rPr>
                <w:rFonts w:ascii="宋体"/>
                <w:sz w:val="18"/>
              </w:rPr>
              <w:t>455,831.15</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1795" w:right="0"/>
              <w:jc w:val="left"/>
              <w:rPr>
                <w:rFonts w:ascii="宋体" w:hAnsi="宋体" w:cs="宋体" w:eastAsia="宋体" w:hint="default"/>
                <w:sz w:val="18"/>
                <w:szCs w:val="18"/>
              </w:rPr>
            </w:pPr>
            <w:r>
              <w:rPr>
                <w:rFonts w:ascii="宋体"/>
                <w:sz w:val="18"/>
              </w:rPr>
              <w:t>946,217.27</w:t>
            </w:r>
          </w:p>
        </w:tc>
      </w:tr>
    </w:tbl>
    <w:p>
      <w:pPr>
        <w:spacing w:after="0" w:line="240" w:lineRule="auto"/>
        <w:jc w:val="left"/>
        <w:rPr>
          <w:rFonts w:ascii="宋体" w:hAnsi="宋体" w:cs="宋体" w:eastAsia="宋体" w:hint="default"/>
          <w:sz w:val="18"/>
          <w:szCs w:val="18"/>
        </w:rPr>
        <w:sectPr>
          <w:footerReference w:type="default" r:id="rId28"/>
          <w:pgSz w:w="11910" w:h="16840"/>
          <w:pgMar w:footer="979" w:header="745" w:top="1060" w:bottom="1160" w:left="1020" w:right="840"/>
          <w:pgNumType w:start="100"/>
        </w:sectPr>
      </w:pPr>
    </w:p>
    <w:p>
      <w:pPr>
        <w:spacing w:line="240" w:lineRule="auto" w:before="6"/>
        <w:rPr>
          <w:rFonts w:ascii="宋体" w:hAnsi="宋体" w:cs="宋体" w:eastAsia="宋体" w:hint="default"/>
          <w:sz w:val="28"/>
          <w:szCs w:val="28"/>
        </w:rPr>
      </w:pPr>
      <w:r>
        <w:rPr/>
        <w:pict>
          <v:group style="position:absolute;margin-left:47.639999pt;margin-top:781.919983pt;width:.1pt;height:10.35pt;mso-position-horizontal-relative:page;mso-position-vertical-relative:page;z-index:4504" coordorigin="953,15638" coordsize="2,207">
            <v:shape style="position:absolute;left:953;top:15638;width:2;height:207" coordorigin="953,15638" coordsize="0,207" path="m953,15638l953,15845e" filled="false" stroked="true" strokeweight=".12pt" strokecolor="#000000">
              <v:path arrowok="t"/>
            </v:shape>
            <w10:wrap type="none"/>
          </v:group>
        </w:pict>
      </w:r>
    </w:p>
    <w:tbl>
      <w:tblPr>
        <w:tblW w:w="0" w:type="auto"/>
        <w:jc w:val="left"/>
        <w:tblInd w:w="287" w:type="dxa"/>
        <w:tblLayout w:type="fixed"/>
        <w:tblCellMar>
          <w:top w:w="0" w:type="dxa"/>
          <w:left w:w="0" w:type="dxa"/>
          <w:bottom w:w="0" w:type="dxa"/>
          <w:right w:w="0" w:type="dxa"/>
        </w:tblCellMar>
        <w:tblLook w:val="01E0"/>
      </w:tblPr>
      <w:tblGrid>
        <w:gridCol w:w="3022"/>
        <w:gridCol w:w="2810"/>
        <w:gridCol w:w="2808"/>
      </w:tblGrid>
      <w:tr>
        <w:trPr>
          <w:trHeight w:val="557"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-6,229,553.62</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-5,195,703.24</w:t>
            </w:r>
          </w:p>
        </w:tc>
      </w:tr>
      <w:tr>
        <w:trPr>
          <w:trHeight w:val="559"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206,152.48</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61,603.87</w:t>
            </w:r>
          </w:p>
        </w:tc>
      </w:tr>
      <w:tr>
        <w:trPr>
          <w:trHeight w:val="557"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9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-5,567,569.99</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-4,187,882.10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BodyText"/>
        <w:spacing w:line="240" w:lineRule="auto" w:before="26"/>
        <w:ind w:left="775" w:right="279"/>
        <w:jc w:val="left"/>
      </w:pPr>
      <w:r>
        <w:rPr/>
        <w:t>6.</w:t>
      </w:r>
      <w:r>
        <w:rPr>
          <w:spacing w:val="-3"/>
        </w:rPr>
        <w:t> </w:t>
      </w:r>
      <w:r>
        <w:rPr/>
        <w:t>资产减值损失</w:t>
      </w:r>
    </w:p>
    <w:p>
      <w:pPr>
        <w:spacing w:line="240" w:lineRule="auto" w:before="10"/>
        <w:rPr>
          <w:rFonts w:ascii="宋体" w:hAnsi="宋体" w:cs="宋体" w:eastAsia="宋体" w:hint="default"/>
          <w:sz w:val="11"/>
          <w:szCs w:val="11"/>
        </w:rPr>
      </w:pPr>
    </w:p>
    <w:tbl>
      <w:tblPr>
        <w:tblW w:w="0" w:type="auto"/>
        <w:jc w:val="left"/>
        <w:tblInd w:w="287" w:type="dxa"/>
        <w:tblLayout w:type="fixed"/>
        <w:tblCellMar>
          <w:top w:w="0" w:type="dxa"/>
          <w:left w:w="0" w:type="dxa"/>
          <w:bottom w:w="0" w:type="dxa"/>
          <w:right w:w="0" w:type="dxa"/>
        </w:tblCellMar>
        <w:tblLook w:val="01E0"/>
      </w:tblPr>
      <w:tblGrid>
        <w:gridCol w:w="3022"/>
        <w:gridCol w:w="2810"/>
        <w:gridCol w:w="2808"/>
      </w:tblGrid>
      <w:tr>
        <w:trPr>
          <w:trHeight w:val="559"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290"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3"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31"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57"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3,942,390.86</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-427,613.56</w:t>
            </w:r>
          </w:p>
        </w:tc>
      </w:tr>
      <w:tr>
        <w:trPr>
          <w:trHeight w:val="559"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商誉减值损失</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19,315,650.47</w:t>
            </w:r>
          </w:p>
        </w:tc>
        <w:tc>
          <w:tcPr>
            <w:tcW w:w="2808"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9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23,258,041.33</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-427,613.56</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BodyText"/>
        <w:spacing w:line="240" w:lineRule="auto" w:before="26"/>
        <w:ind w:left="775" w:right="279"/>
        <w:jc w:val="left"/>
      </w:pPr>
      <w:r>
        <w:rPr/>
        <w:t>7.</w:t>
      </w:r>
      <w:r>
        <w:rPr>
          <w:spacing w:val="-3"/>
        </w:rPr>
        <w:t> </w:t>
      </w:r>
      <w:r>
        <w:rPr/>
        <w:t>营业外收入</w:t>
      </w:r>
    </w:p>
    <w:p>
      <w:pPr>
        <w:pStyle w:val="BodyText"/>
        <w:spacing w:line="240" w:lineRule="auto" w:before="192"/>
        <w:ind w:left="775" w:right="279"/>
        <w:jc w:val="left"/>
      </w:pPr>
      <w:r>
        <w:rPr/>
        <w:t>(1)</w:t>
      </w:r>
      <w:r>
        <w:rPr>
          <w:spacing w:val="-3"/>
        </w:rPr>
        <w:t> </w:t>
      </w:r>
      <w:r>
        <w:rPr/>
        <w:t>明细情况</w:t>
      </w:r>
    </w:p>
    <w:p>
      <w:pPr>
        <w:spacing w:line="240" w:lineRule="auto" w:before="10"/>
        <w:rPr>
          <w:rFonts w:ascii="宋体" w:hAnsi="宋体" w:cs="宋体" w:eastAsia="宋体" w:hint="default"/>
          <w:sz w:val="11"/>
          <w:szCs w:val="11"/>
        </w:rPr>
      </w:pPr>
    </w:p>
    <w:tbl>
      <w:tblPr>
        <w:tblW w:w="0" w:type="auto"/>
        <w:jc w:val="left"/>
        <w:tblInd w:w="287" w:type="dxa"/>
        <w:tblLayout w:type="fixed"/>
        <w:tblCellMar>
          <w:top w:w="0" w:type="dxa"/>
          <w:left w:w="0" w:type="dxa"/>
          <w:bottom w:w="0" w:type="dxa"/>
          <w:right w:w="0" w:type="dxa"/>
        </w:tblCellMar>
        <w:tblLook w:val="01E0"/>
      </w:tblPr>
      <w:tblGrid>
        <w:gridCol w:w="2880"/>
        <w:gridCol w:w="1838"/>
        <w:gridCol w:w="1800"/>
        <w:gridCol w:w="2172"/>
      </w:tblGrid>
      <w:tr>
        <w:trPr>
          <w:trHeight w:val="754" w:hRule="exact"/>
        </w:trPr>
        <w:tc>
          <w:tcPr>
            <w:tcW w:w="28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6"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2172"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51"/>
              <w:ind w:left="631" w:right="362" w:hanging="269"/>
              <w:jc w:val="left"/>
              <w:rPr>
                <w:rFonts w:ascii="宋体" w:hAnsi="宋体" w:cs="宋体" w:eastAsia="宋体" w:hint="default"/>
                <w:sz w:val="18"/>
                <w:szCs w:val="18"/>
              </w:rPr>
            </w:pPr>
            <w:r>
              <w:rPr>
                <w:rFonts w:ascii="宋体" w:hAnsi="宋体" w:cs="宋体" w:eastAsia="宋体" w:hint="default"/>
                <w:sz w:val="18"/>
                <w:szCs w:val="18"/>
              </w:rPr>
              <w:t>计入本期非经常性 损益的金额</w:t>
            </w:r>
          </w:p>
        </w:tc>
      </w:tr>
      <w:tr>
        <w:trPr>
          <w:trHeight w:val="559" w:hRule="exact"/>
        </w:trPr>
        <w:tc>
          <w:tcPr>
            <w:tcW w:w="28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838"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21,682.41</w:t>
            </w:r>
          </w:p>
        </w:tc>
        <w:tc>
          <w:tcPr>
            <w:tcW w:w="2172"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8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838"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21,682.41</w:t>
            </w:r>
          </w:p>
        </w:tc>
        <w:tc>
          <w:tcPr>
            <w:tcW w:w="2172"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8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3,927,504.00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3,286,261.76</w:t>
            </w:r>
          </w:p>
        </w:tc>
        <w:tc>
          <w:tcPr>
            <w:tcW w:w="21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2"/>
              <w:jc w:val="right"/>
              <w:rPr>
                <w:rFonts w:ascii="宋体" w:hAnsi="宋体" w:cs="宋体" w:eastAsia="宋体" w:hint="default"/>
                <w:sz w:val="18"/>
                <w:szCs w:val="18"/>
              </w:rPr>
            </w:pPr>
            <w:r>
              <w:rPr>
                <w:rFonts w:ascii="宋体"/>
                <w:spacing w:val="-1"/>
                <w:sz w:val="18"/>
              </w:rPr>
              <w:t>2,624,307.42</w:t>
            </w:r>
          </w:p>
        </w:tc>
      </w:tr>
      <w:tr>
        <w:trPr>
          <w:trHeight w:val="557" w:hRule="exact"/>
        </w:trPr>
        <w:tc>
          <w:tcPr>
            <w:tcW w:w="28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316,188.75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277,701.91</w:t>
            </w:r>
          </w:p>
        </w:tc>
        <w:tc>
          <w:tcPr>
            <w:tcW w:w="21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316,188.75</w:t>
            </w:r>
          </w:p>
        </w:tc>
      </w:tr>
      <w:tr>
        <w:trPr>
          <w:trHeight w:val="559" w:hRule="exact"/>
        </w:trPr>
        <w:tc>
          <w:tcPr>
            <w:tcW w:w="28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29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4,243,692.75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3,585,646.08</w:t>
            </w:r>
          </w:p>
        </w:tc>
        <w:tc>
          <w:tcPr>
            <w:tcW w:w="21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2"/>
              <w:jc w:val="right"/>
              <w:rPr>
                <w:rFonts w:ascii="宋体" w:hAnsi="宋体" w:cs="宋体" w:eastAsia="宋体" w:hint="default"/>
                <w:sz w:val="18"/>
                <w:szCs w:val="18"/>
              </w:rPr>
            </w:pPr>
            <w:r>
              <w:rPr>
                <w:rFonts w:ascii="宋体"/>
                <w:spacing w:val="-1"/>
                <w:sz w:val="18"/>
              </w:rPr>
              <w:t>2,940,496.17</w:t>
            </w:r>
          </w:p>
        </w:tc>
      </w:tr>
    </w:tbl>
    <w:p>
      <w:pPr>
        <w:pStyle w:val="BodyText"/>
        <w:spacing w:line="240" w:lineRule="auto" w:before="79"/>
        <w:ind w:left="895" w:right="279"/>
        <w:jc w:val="left"/>
      </w:pPr>
      <w:r>
        <w:rPr/>
        <w:t>(2)</w:t>
      </w:r>
      <w:r>
        <w:rPr>
          <w:spacing w:val="-3"/>
        </w:rPr>
        <w:t> </w:t>
      </w:r>
      <w:r>
        <w:rPr/>
        <w:t>政府补助明细</w:t>
      </w:r>
    </w:p>
    <w:p>
      <w:pPr>
        <w:spacing w:line="240" w:lineRule="auto" w:before="10"/>
        <w:rPr>
          <w:rFonts w:ascii="宋体" w:hAnsi="宋体" w:cs="宋体" w:eastAsia="宋体" w:hint="default"/>
          <w:sz w:val="11"/>
          <w:szCs w:val="11"/>
        </w:rPr>
      </w:pPr>
    </w:p>
    <w:tbl>
      <w:tblPr>
        <w:tblW w:w="0" w:type="auto"/>
        <w:jc w:val="left"/>
        <w:tblInd w:w="287" w:type="dxa"/>
        <w:tblLayout w:type="fixed"/>
        <w:tblCellMar>
          <w:top w:w="0" w:type="dxa"/>
          <w:left w:w="0" w:type="dxa"/>
          <w:bottom w:w="0" w:type="dxa"/>
          <w:right w:w="0" w:type="dxa"/>
        </w:tblCellMar>
        <w:tblLook w:val="01E0"/>
      </w:tblPr>
      <w:tblGrid>
        <w:gridCol w:w="2160"/>
        <w:gridCol w:w="1954"/>
        <w:gridCol w:w="1954"/>
        <w:gridCol w:w="2753"/>
      </w:tblGrid>
      <w:tr>
        <w:trPr>
          <w:trHeight w:val="559" w:hRule="exact"/>
        </w:trPr>
        <w:tc>
          <w:tcPr>
            <w:tcW w:w="2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290"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520"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27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57" w:hRule="exact"/>
        </w:trPr>
        <w:tc>
          <w:tcPr>
            <w:tcW w:w="2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99" w:right="0"/>
              <w:jc w:val="left"/>
              <w:rPr>
                <w:rFonts w:ascii="宋体" w:hAnsi="宋体" w:cs="宋体" w:eastAsia="宋体" w:hint="default"/>
                <w:sz w:val="18"/>
                <w:szCs w:val="18"/>
              </w:rPr>
            </w:pPr>
            <w:r>
              <w:rPr>
                <w:rFonts w:ascii="宋体" w:hAnsi="宋体" w:cs="宋体" w:eastAsia="宋体" w:hint="default"/>
                <w:sz w:val="18"/>
                <w:szCs w:val="18"/>
              </w:rPr>
              <w:t>增值税超税负退税</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1,303,196.58</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1,510,521.05</w:t>
            </w:r>
          </w:p>
        </w:tc>
        <w:tc>
          <w:tcPr>
            <w:tcW w:w="2753"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99" w:right="0"/>
              <w:jc w:val="left"/>
              <w:rPr>
                <w:rFonts w:ascii="宋体" w:hAnsi="宋体" w:cs="宋体" w:eastAsia="宋体" w:hint="default"/>
                <w:sz w:val="18"/>
                <w:szCs w:val="18"/>
              </w:rPr>
            </w:pPr>
            <w:r>
              <w:rPr>
                <w:rFonts w:ascii="宋体" w:hAnsi="宋体" w:cs="宋体" w:eastAsia="宋体" w:hint="default"/>
                <w:sz w:val="18"/>
                <w:szCs w:val="18"/>
              </w:rPr>
              <w:t>水利建设基金返还</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190,645.90</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190,660.72</w:t>
            </w:r>
          </w:p>
        </w:tc>
        <w:tc>
          <w:tcPr>
            <w:tcW w:w="2753"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99" w:right="0"/>
              <w:jc w:val="left"/>
              <w:rPr>
                <w:rFonts w:ascii="宋体" w:hAnsi="宋体" w:cs="宋体" w:eastAsia="宋体" w:hint="default"/>
                <w:sz w:val="18"/>
                <w:szCs w:val="18"/>
              </w:rPr>
            </w:pPr>
            <w:r>
              <w:rPr>
                <w:rFonts w:ascii="宋体" w:hAnsi="宋体" w:cs="宋体" w:eastAsia="宋体" w:hint="default"/>
                <w:sz w:val="18"/>
                <w:szCs w:val="18"/>
              </w:rPr>
              <w:t>其他政府补助</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1,410,668.76</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898,579.97</w:t>
            </w:r>
          </w:p>
        </w:tc>
        <w:tc>
          <w:tcPr>
            <w:tcW w:w="2753"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99" w:right="0"/>
              <w:jc w:val="left"/>
              <w:rPr>
                <w:rFonts w:ascii="宋体" w:hAnsi="宋体" w:cs="宋体" w:eastAsia="宋体" w:hint="default"/>
                <w:sz w:val="18"/>
                <w:szCs w:val="18"/>
              </w:rPr>
            </w:pPr>
            <w:r>
              <w:rPr>
                <w:rFonts w:ascii="宋体" w:hAnsi="宋体" w:cs="宋体" w:eastAsia="宋体" w:hint="default"/>
                <w:sz w:val="18"/>
                <w:szCs w:val="18"/>
              </w:rPr>
              <w:t>递延收益转入</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1,022,992.76</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686,500.02</w:t>
            </w:r>
          </w:p>
        </w:tc>
        <w:tc>
          <w:tcPr>
            <w:tcW w:w="2753"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5" w:footer="979" w:top="1060" w:bottom="1160" w:left="840" w:right="1020"/>
        </w:sectPr>
      </w:pPr>
    </w:p>
    <w:p>
      <w:pPr>
        <w:spacing w:line="240" w:lineRule="auto" w:before="6"/>
        <w:rPr>
          <w:rFonts w:ascii="宋体" w:hAnsi="宋体" w:cs="宋体" w:eastAsia="宋体" w:hint="default"/>
          <w:sz w:val="28"/>
          <w:szCs w:val="28"/>
        </w:rPr>
      </w:pPr>
      <w:r>
        <w:rPr/>
        <w:pict>
          <v:group style="position:absolute;margin-left:547.559998pt;margin-top:781.919983pt;width:.1pt;height:10.35pt;mso-position-horizontal-relative:page;mso-position-vertical-relative:page;z-index:4528" coordorigin="10951,15638" coordsize="2,207">
            <v:shape style="position:absolute;left:10951;top:15638;width:2;height:207" coordorigin="10951,15638" coordsize="0,207" path="m10951,15638l10951,15845e" filled="false" stroked="true" strokeweight=".12pt" strokecolor="#000000">
              <v:path arrowok="t"/>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2160"/>
        <w:gridCol w:w="1954"/>
        <w:gridCol w:w="1954"/>
        <w:gridCol w:w="2753"/>
      </w:tblGrid>
      <w:tr>
        <w:trPr>
          <w:trHeight w:val="557" w:hRule="exact"/>
        </w:trPr>
        <w:tc>
          <w:tcPr>
            <w:tcW w:w="2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90"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760" w:right="0"/>
              <w:jc w:val="left"/>
              <w:rPr>
                <w:rFonts w:ascii="宋体" w:hAnsi="宋体" w:cs="宋体" w:eastAsia="宋体" w:hint="default"/>
                <w:sz w:val="18"/>
                <w:szCs w:val="18"/>
              </w:rPr>
            </w:pPr>
            <w:r>
              <w:rPr>
                <w:rFonts w:ascii="宋体"/>
                <w:sz w:val="18"/>
              </w:rPr>
              <w:t>3,927,504.00</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760" w:right="0"/>
              <w:jc w:val="left"/>
              <w:rPr>
                <w:rFonts w:ascii="宋体" w:hAnsi="宋体" w:cs="宋体" w:eastAsia="宋体" w:hint="default"/>
                <w:sz w:val="18"/>
                <w:szCs w:val="18"/>
              </w:rPr>
            </w:pPr>
            <w:r>
              <w:rPr>
                <w:rFonts w:ascii="宋体"/>
                <w:sz w:val="18"/>
              </w:rPr>
              <w:t>3,286,261.76</w:t>
            </w:r>
          </w:p>
        </w:tc>
        <w:tc>
          <w:tcPr>
            <w:tcW w:w="2753"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82"/>
        <w:ind w:left="595" w:right="279"/>
        <w:jc w:val="left"/>
      </w:pPr>
      <w:r>
        <w:rPr/>
        <w:t>(3)</w:t>
      </w:r>
      <w:r>
        <w:rPr>
          <w:spacing w:val="-3"/>
        </w:rPr>
        <w:t> </w:t>
      </w:r>
      <w:r>
        <w:rPr/>
        <w:t>其他说明</w:t>
      </w:r>
    </w:p>
    <w:p>
      <w:pPr>
        <w:pStyle w:val="BodyText"/>
        <w:spacing w:line="240" w:lineRule="auto" w:before="192"/>
        <w:ind w:left="595" w:right="0"/>
        <w:jc w:val="left"/>
      </w:pPr>
      <w:r>
        <w:rPr/>
        <w:t>1)</w:t>
      </w:r>
      <w:r>
        <w:rPr>
          <w:spacing w:val="27"/>
        </w:rPr>
        <w:t> </w:t>
      </w:r>
      <w:r>
        <w:rPr>
          <w:spacing w:val="-3"/>
        </w:rPr>
        <w:t>增值税返还系根据财政部、国家税务总局《关于软件产品增值税政策的通知》（财税</w:t>
      </w:r>
    </w:p>
    <w:p>
      <w:pPr>
        <w:pStyle w:val="BodyText"/>
        <w:spacing w:line="357" w:lineRule="auto" w:before="154"/>
        <w:ind w:left="112" w:right="280"/>
        <w:jc w:val="left"/>
      </w:pPr>
      <w:r>
        <w:rPr>
          <w:spacing w:val="-3"/>
        </w:rPr>
        <w:t>〔2011〕100</w:t>
      </w:r>
      <w:r>
        <w:rPr>
          <w:spacing w:val="-49"/>
        </w:rPr>
        <w:t> </w:t>
      </w:r>
      <w:r>
        <w:rPr>
          <w:spacing w:val="-3"/>
        </w:rPr>
        <w:t>号），增值税一般纳税人销售其自行开发生产的软件产品，按</w:t>
      </w:r>
      <w:r>
        <w:rPr>
          <w:spacing w:val="-49"/>
        </w:rPr>
        <w:t> </w:t>
      </w:r>
      <w:r>
        <w:rPr/>
        <w:t>17%税率征收增值</w:t>
      </w:r>
      <w:r>
        <w:rPr>
          <w:spacing w:val="-118"/>
        </w:rPr>
        <w:t> </w:t>
      </w:r>
      <w:r>
        <w:rPr>
          <w:spacing w:val="-118"/>
        </w:rPr>
      </w:r>
      <w:r>
        <w:rPr/>
        <w:t>税后，对其增值税实际税负超过</w:t>
      </w:r>
      <w:r>
        <w:rPr>
          <w:spacing w:val="-60"/>
        </w:rPr>
        <w:t> </w:t>
      </w:r>
      <w:r>
        <w:rPr/>
        <w:t>3%的部分实行即征即退政策，所收到的增值税返还。</w:t>
      </w:r>
    </w:p>
    <w:p>
      <w:pPr>
        <w:pStyle w:val="BodyText"/>
        <w:spacing w:line="357" w:lineRule="auto" w:before="77"/>
        <w:ind w:left="112" w:right="295" w:firstLine="482"/>
        <w:jc w:val="both"/>
      </w:pPr>
      <w:r>
        <w:rPr/>
        <w:t>2) 水利建设基金返还系根据杭州市地方税务局高新税务分局《减免税费批复》</w:t>
      </w:r>
      <w:r>
        <w:rPr>
          <w:spacing w:val="-87"/>
        </w:rPr>
        <w:t> </w:t>
      </w:r>
      <w:r>
        <w:rPr/>
        <w:t>(浙地税</w:t>
      </w:r>
      <w:r>
        <w:rPr/>
        <w:t> 政〔2011〕3245</w:t>
      </w:r>
      <w:r>
        <w:rPr>
          <w:spacing w:val="-59"/>
        </w:rPr>
        <w:t> </w:t>
      </w:r>
      <w:r>
        <w:rPr/>
        <w:t>号)收到的水利建设基金返还。</w:t>
      </w:r>
    </w:p>
    <w:p>
      <w:pPr>
        <w:pStyle w:val="BodyText"/>
        <w:spacing w:line="240" w:lineRule="auto" w:before="77"/>
        <w:ind w:left="595" w:right="279"/>
        <w:jc w:val="left"/>
      </w:pPr>
      <w:r>
        <w:rPr/>
        <w:t>3)</w:t>
      </w:r>
      <w:r>
        <w:rPr>
          <w:spacing w:val="-3"/>
        </w:rPr>
        <w:t> </w:t>
      </w:r>
      <w:r>
        <w:rPr/>
        <w:t>其他政府补助包括以下内容</w:t>
      </w:r>
    </w:p>
    <w:p>
      <w:pPr>
        <w:pStyle w:val="BodyText"/>
        <w:spacing w:line="357" w:lineRule="auto" w:before="192"/>
        <w:ind w:left="112" w:right="290" w:firstLine="482"/>
        <w:jc w:val="both"/>
      </w:pPr>
      <w:r>
        <w:rPr>
          <w:spacing w:val="-4"/>
        </w:rPr>
        <w:t>根据杭州市财政局和杭州市经济和信息化委员会《关于下达</w:t>
      </w:r>
      <w:r>
        <w:rPr>
          <w:spacing w:val="-51"/>
        </w:rPr>
        <w:t> </w:t>
      </w:r>
      <w:r>
        <w:rPr/>
        <w:t>2011</w:t>
      </w:r>
      <w:r>
        <w:rPr>
          <w:spacing w:val="-51"/>
        </w:rPr>
        <w:t> </w:t>
      </w:r>
      <w:r>
        <w:rPr/>
        <w:t>年第三批杭州市重点产</w:t>
      </w:r>
      <w:r>
        <w:rPr/>
        <w:t> 业发展资金的通知》（杭财企〔2011〕1044</w:t>
      </w:r>
      <w:r>
        <w:rPr>
          <w:spacing w:val="-79"/>
        </w:rPr>
        <w:t> </w:t>
      </w:r>
      <w:r>
        <w:rPr/>
        <w:t>号），子公司杭州德创电子有限公司收到财政补</w:t>
      </w:r>
      <w:r>
        <w:rPr/>
        <w:t> 助资金</w:t>
      </w:r>
      <w:r>
        <w:rPr>
          <w:spacing w:val="-60"/>
        </w:rPr>
        <w:t> </w:t>
      </w:r>
      <w:r>
        <w:rPr/>
        <w:t>50</w:t>
      </w:r>
      <w:r>
        <w:rPr>
          <w:spacing w:val="-60"/>
        </w:rPr>
        <w:t> </w:t>
      </w:r>
      <w:r>
        <w:rPr/>
        <w:t>万元。</w:t>
      </w:r>
    </w:p>
    <w:p>
      <w:pPr>
        <w:pStyle w:val="BodyText"/>
        <w:spacing w:line="240" w:lineRule="auto" w:before="77"/>
        <w:ind w:left="595" w:right="0"/>
        <w:jc w:val="left"/>
      </w:pPr>
      <w:r>
        <w:rPr>
          <w:spacing w:val="-3"/>
        </w:rPr>
        <w:t>根据杭州市余杭区科学技术局和杭州市余杭区财政局《关于下达</w:t>
      </w:r>
      <w:r>
        <w:rPr>
          <w:spacing w:val="-60"/>
        </w:rPr>
        <w:t> </w:t>
      </w:r>
      <w:r>
        <w:rPr/>
        <w:t>2011</w:t>
      </w:r>
      <w:r>
        <w:rPr>
          <w:spacing w:val="-60"/>
        </w:rPr>
        <w:t> </w:t>
      </w:r>
      <w:r>
        <w:rPr/>
        <w:t>年高新技术企业专</w:t>
      </w:r>
    </w:p>
    <w:p>
      <w:pPr>
        <w:pStyle w:val="BodyText"/>
        <w:spacing w:line="357" w:lineRule="auto" w:before="154"/>
        <w:ind w:left="112" w:right="274"/>
        <w:jc w:val="left"/>
      </w:pPr>
      <w:r>
        <w:rPr>
          <w:spacing w:val="-3"/>
        </w:rPr>
        <w:t>项奖励资金的通知》（余科〔2012〕15</w:t>
      </w:r>
      <w:r>
        <w:rPr>
          <w:spacing w:val="-70"/>
        </w:rPr>
        <w:t> </w:t>
      </w:r>
      <w:r>
        <w:rPr/>
        <w:t>号），子公司杭州德创电子有限公司收到奖励资金</w:t>
      </w:r>
      <w:r>
        <w:rPr>
          <w:spacing w:val="-70"/>
        </w:rPr>
        <w:t> </w:t>
      </w:r>
      <w:r>
        <w:rPr/>
        <w:t>30</w:t>
      </w:r>
      <w:r>
        <w:rPr/>
        <w:t> 万元。</w:t>
      </w:r>
    </w:p>
    <w:p>
      <w:pPr>
        <w:pStyle w:val="BodyText"/>
        <w:spacing w:line="357" w:lineRule="auto" w:before="77"/>
        <w:ind w:left="112" w:right="290" w:firstLine="482"/>
        <w:jc w:val="both"/>
      </w:pPr>
      <w:r>
        <w:rPr>
          <w:spacing w:val="-3"/>
        </w:rPr>
        <w:t>根据杭州市余杭区科学技术局和杭州市余杭区财政局《关于下达</w:t>
      </w:r>
      <w:r>
        <w:rPr>
          <w:spacing w:val="-60"/>
        </w:rPr>
        <w:t> </w:t>
      </w:r>
      <w:r>
        <w:rPr/>
        <w:t>2010</w:t>
      </w:r>
      <w:r>
        <w:rPr>
          <w:spacing w:val="-60"/>
        </w:rPr>
        <w:t> </w:t>
      </w:r>
      <w:r>
        <w:rPr/>
        <w:t>年度余杭区科技计</w:t>
      </w:r>
      <w:r>
        <w:rPr/>
        <w:t> 划项目（事后）补助资金的通知》（余科〔2012〕24</w:t>
      </w:r>
      <w:r>
        <w:rPr>
          <w:spacing w:val="-80"/>
        </w:rPr>
        <w:t> </w:t>
      </w:r>
      <w:r>
        <w:rPr/>
        <w:t>号），子公司杭州德创电子有限公司收</w:t>
      </w:r>
      <w:r>
        <w:rPr/>
        <w:t> 到补助资金</w:t>
      </w:r>
      <w:r>
        <w:rPr>
          <w:spacing w:val="-60"/>
        </w:rPr>
        <w:t> </w:t>
      </w:r>
      <w:r>
        <w:rPr/>
        <w:t>10</w:t>
      </w:r>
      <w:r>
        <w:rPr>
          <w:spacing w:val="-58"/>
        </w:rPr>
        <w:t> </w:t>
      </w:r>
      <w:r>
        <w:rPr/>
        <w:t>万元。</w:t>
      </w:r>
    </w:p>
    <w:p>
      <w:pPr>
        <w:pStyle w:val="BodyText"/>
        <w:spacing w:line="357" w:lineRule="auto" w:before="74"/>
        <w:ind w:left="112" w:right="292" w:firstLine="482"/>
        <w:jc w:val="both"/>
      </w:pPr>
      <w:r>
        <w:rPr>
          <w:spacing w:val="-3"/>
        </w:rPr>
        <w:t>根据杭州市余杭区经济和信息化局和杭州市余杭区财政局《关于下达</w:t>
      </w:r>
      <w:r>
        <w:rPr>
          <w:spacing w:val="-58"/>
        </w:rPr>
        <w:t> </w:t>
      </w:r>
      <w:r>
        <w:rPr/>
        <w:t>2011</w:t>
      </w:r>
      <w:r>
        <w:rPr>
          <w:spacing w:val="-58"/>
        </w:rPr>
        <w:t> </w:t>
      </w:r>
      <w:r>
        <w:rPr/>
        <w:t>年度余杭区技</w:t>
      </w:r>
      <w:r>
        <w:rPr/>
        <w:t> 术创新等项目资助（奖励）资金的通知》（余经信〔2012〕108 号），子公司杭州德创电子</w:t>
      </w:r>
      <w:r>
        <w:rPr>
          <w:spacing w:val="-100"/>
        </w:rPr>
        <w:t> </w:t>
      </w:r>
      <w:r>
        <w:rPr>
          <w:spacing w:val="-100"/>
        </w:rPr>
      </w:r>
      <w:r>
        <w:rPr/>
        <w:t>有限公司收到奖励资金</w:t>
      </w:r>
      <w:r>
        <w:rPr>
          <w:spacing w:val="-58"/>
        </w:rPr>
        <w:t> </w:t>
      </w:r>
      <w:r>
        <w:rPr/>
        <w:t>30</w:t>
      </w:r>
      <w:r>
        <w:rPr>
          <w:spacing w:val="-63"/>
        </w:rPr>
        <w:t> </w:t>
      </w:r>
      <w:r>
        <w:rPr/>
        <w:t>万元。</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0"/>
          <w:szCs w:val="20"/>
        </w:rPr>
      </w:pPr>
    </w:p>
    <w:p>
      <w:pPr>
        <w:pStyle w:val="BodyText"/>
        <w:spacing w:line="240" w:lineRule="auto" w:before="0"/>
        <w:ind w:left="595" w:right="279"/>
        <w:jc w:val="left"/>
      </w:pPr>
      <w:r>
        <w:rPr/>
        <w:t>8.</w:t>
      </w:r>
      <w:r>
        <w:rPr>
          <w:spacing w:val="-3"/>
        </w:rPr>
        <w:t> </w:t>
      </w:r>
      <w:r>
        <w:rPr/>
        <w:t>营业外支出</w:t>
      </w:r>
    </w:p>
    <w:p>
      <w:pPr>
        <w:spacing w:line="240" w:lineRule="auto" w:before="10"/>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2700"/>
        <w:gridCol w:w="1800"/>
        <w:gridCol w:w="1762"/>
        <w:gridCol w:w="2378"/>
      </w:tblGrid>
      <w:tr>
        <w:trPr>
          <w:trHeight w:val="754" w:hRule="exact"/>
        </w:trPr>
        <w:tc>
          <w:tcPr>
            <w:tcW w:w="27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6"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51"/>
              <w:ind w:left="736" w:right="467" w:hanging="272"/>
              <w:jc w:val="left"/>
              <w:rPr>
                <w:rFonts w:ascii="宋体" w:hAnsi="宋体" w:cs="宋体" w:eastAsia="宋体" w:hint="default"/>
                <w:sz w:val="18"/>
                <w:szCs w:val="18"/>
              </w:rPr>
            </w:pPr>
            <w:r>
              <w:rPr>
                <w:rFonts w:ascii="宋体" w:hAnsi="宋体" w:cs="宋体" w:eastAsia="宋体" w:hint="default"/>
                <w:sz w:val="18"/>
                <w:szCs w:val="18"/>
              </w:rPr>
              <w:t>计入本期非经常性 损益的金额</w:t>
            </w:r>
          </w:p>
        </w:tc>
      </w:tr>
      <w:tr>
        <w:trPr>
          <w:trHeight w:val="557" w:hRule="exact"/>
        </w:trPr>
        <w:tc>
          <w:tcPr>
            <w:tcW w:w="27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42,167.55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65,500.52</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42,167.55</w:t>
            </w:r>
          </w:p>
        </w:tc>
      </w:tr>
      <w:tr>
        <w:trPr>
          <w:trHeight w:val="559" w:hRule="exact"/>
        </w:trPr>
        <w:tc>
          <w:tcPr>
            <w:tcW w:w="27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42,167.55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65,500.52</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42,167.55</w:t>
            </w:r>
          </w:p>
        </w:tc>
      </w:tr>
      <w:tr>
        <w:trPr>
          <w:trHeight w:val="557" w:hRule="exact"/>
        </w:trPr>
        <w:tc>
          <w:tcPr>
            <w:tcW w:w="27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251,705.13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pacing w:val="-1"/>
                <w:sz w:val="18"/>
              </w:rPr>
              <w:t>336,759.62</w:t>
            </w:r>
          </w:p>
        </w:tc>
        <w:tc>
          <w:tcPr>
            <w:tcW w:w="2378"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7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1,482.05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7"/>
              <w:jc w:val="right"/>
              <w:rPr>
                <w:rFonts w:ascii="宋体" w:hAnsi="宋体" w:cs="宋体" w:eastAsia="宋体" w:hint="default"/>
                <w:sz w:val="18"/>
                <w:szCs w:val="18"/>
              </w:rPr>
            </w:pPr>
            <w:r>
              <w:rPr>
                <w:rFonts w:ascii="宋体"/>
                <w:spacing w:val="-1"/>
                <w:sz w:val="18"/>
              </w:rPr>
              <w:t>6,377.89</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1,482.05</w:t>
            </w:r>
          </w:p>
        </w:tc>
      </w:tr>
    </w:tbl>
    <w:p>
      <w:pPr>
        <w:spacing w:after="0" w:line="240" w:lineRule="auto"/>
        <w:jc w:val="right"/>
        <w:rPr>
          <w:rFonts w:ascii="宋体" w:hAnsi="宋体" w:cs="宋体" w:eastAsia="宋体" w:hint="default"/>
          <w:sz w:val="18"/>
          <w:szCs w:val="18"/>
        </w:rPr>
        <w:sectPr>
          <w:pgSz w:w="11910" w:h="16840"/>
          <w:pgMar w:header="745" w:footer="979" w:top="1060" w:bottom="1160" w:left="1020" w:right="840"/>
        </w:sectPr>
      </w:pPr>
    </w:p>
    <w:p>
      <w:pPr>
        <w:spacing w:line="240" w:lineRule="auto" w:before="6"/>
        <w:rPr>
          <w:rFonts w:ascii="宋体" w:hAnsi="宋体" w:cs="宋体" w:eastAsia="宋体" w:hint="default"/>
          <w:sz w:val="28"/>
          <w:szCs w:val="28"/>
        </w:rPr>
      </w:pPr>
      <w:r>
        <w:rPr/>
        <w:pict>
          <v:group style="position:absolute;margin-left:47.639999pt;margin-top:781.919983pt;width:.1pt;height:10.35pt;mso-position-horizontal-relative:page;mso-position-vertical-relative:page;z-index:4552" coordorigin="953,15638" coordsize="2,207">
            <v:shape style="position:absolute;left:953;top:15638;width:2;height:207" coordorigin="953,15638" coordsize="0,207" path="m953,15638l953,15845e" filled="false" stroked="true" strokeweight=".12pt" strokecolor="#000000">
              <v:path arrowok="t"/>
            </v:shape>
            <w10:wrap type="none"/>
          </v:group>
        </w:pict>
      </w:r>
    </w:p>
    <w:tbl>
      <w:tblPr>
        <w:tblW w:w="0" w:type="auto"/>
        <w:jc w:val="left"/>
        <w:tblInd w:w="287" w:type="dxa"/>
        <w:tblLayout w:type="fixed"/>
        <w:tblCellMar>
          <w:top w:w="0" w:type="dxa"/>
          <w:left w:w="0" w:type="dxa"/>
          <w:bottom w:w="0" w:type="dxa"/>
          <w:right w:w="0" w:type="dxa"/>
        </w:tblCellMar>
        <w:tblLook w:val="01E0"/>
      </w:tblPr>
      <w:tblGrid>
        <w:gridCol w:w="2700"/>
        <w:gridCol w:w="1800"/>
        <w:gridCol w:w="1762"/>
        <w:gridCol w:w="2378"/>
      </w:tblGrid>
      <w:tr>
        <w:trPr>
          <w:trHeight w:val="557" w:hRule="exact"/>
        </w:trPr>
        <w:tc>
          <w:tcPr>
            <w:tcW w:w="27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58,525.31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14,423.62</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58,525.31</w:t>
            </w:r>
          </w:p>
        </w:tc>
      </w:tr>
      <w:tr>
        <w:trPr>
          <w:trHeight w:val="559" w:hRule="exact"/>
        </w:trPr>
        <w:tc>
          <w:tcPr>
            <w:tcW w:w="27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9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353,880.04</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pacing w:val="-1"/>
                <w:sz w:val="18"/>
              </w:rPr>
              <w:t>423,061.65</w:t>
            </w:r>
          </w:p>
        </w:tc>
        <w:tc>
          <w:tcPr>
            <w:tcW w:w="23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102,174.91</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BodyText"/>
        <w:spacing w:line="240" w:lineRule="auto" w:before="26"/>
        <w:ind w:left="775" w:right="279"/>
        <w:jc w:val="left"/>
      </w:pPr>
      <w:r>
        <w:rPr/>
        <w:t>9.</w:t>
      </w:r>
      <w:r>
        <w:rPr>
          <w:spacing w:val="-3"/>
        </w:rPr>
        <w:t> </w:t>
      </w:r>
      <w:r>
        <w:rPr/>
        <w:t>所得税费用</w:t>
      </w:r>
    </w:p>
    <w:p>
      <w:pPr>
        <w:spacing w:line="240" w:lineRule="auto" w:before="10"/>
        <w:rPr>
          <w:rFonts w:ascii="宋体" w:hAnsi="宋体" w:cs="宋体" w:eastAsia="宋体" w:hint="default"/>
          <w:sz w:val="11"/>
          <w:szCs w:val="11"/>
        </w:rPr>
      </w:pPr>
    </w:p>
    <w:tbl>
      <w:tblPr>
        <w:tblW w:w="0" w:type="auto"/>
        <w:jc w:val="left"/>
        <w:tblInd w:w="287" w:type="dxa"/>
        <w:tblLayout w:type="fixed"/>
        <w:tblCellMar>
          <w:top w:w="0" w:type="dxa"/>
          <w:left w:w="0" w:type="dxa"/>
          <w:bottom w:w="0" w:type="dxa"/>
          <w:right w:w="0" w:type="dxa"/>
        </w:tblCellMar>
        <w:tblLook w:val="01E0"/>
      </w:tblPr>
      <w:tblGrid>
        <w:gridCol w:w="3022"/>
        <w:gridCol w:w="2810"/>
        <w:gridCol w:w="2808"/>
      </w:tblGrid>
      <w:tr>
        <w:trPr>
          <w:trHeight w:val="557"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90"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3"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31"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634"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10" w:right="103"/>
              <w:jc w:val="left"/>
              <w:rPr>
                <w:rFonts w:ascii="宋体" w:hAnsi="宋体" w:cs="宋体" w:eastAsia="宋体" w:hint="default"/>
                <w:sz w:val="18"/>
                <w:szCs w:val="18"/>
              </w:rPr>
            </w:pPr>
            <w:r>
              <w:rPr>
                <w:rFonts w:ascii="宋体" w:hAnsi="宋体" w:cs="宋体" w:eastAsia="宋体" w:hint="default"/>
                <w:spacing w:val="6"/>
                <w:sz w:val="18"/>
                <w:szCs w:val="18"/>
              </w:rPr>
              <w:t>按税法及相关规定计算的当期所得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税</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8,247,116.96</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8,261,768.20</w:t>
            </w:r>
          </w:p>
        </w:tc>
      </w:tr>
      <w:tr>
        <w:trPr>
          <w:trHeight w:val="559"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-699,075.19</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-339,583.38</w:t>
            </w:r>
          </w:p>
        </w:tc>
      </w:tr>
      <w:tr>
        <w:trPr>
          <w:trHeight w:val="557" w:hRule="exact"/>
        </w:trPr>
        <w:tc>
          <w:tcPr>
            <w:tcW w:w="3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9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7,548,041.77</w:t>
            </w:r>
          </w:p>
        </w:tc>
        <w:tc>
          <w:tcPr>
            <w:tcW w:w="28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7,922,184.82</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BodyText"/>
        <w:spacing w:line="240" w:lineRule="auto" w:before="26"/>
        <w:ind w:left="775" w:right="279"/>
        <w:jc w:val="left"/>
      </w:pPr>
      <w:r>
        <w:rPr/>
        <w:t>10.</w:t>
      </w:r>
      <w:r>
        <w:rPr>
          <w:spacing w:val="-3"/>
        </w:rPr>
        <w:t> </w:t>
      </w:r>
      <w:r>
        <w:rPr/>
        <w:t>基本每股收益和稀释每股收益的计算过程</w:t>
      </w:r>
    </w:p>
    <w:p>
      <w:pPr>
        <w:pStyle w:val="BodyText"/>
        <w:spacing w:line="240" w:lineRule="auto" w:before="192"/>
        <w:ind w:left="775" w:right="279"/>
        <w:jc w:val="left"/>
      </w:pPr>
      <w:r>
        <w:rPr/>
        <w:t>(1)</w:t>
      </w:r>
      <w:r>
        <w:rPr>
          <w:spacing w:val="-3"/>
        </w:rPr>
        <w:t> </w:t>
      </w:r>
      <w:r>
        <w:rPr/>
        <w:t>基本每股收益的计算过程</w:t>
      </w:r>
    </w:p>
    <w:p>
      <w:pPr>
        <w:spacing w:line="240" w:lineRule="auto" w:before="10"/>
        <w:rPr>
          <w:rFonts w:ascii="宋体" w:hAnsi="宋体" w:cs="宋体" w:eastAsia="宋体" w:hint="default"/>
          <w:sz w:val="11"/>
          <w:szCs w:val="11"/>
        </w:rPr>
      </w:pPr>
    </w:p>
    <w:tbl>
      <w:tblPr>
        <w:tblW w:w="0" w:type="auto"/>
        <w:jc w:val="left"/>
        <w:tblInd w:w="287" w:type="dxa"/>
        <w:tblLayout w:type="fixed"/>
        <w:tblCellMar>
          <w:top w:w="0" w:type="dxa"/>
          <w:left w:w="0" w:type="dxa"/>
          <w:bottom w:w="0" w:type="dxa"/>
          <w:right w:w="0" w:type="dxa"/>
        </w:tblCellMar>
        <w:tblLook w:val="01E0"/>
      </w:tblPr>
      <w:tblGrid>
        <w:gridCol w:w="4320"/>
        <w:gridCol w:w="1440"/>
        <w:gridCol w:w="2880"/>
      </w:tblGrid>
      <w:tr>
        <w:trPr>
          <w:trHeight w:val="578" w:hRule="exact"/>
        </w:trPr>
        <w:tc>
          <w:tcPr>
            <w:tcW w:w="43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290"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left="123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76" w:hRule="exact"/>
        </w:trPr>
        <w:tc>
          <w:tcPr>
            <w:tcW w:w="43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10"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 w:right="0"/>
              <w:jc w:val="center"/>
              <w:rPr>
                <w:rFonts w:ascii="宋体" w:hAnsi="宋体" w:cs="宋体" w:eastAsia="宋体" w:hint="default"/>
                <w:sz w:val="18"/>
                <w:szCs w:val="18"/>
              </w:rPr>
            </w:pPr>
            <w:r>
              <w:rPr>
                <w:rFonts w:ascii="宋体"/>
                <w:sz w:val="18"/>
              </w:rPr>
              <w:t>A</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4"/>
              <w:jc w:val="right"/>
              <w:rPr>
                <w:rFonts w:ascii="宋体" w:hAnsi="宋体" w:cs="宋体" w:eastAsia="宋体" w:hint="default"/>
                <w:sz w:val="18"/>
                <w:szCs w:val="18"/>
              </w:rPr>
            </w:pPr>
            <w:r>
              <w:rPr>
                <w:rFonts w:ascii="宋体"/>
                <w:spacing w:val="-1"/>
                <w:sz w:val="18"/>
              </w:rPr>
              <w:t>4,431,085.96</w:t>
            </w:r>
          </w:p>
        </w:tc>
      </w:tr>
      <w:tr>
        <w:trPr>
          <w:trHeight w:val="578" w:hRule="exact"/>
        </w:trPr>
        <w:tc>
          <w:tcPr>
            <w:tcW w:w="43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10"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 w:right="0"/>
              <w:jc w:val="center"/>
              <w:rPr>
                <w:rFonts w:ascii="宋体" w:hAnsi="宋体" w:cs="宋体" w:eastAsia="宋体" w:hint="default"/>
                <w:sz w:val="18"/>
                <w:szCs w:val="18"/>
              </w:rPr>
            </w:pPr>
            <w:r>
              <w:rPr>
                <w:rFonts w:ascii="宋体"/>
                <w:sz w:val="18"/>
              </w:rPr>
              <w:t>B</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4"/>
              <w:jc w:val="right"/>
              <w:rPr>
                <w:rFonts w:ascii="宋体" w:hAnsi="宋体" w:cs="宋体" w:eastAsia="宋体" w:hint="default"/>
                <w:sz w:val="18"/>
                <w:szCs w:val="18"/>
              </w:rPr>
            </w:pPr>
            <w:r>
              <w:rPr>
                <w:rFonts w:ascii="宋体"/>
                <w:spacing w:val="-1"/>
                <w:sz w:val="18"/>
              </w:rPr>
              <w:t>-16,903,077.40</w:t>
            </w:r>
          </w:p>
        </w:tc>
      </w:tr>
      <w:tr>
        <w:trPr>
          <w:trHeight w:val="713" w:hRule="exact"/>
        </w:trPr>
        <w:tc>
          <w:tcPr>
            <w:tcW w:w="432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10" w:right="242"/>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 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sz w:val="18"/>
              </w:rPr>
              <w:t>C=A-B</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21,334,163.36</w:t>
            </w:r>
          </w:p>
        </w:tc>
      </w:tr>
      <w:tr>
        <w:trPr>
          <w:trHeight w:val="578" w:hRule="exact"/>
        </w:trPr>
        <w:tc>
          <w:tcPr>
            <w:tcW w:w="43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10"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 w:right="0"/>
              <w:jc w:val="center"/>
              <w:rPr>
                <w:rFonts w:ascii="宋体" w:hAnsi="宋体" w:cs="宋体" w:eastAsia="宋体" w:hint="default"/>
                <w:sz w:val="18"/>
                <w:szCs w:val="18"/>
              </w:rPr>
            </w:pPr>
            <w:r>
              <w:rPr>
                <w:rFonts w:ascii="宋体"/>
                <w:sz w:val="18"/>
              </w:rPr>
              <w:t>D</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4"/>
              <w:jc w:val="right"/>
              <w:rPr>
                <w:rFonts w:ascii="宋体" w:hAnsi="宋体" w:cs="宋体" w:eastAsia="宋体" w:hint="default"/>
                <w:sz w:val="18"/>
                <w:szCs w:val="18"/>
              </w:rPr>
            </w:pPr>
            <w:r>
              <w:rPr>
                <w:rFonts w:ascii="宋体"/>
                <w:spacing w:val="-1"/>
                <w:sz w:val="18"/>
              </w:rPr>
              <w:t>107,000,000.00</w:t>
            </w:r>
          </w:p>
        </w:tc>
      </w:tr>
      <w:tr>
        <w:trPr>
          <w:trHeight w:val="576" w:hRule="exact"/>
        </w:trPr>
        <w:tc>
          <w:tcPr>
            <w:tcW w:w="43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10" w:right="0"/>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 w:right="0"/>
              <w:jc w:val="center"/>
              <w:rPr>
                <w:rFonts w:ascii="宋体" w:hAnsi="宋体" w:cs="宋体" w:eastAsia="宋体" w:hint="default"/>
                <w:sz w:val="18"/>
                <w:szCs w:val="18"/>
              </w:rPr>
            </w:pPr>
            <w:r>
              <w:rPr>
                <w:rFonts w:ascii="宋体"/>
                <w:sz w:val="18"/>
              </w:rPr>
              <w:t>E</w:t>
            </w:r>
          </w:p>
        </w:tc>
        <w:tc>
          <w:tcPr>
            <w:tcW w:w="2880" w:type="dxa"/>
            <w:tcBorders>
              <w:top w:val="single" w:sz="4" w:space="0" w:color="000000"/>
              <w:left w:val="single" w:sz="4" w:space="0" w:color="000000"/>
              <w:bottom w:val="single" w:sz="4" w:space="0" w:color="000000"/>
              <w:right w:val="nil" w:sz="6" w:space="0" w:color="auto"/>
            </w:tcBorders>
          </w:tcPr>
          <w:p>
            <w:pPr/>
          </w:p>
        </w:tc>
      </w:tr>
      <w:tr>
        <w:trPr>
          <w:trHeight w:val="576" w:hRule="exact"/>
        </w:trPr>
        <w:tc>
          <w:tcPr>
            <w:tcW w:w="43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10"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 w:right="0"/>
              <w:jc w:val="center"/>
              <w:rPr>
                <w:rFonts w:ascii="宋体" w:hAnsi="宋体" w:cs="宋体" w:eastAsia="宋体" w:hint="default"/>
                <w:sz w:val="18"/>
                <w:szCs w:val="18"/>
              </w:rPr>
            </w:pPr>
            <w:r>
              <w:rPr>
                <w:rFonts w:ascii="宋体"/>
                <w:sz w:val="18"/>
              </w:rPr>
              <w:t>F</w:t>
            </w:r>
          </w:p>
        </w:tc>
        <w:tc>
          <w:tcPr>
            <w:tcW w:w="2880" w:type="dxa"/>
            <w:tcBorders>
              <w:top w:val="single" w:sz="4" w:space="0" w:color="000000"/>
              <w:left w:val="single" w:sz="4" w:space="0" w:color="000000"/>
              <w:bottom w:val="single" w:sz="4" w:space="0" w:color="000000"/>
              <w:right w:val="nil" w:sz="6" w:space="0" w:color="auto"/>
            </w:tcBorders>
          </w:tcPr>
          <w:p>
            <w:pPr/>
          </w:p>
        </w:tc>
      </w:tr>
      <w:tr>
        <w:trPr>
          <w:trHeight w:val="578" w:hRule="exact"/>
        </w:trPr>
        <w:tc>
          <w:tcPr>
            <w:tcW w:w="43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10"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 w:right="0"/>
              <w:jc w:val="center"/>
              <w:rPr>
                <w:rFonts w:ascii="宋体" w:hAnsi="宋体" w:cs="宋体" w:eastAsia="宋体" w:hint="default"/>
                <w:sz w:val="18"/>
                <w:szCs w:val="18"/>
              </w:rPr>
            </w:pPr>
            <w:r>
              <w:rPr>
                <w:rFonts w:ascii="宋体"/>
                <w:sz w:val="18"/>
              </w:rPr>
              <w:t>G</w:t>
            </w:r>
          </w:p>
        </w:tc>
        <w:tc>
          <w:tcPr>
            <w:tcW w:w="2880" w:type="dxa"/>
            <w:tcBorders>
              <w:top w:val="single" w:sz="4" w:space="0" w:color="000000"/>
              <w:left w:val="single" w:sz="4" w:space="0" w:color="000000"/>
              <w:bottom w:val="single" w:sz="4" w:space="0" w:color="000000"/>
              <w:right w:val="nil" w:sz="6" w:space="0" w:color="auto"/>
            </w:tcBorders>
          </w:tcPr>
          <w:p>
            <w:pPr/>
          </w:p>
        </w:tc>
      </w:tr>
      <w:tr>
        <w:trPr>
          <w:trHeight w:val="576" w:hRule="exact"/>
        </w:trPr>
        <w:tc>
          <w:tcPr>
            <w:tcW w:w="43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10"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 w:right="0"/>
              <w:jc w:val="center"/>
              <w:rPr>
                <w:rFonts w:ascii="宋体" w:hAnsi="宋体" w:cs="宋体" w:eastAsia="宋体" w:hint="default"/>
                <w:sz w:val="18"/>
                <w:szCs w:val="18"/>
              </w:rPr>
            </w:pPr>
            <w:r>
              <w:rPr>
                <w:rFonts w:ascii="宋体"/>
                <w:sz w:val="18"/>
              </w:rPr>
              <w:t>H</w:t>
            </w:r>
          </w:p>
        </w:tc>
        <w:tc>
          <w:tcPr>
            <w:tcW w:w="2880" w:type="dxa"/>
            <w:tcBorders>
              <w:top w:val="single" w:sz="4" w:space="0" w:color="000000"/>
              <w:left w:val="single" w:sz="4" w:space="0" w:color="000000"/>
              <w:bottom w:val="single" w:sz="4" w:space="0" w:color="000000"/>
              <w:right w:val="nil" w:sz="6" w:space="0" w:color="auto"/>
            </w:tcBorders>
          </w:tcPr>
          <w:p>
            <w:pPr/>
          </w:p>
        </w:tc>
      </w:tr>
      <w:tr>
        <w:trPr>
          <w:trHeight w:val="578" w:hRule="exact"/>
        </w:trPr>
        <w:tc>
          <w:tcPr>
            <w:tcW w:w="43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10"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 w:right="0"/>
              <w:jc w:val="center"/>
              <w:rPr>
                <w:rFonts w:ascii="宋体" w:hAnsi="宋体" w:cs="宋体" w:eastAsia="宋体" w:hint="default"/>
                <w:sz w:val="18"/>
                <w:szCs w:val="18"/>
              </w:rPr>
            </w:pPr>
            <w:r>
              <w:rPr>
                <w:rFonts w:ascii="宋体"/>
                <w:sz w:val="18"/>
              </w:rPr>
              <w:t>I</w:t>
            </w:r>
          </w:p>
        </w:tc>
        <w:tc>
          <w:tcPr>
            <w:tcW w:w="2880" w:type="dxa"/>
            <w:tcBorders>
              <w:top w:val="single" w:sz="4" w:space="0" w:color="000000"/>
              <w:left w:val="single" w:sz="4" w:space="0" w:color="000000"/>
              <w:bottom w:val="single" w:sz="4" w:space="0" w:color="000000"/>
              <w:right w:val="nil" w:sz="6" w:space="0" w:color="auto"/>
            </w:tcBorders>
          </w:tcPr>
          <w:p>
            <w:pPr/>
          </w:p>
        </w:tc>
      </w:tr>
      <w:tr>
        <w:trPr>
          <w:trHeight w:val="576" w:hRule="exact"/>
        </w:trPr>
        <w:tc>
          <w:tcPr>
            <w:tcW w:w="43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10"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 w:right="0"/>
              <w:jc w:val="center"/>
              <w:rPr>
                <w:rFonts w:ascii="宋体" w:hAnsi="宋体" w:cs="宋体" w:eastAsia="宋体" w:hint="default"/>
                <w:sz w:val="18"/>
                <w:szCs w:val="18"/>
              </w:rPr>
            </w:pPr>
            <w:r>
              <w:rPr>
                <w:rFonts w:ascii="宋体"/>
                <w:sz w:val="18"/>
              </w:rPr>
              <w:t>J</w:t>
            </w:r>
          </w:p>
        </w:tc>
        <w:tc>
          <w:tcPr>
            <w:tcW w:w="2880" w:type="dxa"/>
            <w:tcBorders>
              <w:top w:val="single" w:sz="4" w:space="0" w:color="000000"/>
              <w:left w:val="single" w:sz="4" w:space="0" w:color="000000"/>
              <w:bottom w:val="single" w:sz="4" w:space="0" w:color="000000"/>
              <w:right w:val="nil" w:sz="6" w:space="0" w:color="auto"/>
            </w:tcBorders>
          </w:tcPr>
          <w:p>
            <w:pPr/>
          </w:p>
        </w:tc>
      </w:tr>
      <w:tr>
        <w:trPr>
          <w:trHeight w:val="576" w:hRule="exact"/>
        </w:trPr>
        <w:tc>
          <w:tcPr>
            <w:tcW w:w="43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10"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 w:right="0"/>
              <w:jc w:val="center"/>
              <w:rPr>
                <w:rFonts w:ascii="宋体" w:hAnsi="宋体" w:cs="宋体" w:eastAsia="宋体" w:hint="default"/>
                <w:sz w:val="18"/>
                <w:szCs w:val="18"/>
              </w:rPr>
            </w:pPr>
            <w:r>
              <w:rPr>
                <w:rFonts w:ascii="宋体"/>
                <w:sz w:val="18"/>
              </w:rPr>
              <w:t>K</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4"/>
              <w:jc w:val="right"/>
              <w:rPr>
                <w:rFonts w:ascii="宋体" w:hAnsi="宋体" w:cs="宋体" w:eastAsia="宋体" w:hint="default"/>
                <w:sz w:val="18"/>
                <w:szCs w:val="18"/>
              </w:rPr>
            </w:pPr>
            <w:r>
              <w:rPr>
                <w:rFonts w:ascii="宋体"/>
                <w:sz w:val="18"/>
              </w:rPr>
              <w:t>12</w:t>
            </w:r>
          </w:p>
        </w:tc>
      </w:tr>
      <w:tr>
        <w:trPr>
          <w:trHeight w:val="715" w:hRule="exact"/>
        </w:trPr>
        <w:tc>
          <w:tcPr>
            <w:tcW w:w="43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77" w:right="173" w:firstLine="134"/>
              <w:jc w:val="left"/>
              <w:rPr>
                <w:rFonts w:ascii="宋体" w:hAnsi="宋体" w:cs="宋体" w:eastAsia="宋体" w:hint="default"/>
                <w:sz w:val="18"/>
                <w:szCs w:val="18"/>
              </w:rPr>
            </w:pPr>
            <w:r>
              <w:rPr>
                <w:rFonts w:ascii="宋体" w:hAnsi="宋体" w:cs="宋体" w:eastAsia="宋体" w:hint="default"/>
                <w:sz w:val="18"/>
                <w:szCs w:val="18"/>
              </w:rPr>
              <w:t>L=D+E+F× G/K-H×I/K-J</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107,000,000.00</w:t>
            </w:r>
          </w:p>
        </w:tc>
      </w:tr>
    </w:tbl>
    <w:p>
      <w:pPr>
        <w:spacing w:after="0" w:line="240" w:lineRule="auto"/>
        <w:jc w:val="right"/>
        <w:rPr>
          <w:rFonts w:ascii="宋体" w:hAnsi="宋体" w:cs="宋体" w:eastAsia="宋体" w:hint="default"/>
          <w:sz w:val="18"/>
          <w:szCs w:val="18"/>
        </w:rPr>
        <w:sectPr>
          <w:pgSz w:w="11910" w:h="16840"/>
          <w:pgMar w:header="745" w:footer="979" w:top="1060" w:bottom="1160" w:left="840" w:right="1020"/>
        </w:sectPr>
      </w:pPr>
    </w:p>
    <w:p>
      <w:pPr>
        <w:spacing w:line="240" w:lineRule="auto" w:before="6"/>
        <w:rPr>
          <w:rFonts w:ascii="宋体" w:hAnsi="宋体" w:cs="宋体" w:eastAsia="宋体" w:hint="default"/>
          <w:sz w:val="28"/>
          <w:szCs w:val="28"/>
        </w:rPr>
      </w:pPr>
    </w:p>
    <w:tbl>
      <w:tblPr>
        <w:tblW w:w="0" w:type="auto"/>
        <w:jc w:val="left"/>
        <w:tblInd w:w="107" w:type="dxa"/>
        <w:tblLayout w:type="fixed"/>
        <w:tblCellMar>
          <w:top w:w="0" w:type="dxa"/>
          <w:left w:w="0" w:type="dxa"/>
          <w:bottom w:w="0" w:type="dxa"/>
          <w:right w:w="0" w:type="dxa"/>
        </w:tblCellMar>
        <w:tblLook w:val="01E0"/>
      </w:tblPr>
      <w:tblGrid>
        <w:gridCol w:w="4320"/>
        <w:gridCol w:w="1440"/>
        <w:gridCol w:w="2880"/>
      </w:tblGrid>
      <w:tr>
        <w:trPr>
          <w:trHeight w:val="576" w:hRule="exact"/>
        </w:trPr>
        <w:tc>
          <w:tcPr>
            <w:tcW w:w="43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10"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 w:right="0"/>
              <w:jc w:val="center"/>
              <w:rPr>
                <w:rFonts w:ascii="宋体" w:hAnsi="宋体" w:cs="宋体" w:eastAsia="宋体" w:hint="default"/>
                <w:sz w:val="18"/>
                <w:szCs w:val="18"/>
              </w:rPr>
            </w:pPr>
            <w:r>
              <w:rPr>
                <w:rFonts w:ascii="宋体"/>
                <w:sz w:val="18"/>
              </w:rPr>
              <w:t>M=A/L</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4"/>
              <w:jc w:val="right"/>
              <w:rPr>
                <w:rFonts w:ascii="宋体" w:hAnsi="宋体" w:cs="宋体" w:eastAsia="宋体" w:hint="default"/>
                <w:sz w:val="18"/>
                <w:szCs w:val="18"/>
              </w:rPr>
            </w:pPr>
            <w:r>
              <w:rPr>
                <w:rFonts w:ascii="宋体"/>
                <w:sz w:val="18"/>
              </w:rPr>
              <w:t>0.04</w:t>
            </w:r>
          </w:p>
        </w:tc>
      </w:tr>
      <w:tr>
        <w:trPr>
          <w:trHeight w:val="576" w:hRule="exact"/>
        </w:trPr>
        <w:tc>
          <w:tcPr>
            <w:tcW w:w="43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10"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 w:right="0"/>
              <w:jc w:val="center"/>
              <w:rPr>
                <w:rFonts w:ascii="宋体" w:hAnsi="宋体" w:cs="宋体" w:eastAsia="宋体" w:hint="default"/>
                <w:sz w:val="18"/>
                <w:szCs w:val="18"/>
              </w:rPr>
            </w:pPr>
            <w:r>
              <w:rPr>
                <w:rFonts w:ascii="宋体"/>
                <w:sz w:val="18"/>
              </w:rPr>
              <w:t>N=C/L</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4"/>
              <w:jc w:val="right"/>
              <w:rPr>
                <w:rFonts w:ascii="宋体" w:hAnsi="宋体" w:cs="宋体" w:eastAsia="宋体" w:hint="default"/>
                <w:sz w:val="18"/>
                <w:szCs w:val="18"/>
              </w:rPr>
            </w:pPr>
            <w:r>
              <w:rPr>
                <w:rFonts w:ascii="宋体"/>
                <w:sz w:val="18"/>
              </w:rPr>
              <w:t>0.20</w:t>
            </w:r>
          </w:p>
        </w:tc>
      </w:tr>
    </w:tbl>
    <w:p>
      <w:pPr>
        <w:pStyle w:val="BodyText"/>
        <w:spacing w:line="240" w:lineRule="auto" w:before="82"/>
        <w:ind w:left="595" w:right="279"/>
        <w:jc w:val="left"/>
      </w:pPr>
      <w:r>
        <w:rPr/>
        <w:t>(2)</w:t>
      </w:r>
      <w:r>
        <w:rPr>
          <w:spacing w:val="-3"/>
        </w:rPr>
        <w:t> </w:t>
      </w:r>
      <w:r>
        <w:rPr/>
        <w:t>稀释每股收益的计算过程与基本每股收益的计算过程相同。</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pStyle w:val="BodyText"/>
        <w:spacing w:line="388" w:lineRule="auto" w:before="0"/>
        <w:ind w:left="595" w:right="5711"/>
        <w:jc w:val="left"/>
      </w:pPr>
      <w:r>
        <w:rPr/>
        <w:t>(三)</w:t>
      </w:r>
      <w:r>
        <w:rPr>
          <w:spacing w:val="-1"/>
        </w:rPr>
        <w:t> </w:t>
      </w:r>
      <w:r>
        <w:rPr/>
        <w:t>合并现金流量表项目注释</w:t>
      </w:r>
      <w:r>
        <w:rPr/>
        <w:t> 1．收到其他与经营活动有关的现金</w:t>
      </w:r>
    </w:p>
    <w:tbl>
      <w:tblPr>
        <w:tblW w:w="0" w:type="auto"/>
        <w:jc w:val="left"/>
        <w:tblInd w:w="107" w:type="dxa"/>
        <w:tblLayout w:type="fixed"/>
        <w:tblCellMar>
          <w:top w:w="0" w:type="dxa"/>
          <w:left w:w="0" w:type="dxa"/>
          <w:bottom w:w="0" w:type="dxa"/>
          <w:right w:w="0" w:type="dxa"/>
        </w:tblCellMar>
        <w:tblLook w:val="01E0"/>
      </w:tblPr>
      <w:tblGrid>
        <w:gridCol w:w="5400"/>
        <w:gridCol w:w="3240"/>
      </w:tblGrid>
      <w:tr>
        <w:trPr>
          <w:trHeight w:val="557" w:hRule="exact"/>
        </w:trPr>
        <w:tc>
          <w:tcPr>
            <w:tcW w:w="5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90"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12" w:right="0"/>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559" w:hRule="exact"/>
        </w:trPr>
        <w:tc>
          <w:tcPr>
            <w:tcW w:w="5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2,017,657.07</w:t>
            </w:r>
          </w:p>
        </w:tc>
      </w:tr>
      <w:tr>
        <w:trPr>
          <w:trHeight w:val="557" w:hRule="exact"/>
        </w:trPr>
        <w:tc>
          <w:tcPr>
            <w:tcW w:w="5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1,410,668.76</w:t>
            </w:r>
          </w:p>
        </w:tc>
      </w:tr>
      <w:tr>
        <w:trPr>
          <w:trHeight w:val="559" w:hRule="exact"/>
        </w:trPr>
        <w:tc>
          <w:tcPr>
            <w:tcW w:w="5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895,389.06</w:t>
            </w:r>
          </w:p>
        </w:tc>
      </w:tr>
      <w:tr>
        <w:trPr>
          <w:trHeight w:val="557" w:hRule="exact"/>
        </w:trPr>
        <w:tc>
          <w:tcPr>
            <w:tcW w:w="5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预缴企业所得税退回</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1,393,578.38</w:t>
            </w:r>
          </w:p>
        </w:tc>
      </w:tr>
      <w:tr>
        <w:trPr>
          <w:trHeight w:val="559" w:hRule="exact"/>
        </w:trPr>
        <w:tc>
          <w:tcPr>
            <w:tcW w:w="5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1,943,735.28</w:t>
            </w:r>
          </w:p>
        </w:tc>
      </w:tr>
      <w:tr>
        <w:trPr>
          <w:trHeight w:val="557" w:hRule="exact"/>
        </w:trPr>
        <w:tc>
          <w:tcPr>
            <w:tcW w:w="5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9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7,661,028.55</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240" w:lineRule="auto" w:before="26"/>
        <w:ind w:left="595" w:right="279"/>
        <w:jc w:val="left"/>
      </w:pPr>
      <w:r>
        <w:rPr/>
        <w:t>2．支付其他与经营活动有关的现金</w:t>
      </w:r>
    </w:p>
    <w:p>
      <w:pPr>
        <w:spacing w:line="240" w:lineRule="auto" w:before="10"/>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5400"/>
        <w:gridCol w:w="3240"/>
      </w:tblGrid>
      <w:tr>
        <w:trPr>
          <w:trHeight w:val="557" w:hRule="exact"/>
        </w:trPr>
        <w:tc>
          <w:tcPr>
            <w:tcW w:w="5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90"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12" w:right="0"/>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559" w:hRule="exact"/>
        </w:trPr>
        <w:tc>
          <w:tcPr>
            <w:tcW w:w="5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4,822,312.46</w:t>
            </w:r>
          </w:p>
        </w:tc>
      </w:tr>
      <w:tr>
        <w:trPr>
          <w:trHeight w:val="557" w:hRule="exact"/>
        </w:trPr>
        <w:tc>
          <w:tcPr>
            <w:tcW w:w="5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22,266,808.55</w:t>
            </w:r>
          </w:p>
        </w:tc>
      </w:tr>
      <w:tr>
        <w:trPr>
          <w:trHeight w:val="559" w:hRule="exact"/>
        </w:trPr>
        <w:tc>
          <w:tcPr>
            <w:tcW w:w="5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4,579,346.80</w:t>
            </w:r>
          </w:p>
        </w:tc>
      </w:tr>
      <w:tr>
        <w:trPr>
          <w:trHeight w:val="557" w:hRule="exact"/>
        </w:trPr>
        <w:tc>
          <w:tcPr>
            <w:tcW w:w="5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支付保函保证金</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579,411.20</w:t>
            </w:r>
          </w:p>
        </w:tc>
      </w:tr>
      <w:tr>
        <w:trPr>
          <w:trHeight w:val="559" w:hRule="exact"/>
        </w:trPr>
        <w:tc>
          <w:tcPr>
            <w:tcW w:w="5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524,391.31</w:t>
            </w:r>
          </w:p>
        </w:tc>
      </w:tr>
      <w:tr>
        <w:trPr>
          <w:trHeight w:val="557" w:hRule="exact"/>
        </w:trPr>
        <w:tc>
          <w:tcPr>
            <w:tcW w:w="5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9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32,772,270.32</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BodyText"/>
        <w:spacing w:line="240" w:lineRule="auto" w:before="26"/>
        <w:ind w:left="595" w:right="279"/>
        <w:jc w:val="left"/>
      </w:pPr>
      <w:r>
        <w:rPr/>
        <w:pict>
          <v:group style="position:absolute;margin-left:547.559998pt;margin-top:75.675606pt;width:.1pt;height:10.35pt;mso-position-horizontal-relative:page;mso-position-vertical-relative:paragraph;z-index:4648" coordorigin="10951,1514" coordsize="2,207">
            <v:shape style="position:absolute;left:10951;top:1514;width:2;height:207" coordorigin="10951,1514" coordsize="0,207" path="m10951,1514l10951,1720e" filled="false" stroked="true" strokeweight=".12pt" strokecolor="#000000">
              <v:path arrowok="t"/>
            </v:shape>
            <w10:wrap type="none"/>
          </v:group>
        </w:pict>
      </w:r>
      <w:r>
        <w:rPr/>
        <w:t>3．收到其他与投资活动有关的现金</w:t>
      </w:r>
    </w:p>
    <w:p>
      <w:pPr>
        <w:spacing w:line="240" w:lineRule="auto" w:before="5"/>
        <w:rPr>
          <w:rFonts w:ascii="宋体" w:hAnsi="宋体" w:cs="宋体" w:eastAsia="宋体" w:hint="default"/>
          <w:sz w:val="11"/>
          <w:szCs w:val="11"/>
        </w:rPr>
      </w:pPr>
    </w:p>
    <w:p>
      <w:pPr>
        <w:spacing w:line="573" w:lineRule="exact"/>
        <w:ind w:left="108"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432.5pt;height:28.7pt;mso-position-horizontal-relative:char;mso-position-vertical-relative:line" coordorigin="0,0" coordsize="8650,574">
            <v:group style="position:absolute;left:5;top:10;width:8640;height:2" coordorigin="5,10" coordsize="8640,2">
              <v:shape style="position:absolute;left:5;top:10;width:8640;height:2" coordorigin="5,10" coordsize="8640,0" path="m5,10l8645,10e" filled="false" stroked="true" strokeweight=".48pt" strokecolor="#000000">
                <v:path arrowok="t"/>
              </v:shape>
            </v:group>
            <v:group style="position:absolute;left:5;top:569;width:8640;height:2" coordorigin="5,569" coordsize="8640,2">
              <v:shape style="position:absolute;left:5;top:569;width:8640;height:2" coordorigin="5,569" coordsize="8640,0" path="m5,569l8645,569e" filled="false" stroked="true" strokeweight=".48pt" strokecolor="#000000">
                <v:path arrowok="t"/>
              </v:shape>
            </v:group>
            <v:group style="position:absolute;left:5405;top:5;width:2;height:560" coordorigin="5405,5" coordsize="2,560">
              <v:shape style="position:absolute;left:5405;top:5;width:2;height:560" coordorigin="5405,5" coordsize="0,560" path="m5405,5l5405,564e" filled="false" stroked="true" strokeweight=".48pt" strokecolor="#000000">
                <v:path arrowok="t"/>
              </v:shape>
              <v:shape style="position:absolute;left:295;top:201;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  目</w:t>
                      </w:r>
                    </w:p>
                  </w:txbxContent>
                </v:textbox>
                <w10:wrap type="none"/>
              </v:shape>
              <v:shape style="position:absolute;left:6763;top:201;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本期数</w:t>
                      </w:r>
                    </w:p>
                  </w:txbxContent>
                </v:textbox>
                <w10:wrap type="none"/>
              </v:shape>
            </v:group>
          </v:group>
        </w:pict>
      </w:r>
      <w:r>
        <w:rPr>
          <w:rFonts w:ascii="宋体" w:hAnsi="宋体" w:cs="宋体" w:eastAsia="宋体" w:hint="default"/>
          <w:position w:val="-10"/>
          <w:sz w:val="20"/>
          <w:szCs w:val="20"/>
        </w:rPr>
      </w:r>
    </w:p>
    <w:p>
      <w:pPr>
        <w:spacing w:after="0" w:line="573" w:lineRule="exact"/>
        <w:rPr>
          <w:rFonts w:ascii="宋体" w:hAnsi="宋体" w:cs="宋体" w:eastAsia="宋体" w:hint="default"/>
          <w:sz w:val="20"/>
          <w:szCs w:val="20"/>
        </w:rPr>
        <w:sectPr>
          <w:pgSz w:w="11910" w:h="16840"/>
          <w:pgMar w:header="745" w:footer="979" w:top="1060" w:bottom="1160" w:left="1020" w:right="840"/>
        </w:sectPr>
      </w:pPr>
    </w:p>
    <w:p>
      <w:pPr>
        <w:spacing w:line="240" w:lineRule="auto" w:before="6"/>
        <w:rPr>
          <w:rFonts w:ascii="宋体" w:hAnsi="宋体" w:cs="宋体" w:eastAsia="宋体" w:hint="default"/>
          <w:sz w:val="28"/>
          <w:szCs w:val="28"/>
        </w:rPr>
      </w:pPr>
      <w:r>
        <w:rPr/>
        <w:pict>
          <v:group style="position:absolute;margin-left:47.639999pt;margin-top:781.919983pt;width:.1pt;height:10.35pt;mso-position-horizontal-relative:page;mso-position-vertical-relative:page;z-index:4672" coordorigin="953,15638" coordsize="2,207">
            <v:shape style="position:absolute;left:953;top:15638;width:2;height:207" coordorigin="953,15638" coordsize="0,207" path="m953,15638l953,15845e" filled="false" stroked="true" strokeweight=".12pt" strokecolor="#000000">
              <v:path arrowok="t"/>
            </v:shape>
            <w10:wrap type="none"/>
          </v:group>
        </w:pict>
      </w:r>
    </w:p>
    <w:tbl>
      <w:tblPr>
        <w:tblW w:w="0" w:type="auto"/>
        <w:jc w:val="left"/>
        <w:tblInd w:w="287" w:type="dxa"/>
        <w:tblLayout w:type="fixed"/>
        <w:tblCellMar>
          <w:top w:w="0" w:type="dxa"/>
          <w:left w:w="0" w:type="dxa"/>
          <w:bottom w:w="0" w:type="dxa"/>
          <w:right w:w="0" w:type="dxa"/>
        </w:tblCellMar>
        <w:tblLook w:val="01E0"/>
      </w:tblPr>
      <w:tblGrid>
        <w:gridCol w:w="5400"/>
        <w:gridCol w:w="3240"/>
      </w:tblGrid>
      <w:tr>
        <w:trPr>
          <w:trHeight w:val="557" w:hRule="exact"/>
        </w:trPr>
        <w:tc>
          <w:tcPr>
            <w:tcW w:w="5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定期存款到期</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29,072,968.58</w:t>
            </w:r>
          </w:p>
        </w:tc>
      </w:tr>
      <w:tr>
        <w:trPr>
          <w:trHeight w:val="559" w:hRule="exact"/>
        </w:trPr>
        <w:tc>
          <w:tcPr>
            <w:tcW w:w="5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政府项目补助</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3,175,200.00</w:t>
            </w:r>
          </w:p>
        </w:tc>
      </w:tr>
      <w:tr>
        <w:trPr>
          <w:trHeight w:val="557" w:hRule="exact"/>
        </w:trPr>
        <w:tc>
          <w:tcPr>
            <w:tcW w:w="5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9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32,248,168.58</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BodyText"/>
        <w:spacing w:line="240" w:lineRule="auto" w:before="26"/>
        <w:ind w:left="775" w:right="279"/>
        <w:jc w:val="left"/>
      </w:pPr>
      <w:r>
        <w:rPr/>
        <w:t>4．支付其他与投资活动有关的现金</w:t>
      </w:r>
    </w:p>
    <w:p>
      <w:pPr>
        <w:spacing w:line="240" w:lineRule="auto" w:before="10"/>
        <w:rPr>
          <w:rFonts w:ascii="宋体" w:hAnsi="宋体" w:cs="宋体" w:eastAsia="宋体" w:hint="default"/>
          <w:sz w:val="11"/>
          <w:szCs w:val="11"/>
        </w:rPr>
      </w:pPr>
    </w:p>
    <w:tbl>
      <w:tblPr>
        <w:tblW w:w="0" w:type="auto"/>
        <w:jc w:val="left"/>
        <w:tblInd w:w="287" w:type="dxa"/>
        <w:tblLayout w:type="fixed"/>
        <w:tblCellMar>
          <w:top w:w="0" w:type="dxa"/>
          <w:left w:w="0" w:type="dxa"/>
          <w:bottom w:w="0" w:type="dxa"/>
          <w:right w:w="0" w:type="dxa"/>
        </w:tblCellMar>
        <w:tblLook w:val="01E0"/>
      </w:tblPr>
      <w:tblGrid>
        <w:gridCol w:w="5400"/>
        <w:gridCol w:w="3240"/>
      </w:tblGrid>
      <w:tr>
        <w:trPr>
          <w:trHeight w:val="559" w:hRule="exact"/>
        </w:trPr>
        <w:tc>
          <w:tcPr>
            <w:tcW w:w="5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4562"/>
              <w:jc w:val="right"/>
              <w:rPr>
                <w:rFonts w:ascii="宋体" w:hAnsi="宋体" w:cs="宋体" w:eastAsia="宋体" w:hint="default"/>
                <w:sz w:val="18"/>
                <w:szCs w:val="18"/>
              </w:rPr>
            </w:pPr>
            <w:r>
              <w:rPr>
                <w:rFonts w:ascii="宋体" w:hAnsi="宋体" w:cs="宋体" w:eastAsia="宋体" w:hint="default"/>
                <w:sz w:val="18"/>
                <w:szCs w:val="18"/>
              </w:rPr>
              <w:t>项  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12" w:right="0"/>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557" w:hRule="exact"/>
        </w:trPr>
        <w:tc>
          <w:tcPr>
            <w:tcW w:w="5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4562"/>
              <w:jc w:val="right"/>
              <w:rPr>
                <w:rFonts w:ascii="宋体" w:hAnsi="宋体" w:cs="宋体" w:eastAsia="宋体" w:hint="default"/>
                <w:sz w:val="18"/>
                <w:szCs w:val="18"/>
              </w:rPr>
            </w:pPr>
            <w:r>
              <w:rPr>
                <w:rFonts w:ascii="宋体" w:hAnsi="宋体" w:cs="宋体" w:eastAsia="宋体" w:hint="default"/>
                <w:sz w:val="18"/>
                <w:szCs w:val="18"/>
              </w:rPr>
              <w:t>定期存款</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8,000,000.00</w:t>
            </w:r>
          </w:p>
        </w:tc>
      </w:tr>
      <w:tr>
        <w:trPr>
          <w:trHeight w:val="559" w:hRule="exact"/>
        </w:trPr>
        <w:tc>
          <w:tcPr>
            <w:tcW w:w="5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4562"/>
              <w:jc w:val="right"/>
              <w:rPr>
                <w:rFonts w:ascii="宋体" w:hAnsi="宋体" w:cs="宋体" w:eastAsia="宋体" w:hint="default"/>
                <w:sz w:val="18"/>
                <w:szCs w:val="18"/>
              </w:rPr>
            </w:pPr>
            <w:r>
              <w:rPr>
                <w:rFonts w:ascii="宋体" w:hAnsi="宋体" w:cs="宋体" w:eastAsia="宋体" w:hint="default"/>
                <w:sz w:val="18"/>
                <w:szCs w:val="18"/>
              </w:rPr>
              <w:t>合  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8,000,000.00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BodyText"/>
        <w:spacing w:line="240" w:lineRule="auto" w:before="26"/>
        <w:ind w:left="775" w:right="279"/>
        <w:jc w:val="left"/>
      </w:pPr>
      <w:r>
        <w:rPr/>
        <w:t>5.</w:t>
      </w:r>
      <w:r>
        <w:rPr>
          <w:spacing w:val="-3"/>
        </w:rPr>
        <w:t> </w:t>
      </w:r>
      <w:r>
        <w:rPr/>
        <w:t>现金流量表补充资料</w:t>
      </w:r>
    </w:p>
    <w:p>
      <w:pPr>
        <w:pStyle w:val="BodyText"/>
        <w:spacing w:line="240" w:lineRule="auto" w:before="194"/>
        <w:ind w:left="775" w:right="279"/>
        <w:jc w:val="left"/>
      </w:pPr>
      <w:r>
        <w:rPr/>
        <w:t>(1)</w:t>
      </w:r>
      <w:r>
        <w:rPr>
          <w:spacing w:val="-3"/>
        </w:rPr>
        <w:t> </w:t>
      </w:r>
      <w:r>
        <w:rPr/>
        <w:t>现金流量表补充资料</w:t>
      </w:r>
    </w:p>
    <w:p>
      <w:pPr>
        <w:spacing w:line="240" w:lineRule="auto" w:before="10"/>
        <w:rPr>
          <w:rFonts w:ascii="宋体" w:hAnsi="宋体" w:cs="宋体" w:eastAsia="宋体" w:hint="default"/>
          <w:sz w:val="11"/>
          <w:szCs w:val="11"/>
        </w:rPr>
      </w:pPr>
    </w:p>
    <w:tbl>
      <w:tblPr>
        <w:tblW w:w="0" w:type="auto"/>
        <w:jc w:val="left"/>
        <w:tblInd w:w="287" w:type="dxa"/>
        <w:tblLayout w:type="fixed"/>
        <w:tblCellMar>
          <w:top w:w="0" w:type="dxa"/>
          <w:left w:w="0" w:type="dxa"/>
          <w:bottom w:w="0" w:type="dxa"/>
          <w:right w:w="0" w:type="dxa"/>
        </w:tblCellMar>
        <w:tblLook w:val="01E0"/>
      </w:tblPr>
      <w:tblGrid>
        <w:gridCol w:w="4860"/>
        <w:gridCol w:w="1800"/>
        <w:gridCol w:w="1800"/>
      </w:tblGrid>
      <w:tr>
        <w:trPr>
          <w:trHeight w:val="557"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7"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446"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59"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将净利润调节为经营活动现金流量：</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7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4,431,085.96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42,912,734.77</w:t>
            </w:r>
          </w:p>
        </w:tc>
      </w:tr>
      <w:tr>
        <w:trPr>
          <w:trHeight w:val="514"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506"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宋体" w:hAnsi="宋体" w:cs="宋体" w:eastAsia="宋体" w:hint="default"/>
                <w:sz w:val="18"/>
                <w:szCs w:val="18"/>
              </w:rPr>
            </w:pPr>
            <w:r>
              <w:rPr>
                <w:rFonts w:ascii="宋体"/>
                <w:spacing w:val="-1"/>
                <w:sz w:val="18"/>
              </w:rPr>
              <w:t>23,258,041.33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104"/>
              <w:jc w:val="right"/>
              <w:rPr>
                <w:rFonts w:ascii="宋体" w:hAnsi="宋体" w:cs="宋体" w:eastAsia="宋体" w:hint="default"/>
                <w:sz w:val="18"/>
                <w:szCs w:val="18"/>
              </w:rPr>
            </w:pPr>
            <w:r>
              <w:rPr>
                <w:rFonts w:ascii="宋体"/>
                <w:spacing w:val="-1"/>
                <w:sz w:val="18"/>
              </w:rPr>
              <w:t>-427,613.56</w:t>
            </w:r>
          </w:p>
        </w:tc>
      </w:tr>
      <w:tr>
        <w:trPr>
          <w:trHeight w:val="713"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806" w:right="101"/>
              <w:jc w:val="left"/>
              <w:rPr>
                <w:rFonts w:ascii="宋体" w:hAnsi="宋体" w:cs="宋体" w:eastAsia="宋体" w:hint="default"/>
                <w:sz w:val="18"/>
                <w:szCs w:val="18"/>
              </w:rPr>
            </w:pPr>
            <w:r>
              <w:rPr>
                <w:rFonts w:ascii="宋体" w:hAnsi="宋体" w:cs="宋体" w:eastAsia="宋体" w:hint="default"/>
                <w:spacing w:val="-1"/>
                <w:sz w:val="18"/>
                <w:szCs w:val="18"/>
              </w:rPr>
              <w:t>固定资产折旧、油气资产折耗、生产性生物资产折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4,618,003.66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3,916,725.83</w:t>
            </w:r>
          </w:p>
        </w:tc>
      </w:tr>
      <w:tr>
        <w:trPr>
          <w:trHeight w:val="559"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787"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9,480,997.19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7,239,942.07</w:t>
            </w:r>
          </w:p>
        </w:tc>
      </w:tr>
      <w:tr>
        <w:trPr>
          <w:trHeight w:val="557"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787"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232,972.69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46,259.10</w:t>
            </w:r>
          </w:p>
        </w:tc>
      </w:tr>
      <w:tr>
        <w:trPr>
          <w:trHeight w:val="715"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312" w:lineRule="auto" w:before="51"/>
              <w:ind w:left="806" w:right="110" w:hanging="20"/>
              <w:jc w:val="left"/>
              <w:rPr>
                <w:rFonts w:ascii="宋体" w:hAnsi="宋体" w:cs="宋体" w:eastAsia="宋体" w:hint="default"/>
                <w:sz w:val="18"/>
                <w:szCs w:val="18"/>
              </w:rPr>
            </w:pPr>
            <w:r>
              <w:rPr>
                <w:rFonts w:ascii="宋体" w:hAnsi="宋体" w:cs="宋体" w:eastAsia="宋体" w:hint="default"/>
                <w:spacing w:val="7"/>
                <w:sz w:val="18"/>
                <w:szCs w:val="18"/>
              </w:rPr>
              <w:t>处置固定资产、无形资产和其他长期资产的损失</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position w:val="1"/>
                <w:sz w:val="18"/>
                <w:szCs w:val="18"/>
              </w:rPr>
              <w:t>(收益</w:t>
            </w:r>
            <w:r>
              <w:rPr>
                <w:rFonts w:ascii="宋体" w:hAnsi="宋体" w:cs="宋体" w:eastAsia="宋体" w:hint="default"/>
                <w:spacing w:val="2"/>
                <w:sz w:val="18"/>
                <w:szCs w:val="18"/>
              </w:rPr>
              <w:t>以“－”号填列)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42,167.55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43,818.11</w:t>
            </w:r>
          </w:p>
        </w:tc>
      </w:tr>
      <w:tr>
        <w:trPr>
          <w:trHeight w:val="557"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787"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787"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787"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-4,878,333.41</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946,217.27</w:t>
            </w:r>
          </w:p>
        </w:tc>
      </w:tr>
      <w:tr>
        <w:trPr>
          <w:trHeight w:val="559"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787"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787"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-699,075.19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-339,583.38</w:t>
            </w:r>
          </w:p>
        </w:tc>
      </w:tr>
    </w:tbl>
    <w:p>
      <w:pPr>
        <w:spacing w:after="0" w:line="240" w:lineRule="auto"/>
        <w:jc w:val="right"/>
        <w:rPr>
          <w:rFonts w:ascii="宋体" w:hAnsi="宋体" w:cs="宋体" w:eastAsia="宋体" w:hint="default"/>
          <w:sz w:val="18"/>
          <w:szCs w:val="18"/>
        </w:rPr>
        <w:sectPr>
          <w:pgSz w:w="11910" w:h="16840"/>
          <w:pgMar w:header="745" w:footer="979" w:top="1060" w:bottom="1160" w:left="840" w:right="1020"/>
        </w:sectPr>
      </w:pPr>
    </w:p>
    <w:p>
      <w:pPr>
        <w:spacing w:line="240" w:lineRule="auto" w:before="6"/>
        <w:rPr>
          <w:rFonts w:ascii="宋体" w:hAnsi="宋体" w:cs="宋体" w:eastAsia="宋体" w:hint="default"/>
          <w:sz w:val="28"/>
          <w:szCs w:val="28"/>
        </w:rPr>
      </w:pPr>
      <w:r>
        <w:rPr/>
        <w:pict>
          <v:group style="position:absolute;margin-left:547.559998pt;margin-top:781.919983pt;width:.1pt;height:10.35pt;mso-position-horizontal-relative:page;mso-position-vertical-relative:page;z-index:4696" coordorigin="10951,15638" coordsize="2,207">
            <v:shape style="position:absolute;left:10951;top:15638;width:2;height:207" coordorigin="10951,15638" coordsize="0,207" path="m10951,15638l10951,15845e" filled="false" stroked="true" strokeweight=".12pt" strokecolor="#000000">
              <v:path arrowok="t"/>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4860"/>
        <w:gridCol w:w="1800"/>
        <w:gridCol w:w="1800"/>
      </w:tblGrid>
      <w:tr>
        <w:trPr>
          <w:trHeight w:val="557"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787"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787"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-11,837,692.42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5,222,794.95</w:t>
            </w:r>
          </w:p>
        </w:tc>
      </w:tr>
      <w:tr>
        <w:trPr>
          <w:trHeight w:val="526"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1"/>
              <w:ind w:right="464"/>
              <w:jc w:val="righ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8"/>
                <w:szCs w:val="18"/>
              </w:rPr>
            </w:pPr>
            <w:r>
              <w:rPr>
                <w:rFonts w:ascii="宋体"/>
                <w:spacing w:val="-1"/>
                <w:sz w:val="18"/>
              </w:rPr>
              <w:t>-15,136,162.83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1"/>
              <w:ind w:right="104"/>
              <w:jc w:val="right"/>
              <w:rPr>
                <w:rFonts w:ascii="宋体" w:hAnsi="宋体" w:cs="宋体" w:eastAsia="宋体" w:hint="default"/>
                <w:sz w:val="18"/>
                <w:szCs w:val="18"/>
              </w:rPr>
            </w:pPr>
            <w:r>
              <w:rPr>
                <w:rFonts w:ascii="宋体"/>
                <w:spacing w:val="-1"/>
                <w:sz w:val="18"/>
              </w:rPr>
              <w:t>1,499,308.60</w:t>
            </w:r>
          </w:p>
        </w:tc>
      </w:tr>
      <w:tr>
        <w:trPr>
          <w:trHeight w:val="434"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right="464"/>
              <w:jc w:val="righ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宋体" w:hAnsi="宋体" w:cs="宋体" w:eastAsia="宋体" w:hint="default"/>
                <w:sz w:val="18"/>
                <w:szCs w:val="18"/>
              </w:rPr>
            </w:pPr>
            <w:r>
              <w:rPr>
                <w:rFonts w:ascii="宋体"/>
                <w:spacing w:val="-1"/>
                <w:sz w:val="18"/>
              </w:rPr>
              <w:t>6,377,647.03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104"/>
              <w:jc w:val="right"/>
              <w:rPr>
                <w:rFonts w:ascii="宋体" w:hAnsi="宋体" w:cs="宋体" w:eastAsia="宋体" w:hint="default"/>
                <w:sz w:val="18"/>
                <w:szCs w:val="18"/>
              </w:rPr>
            </w:pPr>
            <w:r>
              <w:rPr>
                <w:rFonts w:ascii="宋体"/>
                <w:spacing w:val="-1"/>
                <w:sz w:val="18"/>
              </w:rPr>
              <w:t>-6,422,286.74</w:t>
            </w:r>
          </w:p>
        </w:tc>
      </w:tr>
      <w:tr>
        <w:trPr>
          <w:trHeight w:val="559"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78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78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15,889,651.56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54,638,317.02</w:t>
            </w:r>
          </w:p>
        </w:tc>
      </w:tr>
      <w:tr>
        <w:trPr>
          <w:trHeight w:val="559"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不涉及现金收支的重大投资和筹资活动：</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506"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506"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506"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2"/>
                <w:sz w:val="18"/>
                <w:szCs w:val="18"/>
              </w:rPr>
              <w:t> </w:t>
            </w:r>
            <w:r>
              <w:rPr>
                <w:rFonts w:ascii="宋体" w:hAnsi="宋体" w:cs="宋体" w:eastAsia="宋体" w:hint="default"/>
                <w:sz w:val="18"/>
                <w:szCs w:val="18"/>
              </w:rPr>
              <w:t>现金及现金等价物净变动情况：</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70"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94,810,446.68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112,629,477.53</w:t>
            </w:r>
          </w:p>
        </w:tc>
      </w:tr>
      <w:tr>
        <w:trPr>
          <w:trHeight w:val="559"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70"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112,629,477.53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75,137,215.46</w:t>
            </w:r>
          </w:p>
        </w:tc>
      </w:tr>
      <w:tr>
        <w:trPr>
          <w:trHeight w:val="557"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70"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506"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15"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-17,819,030.85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37,492,262.07</w:t>
            </w:r>
          </w:p>
        </w:tc>
      </w:tr>
    </w:tbl>
    <w:p>
      <w:pPr>
        <w:spacing w:line="240" w:lineRule="auto" w:before="5"/>
        <w:rPr>
          <w:rFonts w:ascii="宋体" w:hAnsi="宋体" w:cs="宋体" w:eastAsia="宋体" w:hint="default"/>
          <w:sz w:val="6"/>
          <w:szCs w:val="6"/>
        </w:rPr>
      </w:pPr>
    </w:p>
    <w:p>
      <w:pPr>
        <w:spacing w:before="44"/>
        <w:ind w:left="535" w:right="279"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
          <w:sz w:val="18"/>
          <w:szCs w:val="18"/>
        </w:rPr>
        <w:t> </w:t>
      </w:r>
      <w:r>
        <w:rPr>
          <w:rFonts w:ascii="宋体" w:hAnsi="宋体" w:cs="宋体" w:eastAsia="宋体" w:hint="default"/>
          <w:sz w:val="18"/>
          <w:szCs w:val="18"/>
        </w:rPr>
        <w:t>现金和现金等价物的构成</w:t>
      </w:r>
    </w:p>
    <w:p>
      <w:pPr>
        <w:spacing w:line="240" w:lineRule="auto" w:before="3"/>
        <w:rPr>
          <w:rFonts w:ascii="宋体" w:hAnsi="宋体" w:cs="宋体" w:eastAsia="宋体" w:hint="default"/>
          <w:sz w:val="14"/>
          <w:szCs w:val="14"/>
        </w:rPr>
      </w:pPr>
    </w:p>
    <w:tbl>
      <w:tblPr>
        <w:tblW w:w="0" w:type="auto"/>
        <w:jc w:val="left"/>
        <w:tblInd w:w="107" w:type="dxa"/>
        <w:tblLayout w:type="fixed"/>
        <w:tblCellMar>
          <w:top w:w="0" w:type="dxa"/>
          <w:left w:w="0" w:type="dxa"/>
          <w:bottom w:w="0" w:type="dxa"/>
          <w:right w:w="0" w:type="dxa"/>
        </w:tblCellMar>
        <w:tblLook w:val="01E0"/>
      </w:tblPr>
      <w:tblGrid>
        <w:gridCol w:w="4860"/>
        <w:gridCol w:w="1800"/>
        <w:gridCol w:w="1800"/>
      </w:tblGrid>
      <w:tr>
        <w:trPr>
          <w:trHeight w:val="557"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tabs>
                <w:tab w:pos="547" w:val="left" w:leader="none"/>
              </w:tabs>
              <w:spacing w:line="240" w:lineRule="auto" w:before="128"/>
              <w:ind w:left="7"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6"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7"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9"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现金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94,810,446.68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112,629,477.53</w:t>
            </w:r>
          </w:p>
        </w:tc>
      </w:tr>
      <w:tr>
        <w:trPr>
          <w:trHeight w:val="557"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379"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14,575.51</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11,467.46</w:t>
            </w:r>
          </w:p>
        </w:tc>
      </w:tr>
      <w:tr>
        <w:trPr>
          <w:trHeight w:val="559"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919"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94,795,871.17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112,618,010.07</w:t>
            </w:r>
          </w:p>
        </w:tc>
      </w:tr>
      <w:tr>
        <w:trPr>
          <w:trHeight w:val="557"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1415"/>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1415"/>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919"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919"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5" w:footer="979" w:top="1060" w:bottom="1160" w:left="1020" w:right="840"/>
        </w:sectPr>
      </w:pPr>
    </w:p>
    <w:p>
      <w:pPr>
        <w:spacing w:line="240" w:lineRule="auto" w:before="6"/>
        <w:rPr>
          <w:rFonts w:ascii="宋体" w:hAnsi="宋体" w:cs="宋体" w:eastAsia="宋体" w:hint="default"/>
          <w:sz w:val="28"/>
          <w:szCs w:val="28"/>
        </w:rPr>
      </w:pPr>
    </w:p>
    <w:tbl>
      <w:tblPr>
        <w:tblW w:w="0" w:type="auto"/>
        <w:jc w:val="left"/>
        <w:tblInd w:w="287" w:type="dxa"/>
        <w:tblLayout w:type="fixed"/>
        <w:tblCellMar>
          <w:top w:w="0" w:type="dxa"/>
          <w:left w:w="0" w:type="dxa"/>
          <w:bottom w:w="0" w:type="dxa"/>
          <w:right w:w="0" w:type="dxa"/>
        </w:tblCellMar>
        <w:tblLook w:val="01E0"/>
      </w:tblPr>
      <w:tblGrid>
        <w:gridCol w:w="4860"/>
        <w:gridCol w:w="1800"/>
        <w:gridCol w:w="1800"/>
      </w:tblGrid>
      <w:tr>
        <w:trPr>
          <w:trHeight w:val="557"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现金等价物</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70"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2"/>
                <w:sz w:val="18"/>
                <w:szCs w:val="18"/>
              </w:rPr>
              <w:t> </w:t>
            </w:r>
            <w:r>
              <w:rPr>
                <w:rFonts w:ascii="宋体" w:hAnsi="宋体" w:cs="宋体" w:eastAsia="宋体" w:hint="default"/>
                <w:sz w:val="18"/>
                <w:szCs w:val="18"/>
              </w:rPr>
              <w:t>期末现金及现金等价物余额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18" w:right="0"/>
              <w:jc w:val="left"/>
              <w:rPr>
                <w:rFonts w:ascii="宋体" w:hAnsi="宋体" w:cs="宋体" w:eastAsia="宋体" w:hint="default"/>
                <w:sz w:val="18"/>
                <w:szCs w:val="18"/>
              </w:rPr>
            </w:pPr>
            <w:r>
              <w:rPr>
                <w:rFonts w:ascii="宋体"/>
                <w:sz w:val="18"/>
              </w:rPr>
              <w:t>94,810,446.68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427" w:right="0"/>
              <w:jc w:val="left"/>
              <w:rPr>
                <w:rFonts w:ascii="宋体" w:hAnsi="宋体" w:cs="宋体" w:eastAsia="宋体" w:hint="default"/>
                <w:sz w:val="18"/>
                <w:szCs w:val="18"/>
              </w:rPr>
            </w:pPr>
            <w:r>
              <w:rPr>
                <w:rFonts w:ascii="宋体"/>
                <w:sz w:val="18"/>
              </w:rPr>
              <w:t>112,629,477.53</w:t>
            </w:r>
          </w:p>
        </w:tc>
      </w:tr>
    </w:tbl>
    <w:p>
      <w:pPr>
        <w:pStyle w:val="BodyText"/>
        <w:spacing w:line="240" w:lineRule="auto" w:before="82"/>
        <w:ind w:left="775" w:right="279"/>
        <w:jc w:val="left"/>
      </w:pPr>
      <w:r>
        <w:rPr/>
        <w:t>(3)</w:t>
      </w:r>
      <w:r>
        <w:rPr>
          <w:spacing w:val="-3"/>
        </w:rPr>
        <w:t> </w:t>
      </w:r>
      <w:r>
        <w:rPr/>
        <w:t>现金流量表补充资料的说明</w:t>
      </w:r>
    </w:p>
    <w:p>
      <w:pPr>
        <w:pStyle w:val="BodyText"/>
        <w:spacing w:line="240" w:lineRule="auto" w:before="192"/>
        <w:ind w:left="775" w:right="0"/>
        <w:jc w:val="left"/>
      </w:pPr>
      <w:r>
        <w:rPr>
          <w:spacing w:val="3"/>
        </w:rPr>
        <w:t>期末货币资金中包括开立保函保证金 </w:t>
      </w:r>
      <w:r>
        <w:rPr/>
        <w:t>1,837,471.95</w:t>
      </w:r>
      <w:r>
        <w:rPr>
          <w:spacing w:val="-90"/>
        </w:rPr>
        <w:t> </w:t>
      </w:r>
      <w:r>
        <w:rPr>
          <w:spacing w:val="3"/>
        </w:rPr>
        <w:t>元和公司准备持有至到期的定期存</w:t>
      </w:r>
    </w:p>
    <w:p>
      <w:pPr>
        <w:pStyle w:val="BodyText"/>
        <w:spacing w:line="240" w:lineRule="auto" w:before="154"/>
        <w:ind w:right="279"/>
        <w:jc w:val="left"/>
      </w:pPr>
      <w:r>
        <w:rPr/>
        <w:t>款</w:t>
      </w:r>
      <w:r>
        <w:rPr>
          <w:spacing w:val="-58"/>
        </w:rPr>
        <w:t> </w:t>
      </w:r>
      <w:r>
        <w:rPr/>
        <w:t>172,314,235.55</w:t>
      </w:r>
      <w:r>
        <w:rPr>
          <w:spacing w:val="-60"/>
        </w:rPr>
        <w:t> </w:t>
      </w:r>
      <w:r>
        <w:rPr/>
        <w:t>元，不作为现金和现金等价物。</w:t>
      </w:r>
    </w:p>
    <w:p>
      <w:pPr>
        <w:pStyle w:val="BodyText"/>
        <w:spacing w:line="240" w:lineRule="auto" w:before="194"/>
        <w:ind w:left="775" w:right="0"/>
        <w:jc w:val="left"/>
      </w:pPr>
      <w:r>
        <w:rPr>
          <w:spacing w:val="3"/>
        </w:rPr>
        <w:t>期初货币资金中包括开立保函保证金 </w:t>
      </w:r>
      <w:r>
        <w:rPr/>
        <w:t>1,258,060.75</w:t>
      </w:r>
      <w:r>
        <w:rPr>
          <w:spacing w:val="-90"/>
        </w:rPr>
        <w:t> </w:t>
      </w:r>
      <w:r>
        <w:rPr>
          <w:spacing w:val="3"/>
        </w:rPr>
        <w:t>元和公司准备持有至到期的定期存</w:t>
      </w:r>
    </w:p>
    <w:p>
      <w:pPr>
        <w:pStyle w:val="BodyText"/>
        <w:spacing w:line="240" w:lineRule="auto" w:before="154"/>
        <w:ind w:right="279"/>
        <w:jc w:val="left"/>
      </w:pPr>
      <w:r>
        <w:rPr/>
        <w:t>款</w:t>
      </w:r>
      <w:r>
        <w:rPr>
          <w:spacing w:val="-58"/>
        </w:rPr>
        <w:t> </w:t>
      </w:r>
      <w:r>
        <w:rPr/>
        <w:t>193,387,204.13</w:t>
      </w:r>
      <w:r>
        <w:rPr>
          <w:spacing w:val="-60"/>
        </w:rPr>
        <w:t> </w:t>
      </w:r>
      <w:r>
        <w:rPr/>
        <w:t>元，不作为现金和现金等价物。</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pStyle w:val="BodyText"/>
        <w:spacing w:line="388" w:lineRule="auto" w:before="0"/>
        <w:ind w:left="775" w:right="6851"/>
        <w:jc w:val="left"/>
      </w:pPr>
      <w:r>
        <w:rPr/>
        <w:t>六、关联方及关联交易 (一)</w:t>
      </w:r>
      <w:r>
        <w:rPr>
          <w:spacing w:val="-3"/>
        </w:rPr>
        <w:t> </w:t>
      </w:r>
      <w:r>
        <w:rPr/>
        <w:t>关联方情况</w:t>
      </w:r>
    </w:p>
    <w:p>
      <w:pPr>
        <w:pStyle w:val="BodyText"/>
        <w:spacing w:line="386" w:lineRule="auto" w:before="46"/>
        <w:ind w:left="775" w:right="2531"/>
        <w:jc w:val="left"/>
      </w:pPr>
      <w:r>
        <w:rPr/>
        <w:t>1.</w:t>
      </w:r>
      <w:r>
        <w:rPr>
          <w:spacing w:val="-3"/>
        </w:rPr>
        <w:t> </w:t>
      </w:r>
      <w:r>
        <w:rPr/>
        <w:t>实际控制人</w:t>
      </w:r>
      <w:r>
        <w:rPr/>
        <w:t> 本公司实际控制人为徐智勇、陆燕、滕学军、高雁峰、乔文东。</w:t>
      </w:r>
    </w:p>
    <w:p>
      <w:pPr>
        <w:pStyle w:val="BodyText"/>
        <w:spacing w:line="388" w:lineRule="auto" w:before="48"/>
        <w:ind w:left="775" w:right="734"/>
        <w:jc w:val="left"/>
      </w:pPr>
      <w:r>
        <w:rPr/>
        <w:t>2.</w:t>
      </w:r>
      <w:r>
        <w:rPr>
          <w:spacing w:val="-3"/>
        </w:rPr>
        <w:t> </w:t>
      </w:r>
      <w:r>
        <w:rPr/>
        <w:t>本公司的子公司情况详见本财务报表附注四企业合并及合并财务报表之说明。</w:t>
      </w:r>
      <w:r>
        <w:rPr/>
        <w:t> (二)</w:t>
      </w:r>
      <w:r>
        <w:rPr>
          <w:spacing w:val="-3"/>
        </w:rPr>
        <w:t> </w:t>
      </w:r>
      <w:r>
        <w:rPr/>
        <w:t>关键管理人员薪酬</w:t>
      </w:r>
    </w:p>
    <w:p>
      <w:pPr>
        <w:pStyle w:val="BodyText"/>
        <w:spacing w:line="240" w:lineRule="auto" w:before="43"/>
        <w:ind w:left="775" w:right="0"/>
        <w:jc w:val="left"/>
      </w:pPr>
      <w:r>
        <w:rPr/>
        <w:t>2012</w:t>
      </w:r>
      <w:r>
        <w:rPr>
          <w:spacing w:val="-53"/>
        </w:rPr>
        <w:t> </w:t>
      </w:r>
      <w:r>
        <w:rPr/>
        <w:t>年度和</w:t>
      </w:r>
      <w:r>
        <w:rPr>
          <w:spacing w:val="-50"/>
        </w:rPr>
        <w:t> </w:t>
      </w:r>
      <w:r>
        <w:rPr/>
        <w:t>2011</w:t>
      </w:r>
      <w:r>
        <w:rPr>
          <w:spacing w:val="-53"/>
        </w:rPr>
        <w:t> </w:t>
      </w:r>
      <w:r>
        <w:rPr/>
        <w:t>年度，本公司关键管理人员报酬总额分别为</w:t>
      </w:r>
      <w:r>
        <w:rPr>
          <w:spacing w:val="-32"/>
        </w:rPr>
        <w:t> </w:t>
      </w:r>
      <w:r>
        <w:rPr/>
        <w:t>382.63</w:t>
      </w:r>
      <w:r>
        <w:rPr>
          <w:spacing w:val="-53"/>
        </w:rPr>
        <w:t> </w:t>
      </w:r>
      <w:r>
        <w:rPr/>
        <w:t>万元和</w:t>
      </w:r>
      <w:r>
        <w:rPr>
          <w:spacing w:val="-47"/>
        </w:rPr>
        <w:t> </w:t>
      </w:r>
      <w:r>
        <w:rPr/>
        <w:t>588.59</w:t>
      </w:r>
      <w:r>
        <w:rPr>
          <w:spacing w:val="-53"/>
        </w:rPr>
        <w:t> </w:t>
      </w:r>
      <w:r>
        <w:rPr/>
        <w:t>万</w:t>
      </w:r>
    </w:p>
    <w:p>
      <w:pPr>
        <w:pStyle w:val="BodyText"/>
        <w:spacing w:line="240" w:lineRule="auto" w:before="154"/>
        <w:ind w:right="279"/>
        <w:jc w:val="left"/>
      </w:pP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80"/>
        <w:ind w:left="775" w:right="279"/>
        <w:jc w:val="left"/>
      </w:pPr>
      <w:r>
        <w:rPr/>
        <w:t>七、或有事项</w:t>
      </w:r>
    </w:p>
    <w:p>
      <w:pPr>
        <w:pStyle w:val="BodyText"/>
        <w:spacing w:line="357" w:lineRule="auto" w:before="192"/>
        <w:ind w:right="124" w:firstLine="482"/>
        <w:jc w:val="both"/>
      </w:pPr>
      <w:r>
        <w:rPr/>
        <w:t>2012</w:t>
      </w:r>
      <w:r>
        <w:rPr>
          <w:spacing w:val="-50"/>
        </w:rPr>
        <w:t> </w:t>
      </w:r>
      <w:r>
        <w:rPr/>
        <w:t>年</w:t>
      </w:r>
      <w:r>
        <w:rPr>
          <w:spacing w:val="-45"/>
        </w:rPr>
        <w:t> </w:t>
      </w:r>
      <w:r>
        <w:rPr/>
        <w:t>7</w:t>
      </w:r>
      <w:r>
        <w:rPr>
          <w:spacing w:val="-47"/>
        </w:rPr>
        <w:t> </w:t>
      </w:r>
      <w:r>
        <w:rPr/>
        <w:t>月</w:t>
      </w:r>
      <w:r>
        <w:rPr>
          <w:spacing w:val="-47"/>
        </w:rPr>
        <w:t> </w:t>
      </w:r>
      <w:r>
        <w:rPr/>
        <w:t>18</w:t>
      </w:r>
      <w:r>
        <w:rPr>
          <w:spacing w:val="-47"/>
        </w:rPr>
        <w:t> </w:t>
      </w:r>
      <w:r>
        <w:rPr/>
        <w:t>日，本公司与邬俊杰、韩贤斌以及段秀勇关于南京江琛自动化系统有限</w:t>
      </w:r>
      <w:r>
        <w:rPr/>
        <w:t> 责任公司（以下简称江琛公司）股权转让纠纷本诉与反诉由浙江省杭州市中级人民法院开庭 审理。</w:t>
      </w:r>
    </w:p>
    <w:p>
      <w:pPr>
        <w:pStyle w:val="BodyText"/>
        <w:spacing w:line="240" w:lineRule="auto" w:before="77"/>
        <w:ind w:left="775" w:right="279"/>
        <w:jc w:val="left"/>
      </w:pPr>
      <w:r>
        <w:rPr/>
        <w:t>(一)</w:t>
      </w:r>
      <w:r>
        <w:rPr>
          <w:spacing w:val="-3"/>
        </w:rPr>
        <w:t> </w:t>
      </w:r>
      <w:r>
        <w:rPr/>
        <w:t>有关诉讼的基本情况</w:t>
      </w:r>
    </w:p>
    <w:p>
      <w:pPr>
        <w:pStyle w:val="BodyText"/>
        <w:spacing w:line="357" w:lineRule="auto" w:before="194"/>
        <w:ind w:right="112" w:firstLine="482"/>
        <w:jc w:val="both"/>
      </w:pPr>
      <w:r>
        <w:rPr/>
        <w:pict>
          <v:group style="position:absolute;margin-left:47.639999pt;margin-top:133.395615pt;width:.1pt;height:10.35pt;mso-position-horizontal-relative:page;mso-position-vertical-relative:paragraph;z-index:4720" coordorigin="953,2668" coordsize="2,207">
            <v:shape style="position:absolute;left:953;top:2668;width:2;height:207" coordorigin="953,2668" coordsize="0,207" path="m953,2668l953,2874e" filled="false" stroked="true" strokeweight=".12pt" strokecolor="#000000">
              <v:path arrowok="t"/>
            </v:shape>
            <w10:wrap type="none"/>
          </v:group>
        </w:pict>
      </w:r>
      <w:r>
        <w:rPr/>
        <w:t>2009</w:t>
      </w:r>
      <w:r>
        <w:rPr>
          <w:spacing w:val="-68"/>
        </w:rPr>
        <w:t> </w:t>
      </w:r>
      <w:r>
        <w:rPr/>
        <w:t>年</w:t>
      </w:r>
      <w:r>
        <w:rPr>
          <w:spacing w:val="-65"/>
        </w:rPr>
        <w:t> </w:t>
      </w:r>
      <w:r>
        <w:rPr/>
        <w:t>11</w:t>
      </w:r>
      <w:r>
        <w:rPr>
          <w:spacing w:val="-63"/>
        </w:rPr>
        <w:t> </w:t>
      </w:r>
      <w:r>
        <w:rPr/>
        <w:t>月</w:t>
      </w:r>
      <w:r>
        <w:rPr>
          <w:spacing w:val="-65"/>
        </w:rPr>
        <w:t> </w:t>
      </w:r>
      <w:r>
        <w:rPr/>
        <w:t>26</w:t>
      </w:r>
      <w:r>
        <w:rPr>
          <w:spacing w:val="-65"/>
        </w:rPr>
        <w:t> </w:t>
      </w:r>
      <w:r>
        <w:rPr/>
        <w:t>日召开的第一届董事会第十一次会议审议通过《关于用部分超额募集资</w:t>
      </w:r>
      <w:r>
        <w:rPr/>
        <w:t> 金收购南京江琛自动化系统有限责任公司的议案》。2009</w:t>
      </w:r>
      <w:r>
        <w:rPr>
          <w:spacing w:val="-37"/>
        </w:rPr>
        <w:t> </w:t>
      </w:r>
      <w:r>
        <w:rPr/>
        <w:t>年</w:t>
      </w:r>
      <w:r>
        <w:rPr>
          <w:spacing w:val="-37"/>
        </w:rPr>
        <w:t> </w:t>
      </w:r>
      <w:r>
        <w:rPr/>
        <w:t>11</w:t>
      </w:r>
      <w:r>
        <w:rPr>
          <w:spacing w:val="-37"/>
        </w:rPr>
        <w:t> </w:t>
      </w:r>
      <w:r>
        <w:rPr/>
        <w:t>月，公司与邬俊杰、韩贤斌</w:t>
      </w:r>
      <w:r>
        <w:rPr>
          <w:spacing w:val="-112"/>
        </w:rPr>
        <w:t> </w:t>
      </w:r>
      <w:r>
        <w:rPr>
          <w:spacing w:val="-112"/>
        </w:rPr>
      </w:r>
      <w:r>
        <w:rPr/>
        <w:t>以及段秀勇签订《股权转让协议》。协议约定邬俊杰、韩贤斌以及段秀勇将其所持有的江琛 公司的</w:t>
      </w:r>
      <w:r>
        <w:rPr>
          <w:spacing w:val="-37"/>
        </w:rPr>
        <w:t> </w:t>
      </w:r>
      <w:r>
        <w:rPr/>
        <w:t>100%股份作价人民币</w:t>
      </w:r>
      <w:r>
        <w:rPr>
          <w:spacing w:val="-37"/>
        </w:rPr>
        <w:t> </w:t>
      </w:r>
      <w:r>
        <w:rPr/>
        <w:t>4000</w:t>
      </w:r>
      <w:r>
        <w:rPr>
          <w:spacing w:val="-40"/>
        </w:rPr>
        <w:t> </w:t>
      </w:r>
      <w:r>
        <w:rPr/>
        <w:t>万元转让给公司，该协议同时也约定了其应负的义务及对</w:t>
      </w:r>
      <w:r>
        <w:rPr>
          <w:spacing w:val="-111"/>
        </w:rPr>
        <w:t> </w:t>
      </w:r>
      <w:r>
        <w:rPr>
          <w:spacing w:val="-111"/>
        </w:rPr>
      </w:r>
      <w:r>
        <w:rPr/>
        <w:t>江琛公司现状的具体承诺。协议签订后，公司依约将全部股权转让款支付给了邬俊杰、韩贤</w:t>
      </w:r>
    </w:p>
    <w:p>
      <w:pPr>
        <w:spacing w:after="0" w:line="357" w:lineRule="auto"/>
        <w:jc w:val="both"/>
        <w:sectPr>
          <w:pgSz w:w="11910" w:h="16840"/>
          <w:pgMar w:header="745" w:footer="979" w:top="1060" w:bottom="1160" w:left="840" w:right="1020"/>
        </w:sectPr>
      </w:pPr>
    </w:p>
    <w:p>
      <w:pPr>
        <w:spacing w:line="240" w:lineRule="auto" w:before="6"/>
        <w:rPr>
          <w:rFonts w:ascii="宋体" w:hAnsi="宋体" w:cs="宋体" w:eastAsia="宋体" w:hint="default"/>
          <w:sz w:val="29"/>
          <w:szCs w:val="29"/>
        </w:rPr>
      </w:pPr>
    </w:p>
    <w:p>
      <w:pPr>
        <w:pStyle w:val="BodyText"/>
        <w:spacing w:line="388" w:lineRule="auto" w:before="26"/>
        <w:ind w:left="715" w:right="311" w:hanging="483"/>
        <w:jc w:val="left"/>
      </w:pPr>
      <w:r>
        <w:rPr/>
        <w:t>斌以及段秀勇。 公司受让上述股权后，发现江琛公司与《股权转让协议》中的约定存多处不符，公司按</w:t>
      </w:r>
    </w:p>
    <w:p>
      <w:pPr>
        <w:pStyle w:val="BodyText"/>
        <w:spacing w:line="357" w:lineRule="auto" w:before="5"/>
        <w:ind w:left="232" w:right="331"/>
        <w:jc w:val="both"/>
      </w:pPr>
      <w:r>
        <w:rPr/>
        <w:t>照协议约定向邬俊杰、韩贤斌以及段秀勇发出关于股权转让协议的解除函，通知该《股权转 让协议》于其收到通知后即行解除，并要求其按约承担相应的违约责任；在收到上述解除函 后，邬俊杰、韩贤斌以及段秀勇向浙江省杭州市人民法院提出诉讼请求：请求确认公司解除</w:t>
      </w:r>
    </w:p>
    <w:p>
      <w:pPr>
        <w:pStyle w:val="BodyText"/>
        <w:spacing w:line="357" w:lineRule="auto"/>
        <w:ind w:left="232" w:right="331"/>
        <w:jc w:val="both"/>
      </w:pPr>
      <w:r>
        <w:rPr/>
        <w:t>《关于南京江琛自动化系统有限责任公司的股权转让协议》的行为无效。公司在收到民事案 件应诉通知书后，随即提出反诉。</w:t>
      </w:r>
    </w:p>
    <w:p>
      <w:pPr>
        <w:pStyle w:val="BodyText"/>
        <w:spacing w:line="240" w:lineRule="auto" w:before="77"/>
        <w:ind w:left="715" w:right="96"/>
        <w:jc w:val="left"/>
      </w:pPr>
      <w:r>
        <w:rPr/>
        <w:t>(二)</w:t>
      </w:r>
      <w:r>
        <w:rPr>
          <w:spacing w:val="-3"/>
        </w:rPr>
        <w:t> </w:t>
      </w:r>
      <w:r>
        <w:rPr/>
        <w:t>本次诉讼对公司本期利润或期后利润的可能影响</w:t>
      </w:r>
    </w:p>
    <w:p>
      <w:pPr>
        <w:pStyle w:val="BodyText"/>
        <w:spacing w:line="240" w:lineRule="auto" w:before="192"/>
        <w:ind w:left="715" w:right="96"/>
        <w:jc w:val="left"/>
      </w:pPr>
      <w:r>
        <w:rPr/>
        <w:t>截至</w:t>
      </w:r>
      <w:r>
        <w:rPr>
          <w:spacing w:val="-81"/>
        </w:rPr>
        <w:t> </w:t>
      </w:r>
      <w:r>
        <w:rPr/>
        <w:t>2013</w:t>
      </w:r>
      <w:r>
        <w:rPr>
          <w:spacing w:val="-78"/>
        </w:rPr>
        <w:t> </w:t>
      </w:r>
      <w:r>
        <w:rPr/>
        <w:t>年</w:t>
      </w:r>
      <w:r>
        <w:rPr>
          <w:spacing w:val="-79"/>
        </w:rPr>
        <w:t> </w:t>
      </w:r>
      <w:r>
        <w:rPr/>
        <w:t>4</w:t>
      </w:r>
      <w:r>
        <w:rPr>
          <w:spacing w:val="-79"/>
        </w:rPr>
        <w:t> </w:t>
      </w:r>
      <w:r>
        <w:rPr/>
        <w:t>月</w:t>
      </w:r>
      <w:r>
        <w:rPr>
          <w:spacing w:val="-79"/>
        </w:rPr>
        <w:t> </w:t>
      </w:r>
      <w:r>
        <w:rPr/>
        <w:t>25</w:t>
      </w:r>
      <w:r>
        <w:rPr>
          <w:spacing w:val="-81"/>
        </w:rPr>
        <w:t> </w:t>
      </w:r>
      <w:r>
        <w:rPr>
          <w:spacing w:val="-3"/>
        </w:rPr>
        <w:t>日，浙江省杭州市中级人民法院对本次诉讼未予判决。若公司胜诉，</w:t>
      </w:r>
    </w:p>
    <w:p>
      <w:pPr>
        <w:pStyle w:val="BodyText"/>
        <w:spacing w:line="240" w:lineRule="auto" w:before="154"/>
        <w:ind w:left="232" w:right="96"/>
        <w:jc w:val="left"/>
      </w:pPr>
      <w:r>
        <w:rPr/>
        <w:t>公司将向邬俊杰、韩贤斌以及段秀勇退回江琛公司的股权，向其收回公司投资款人民币</w:t>
      </w:r>
      <w:r>
        <w:rPr>
          <w:spacing w:val="-82"/>
        </w:rPr>
        <w:t> </w:t>
      </w:r>
      <w:r>
        <w:rPr/>
        <w:t>4000</w:t>
      </w:r>
    </w:p>
    <w:p>
      <w:pPr>
        <w:pStyle w:val="BodyText"/>
        <w:spacing w:line="388" w:lineRule="auto" w:before="154"/>
        <w:ind w:left="715" w:right="292" w:hanging="483"/>
        <w:jc w:val="left"/>
      </w:pPr>
      <w:r>
        <w:rPr/>
        <w:t>万元整，同时预计收取罚息及违约金人民币</w:t>
      </w:r>
      <w:r>
        <w:rPr>
          <w:spacing w:val="-58"/>
        </w:rPr>
        <w:t> </w:t>
      </w:r>
      <w:r>
        <w:rPr/>
        <w:t>115.60</w:t>
      </w:r>
      <w:r>
        <w:rPr>
          <w:spacing w:val="-60"/>
        </w:rPr>
        <w:t> </w:t>
      </w:r>
      <w:r>
        <w:rPr/>
        <w:t>万元，公司败诉则维持现状。</w:t>
      </w:r>
      <w:r>
        <w:rPr/>
        <w:t> </w:t>
      </w:r>
      <w:r>
        <w:rPr>
          <w:spacing w:val="7"/>
        </w:rPr>
        <w:t>期末公司已按《企业会计准则》的规定对合并江琛公司形成的商誉计提商誉减值准备</w:t>
      </w:r>
    </w:p>
    <w:p>
      <w:pPr>
        <w:pStyle w:val="BodyText"/>
        <w:spacing w:line="240" w:lineRule="auto" w:before="5"/>
        <w:ind w:left="232" w:right="96"/>
        <w:jc w:val="left"/>
      </w:pPr>
      <w:r>
        <w:rPr/>
        <w:t>19,315,650.47</w:t>
      </w:r>
      <w:r>
        <w:rPr>
          <w:spacing w:val="-58"/>
        </w:rPr>
        <w:t> </w:t>
      </w:r>
      <w:r>
        <w:rPr/>
        <w:t>元。</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pStyle w:val="BodyText"/>
        <w:spacing w:line="388" w:lineRule="auto" w:before="0"/>
        <w:ind w:left="715" w:right="2951"/>
        <w:jc w:val="left"/>
      </w:pPr>
      <w:r>
        <w:rPr/>
        <w:t>八、承诺事项 截至资产负债表日，本公司不存在需要披露的重大承诺事项。</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18"/>
          <w:szCs w:val="18"/>
        </w:rPr>
      </w:pPr>
    </w:p>
    <w:p>
      <w:pPr>
        <w:pStyle w:val="BodyText"/>
        <w:spacing w:line="388" w:lineRule="auto" w:before="0"/>
        <w:ind w:left="715" w:right="5831"/>
        <w:jc w:val="left"/>
      </w:pPr>
      <w:r>
        <w:rPr/>
        <w:t>九、资产负债表日后事项 资产负债表日后利润分配情况说明</w:t>
      </w:r>
    </w:p>
    <w:p>
      <w:pPr>
        <w:spacing w:line="573" w:lineRule="exact"/>
        <w:ind w:left="120"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426.6pt;height:28.7pt;mso-position-horizontal-relative:char;mso-position-vertical-relative:line" coordorigin="0,0" coordsize="8532,574">
            <v:group style="position:absolute;left:5;top:10;width:8523;height:2" coordorigin="5,10" coordsize="8523,2">
              <v:shape style="position:absolute;left:5;top:10;width:8523;height:2" coordorigin="5,10" coordsize="8523,0" path="m5,10l8527,10e" filled="false" stroked="true" strokeweight=".48pt" strokecolor="#000000">
                <v:path arrowok="t"/>
              </v:shape>
            </v:group>
            <v:group style="position:absolute;left:5;top:569;width:8523;height:2" coordorigin="5,569" coordsize="8523,2">
              <v:shape style="position:absolute;left:5;top:569;width:8523;height:2" coordorigin="5,569" coordsize="8523,0" path="m5,569l8527,569e" filled="false" stroked="true" strokeweight=".48pt" strokecolor="#000000">
                <v:path arrowok="t"/>
              </v:shape>
            </v:group>
            <v:group style="position:absolute;left:4267;top:5;width:2;height:560" coordorigin="4267,5" coordsize="2,560">
              <v:shape style="position:absolute;left:4267;top:5;width:2;height:560" coordorigin="4267,5" coordsize="0,560" path="m4267,5l4267,564e" filled="false" stroked="true" strokeweight=".48pt" strokecolor="#000000">
                <v:path arrowok="t"/>
              </v:shape>
              <v:shape style="position:absolute;left:295;top:198;width:16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拟分配的利润或股利</w:t>
                      </w:r>
                    </w:p>
                  </w:txbxContent>
                </v:textbox>
                <w10:wrap type="none"/>
              </v:shape>
              <v:shape style="position:absolute;left:4795;top:198;width:117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pacing w:val="-1"/>
                          <w:sz w:val="18"/>
                        </w:rPr>
                        <w:t>12,840,000.00</w:t>
                      </w:r>
                    </w:p>
                  </w:txbxContent>
                </v:textbox>
                <w10:wrap type="none"/>
              </v:shape>
            </v:group>
          </v:group>
        </w:pict>
      </w:r>
      <w:r>
        <w:rPr>
          <w:rFonts w:ascii="宋体" w:hAnsi="宋体" w:cs="宋体" w:eastAsia="宋体" w:hint="default"/>
          <w:position w:val="-10"/>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BodyText"/>
        <w:spacing w:line="240" w:lineRule="auto" w:before="26"/>
        <w:ind w:left="715" w:right="96"/>
        <w:jc w:val="left"/>
      </w:pPr>
      <w:r>
        <w:rPr/>
        <w:t>十、其他重要事项</w:t>
      </w:r>
    </w:p>
    <w:p>
      <w:pPr>
        <w:pStyle w:val="BodyText"/>
        <w:spacing w:line="357" w:lineRule="auto" w:before="192"/>
        <w:ind w:left="232" w:right="290" w:firstLine="482"/>
        <w:jc w:val="both"/>
      </w:pPr>
      <w:r>
        <w:rPr/>
        <w:t>本年度子公司南京江琛自动化系统有限责任公司亏损</w:t>
      </w:r>
      <w:r>
        <w:rPr>
          <w:spacing w:val="-57"/>
        </w:rPr>
        <w:t> </w:t>
      </w:r>
      <w:r>
        <w:rPr/>
        <w:t>2,847,840.34</w:t>
      </w:r>
      <w:r>
        <w:rPr>
          <w:spacing w:val="-60"/>
        </w:rPr>
        <w:t> </w:t>
      </w:r>
      <w:r>
        <w:rPr>
          <w:spacing w:val="-10"/>
        </w:rPr>
        <w:t>元，参考坤元资产评</w:t>
      </w:r>
      <w:r>
        <w:rPr/>
        <w:t> 估有限公司出具《杭州新世纪信息技术股份有限公司商誉减值测试涉及的南京江琛自动化系 统有限责任公司资产组可回收价值评估项目资产评估报告》（坤元评报〔2013〕66</w:t>
      </w:r>
      <w:r>
        <w:rPr>
          <w:spacing w:val="-79"/>
        </w:rPr>
        <w:t> </w:t>
      </w:r>
      <w:r>
        <w:rPr/>
        <w:t>号，评估</w:t>
      </w:r>
      <w:r>
        <w:rPr/>
        <w:t> 基准日为 2012 年 12 月 31 日），资产组南京江琛自动化系统有限责任公司可回收价值为 28,982,091.72</w:t>
      </w:r>
      <w:r>
        <w:rPr>
          <w:spacing w:val="-15"/>
        </w:rPr>
        <w:t> </w:t>
      </w:r>
      <w:r>
        <w:rPr/>
        <w:t>元</w:t>
      </w:r>
      <w:r>
        <w:rPr>
          <w:spacing w:val="-75"/>
        </w:rPr>
        <w:t> </w:t>
      </w:r>
      <w:r>
        <w:rPr/>
        <w:t>，</w:t>
      </w:r>
      <w:r>
        <w:rPr>
          <w:spacing w:val="-77"/>
        </w:rPr>
        <w:t> </w:t>
      </w:r>
      <w:r>
        <w:rPr/>
        <w:t>截</w:t>
      </w:r>
      <w:r>
        <w:rPr>
          <w:spacing w:val="-77"/>
        </w:rPr>
        <w:t> </w:t>
      </w:r>
      <w:r>
        <w:rPr/>
        <w:t>至</w:t>
      </w:r>
      <w:r>
        <w:rPr>
          <w:spacing w:val="-15"/>
        </w:rPr>
        <w:t> </w:t>
      </w:r>
      <w:r>
        <w:rPr/>
        <w:t>2012</w:t>
      </w:r>
      <w:r>
        <w:rPr>
          <w:spacing w:val="-15"/>
        </w:rPr>
        <w:t> </w:t>
      </w:r>
      <w:r>
        <w:rPr/>
        <w:t>年</w:t>
      </w:r>
      <w:r>
        <w:rPr>
          <w:spacing w:val="-15"/>
        </w:rPr>
        <w:t> </w:t>
      </w:r>
      <w:r>
        <w:rPr/>
        <w:t>12</w:t>
      </w:r>
      <w:r>
        <w:rPr>
          <w:spacing w:val="-17"/>
        </w:rPr>
        <w:t> </w:t>
      </w:r>
      <w:r>
        <w:rPr/>
        <w:t>月</w:t>
      </w:r>
      <w:r>
        <w:rPr>
          <w:spacing w:val="-15"/>
        </w:rPr>
        <w:t> </w:t>
      </w:r>
      <w:r>
        <w:rPr/>
        <w:t>31</w:t>
      </w:r>
      <w:r>
        <w:rPr>
          <w:spacing w:val="-17"/>
        </w:rPr>
        <w:t> </w:t>
      </w:r>
      <w:r>
        <w:rPr/>
        <w:t>日</w:t>
      </w:r>
      <w:r>
        <w:rPr>
          <w:spacing w:val="-75"/>
        </w:rPr>
        <w:t> </w:t>
      </w:r>
      <w:r>
        <w:rPr/>
        <w:t>净</w:t>
      </w:r>
      <w:r>
        <w:rPr>
          <w:spacing w:val="-77"/>
        </w:rPr>
        <w:t> </w:t>
      </w:r>
      <w:r>
        <w:rPr/>
        <w:t>资</w:t>
      </w:r>
      <w:r>
        <w:rPr>
          <w:spacing w:val="-77"/>
        </w:rPr>
        <w:t> </w:t>
      </w:r>
      <w:r>
        <w:rPr/>
        <w:t>产</w:t>
      </w:r>
      <w:r>
        <w:rPr>
          <w:spacing w:val="-77"/>
        </w:rPr>
        <w:t> </w:t>
      </w:r>
      <w:r>
        <w:rPr/>
        <w:t>为</w:t>
      </w:r>
      <w:r>
        <w:rPr>
          <w:spacing w:val="-12"/>
        </w:rPr>
        <w:t> </w:t>
      </w:r>
      <w:r>
        <w:rPr/>
        <w:t>23,566,682.10</w:t>
      </w:r>
      <w:r>
        <w:rPr>
          <w:spacing w:val="-15"/>
        </w:rPr>
        <w:t> </w:t>
      </w:r>
      <w:r>
        <w:rPr/>
        <w:t>元</w:t>
      </w:r>
      <w:r>
        <w:rPr>
          <w:spacing w:val="-75"/>
        </w:rPr>
        <w:t> </w:t>
      </w:r>
      <w:r>
        <w:rPr/>
        <w:t>，</w:t>
      </w:r>
      <w:r>
        <w:rPr>
          <w:spacing w:val="-77"/>
        </w:rPr>
        <w:t> </w:t>
      </w:r>
      <w:r>
        <w:rPr/>
        <w:t>合</w:t>
      </w:r>
      <w:r>
        <w:rPr>
          <w:spacing w:val="-77"/>
        </w:rPr>
        <w:t> </w:t>
      </w:r>
      <w:r>
        <w:rPr/>
        <w:t>并</w:t>
      </w:r>
      <w:r>
        <w:rPr>
          <w:spacing w:val="-77"/>
        </w:rPr>
        <w:t> </w:t>
      </w:r>
      <w:r>
        <w:rPr/>
        <w:t>商</w:t>
      </w:r>
      <w:r>
        <w:rPr>
          <w:spacing w:val="-72"/>
        </w:rPr>
        <w:t> </w:t>
      </w:r>
      <w:r>
        <w:rPr/>
        <w:t>誉</w:t>
      </w:r>
    </w:p>
    <w:p>
      <w:pPr>
        <w:pStyle w:val="BodyText"/>
        <w:spacing w:line="240" w:lineRule="auto"/>
        <w:ind w:left="232" w:right="96"/>
        <w:jc w:val="left"/>
      </w:pPr>
      <w:r>
        <w:rPr/>
        <w:pict>
          <v:group style="position:absolute;margin-left:547.559998pt;margin-top:44.975605pt;width:.1pt;height:10.35pt;mso-position-horizontal-relative:page;mso-position-vertical-relative:paragraph;z-index:4816" coordorigin="10951,900" coordsize="2,207">
            <v:shape style="position:absolute;left:10951;top:900;width:2;height:207" coordorigin="10951,900" coordsize="0,207" path="m10951,900l10951,1106e" filled="false" stroked="true" strokeweight=".12pt" strokecolor="#000000">
              <v:path arrowok="t"/>
            </v:shape>
            <w10:wrap type="none"/>
          </v:group>
        </w:pict>
      </w:r>
      <w:r>
        <w:rPr/>
        <w:t>24,731,060.09</w:t>
      </w:r>
      <w:r>
        <w:rPr>
          <w:spacing w:val="-67"/>
        </w:rPr>
        <w:t> </w:t>
      </w:r>
      <w:r>
        <w:rPr/>
        <w:t>元，根据《企业会计准则》及其规定，计提商誉减值准备</w:t>
      </w:r>
      <w:r>
        <w:rPr>
          <w:spacing w:val="-69"/>
        </w:rPr>
        <w:t> </w:t>
      </w:r>
      <w:r>
        <w:rPr/>
        <w:t>19,315,650.47</w:t>
      </w:r>
      <w:r>
        <w:rPr>
          <w:spacing w:val="-69"/>
        </w:rPr>
        <w:t> </w:t>
      </w:r>
      <w:r>
        <w:rPr/>
        <w:t>元。</w:t>
      </w:r>
    </w:p>
    <w:p>
      <w:pPr>
        <w:spacing w:after="0" w:line="240" w:lineRule="auto"/>
        <w:jc w:val="left"/>
        <w:sectPr>
          <w:pgSz w:w="11910" w:h="16840"/>
          <w:pgMar w:header="745" w:footer="979" w:top="1060" w:bottom="1160" w:left="900" w:right="840"/>
        </w:sectPr>
      </w:pPr>
    </w:p>
    <w:p>
      <w:pPr>
        <w:spacing w:line="240" w:lineRule="auto" w:before="0"/>
        <w:rPr>
          <w:rFonts w:ascii="宋体" w:hAnsi="宋体" w:cs="宋体" w:eastAsia="宋体" w:hint="default"/>
          <w:sz w:val="20"/>
          <w:szCs w:val="20"/>
        </w:rPr>
      </w:pPr>
      <w:r>
        <w:rPr/>
        <w:pict>
          <v:group style="position:absolute;margin-left:47.639999pt;margin-top:781.919983pt;width:.1pt;height:10.35pt;mso-position-horizontal-relative:page;mso-position-vertical-relative:page;z-index:4840" coordorigin="953,15638" coordsize="2,207">
            <v:shape style="position:absolute;left:953;top:15638;width:2;height:207" coordorigin="953,15638" coordsize="0,207" path="m953,15638l953,15845e" filled="false" stroked="true" strokeweight=".12pt" strokecolor="#000000">
              <v:path arrowok="t"/>
            </v:shape>
            <w10:wrap type="none"/>
          </v:group>
        </w:pic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spacing w:line="388" w:lineRule="auto" w:before="26"/>
        <w:ind w:left="775" w:right="6794"/>
        <w:jc w:val="left"/>
      </w:pPr>
      <w:r>
        <w:rPr/>
        <w:t>十一、母公司财务报表项目注释 (一)</w:t>
      </w:r>
      <w:r>
        <w:rPr>
          <w:spacing w:val="-3"/>
        </w:rPr>
        <w:t> </w:t>
      </w:r>
      <w:r>
        <w:rPr/>
        <w:t>母公司资产负债表项目注释</w:t>
      </w:r>
      <w:r>
        <w:rPr/>
        <w:t> 1.</w:t>
      </w:r>
      <w:r>
        <w:rPr>
          <w:spacing w:val="-3"/>
        </w:rPr>
        <w:t> </w:t>
      </w:r>
      <w:r>
        <w:rPr/>
        <w:t>应收账款</w:t>
      </w:r>
    </w:p>
    <w:p>
      <w:pPr>
        <w:pStyle w:val="BodyText"/>
        <w:spacing w:line="240" w:lineRule="auto" w:before="46"/>
        <w:ind w:left="775" w:right="6794"/>
        <w:jc w:val="left"/>
      </w:pPr>
      <w:r>
        <w:rPr/>
        <w:t>(1)</w:t>
      </w:r>
      <w:r>
        <w:rPr>
          <w:spacing w:val="-3"/>
        </w:rPr>
        <w:t> </w:t>
      </w:r>
      <w:r>
        <w:rPr/>
        <w:t>明细情况</w:t>
      </w:r>
    </w:p>
    <w:p>
      <w:pPr>
        <w:pStyle w:val="BodyText"/>
        <w:spacing w:line="240" w:lineRule="auto" w:before="194"/>
        <w:ind w:left="775" w:right="6794"/>
        <w:jc w:val="left"/>
      </w:pPr>
      <w:r>
        <w:rPr/>
        <w:pict>
          <v:shape style="position:absolute;margin-left:51pt;margin-top:33.075603pt;width:544.8pt;height:318.75pt;mso-position-horizontal-relative:page;mso-position-vertical-relative:paragraph;z-index:4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54"/>
                    <w:gridCol w:w="1603"/>
                    <w:gridCol w:w="876"/>
                    <w:gridCol w:w="1498"/>
                    <w:gridCol w:w="823"/>
                    <w:gridCol w:w="1603"/>
                    <w:gridCol w:w="874"/>
                    <w:gridCol w:w="1498"/>
                    <w:gridCol w:w="652"/>
                  </w:tblGrid>
                  <w:tr>
                    <w:trPr>
                      <w:trHeight w:val="401" w:hRule="exact"/>
                    </w:trPr>
                    <w:tc>
                      <w:tcPr>
                        <w:tcW w:w="1454"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48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627"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19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454" w:type="dxa"/>
                        <w:vMerge/>
                        <w:tcBorders>
                          <w:left w:val="nil" w:sz="6" w:space="0" w:color="auto"/>
                          <w:right w:val="single" w:sz="4" w:space="0" w:color="000000"/>
                        </w:tcBorders>
                      </w:tcPr>
                      <w:p>
                        <w:pPr/>
                      </w:p>
                    </w:tc>
                    <w:tc>
                      <w:tcPr>
                        <w:tcW w:w="24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5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80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454" w:type="dxa"/>
                        <w:vMerge/>
                        <w:tcBorders>
                          <w:left w:val="nil" w:sz="6" w:space="0" w:color="auto"/>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9"/>
                          <w:jc w:val="center"/>
                          <w:rPr>
                            <w:rFonts w:ascii="宋体" w:hAnsi="宋体" w:cs="宋体" w:eastAsia="宋体" w:hint="default"/>
                            <w:sz w:val="18"/>
                            <w:szCs w:val="18"/>
                          </w:rPr>
                        </w:pPr>
                        <w:r>
                          <w:rPr>
                            <w:rFonts w:ascii="宋体" w:hAnsi="宋体" w:cs="宋体" w:eastAsia="宋体" w:hint="default"/>
                            <w:sz w:val="18"/>
                            <w:szCs w:val="18"/>
                          </w:rPr>
                          <w:t>金额</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6"/>
                          <w:jc w:val="right"/>
                          <w:rPr>
                            <w:rFonts w:ascii="宋体" w:hAnsi="宋体" w:cs="宋体" w:eastAsia="宋体" w:hint="default"/>
                            <w:sz w:val="18"/>
                            <w:szCs w:val="18"/>
                          </w:rPr>
                        </w:pPr>
                        <w:r>
                          <w:rPr>
                            <w:rFonts w:ascii="宋体" w:hAnsi="宋体" w:cs="宋体" w:eastAsia="宋体" w:hint="default"/>
                            <w:spacing w:val="-1"/>
                            <w:sz w:val="18"/>
                            <w:szCs w:val="18"/>
                          </w:rPr>
                          <w:t>比例(%)</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0"/>
                          <w:jc w:val="right"/>
                          <w:rPr>
                            <w:rFonts w:ascii="宋体" w:hAnsi="宋体" w:cs="宋体" w:eastAsia="宋体" w:hint="default"/>
                            <w:sz w:val="18"/>
                            <w:szCs w:val="18"/>
                          </w:rPr>
                        </w:pPr>
                        <w:r>
                          <w:rPr>
                            <w:rFonts w:ascii="宋体" w:hAnsi="宋体" w:cs="宋体" w:eastAsia="宋体" w:hint="default"/>
                            <w:spacing w:val="-1"/>
                            <w:sz w:val="18"/>
                            <w:szCs w:val="18"/>
                          </w:rPr>
                          <w:t>比例(%)</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6"/>
                          <w:jc w:val="right"/>
                          <w:rPr>
                            <w:rFonts w:ascii="宋体" w:hAnsi="宋体" w:cs="宋体" w:eastAsia="宋体" w:hint="default"/>
                            <w:sz w:val="18"/>
                            <w:szCs w:val="18"/>
                          </w:rPr>
                        </w:pPr>
                        <w:r>
                          <w:rPr>
                            <w:rFonts w:ascii="宋体" w:hAnsi="宋体" w:cs="宋体" w:eastAsia="宋体" w:hint="default"/>
                            <w:spacing w:val="-1"/>
                            <w:sz w:val="18"/>
                            <w:szCs w:val="18"/>
                          </w:rPr>
                          <w:t>比例(%)</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hAnsi="宋体" w:cs="宋体" w:eastAsia="宋体" w:hint="default"/>
                            <w:sz w:val="18"/>
                            <w:szCs w:val="18"/>
                          </w:rPr>
                          <w:t>比例(%</w:t>
                        </w:r>
                      </w:p>
                    </w:tc>
                  </w:tr>
                  <w:tr>
                    <w:trPr>
                      <w:trHeight w:val="1027"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08" w:right="103"/>
                          <w:jc w:val="both"/>
                          <w:rPr>
                            <w:rFonts w:ascii="宋体" w:hAnsi="宋体" w:cs="宋体" w:eastAsia="宋体" w:hint="default"/>
                            <w:sz w:val="18"/>
                            <w:szCs w:val="18"/>
                          </w:rPr>
                        </w:pPr>
                        <w:r>
                          <w:rPr>
                            <w:rFonts w:ascii="宋体" w:hAnsi="宋体" w:cs="宋体" w:eastAsia="宋体" w:hint="default"/>
                            <w:sz w:val="18"/>
                            <w:szCs w:val="18"/>
                          </w:rPr>
                          <w:t>单</w:t>
                        </w:r>
                        <w:r>
                          <w:rPr>
                            <w:rFonts w:ascii="宋体" w:hAnsi="宋体" w:cs="宋体" w:eastAsia="宋体" w:hint="default"/>
                            <w:spacing w:val="-59"/>
                            <w:sz w:val="18"/>
                            <w:szCs w:val="18"/>
                          </w:rPr>
                          <w:t> </w:t>
                        </w:r>
                        <w:r>
                          <w:rPr>
                            <w:rFonts w:ascii="宋体" w:hAnsi="宋体" w:cs="宋体" w:eastAsia="宋体" w:hint="default"/>
                            <w:sz w:val="18"/>
                            <w:szCs w:val="18"/>
                          </w:rPr>
                          <w:t>项</w:t>
                        </w:r>
                        <w:r>
                          <w:rPr>
                            <w:rFonts w:ascii="宋体" w:hAnsi="宋体" w:cs="宋体" w:eastAsia="宋体" w:hint="default"/>
                            <w:spacing w:val="-59"/>
                            <w:sz w:val="18"/>
                            <w:szCs w:val="18"/>
                          </w:rPr>
                          <w:t> </w:t>
                        </w:r>
                        <w:r>
                          <w:rPr>
                            <w:rFonts w:ascii="宋体" w:hAnsi="宋体" w:cs="宋体" w:eastAsia="宋体" w:hint="default"/>
                            <w:sz w:val="18"/>
                            <w:szCs w:val="18"/>
                          </w:rPr>
                          <w:t>金</w:t>
                        </w:r>
                        <w:r>
                          <w:rPr>
                            <w:rFonts w:ascii="宋体" w:hAnsi="宋体" w:cs="宋体" w:eastAsia="宋体" w:hint="default"/>
                            <w:spacing w:val="-59"/>
                            <w:sz w:val="18"/>
                            <w:szCs w:val="18"/>
                          </w:rPr>
                          <w:t> </w:t>
                        </w:r>
                        <w:r>
                          <w:rPr>
                            <w:rFonts w:ascii="宋体" w:hAnsi="宋体" w:cs="宋体" w:eastAsia="宋体" w:hint="default"/>
                            <w:sz w:val="18"/>
                            <w:szCs w:val="18"/>
                          </w:rPr>
                          <w:t>额</w:t>
                        </w:r>
                        <w:r>
                          <w:rPr>
                            <w:rFonts w:ascii="宋体" w:hAnsi="宋体" w:cs="宋体" w:eastAsia="宋体" w:hint="default"/>
                            <w:spacing w:val="-59"/>
                            <w:sz w:val="18"/>
                            <w:szCs w:val="18"/>
                          </w:rPr>
                          <w:t> </w:t>
                        </w:r>
                        <w:r>
                          <w:rPr>
                            <w:rFonts w:ascii="宋体" w:hAnsi="宋体" w:cs="宋体" w:eastAsia="宋体" w:hint="default"/>
                            <w:sz w:val="18"/>
                            <w:szCs w:val="18"/>
                          </w:rPr>
                          <w:t>重</w:t>
                        </w:r>
                        <w:r>
                          <w:rPr>
                            <w:rFonts w:ascii="宋体" w:hAnsi="宋体" w:cs="宋体" w:eastAsia="宋体" w:hint="default"/>
                            <w:spacing w:val="-59"/>
                            <w:sz w:val="18"/>
                            <w:szCs w:val="18"/>
                          </w:rPr>
                          <w:t> </w:t>
                        </w:r>
                        <w:r>
                          <w:rPr>
                            <w:rFonts w:ascii="宋体" w:hAnsi="宋体" w:cs="宋体" w:eastAsia="宋体" w:hint="default"/>
                            <w:sz w:val="18"/>
                            <w:szCs w:val="18"/>
                          </w:rPr>
                          <w:t>大</w:t>
                        </w:r>
                        <w:r>
                          <w:rPr>
                            <w:rFonts w:ascii="宋体" w:hAnsi="宋体" w:cs="宋体" w:eastAsia="宋体" w:hint="default"/>
                            <w:sz w:val="18"/>
                            <w:szCs w:val="18"/>
                          </w:rPr>
                          <w:t> 并</w:t>
                        </w:r>
                        <w:r>
                          <w:rPr>
                            <w:rFonts w:ascii="宋体" w:hAnsi="宋体" w:cs="宋体" w:eastAsia="宋体" w:hint="default"/>
                            <w:spacing w:val="-59"/>
                            <w:sz w:val="18"/>
                            <w:szCs w:val="18"/>
                          </w:rPr>
                          <w:t> </w:t>
                        </w:r>
                        <w:r>
                          <w:rPr>
                            <w:rFonts w:ascii="宋体" w:hAnsi="宋体" w:cs="宋体" w:eastAsia="宋体" w:hint="default"/>
                            <w:sz w:val="18"/>
                            <w:szCs w:val="18"/>
                          </w:rPr>
                          <w:t>单</w:t>
                        </w:r>
                        <w:r>
                          <w:rPr>
                            <w:rFonts w:ascii="宋体" w:hAnsi="宋体" w:cs="宋体" w:eastAsia="宋体" w:hint="default"/>
                            <w:spacing w:val="-59"/>
                            <w:sz w:val="18"/>
                            <w:szCs w:val="18"/>
                          </w:rPr>
                          <w:t> </w:t>
                        </w:r>
                        <w:r>
                          <w:rPr>
                            <w:rFonts w:ascii="宋体" w:hAnsi="宋体" w:cs="宋体" w:eastAsia="宋体" w:hint="default"/>
                            <w:sz w:val="18"/>
                            <w:szCs w:val="18"/>
                          </w:rPr>
                          <w:t>项</w:t>
                        </w:r>
                        <w:r>
                          <w:rPr>
                            <w:rFonts w:ascii="宋体" w:hAnsi="宋体" w:cs="宋体" w:eastAsia="宋体" w:hint="default"/>
                            <w:spacing w:val="-59"/>
                            <w:sz w:val="18"/>
                            <w:szCs w:val="18"/>
                          </w:rPr>
                          <w:t> </w:t>
                        </w:r>
                        <w:r>
                          <w:rPr>
                            <w:rFonts w:ascii="宋体" w:hAnsi="宋体" w:cs="宋体" w:eastAsia="宋体" w:hint="default"/>
                            <w:sz w:val="18"/>
                            <w:szCs w:val="18"/>
                          </w:rPr>
                          <w:t>计</w:t>
                        </w:r>
                        <w:r>
                          <w:rPr>
                            <w:rFonts w:ascii="宋体" w:hAnsi="宋体" w:cs="宋体" w:eastAsia="宋体" w:hint="default"/>
                            <w:spacing w:val="-59"/>
                            <w:sz w:val="18"/>
                            <w:szCs w:val="18"/>
                          </w:rPr>
                          <w:t> </w:t>
                        </w:r>
                        <w:r>
                          <w:rPr>
                            <w:rFonts w:ascii="宋体" w:hAnsi="宋体" w:cs="宋体" w:eastAsia="宋体" w:hint="default"/>
                            <w:sz w:val="18"/>
                            <w:szCs w:val="18"/>
                          </w:rPr>
                          <w:t>提</w:t>
                        </w:r>
                        <w:r>
                          <w:rPr>
                            <w:rFonts w:ascii="宋体" w:hAnsi="宋体" w:cs="宋体" w:eastAsia="宋体" w:hint="default"/>
                            <w:spacing w:val="-59"/>
                            <w:sz w:val="18"/>
                            <w:szCs w:val="18"/>
                          </w:rPr>
                          <w:t> </w:t>
                        </w:r>
                        <w:r>
                          <w:rPr>
                            <w:rFonts w:ascii="宋体" w:hAnsi="宋体" w:cs="宋体" w:eastAsia="宋体" w:hint="default"/>
                            <w:sz w:val="18"/>
                            <w:szCs w:val="18"/>
                          </w:rPr>
                          <w:t>坏</w:t>
                        </w:r>
                        <w:r>
                          <w:rPr>
                            <w:rFonts w:ascii="宋体" w:hAnsi="宋体" w:cs="宋体" w:eastAsia="宋体" w:hint="default"/>
                            <w:sz w:val="18"/>
                            <w:szCs w:val="18"/>
                          </w:rPr>
                          <w:t> 账准备</w:t>
                        </w:r>
                      </w:p>
                    </w:tc>
                    <w:tc>
                      <w:tcPr>
                        <w:tcW w:w="1603"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08" w:right="103"/>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59"/>
                            <w:sz w:val="18"/>
                            <w:szCs w:val="18"/>
                          </w:rPr>
                          <w:t> </w:t>
                        </w:r>
                        <w:r>
                          <w:rPr>
                            <w:rFonts w:ascii="宋体" w:hAnsi="宋体" w:cs="宋体" w:eastAsia="宋体" w:hint="default"/>
                            <w:sz w:val="18"/>
                            <w:szCs w:val="18"/>
                          </w:rPr>
                          <w:t>组</w:t>
                        </w:r>
                        <w:r>
                          <w:rPr>
                            <w:rFonts w:ascii="宋体" w:hAnsi="宋体" w:cs="宋体" w:eastAsia="宋体" w:hint="default"/>
                            <w:spacing w:val="-59"/>
                            <w:sz w:val="18"/>
                            <w:szCs w:val="18"/>
                          </w:rPr>
                          <w:t> </w:t>
                        </w:r>
                        <w:r>
                          <w:rPr>
                            <w:rFonts w:ascii="宋体" w:hAnsi="宋体" w:cs="宋体" w:eastAsia="宋体" w:hint="default"/>
                            <w:sz w:val="18"/>
                            <w:szCs w:val="18"/>
                          </w:rPr>
                          <w:t>合</w:t>
                        </w:r>
                        <w:r>
                          <w:rPr>
                            <w:rFonts w:ascii="宋体" w:hAnsi="宋体" w:cs="宋体" w:eastAsia="宋体" w:hint="default"/>
                            <w:spacing w:val="-59"/>
                            <w:sz w:val="18"/>
                            <w:szCs w:val="18"/>
                          </w:rPr>
                          <w:t> </w:t>
                        </w:r>
                        <w:r>
                          <w:rPr>
                            <w:rFonts w:ascii="宋体" w:hAnsi="宋体" w:cs="宋体" w:eastAsia="宋体" w:hint="default"/>
                            <w:sz w:val="18"/>
                            <w:szCs w:val="18"/>
                          </w:rPr>
                          <w:t>计</w:t>
                        </w:r>
                        <w:r>
                          <w:rPr>
                            <w:rFonts w:ascii="宋体" w:hAnsi="宋体" w:cs="宋体" w:eastAsia="宋体" w:hint="default"/>
                            <w:spacing w:val="-59"/>
                            <w:sz w:val="18"/>
                            <w:szCs w:val="18"/>
                          </w:rPr>
                          <w:t> </w:t>
                        </w:r>
                        <w:r>
                          <w:rPr>
                            <w:rFonts w:ascii="宋体" w:hAnsi="宋体" w:cs="宋体" w:eastAsia="宋体" w:hint="default"/>
                            <w:sz w:val="18"/>
                            <w:szCs w:val="18"/>
                          </w:rPr>
                          <w:t>提</w:t>
                        </w:r>
                        <w:r>
                          <w:rPr>
                            <w:rFonts w:ascii="宋体" w:hAnsi="宋体" w:cs="宋体" w:eastAsia="宋体" w:hint="default"/>
                            <w:spacing w:val="-59"/>
                            <w:sz w:val="18"/>
                            <w:szCs w:val="18"/>
                          </w:rPr>
                          <w:t> </w:t>
                        </w:r>
                        <w:r>
                          <w:rPr>
                            <w:rFonts w:ascii="宋体" w:hAnsi="宋体" w:cs="宋体" w:eastAsia="宋体" w:hint="default"/>
                            <w:sz w:val="18"/>
                            <w:szCs w:val="18"/>
                          </w:rPr>
                          <w:t>坏</w:t>
                        </w:r>
                        <w:r>
                          <w:rPr>
                            <w:rFonts w:ascii="宋体" w:hAnsi="宋体" w:cs="宋体" w:eastAsia="宋体" w:hint="default"/>
                            <w:sz w:val="18"/>
                            <w:szCs w:val="18"/>
                          </w:rPr>
                          <w:t> 账准备</w:t>
                        </w:r>
                      </w:p>
                    </w:tc>
                    <w:tc>
                      <w:tcPr>
                        <w:tcW w:w="1603"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08" w:right="103"/>
                          <w:jc w:val="left"/>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59"/>
                            <w:sz w:val="18"/>
                            <w:szCs w:val="18"/>
                          </w:rPr>
                          <w:t> </w:t>
                        </w:r>
                        <w:r>
                          <w:rPr>
                            <w:rFonts w:ascii="宋体" w:hAnsi="宋体" w:cs="宋体" w:eastAsia="宋体" w:hint="default"/>
                            <w:sz w:val="18"/>
                            <w:szCs w:val="18"/>
                          </w:rPr>
                          <w:t>龄</w:t>
                        </w:r>
                        <w:r>
                          <w:rPr>
                            <w:rFonts w:ascii="宋体" w:hAnsi="宋体" w:cs="宋体" w:eastAsia="宋体" w:hint="default"/>
                            <w:spacing w:val="-59"/>
                            <w:sz w:val="18"/>
                            <w:szCs w:val="18"/>
                          </w:rPr>
                          <w:t> </w:t>
                        </w:r>
                        <w:r>
                          <w:rPr>
                            <w:rFonts w:ascii="宋体" w:hAnsi="宋体" w:cs="宋体" w:eastAsia="宋体" w:hint="default"/>
                            <w:sz w:val="18"/>
                            <w:szCs w:val="18"/>
                          </w:rPr>
                          <w:t>分</w:t>
                        </w:r>
                        <w:r>
                          <w:rPr>
                            <w:rFonts w:ascii="宋体" w:hAnsi="宋体" w:cs="宋体" w:eastAsia="宋体" w:hint="default"/>
                            <w:spacing w:val="-59"/>
                            <w:sz w:val="18"/>
                            <w:szCs w:val="18"/>
                          </w:rPr>
                          <w:t> </w:t>
                        </w:r>
                        <w:r>
                          <w:rPr>
                            <w:rFonts w:ascii="宋体" w:hAnsi="宋体" w:cs="宋体" w:eastAsia="宋体" w:hint="default"/>
                            <w:sz w:val="18"/>
                            <w:szCs w:val="18"/>
                          </w:rPr>
                          <w:t>析</w:t>
                        </w:r>
                        <w:r>
                          <w:rPr>
                            <w:rFonts w:ascii="宋体" w:hAnsi="宋体" w:cs="宋体" w:eastAsia="宋体" w:hint="default"/>
                            <w:spacing w:val="-59"/>
                            <w:sz w:val="18"/>
                            <w:szCs w:val="18"/>
                          </w:rPr>
                          <w:t> </w:t>
                        </w:r>
                        <w:r>
                          <w:rPr>
                            <w:rFonts w:ascii="宋体" w:hAnsi="宋体" w:cs="宋体" w:eastAsia="宋体" w:hint="default"/>
                            <w:sz w:val="18"/>
                            <w:szCs w:val="18"/>
                          </w:rPr>
                          <w:t>法</w:t>
                        </w:r>
                        <w:r>
                          <w:rPr>
                            <w:rFonts w:ascii="宋体" w:hAnsi="宋体" w:cs="宋体" w:eastAsia="宋体" w:hint="default"/>
                            <w:spacing w:val="-59"/>
                            <w:sz w:val="18"/>
                            <w:szCs w:val="18"/>
                          </w:rPr>
                          <w:t> </w:t>
                        </w:r>
                        <w:r>
                          <w:rPr>
                            <w:rFonts w:ascii="宋体" w:hAnsi="宋体" w:cs="宋体" w:eastAsia="宋体" w:hint="default"/>
                            <w:sz w:val="18"/>
                            <w:szCs w:val="18"/>
                          </w:rPr>
                          <w:t>组</w:t>
                        </w:r>
                        <w:r>
                          <w:rPr>
                            <w:rFonts w:ascii="宋体" w:hAnsi="宋体" w:cs="宋体" w:eastAsia="宋体" w:hint="default"/>
                            <w:sz w:val="18"/>
                            <w:szCs w:val="18"/>
                          </w:rPr>
                          <w:t> 合</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51,512,275.51</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3,313,352.23</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6.43</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27,365,214.80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1,744,518.56</w:t>
                        </w:r>
                      </w:p>
                    </w:tc>
                    <w:tc>
                      <w:tcPr>
                        <w:tcW w:w="6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6.3</w:t>
                        </w:r>
                      </w:p>
                    </w:tc>
                  </w:tr>
                  <w:tr>
                    <w:trPr>
                      <w:trHeight w:val="713"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08" w:right="103"/>
                          <w:jc w:val="left"/>
                          <w:rPr>
                            <w:rFonts w:ascii="宋体" w:hAnsi="宋体" w:cs="宋体" w:eastAsia="宋体" w:hint="default"/>
                            <w:sz w:val="18"/>
                            <w:szCs w:val="18"/>
                          </w:rPr>
                        </w:pPr>
                        <w:r>
                          <w:rPr>
                            <w:rFonts w:ascii="宋体" w:hAnsi="宋体" w:cs="宋体" w:eastAsia="宋体" w:hint="default"/>
                            <w:sz w:val="18"/>
                            <w:szCs w:val="18"/>
                          </w:rPr>
                          <w:t>余</w:t>
                        </w:r>
                        <w:r>
                          <w:rPr>
                            <w:rFonts w:ascii="宋体" w:hAnsi="宋体" w:cs="宋体" w:eastAsia="宋体" w:hint="default"/>
                            <w:spacing w:val="-59"/>
                            <w:sz w:val="18"/>
                            <w:szCs w:val="18"/>
                          </w:rPr>
                          <w:t> </w:t>
                        </w:r>
                        <w:r>
                          <w:rPr>
                            <w:rFonts w:ascii="宋体" w:hAnsi="宋体" w:cs="宋体" w:eastAsia="宋体" w:hint="default"/>
                            <w:sz w:val="18"/>
                            <w:szCs w:val="18"/>
                          </w:rPr>
                          <w:t>额</w:t>
                        </w:r>
                        <w:r>
                          <w:rPr>
                            <w:rFonts w:ascii="宋体" w:hAnsi="宋体" w:cs="宋体" w:eastAsia="宋体" w:hint="default"/>
                            <w:spacing w:val="-59"/>
                            <w:sz w:val="18"/>
                            <w:szCs w:val="18"/>
                          </w:rPr>
                          <w:t> </w:t>
                        </w:r>
                        <w:r>
                          <w:rPr>
                            <w:rFonts w:ascii="宋体" w:hAnsi="宋体" w:cs="宋体" w:eastAsia="宋体" w:hint="default"/>
                            <w:sz w:val="18"/>
                            <w:szCs w:val="18"/>
                          </w:rPr>
                          <w:t>百</w:t>
                        </w:r>
                        <w:r>
                          <w:rPr>
                            <w:rFonts w:ascii="宋体" w:hAnsi="宋体" w:cs="宋体" w:eastAsia="宋体" w:hint="default"/>
                            <w:spacing w:val="-59"/>
                            <w:sz w:val="18"/>
                            <w:szCs w:val="18"/>
                          </w:rPr>
                          <w:t> </w:t>
                        </w:r>
                        <w:r>
                          <w:rPr>
                            <w:rFonts w:ascii="宋体" w:hAnsi="宋体" w:cs="宋体" w:eastAsia="宋体" w:hint="default"/>
                            <w:sz w:val="18"/>
                            <w:szCs w:val="18"/>
                          </w:rPr>
                          <w:t>分</w:t>
                        </w:r>
                        <w:r>
                          <w:rPr>
                            <w:rFonts w:ascii="宋体" w:hAnsi="宋体" w:cs="宋体" w:eastAsia="宋体" w:hint="default"/>
                            <w:spacing w:val="-59"/>
                            <w:sz w:val="18"/>
                            <w:szCs w:val="18"/>
                          </w:rPr>
                          <w:t> </w:t>
                        </w:r>
                        <w:r>
                          <w:rPr>
                            <w:rFonts w:ascii="宋体" w:hAnsi="宋体" w:cs="宋体" w:eastAsia="宋体" w:hint="default"/>
                            <w:sz w:val="18"/>
                            <w:szCs w:val="18"/>
                          </w:rPr>
                          <w:t>比</w:t>
                        </w:r>
                        <w:r>
                          <w:rPr>
                            <w:rFonts w:ascii="宋体" w:hAnsi="宋体" w:cs="宋体" w:eastAsia="宋体" w:hint="default"/>
                            <w:spacing w:val="-59"/>
                            <w:sz w:val="18"/>
                            <w:szCs w:val="18"/>
                          </w:rPr>
                          <w:t> </w:t>
                        </w:r>
                        <w:r>
                          <w:rPr>
                            <w:rFonts w:ascii="宋体" w:hAnsi="宋体" w:cs="宋体" w:eastAsia="宋体" w:hint="default"/>
                            <w:sz w:val="18"/>
                            <w:szCs w:val="18"/>
                          </w:rPr>
                          <w:t>法</w:t>
                        </w:r>
                        <w:r>
                          <w:rPr>
                            <w:rFonts w:ascii="宋体" w:hAnsi="宋体" w:cs="宋体" w:eastAsia="宋体" w:hint="default"/>
                            <w:sz w:val="18"/>
                            <w:szCs w:val="18"/>
                          </w:rPr>
                          <w:t> 组合</w:t>
                        </w:r>
                      </w:p>
                    </w:tc>
                    <w:tc>
                      <w:tcPr>
                        <w:tcW w:w="1603"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290"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51,512,275.51</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100.00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3,313,352.23</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6.43</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27,365,214.80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100.00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7"/>
                          <w:jc w:val="right"/>
                          <w:rPr>
                            <w:rFonts w:ascii="宋体" w:hAnsi="宋体" w:cs="宋体" w:eastAsia="宋体" w:hint="default"/>
                            <w:sz w:val="18"/>
                            <w:szCs w:val="18"/>
                          </w:rPr>
                        </w:pPr>
                        <w:r>
                          <w:rPr>
                            <w:rFonts w:ascii="宋体"/>
                            <w:spacing w:val="-1"/>
                            <w:sz w:val="18"/>
                          </w:rPr>
                          <w:t>1,744,518.56</w:t>
                        </w:r>
                      </w:p>
                    </w:tc>
                    <w:tc>
                      <w:tcPr>
                        <w:tcW w:w="6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6.3</w:t>
                        </w:r>
                      </w:p>
                    </w:tc>
                  </w:tr>
                  <w:tr>
                    <w:trPr>
                      <w:trHeight w:val="1025"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08" w:right="103"/>
                          <w:jc w:val="both"/>
                          <w:rPr>
                            <w:rFonts w:ascii="宋体" w:hAnsi="宋体" w:cs="宋体" w:eastAsia="宋体" w:hint="default"/>
                            <w:sz w:val="18"/>
                            <w:szCs w:val="18"/>
                          </w:rPr>
                        </w:pPr>
                        <w:r>
                          <w:rPr>
                            <w:rFonts w:ascii="宋体" w:hAnsi="宋体" w:cs="宋体" w:eastAsia="宋体" w:hint="default"/>
                            <w:sz w:val="18"/>
                            <w:szCs w:val="18"/>
                          </w:rPr>
                          <w:t>单</w:t>
                        </w:r>
                        <w:r>
                          <w:rPr>
                            <w:rFonts w:ascii="宋体" w:hAnsi="宋体" w:cs="宋体" w:eastAsia="宋体" w:hint="default"/>
                            <w:spacing w:val="-59"/>
                            <w:sz w:val="18"/>
                            <w:szCs w:val="18"/>
                          </w:rPr>
                          <w:t> </w:t>
                        </w:r>
                        <w:r>
                          <w:rPr>
                            <w:rFonts w:ascii="宋体" w:hAnsi="宋体" w:cs="宋体" w:eastAsia="宋体" w:hint="default"/>
                            <w:sz w:val="18"/>
                            <w:szCs w:val="18"/>
                          </w:rPr>
                          <w:t>项</w:t>
                        </w:r>
                        <w:r>
                          <w:rPr>
                            <w:rFonts w:ascii="宋体" w:hAnsi="宋体" w:cs="宋体" w:eastAsia="宋体" w:hint="default"/>
                            <w:spacing w:val="-59"/>
                            <w:sz w:val="18"/>
                            <w:szCs w:val="18"/>
                          </w:rPr>
                          <w:t> </w:t>
                        </w:r>
                        <w:r>
                          <w:rPr>
                            <w:rFonts w:ascii="宋体" w:hAnsi="宋体" w:cs="宋体" w:eastAsia="宋体" w:hint="default"/>
                            <w:sz w:val="18"/>
                            <w:szCs w:val="18"/>
                          </w:rPr>
                          <w:t>金</w:t>
                        </w:r>
                        <w:r>
                          <w:rPr>
                            <w:rFonts w:ascii="宋体" w:hAnsi="宋体" w:cs="宋体" w:eastAsia="宋体" w:hint="default"/>
                            <w:spacing w:val="-59"/>
                            <w:sz w:val="18"/>
                            <w:szCs w:val="18"/>
                          </w:rPr>
                          <w:t> </w:t>
                        </w:r>
                        <w:r>
                          <w:rPr>
                            <w:rFonts w:ascii="宋体" w:hAnsi="宋体" w:cs="宋体" w:eastAsia="宋体" w:hint="default"/>
                            <w:sz w:val="18"/>
                            <w:szCs w:val="18"/>
                          </w:rPr>
                          <w:t>额</w:t>
                        </w:r>
                        <w:r>
                          <w:rPr>
                            <w:rFonts w:ascii="宋体" w:hAnsi="宋体" w:cs="宋体" w:eastAsia="宋体" w:hint="default"/>
                            <w:spacing w:val="-59"/>
                            <w:sz w:val="18"/>
                            <w:szCs w:val="18"/>
                          </w:rPr>
                          <w:t> </w:t>
                        </w:r>
                        <w:r>
                          <w:rPr>
                            <w:rFonts w:ascii="宋体" w:hAnsi="宋体" w:cs="宋体" w:eastAsia="宋体" w:hint="default"/>
                            <w:sz w:val="18"/>
                            <w:szCs w:val="18"/>
                          </w:rPr>
                          <w:t>虽</w:t>
                        </w:r>
                        <w:r>
                          <w:rPr>
                            <w:rFonts w:ascii="宋体" w:hAnsi="宋体" w:cs="宋体" w:eastAsia="宋体" w:hint="default"/>
                            <w:spacing w:val="-59"/>
                            <w:sz w:val="18"/>
                            <w:szCs w:val="18"/>
                          </w:rPr>
                          <w:t> </w:t>
                        </w:r>
                        <w:r>
                          <w:rPr>
                            <w:rFonts w:ascii="宋体" w:hAnsi="宋体" w:cs="宋体" w:eastAsia="宋体" w:hint="default"/>
                            <w:sz w:val="18"/>
                            <w:szCs w:val="18"/>
                          </w:rPr>
                          <w:t>不</w:t>
                        </w:r>
                        <w:r>
                          <w:rPr>
                            <w:rFonts w:ascii="宋体" w:hAnsi="宋体" w:cs="宋体" w:eastAsia="宋体" w:hint="default"/>
                            <w:sz w:val="18"/>
                            <w:szCs w:val="18"/>
                          </w:rPr>
                          <w:t> 重</w:t>
                        </w:r>
                        <w:r>
                          <w:rPr>
                            <w:rFonts w:ascii="宋体" w:hAnsi="宋体" w:cs="宋体" w:eastAsia="宋体" w:hint="default"/>
                            <w:spacing w:val="-59"/>
                            <w:sz w:val="18"/>
                            <w:szCs w:val="18"/>
                          </w:rPr>
                          <w:t> </w:t>
                        </w:r>
                        <w:r>
                          <w:rPr>
                            <w:rFonts w:ascii="宋体" w:hAnsi="宋体" w:cs="宋体" w:eastAsia="宋体" w:hint="default"/>
                            <w:sz w:val="18"/>
                            <w:szCs w:val="18"/>
                          </w:rPr>
                          <w:t>大</w:t>
                        </w:r>
                        <w:r>
                          <w:rPr>
                            <w:rFonts w:ascii="宋体" w:hAnsi="宋体" w:cs="宋体" w:eastAsia="宋体" w:hint="default"/>
                            <w:spacing w:val="-59"/>
                            <w:sz w:val="18"/>
                            <w:szCs w:val="18"/>
                          </w:rPr>
                          <w:t> </w:t>
                        </w:r>
                        <w:r>
                          <w:rPr>
                            <w:rFonts w:ascii="宋体" w:hAnsi="宋体" w:cs="宋体" w:eastAsia="宋体" w:hint="default"/>
                            <w:sz w:val="18"/>
                            <w:szCs w:val="18"/>
                          </w:rPr>
                          <w:t>但</w:t>
                        </w:r>
                        <w:r>
                          <w:rPr>
                            <w:rFonts w:ascii="宋体" w:hAnsi="宋体" w:cs="宋体" w:eastAsia="宋体" w:hint="default"/>
                            <w:spacing w:val="-59"/>
                            <w:sz w:val="18"/>
                            <w:szCs w:val="18"/>
                          </w:rPr>
                          <w:t> </w:t>
                        </w:r>
                        <w:r>
                          <w:rPr>
                            <w:rFonts w:ascii="宋体" w:hAnsi="宋体" w:cs="宋体" w:eastAsia="宋体" w:hint="default"/>
                            <w:sz w:val="18"/>
                            <w:szCs w:val="18"/>
                          </w:rPr>
                          <w:t>单</w:t>
                        </w:r>
                        <w:r>
                          <w:rPr>
                            <w:rFonts w:ascii="宋体" w:hAnsi="宋体" w:cs="宋体" w:eastAsia="宋体" w:hint="default"/>
                            <w:spacing w:val="-59"/>
                            <w:sz w:val="18"/>
                            <w:szCs w:val="18"/>
                          </w:rPr>
                          <w:t> </w:t>
                        </w:r>
                        <w:r>
                          <w:rPr>
                            <w:rFonts w:ascii="宋体" w:hAnsi="宋体" w:cs="宋体" w:eastAsia="宋体" w:hint="default"/>
                            <w:sz w:val="18"/>
                            <w:szCs w:val="18"/>
                          </w:rPr>
                          <w:t>项</w:t>
                        </w:r>
                        <w:r>
                          <w:rPr>
                            <w:rFonts w:ascii="宋体" w:hAnsi="宋体" w:cs="宋体" w:eastAsia="宋体" w:hint="default"/>
                            <w:spacing w:val="-59"/>
                            <w:sz w:val="18"/>
                            <w:szCs w:val="18"/>
                          </w:rPr>
                          <w:t> </w:t>
                        </w:r>
                        <w:r>
                          <w:rPr>
                            <w:rFonts w:ascii="宋体" w:hAnsi="宋体" w:cs="宋体" w:eastAsia="宋体" w:hint="default"/>
                            <w:sz w:val="18"/>
                            <w:szCs w:val="18"/>
                          </w:rPr>
                          <w:t>计</w:t>
                        </w:r>
                        <w:r>
                          <w:rPr>
                            <w:rFonts w:ascii="宋体" w:hAnsi="宋体" w:cs="宋体" w:eastAsia="宋体" w:hint="default"/>
                            <w:sz w:val="18"/>
                            <w:szCs w:val="18"/>
                          </w:rPr>
                          <w:t> 提坏账准备</w:t>
                        </w:r>
                      </w:p>
                    </w:tc>
                    <w:tc>
                      <w:tcPr>
                        <w:tcW w:w="1603"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29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51,512,275.51</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3,313,352.23</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6.43</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pacing w:val="-1"/>
                            <w:sz w:val="18"/>
                          </w:rPr>
                          <w:t>27,365,214.80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7"/>
                          <w:jc w:val="right"/>
                          <w:rPr>
                            <w:rFonts w:ascii="宋体" w:hAnsi="宋体" w:cs="宋体" w:eastAsia="宋体" w:hint="default"/>
                            <w:sz w:val="18"/>
                            <w:szCs w:val="18"/>
                          </w:rPr>
                        </w:pPr>
                        <w:r>
                          <w:rPr>
                            <w:rFonts w:ascii="宋体"/>
                            <w:spacing w:val="-1"/>
                            <w:sz w:val="18"/>
                          </w:rPr>
                          <w:t>1,744,518.56</w:t>
                        </w:r>
                      </w:p>
                    </w:tc>
                    <w:tc>
                      <w:tcPr>
                        <w:tcW w:w="6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0"/>
                          <w:jc w:val="right"/>
                          <w:rPr>
                            <w:rFonts w:ascii="宋体" w:hAnsi="宋体" w:cs="宋体" w:eastAsia="宋体" w:hint="default"/>
                            <w:sz w:val="18"/>
                            <w:szCs w:val="18"/>
                          </w:rPr>
                        </w:pPr>
                        <w:r>
                          <w:rPr>
                            <w:rFonts w:ascii="宋体"/>
                            <w:spacing w:val="-1"/>
                            <w:sz w:val="18"/>
                          </w:rPr>
                          <w:t>6.3</w:t>
                        </w:r>
                      </w:p>
                    </w:tc>
                  </w:tr>
                </w:tbl>
                <w:p>
                  <w:pPr/>
                </w:p>
              </w:txbxContent>
            </v:textbox>
            <w10:wrap type="none"/>
          </v:shape>
        </w:pict>
      </w:r>
      <w:r>
        <w:rPr/>
        <w:t>1)</w:t>
      </w:r>
      <w:r>
        <w:rPr>
          <w:spacing w:val="-3"/>
        </w:rPr>
        <w:t> </w:t>
      </w:r>
      <w:r>
        <w:rPr/>
        <w:t>类别明细情况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BodyText"/>
        <w:spacing w:line="240" w:lineRule="auto" w:before="26"/>
        <w:ind w:left="775" w:right="0"/>
        <w:jc w:val="left"/>
      </w:pPr>
      <w:r>
        <w:rPr/>
        <w:t>2)</w:t>
      </w:r>
      <w:r>
        <w:rPr>
          <w:spacing w:val="-3"/>
        </w:rPr>
        <w:t> </w:t>
      </w:r>
      <w:r>
        <w:rPr/>
        <w:t>组合中，采用账龄分析法计提坏账准备的应收账款</w:t>
      </w:r>
    </w:p>
    <w:p>
      <w:pPr>
        <w:spacing w:line="240" w:lineRule="auto" w:before="10"/>
        <w:rPr>
          <w:rFonts w:ascii="宋体" w:hAnsi="宋体" w:cs="宋体" w:eastAsia="宋体" w:hint="default"/>
          <w:sz w:val="11"/>
          <w:szCs w:val="11"/>
        </w:rPr>
      </w:pPr>
    </w:p>
    <w:tbl>
      <w:tblPr>
        <w:tblW w:w="0" w:type="auto"/>
        <w:jc w:val="left"/>
        <w:tblInd w:w="287" w:type="dxa"/>
        <w:tblLayout w:type="fixed"/>
        <w:tblCellMar>
          <w:top w:w="0" w:type="dxa"/>
          <w:left w:w="0" w:type="dxa"/>
          <w:bottom w:w="0" w:type="dxa"/>
          <w:right w:w="0" w:type="dxa"/>
        </w:tblCellMar>
        <w:tblLook w:val="01E0"/>
      </w:tblPr>
      <w:tblGrid>
        <w:gridCol w:w="1030"/>
        <w:gridCol w:w="1596"/>
        <w:gridCol w:w="886"/>
        <w:gridCol w:w="1385"/>
        <w:gridCol w:w="1435"/>
        <w:gridCol w:w="883"/>
        <w:gridCol w:w="1426"/>
      </w:tblGrid>
      <w:tr>
        <w:trPr>
          <w:trHeight w:val="403" w:hRule="exact"/>
        </w:trPr>
        <w:tc>
          <w:tcPr>
            <w:tcW w:w="103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386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44"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030" w:type="dxa"/>
            <w:vMerge/>
            <w:tcBorders>
              <w:left w:val="nil" w:sz="6" w:space="0" w:color="auto"/>
              <w:right w:val="single" w:sz="4" w:space="0" w:color="000000"/>
            </w:tcBorders>
          </w:tcPr>
          <w:p>
            <w:pPr/>
          </w:p>
        </w:tc>
        <w:tc>
          <w:tcPr>
            <w:tcW w:w="24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26" w:type="dxa"/>
            <w:vMerge w:val="restart"/>
            <w:tcBorders>
              <w:top w:val="single" w:sz="4" w:space="0" w:color="000000"/>
              <w:left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030" w:type="dxa"/>
            <w:vMerge/>
            <w:tcBorders>
              <w:left w:val="nil" w:sz="6" w:space="0" w:color="auto"/>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1"/>
              <w:jc w:val="right"/>
              <w:rPr>
                <w:rFonts w:ascii="宋体" w:hAnsi="宋体" w:cs="宋体" w:eastAsia="宋体" w:hint="default"/>
                <w:sz w:val="18"/>
                <w:szCs w:val="18"/>
              </w:rPr>
            </w:pPr>
            <w:r>
              <w:rPr>
                <w:rFonts w:ascii="宋体" w:hAnsi="宋体" w:cs="宋体" w:eastAsia="宋体" w:hint="default"/>
                <w:spacing w:val="-1"/>
                <w:sz w:val="18"/>
                <w:szCs w:val="18"/>
              </w:rPr>
              <w:t>比例(%)</w:t>
            </w:r>
          </w:p>
        </w:tc>
        <w:tc>
          <w:tcPr>
            <w:tcW w:w="1385" w:type="dxa"/>
            <w:vMerge/>
            <w:tcBorders>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比例(%)</w:t>
            </w:r>
          </w:p>
        </w:tc>
        <w:tc>
          <w:tcPr>
            <w:tcW w:w="1426" w:type="dxa"/>
            <w:vMerge/>
            <w:tcBorders>
              <w:left w:val="single" w:sz="4" w:space="0" w:color="000000"/>
              <w:bottom w:val="single" w:sz="4" w:space="0" w:color="000000"/>
              <w:right w:val="nil" w:sz="6" w:space="0" w:color="auto"/>
            </w:tcBorders>
          </w:tcPr>
          <w:p>
            <w:pPr/>
          </w:p>
        </w:tc>
      </w:tr>
      <w:tr>
        <w:trPr>
          <w:trHeight w:val="557" w:hRule="exact"/>
        </w:trPr>
        <w:tc>
          <w:tcPr>
            <w:tcW w:w="10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43,749,376.16</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84.93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2,187,468.81</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25,394,858.40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92.80</w:t>
            </w: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1,269,742.92</w:t>
            </w:r>
          </w:p>
        </w:tc>
      </w:tr>
      <w:tr>
        <w:trPr>
          <w:trHeight w:val="559" w:hRule="exact"/>
        </w:trPr>
        <w:tc>
          <w:tcPr>
            <w:tcW w:w="10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7,064,931.95</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pacing w:val="-1"/>
                <w:sz w:val="18"/>
              </w:rPr>
              <w:t>13.72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706,493.20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1,631,656.40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7"/>
              <w:jc w:val="right"/>
              <w:rPr>
                <w:rFonts w:ascii="宋体" w:hAnsi="宋体" w:cs="宋体" w:eastAsia="宋体" w:hint="default"/>
                <w:sz w:val="18"/>
                <w:szCs w:val="18"/>
              </w:rPr>
            </w:pPr>
            <w:r>
              <w:rPr>
                <w:rFonts w:ascii="宋体"/>
                <w:sz w:val="18"/>
              </w:rPr>
              <w:t>5.96</w:t>
            </w: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163,165.64</w:t>
            </w:r>
          </w:p>
        </w:tc>
      </w:tr>
      <w:tr>
        <w:trPr>
          <w:trHeight w:val="557" w:hRule="exact"/>
        </w:trPr>
        <w:tc>
          <w:tcPr>
            <w:tcW w:w="10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397,967.40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0.77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119,390.22</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38,700.00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z w:val="18"/>
              </w:rPr>
              <w:t>0.14</w:t>
            </w: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11,610.00</w:t>
            </w:r>
          </w:p>
        </w:tc>
      </w:tr>
      <w:tr>
        <w:trPr>
          <w:trHeight w:val="559" w:hRule="exact"/>
        </w:trPr>
        <w:tc>
          <w:tcPr>
            <w:tcW w:w="10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5 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300,000.00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0.58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300,000.00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300,000.00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7"/>
              <w:jc w:val="right"/>
              <w:rPr>
                <w:rFonts w:ascii="宋体" w:hAnsi="宋体" w:cs="宋体" w:eastAsia="宋体" w:hint="default"/>
                <w:sz w:val="18"/>
                <w:szCs w:val="18"/>
              </w:rPr>
            </w:pPr>
            <w:r>
              <w:rPr>
                <w:rFonts w:ascii="宋体"/>
                <w:sz w:val="18"/>
              </w:rPr>
              <w:t>1.10</w:t>
            </w: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300,000.00</w:t>
            </w:r>
          </w:p>
        </w:tc>
      </w:tr>
    </w:tbl>
    <w:p>
      <w:pPr>
        <w:spacing w:after="0" w:line="240" w:lineRule="auto"/>
        <w:jc w:val="right"/>
        <w:rPr>
          <w:rFonts w:ascii="宋体" w:hAnsi="宋体" w:cs="宋体" w:eastAsia="宋体" w:hint="default"/>
          <w:sz w:val="18"/>
          <w:szCs w:val="18"/>
        </w:rPr>
        <w:sectPr>
          <w:pgSz w:w="11910" w:h="16840"/>
          <w:pgMar w:header="745" w:footer="979" w:top="1060" w:bottom="1160" w:left="840" w:right="0"/>
        </w:sectPr>
      </w:pPr>
    </w:p>
    <w:p>
      <w:pPr>
        <w:spacing w:line="240" w:lineRule="auto" w:before="6"/>
        <w:rPr>
          <w:rFonts w:ascii="宋体" w:hAnsi="宋体" w:cs="宋体" w:eastAsia="宋体" w:hint="default"/>
          <w:sz w:val="28"/>
          <w:szCs w:val="28"/>
        </w:rPr>
      </w:pPr>
      <w:r>
        <w:rPr/>
        <w:pict>
          <v:group style="position:absolute;margin-left:547.559998pt;margin-top:781.919983pt;width:.1pt;height:10.35pt;mso-position-horizontal-relative:page;mso-position-vertical-relative:page;z-index:4888" coordorigin="10951,15638" coordsize="2,207">
            <v:shape style="position:absolute;left:10951;top:15638;width:2;height:207" coordorigin="10951,15638" coordsize="0,207" path="m10951,15638l10951,15845e" filled="false" stroked="true" strokeweight=".12pt" strokecolor="#000000">
              <v:path arrowok="t"/>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1030"/>
        <w:gridCol w:w="1596"/>
        <w:gridCol w:w="886"/>
        <w:gridCol w:w="1385"/>
        <w:gridCol w:w="1435"/>
        <w:gridCol w:w="883"/>
        <w:gridCol w:w="1426"/>
      </w:tblGrid>
      <w:tr>
        <w:trPr>
          <w:trHeight w:val="557" w:hRule="exact"/>
        </w:trPr>
        <w:tc>
          <w:tcPr>
            <w:tcW w:w="10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90"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14" w:right="0"/>
              <w:jc w:val="left"/>
              <w:rPr>
                <w:rFonts w:ascii="宋体" w:hAnsi="宋体" w:cs="宋体" w:eastAsia="宋体" w:hint="default"/>
                <w:sz w:val="18"/>
                <w:szCs w:val="18"/>
              </w:rPr>
            </w:pPr>
            <w:r>
              <w:rPr>
                <w:rFonts w:ascii="宋体"/>
                <w:sz w:val="18"/>
              </w:rPr>
              <w:t>51,512,275.51</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2" w:right="0"/>
              <w:jc w:val="left"/>
              <w:rPr>
                <w:rFonts w:ascii="宋体" w:hAnsi="宋体" w:cs="宋体" w:eastAsia="宋体" w:hint="default"/>
                <w:sz w:val="18"/>
                <w:szCs w:val="18"/>
              </w:rPr>
            </w:pPr>
            <w:r>
              <w:rPr>
                <w:rFonts w:ascii="宋体"/>
                <w:sz w:val="18"/>
              </w:rPr>
              <w:t>100.00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92" w:right="0"/>
              <w:jc w:val="left"/>
              <w:rPr>
                <w:rFonts w:ascii="宋体" w:hAnsi="宋体" w:cs="宋体" w:eastAsia="宋体" w:hint="default"/>
                <w:sz w:val="18"/>
                <w:szCs w:val="18"/>
              </w:rPr>
            </w:pPr>
            <w:r>
              <w:rPr>
                <w:rFonts w:ascii="宋体"/>
                <w:sz w:val="18"/>
              </w:rPr>
              <w:t>3,313,352.23</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53" w:right="0"/>
              <w:jc w:val="left"/>
              <w:rPr>
                <w:rFonts w:ascii="宋体" w:hAnsi="宋体" w:cs="宋体" w:eastAsia="宋体" w:hint="default"/>
                <w:sz w:val="18"/>
                <w:szCs w:val="18"/>
              </w:rPr>
            </w:pPr>
            <w:r>
              <w:rPr>
                <w:rFonts w:ascii="宋体"/>
                <w:sz w:val="18"/>
              </w:rPr>
              <w:t>27,365,214.80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2" w:right="0"/>
              <w:jc w:val="left"/>
              <w:rPr>
                <w:rFonts w:ascii="宋体" w:hAnsi="宋体" w:cs="宋体" w:eastAsia="宋体" w:hint="default"/>
                <w:sz w:val="18"/>
                <w:szCs w:val="18"/>
              </w:rPr>
            </w:pPr>
            <w:r>
              <w:rPr>
                <w:rFonts w:ascii="宋体"/>
                <w:sz w:val="18"/>
              </w:rPr>
              <w:t>100.00</w:t>
            </w:r>
          </w:p>
        </w:tc>
        <w:tc>
          <w:tcPr>
            <w:tcW w:w="14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232" w:right="0"/>
              <w:jc w:val="left"/>
              <w:rPr>
                <w:rFonts w:ascii="宋体" w:hAnsi="宋体" w:cs="宋体" w:eastAsia="宋体" w:hint="default"/>
                <w:sz w:val="18"/>
                <w:szCs w:val="18"/>
              </w:rPr>
            </w:pPr>
            <w:r>
              <w:rPr>
                <w:rFonts w:ascii="宋体"/>
                <w:sz w:val="18"/>
              </w:rPr>
              <w:t>1,744,518.56</w:t>
            </w:r>
          </w:p>
        </w:tc>
      </w:tr>
    </w:tbl>
    <w:p>
      <w:pPr>
        <w:pStyle w:val="BodyText"/>
        <w:spacing w:line="386" w:lineRule="auto" w:before="82"/>
        <w:ind w:left="595" w:right="1872"/>
        <w:jc w:val="left"/>
      </w:pPr>
      <w:r>
        <w:rPr/>
        <w:t>(2)</w:t>
      </w:r>
      <w:r>
        <w:rPr>
          <w:spacing w:val="-3"/>
        </w:rPr>
        <w:t> </w:t>
      </w:r>
      <w:r>
        <w:rPr/>
        <w:t>期末无应收持有公司</w:t>
      </w:r>
      <w:r>
        <w:rPr>
          <w:spacing w:val="-60"/>
        </w:rPr>
        <w:t> </w:t>
      </w:r>
      <w:r>
        <w:rPr/>
        <w:t>5%以上（含</w:t>
      </w:r>
      <w:r>
        <w:rPr>
          <w:spacing w:val="-58"/>
        </w:rPr>
        <w:t> </w:t>
      </w:r>
      <w:r>
        <w:rPr/>
        <w:t>5%）表决权股份的股东单位款项。</w:t>
      </w:r>
      <w:r>
        <w:rPr/>
        <w:t> (3)</w:t>
      </w:r>
      <w:r>
        <w:rPr>
          <w:spacing w:val="-3"/>
        </w:rPr>
        <w:t> </w:t>
      </w:r>
      <w:r>
        <w:rPr/>
        <w:t>应收账款金额前</w:t>
      </w:r>
      <w:r>
        <w:rPr>
          <w:spacing w:val="-60"/>
        </w:rPr>
        <w:t> </w:t>
      </w:r>
      <w:r>
        <w:rPr/>
        <w:t>5</w:t>
      </w:r>
      <w:r>
        <w:rPr>
          <w:spacing w:val="-60"/>
        </w:rPr>
        <w:t> </w:t>
      </w:r>
      <w:r>
        <w:rPr/>
        <w:t>名情况</w:t>
      </w:r>
    </w:p>
    <w:tbl>
      <w:tblPr>
        <w:tblW w:w="0" w:type="auto"/>
        <w:jc w:val="left"/>
        <w:tblInd w:w="107" w:type="dxa"/>
        <w:tblLayout w:type="fixed"/>
        <w:tblCellMar>
          <w:top w:w="0" w:type="dxa"/>
          <w:left w:w="0" w:type="dxa"/>
          <w:bottom w:w="0" w:type="dxa"/>
          <w:right w:w="0" w:type="dxa"/>
        </w:tblCellMar>
        <w:tblLook w:val="01E0"/>
      </w:tblPr>
      <w:tblGrid>
        <w:gridCol w:w="2861"/>
        <w:gridCol w:w="1303"/>
        <w:gridCol w:w="1790"/>
        <w:gridCol w:w="1327"/>
        <w:gridCol w:w="1651"/>
      </w:tblGrid>
      <w:tr>
        <w:trPr>
          <w:trHeight w:val="1068" w:hRule="exact"/>
        </w:trPr>
        <w:tc>
          <w:tcPr>
            <w:tcW w:w="286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290" w:right="0"/>
              <w:jc w:val="left"/>
              <w:rPr>
                <w:rFonts w:ascii="宋体" w:hAnsi="宋体" w:cs="宋体" w:eastAsia="宋体" w:hint="default"/>
                <w:sz w:val="18"/>
                <w:szCs w:val="18"/>
              </w:rPr>
            </w:pPr>
            <w:bookmarkStart w:name="单位名称" w:id="160"/>
            <w:bookmarkEnd w:id="160"/>
            <w:r>
              <w:rPr/>
            </w:r>
            <w:bookmarkStart w:name="与本公司关系" w:id="161"/>
            <w:bookmarkEnd w:id="161"/>
            <w:r>
              <w:rPr/>
            </w:r>
            <w:bookmarkStart w:name="账面余额" w:id="162"/>
            <w:bookmarkEnd w:id="162"/>
            <w:r>
              <w:rPr/>
            </w:r>
            <w:bookmarkStart w:name="账龄" w:id="163"/>
            <w:bookmarkEnd w:id="163"/>
            <w:r>
              <w:rPr/>
            </w:r>
            <w:bookmarkStart w:name="占应收账款余额" w:id="164"/>
            <w:bookmarkEnd w:id="164"/>
            <w:r>
              <w:rPr/>
            </w:r>
            <w:bookmarkStart w:name="的比例(%)" w:id="165"/>
            <w:bookmarkEnd w:id="165"/>
            <w:r>
              <w:rPr/>
            </w:r>
            <w:r>
              <w:rPr>
                <w:rFonts w:ascii="宋体" w:hAnsi="宋体" w:cs="宋体" w:eastAsia="宋体" w:hint="default"/>
                <w:sz w:val="18"/>
                <w:szCs w:val="18"/>
              </w:rPr>
              <w:t>单位名称</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07"/>
              <w:jc w:val="right"/>
              <w:rPr>
                <w:rFonts w:ascii="宋体" w:hAnsi="宋体" w:cs="宋体" w:eastAsia="宋体" w:hint="default"/>
                <w:sz w:val="18"/>
                <w:szCs w:val="18"/>
              </w:rPr>
            </w:pPr>
            <w:r>
              <w:rPr>
                <w:rFonts w:ascii="宋体" w:hAnsi="宋体" w:cs="宋体" w:eastAsia="宋体" w:hint="default"/>
                <w:sz w:val="18"/>
                <w:szCs w:val="18"/>
              </w:rPr>
              <w:t>与本公司关系</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6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5"/>
              <w:jc w:val="center"/>
              <w:rPr>
                <w:rFonts w:ascii="宋体" w:hAnsi="宋体" w:cs="宋体" w:eastAsia="宋体" w:hint="default"/>
                <w:sz w:val="18"/>
                <w:szCs w:val="18"/>
              </w:rPr>
            </w:pPr>
            <w:r>
              <w:rPr>
                <w:rFonts w:ascii="宋体" w:hAnsi="宋体" w:cs="宋体" w:eastAsia="宋体" w:hint="default"/>
                <w:sz w:val="18"/>
                <w:szCs w:val="18"/>
              </w:rPr>
              <w:t>占应收账款余额</w:t>
            </w: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的比例(%)</w:t>
            </w:r>
          </w:p>
        </w:tc>
      </w:tr>
      <w:tr>
        <w:trPr>
          <w:trHeight w:val="557" w:hRule="exact"/>
        </w:trPr>
        <w:tc>
          <w:tcPr>
            <w:tcW w:w="28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99" w:right="0"/>
              <w:jc w:val="left"/>
              <w:rPr>
                <w:rFonts w:ascii="宋体" w:hAnsi="宋体" w:cs="宋体" w:eastAsia="宋体" w:hint="default"/>
                <w:sz w:val="18"/>
                <w:szCs w:val="18"/>
              </w:rPr>
            </w:pPr>
            <w:bookmarkStart w:name="非关联方" w:id="166"/>
            <w:bookmarkEnd w:id="166"/>
            <w:r>
              <w:rPr/>
            </w:r>
            <w:bookmarkStart w:name="1年以内" w:id="167"/>
            <w:bookmarkEnd w:id="167"/>
            <w:r>
              <w:rPr/>
            </w:r>
            <w:r>
              <w:rPr>
                <w:rFonts w:ascii="宋体" w:hAnsi="宋体" w:cs="宋体" w:eastAsia="宋体" w:hint="default"/>
                <w:sz w:val="18"/>
                <w:szCs w:val="18"/>
              </w:rPr>
              <w:t>浙江巨化信息技术有限公司</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pacing w:val="-1"/>
                <w:sz w:val="18"/>
              </w:rPr>
              <w:t>6,250,000.00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8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599"/>
              <w:jc w:val="right"/>
              <w:rPr>
                <w:rFonts w:ascii="宋体" w:hAnsi="宋体" w:cs="宋体" w:eastAsia="宋体" w:hint="default"/>
                <w:sz w:val="18"/>
                <w:szCs w:val="18"/>
              </w:rPr>
            </w:pPr>
            <w:r>
              <w:rPr>
                <w:rFonts w:ascii="宋体"/>
                <w:spacing w:val="-1"/>
                <w:sz w:val="18"/>
              </w:rPr>
              <w:t>12.13</w:t>
            </w:r>
          </w:p>
        </w:tc>
      </w:tr>
      <w:tr>
        <w:trPr>
          <w:trHeight w:val="559" w:hRule="exact"/>
        </w:trPr>
        <w:tc>
          <w:tcPr>
            <w:tcW w:w="28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99" w:right="0"/>
              <w:jc w:val="left"/>
              <w:rPr>
                <w:rFonts w:ascii="宋体" w:hAnsi="宋体" w:cs="宋体" w:eastAsia="宋体" w:hint="default"/>
                <w:sz w:val="18"/>
                <w:szCs w:val="18"/>
              </w:rPr>
            </w:pPr>
            <w:bookmarkStart w:name="非关联方" w:id="168"/>
            <w:bookmarkEnd w:id="168"/>
            <w:r>
              <w:rPr/>
            </w:r>
            <w:bookmarkStart w:name="1-2年" w:id="169"/>
            <w:bookmarkEnd w:id="169"/>
            <w:r>
              <w:rPr/>
            </w:r>
            <w:r>
              <w:rPr>
                <w:rFonts w:ascii="宋体" w:hAnsi="宋体" w:cs="宋体" w:eastAsia="宋体" w:hint="default"/>
                <w:sz w:val="18"/>
                <w:szCs w:val="18"/>
              </w:rPr>
              <w:t>东北电网有限公司</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pacing w:val="-1"/>
                <w:sz w:val="18"/>
              </w:rPr>
              <w:t>4,200,000.00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85"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642"/>
              <w:jc w:val="right"/>
              <w:rPr>
                <w:rFonts w:ascii="宋体" w:hAnsi="宋体" w:cs="宋体" w:eastAsia="宋体" w:hint="default"/>
                <w:sz w:val="18"/>
                <w:szCs w:val="18"/>
              </w:rPr>
            </w:pPr>
            <w:r>
              <w:rPr>
                <w:rFonts w:ascii="宋体"/>
                <w:sz w:val="18"/>
              </w:rPr>
              <w:t>8.15</w:t>
            </w:r>
          </w:p>
        </w:tc>
      </w:tr>
      <w:tr>
        <w:trPr>
          <w:trHeight w:val="557" w:hRule="exact"/>
        </w:trPr>
        <w:tc>
          <w:tcPr>
            <w:tcW w:w="28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99" w:right="0"/>
              <w:jc w:val="left"/>
              <w:rPr>
                <w:rFonts w:ascii="宋体" w:hAnsi="宋体" w:cs="宋体" w:eastAsia="宋体" w:hint="default"/>
                <w:sz w:val="18"/>
                <w:szCs w:val="18"/>
              </w:rPr>
            </w:pPr>
            <w:bookmarkStart w:name="非关联方" w:id="170"/>
            <w:bookmarkEnd w:id="170"/>
            <w:r>
              <w:rPr/>
            </w:r>
            <w:bookmarkStart w:name="1年以内" w:id="171"/>
            <w:bookmarkEnd w:id="171"/>
            <w:r>
              <w:rPr/>
            </w:r>
            <w:r>
              <w:rPr>
                <w:rFonts w:ascii="宋体" w:hAnsi="宋体" w:cs="宋体" w:eastAsia="宋体" w:hint="default"/>
                <w:sz w:val="18"/>
                <w:szCs w:val="18"/>
              </w:rPr>
              <w:t>浙江省电力公司</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pacing w:val="-1"/>
                <w:sz w:val="18"/>
              </w:rPr>
              <w:t>3,634,480.00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8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642"/>
              <w:jc w:val="right"/>
              <w:rPr>
                <w:rFonts w:ascii="宋体" w:hAnsi="宋体" w:cs="宋体" w:eastAsia="宋体" w:hint="default"/>
                <w:sz w:val="18"/>
                <w:szCs w:val="18"/>
              </w:rPr>
            </w:pPr>
            <w:r>
              <w:rPr>
                <w:rFonts w:ascii="宋体"/>
                <w:sz w:val="18"/>
              </w:rPr>
              <w:t>7.06</w:t>
            </w:r>
          </w:p>
        </w:tc>
      </w:tr>
      <w:tr>
        <w:trPr>
          <w:trHeight w:val="559" w:hRule="exact"/>
        </w:trPr>
        <w:tc>
          <w:tcPr>
            <w:tcW w:w="28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99" w:right="0"/>
              <w:jc w:val="left"/>
              <w:rPr>
                <w:rFonts w:ascii="宋体" w:hAnsi="宋体" w:cs="宋体" w:eastAsia="宋体" w:hint="default"/>
                <w:sz w:val="18"/>
                <w:szCs w:val="18"/>
              </w:rPr>
            </w:pPr>
            <w:bookmarkStart w:name="非关联方" w:id="172"/>
            <w:bookmarkEnd w:id="172"/>
            <w:r>
              <w:rPr/>
            </w:r>
            <w:bookmarkStart w:name="1年以内" w:id="173"/>
            <w:bookmarkEnd w:id="173"/>
            <w:r>
              <w:rPr/>
            </w:r>
            <w:r>
              <w:rPr>
                <w:rFonts w:ascii="宋体" w:hAnsi="宋体" w:cs="宋体" w:eastAsia="宋体" w:hint="default"/>
                <w:sz w:val="18"/>
                <w:szCs w:val="18"/>
              </w:rPr>
              <w:t>中国烟草总公司江西省公司</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pacing w:val="-1"/>
                <w:sz w:val="18"/>
              </w:rPr>
              <w:t>2,577,000.00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8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642"/>
              <w:jc w:val="right"/>
              <w:rPr>
                <w:rFonts w:ascii="宋体" w:hAnsi="宋体" w:cs="宋体" w:eastAsia="宋体" w:hint="default"/>
                <w:sz w:val="18"/>
                <w:szCs w:val="18"/>
              </w:rPr>
            </w:pPr>
            <w:r>
              <w:rPr>
                <w:rFonts w:ascii="宋体"/>
                <w:sz w:val="18"/>
              </w:rPr>
              <w:t>5.00</w:t>
            </w:r>
          </w:p>
        </w:tc>
      </w:tr>
      <w:tr>
        <w:trPr>
          <w:trHeight w:val="557" w:hRule="exact"/>
        </w:trPr>
        <w:tc>
          <w:tcPr>
            <w:tcW w:w="28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99" w:right="0"/>
              <w:jc w:val="left"/>
              <w:rPr>
                <w:rFonts w:ascii="宋体" w:hAnsi="宋体" w:cs="宋体" w:eastAsia="宋体" w:hint="default"/>
                <w:sz w:val="18"/>
                <w:szCs w:val="18"/>
              </w:rPr>
            </w:pPr>
            <w:bookmarkStart w:name="非关联方" w:id="174"/>
            <w:bookmarkEnd w:id="174"/>
            <w:r>
              <w:rPr/>
            </w:r>
            <w:bookmarkStart w:name="1年以内" w:id="175"/>
            <w:bookmarkEnd w:id="175"/>
            <w:r>
              <w:rPr/>
            </w:r>
            <w:r>
              <w:rPr>
                <w:rFonts w:ascii="宋体" w:hAnsi="宋体" w:cs="宋体" w:eastAsia="宋体" w:hint="default"/>
                <w:sz w:val="18"/>
                <w:szCs w:val="18"/>
              </w:rPr>
              <w:t>河南腾龙信息工程有限公司</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pacing w:val="-1"/>
                <w:sz w:val="18"/>
              </w:rPr>
              <w:t>2,235,000.00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8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642"/>
              <w:jc w:val="right"/>
              <w:rPr>
                <w:rFonts w:ascii="宋体" w:hAnsi="宋体" w:cs="宋体" w:eastAsia="宋体" w:hint="default"/>
                <w:sz w:val="18"/>
                <w:szCs w:val="18"/>
              </w:rPr>
            </w:pPr>
            <w:r>
              <w:rPr>
                <w:rFonts w:ascii="宋体"/>
                <w:sz w:val="18"/>
              </w:rPr>
              <w:t>4.34</w:t>
            </w:r>
          </w:p>
        </w:tc>
      </w:tr>
      <w:tr>
        <w:trPr>
          <w:trHeight w:val="559" w:hRule="exact"/>
        </w:trPr>
        <w:tc>
          <w:tcPr>
            <w:tcW w:w="28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90" w:right="0"/>
              <w:jc w:val="left"/>
              <w:rPr>
                <w:rFonts w:ascii="宋体" w:hAnsi="宋体" w:cs="宋体" w:eastAsia="宋体" w:hint="default"/>
                <w:sz w:val="18"/>
                <w:szCs w:val="18"/>
              </w:rPr>
            </w:pPr>
            <w:bookmarkStart w:name="小计" w:id="176"/>
            <w:bookmarkEnd w:id="176"/>
            <w:r>
              <w:rPr/>
            </w:r>
            <w:bookmarkStart w:name="18,896,480.00" w:id="177"/>
            <w:bookmarkEnd w:id="177"/>
            <w:r>
              <w:rPr/>
            </w:r>
            <w:bookmarkStart w:name="36.68" w:id="178"/>
            <w:bookmarkEnd w:id="178"/>
            <w:r>
              <w:rPr/>
            </w:r>
            <w:r>
              <w:rPr>
                <w:rFonts w:ascii="宋体" w:hAnsi="宋体" w:cs="宋体" w:eastAsia="宋体" w:hint="default"/>
                <w:sz w:val="18"/>
                <w:szCs w:val="18"/>
              </w:rPr>
              <w:t>小  计</w:t>
            </w:r>
          </w:p>
        </w:tc>
        <w:tc>
          <w:tcPr>
            <w:tcW w:w="1303"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18,896,480.00</w:t>
            </w:r>
          </w:p>
        </w:tc>
        <w:tc>
          <w:tcPr>
            <w:tcW w:w="1327"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463" w:right="0"/>
              <w:jc w:val="left"/>
              <w:rPr>
                <w:rFonts w:ascii="宋体" w:hAnsi="宋体" w:cs="宋体" w:eastAsia="宋体" w:hint="default"/>
                <w:sz w:val="18"/>
                <w:szCs w:val="18"/>
              </w:rPr>
            </w:pPr>
            <w:r>
              <w:rPr>
                <w:rFonts w:ascii="宋体"/>
                <w:sz w:val="18"/>
              </w:rPr>
              <w:t>36.68</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240" w:lineRule="auto" w:before="26"/>
        <w:ind w:left="595" w:right="279"/>
        <w:jc w:val="left"/>
      </w:pPr>
      <w:r>
        <w:rPr/>
        <w:t>2.</w:t>
      </w:r>
      <w:r>
        <w:rPr>
          <w:spacing w:val="-3"/>
        </w:rPr>
        <w:t> </w:t>
      </w:r>
      <w:r>
        <w:rPr/>
        <w:t>其他应收款</w:t>
      </w:r>
    </w:p>
    <w:p>
      <w:pPr>
        <w:pStyle w:val="BodyText"/>
        <w:spacing w:line="240" w:lineRule="auto" w:before="192"/>
        <w:ind w:left="595" w:right="279"/>
        <w:jc w:val="left"/>
      </w:pPr>
      <w:r>
        <w:rPr/>
        <w:t>(1)</w:t>
      </w:r>
      <w:r>
        <w:rPr>
          <w:spacing w:val="-3"/>
        </w:rPr>
        <w:t> </w:t>
      </w:r>
      <w:r>
        <w:rPr/>
        <w:t>明细情况</w:t>
      </w:r>
    </w:p>
    <w:p>
      <w:pPr>
        <w:pStyle w:val="BodyText"/>
        <w:spacing w:line="240" w:lineRule="auto" w:before="194"/>
        <w:ind w:left="595" w:right="279"/>
        <w:jc w:val="left"/>
      </w:pPr>
      <w:r>
        <w:rPr/>
        <w:t>1)</w:t>
      </w:r>
      <w:r>
        <w:rPr>
          <w:spacing w:val="-3"/>
        </w:rPr>
        <w:t> </w:t>
      </w:r>
      <w:r>
        <w:rPr/>
        <w:t>类别明细情况</w:t>
      </w:r>
    </w:p>
    <w:p>
      <w:pPr>
        <w:spacing w:line="240" w:lineRule="auto" w:before="10"/>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334"/>
        <w:gridCol w:w="1380"/>
        <w:gridCol w:w="756"/>
        <w:gridCol w:w="1116"/>
        <w:gridCol w:w="744"/>
        <w:gridCol w:w="1387"/>
        <w:gridCol w:w="756"/>
        <w:gridCol w:w="1116"/>
        <w:gridCol w:w="758"/>
      </w:tblGrid>
      <w:tr>
        <w:trPr>
          <w:trHeight w:val="403" w:hRule="exact"/>
        </w:trPr>
        <w:tc>
          <w:tcPr>
            <w:tcW w:w="133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39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18"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334" w:type="dxa"/>
            <w:vMerge/>
            <w:tcBorders>
              <w:left w:val="nil" w:sz="6" w:space="0" w:color="auto"/>
              <w:right w:val="single" w:sz="4" w:space="0" w:color="000000"/>
            </w:tcBorders>
          </w:tcPr>
          <w:p>
            <w:pPr/>
          </w:p>
        </w:tc>
        <w:tc>
          <w:tcPr>
            <w:tcW w:w="2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0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7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57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334" w:type="dxa"/>
            <w:vMerge/>
            <w:tcBorders>
              <w:left w:val="nil" w:sz="6" w:space="0" w:color="auto"/>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
              <w:jc w:val="center"/>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61"/>
              <w:jc w:val="right"/>
              <w:rPr>
                <w:rFonts w:ascii="宋体" w:hAnsi="宋体" w:cs="宋体" w:eastAsia="宋体" w:hint="default"/>
                <w:sz w:val="18"/>
                <w:szCs w:val="18"/>
              </w:rPr>
            </w:pPr>
            <w:r>
              <w:rPr>
                <w:rFonts w:ascii="宋体" w:hAnsi="宋体" w:cs="宋体" w:eastAsia="宋体" w:hint="default"/>
                <w:spacing w:val="-1"/>
                <w:sz w:val="18"/>
                <w:szCs w:val="18"/>
              </w:rPr>
              <w:t>比例(%)</w:t>
            </w:r>
          </w:p>
        </w:tc>
      </w:tr>
      <w:tr>
        <w:trPr>
          <w:trHeight w:val="1025" w:hRule="exact"/>
        </w:trPr>
        <w:tc>
          <w:tcPr>
            <w:tcW w:w="133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10" w:right="101"/>
              <w:jc w:val="both"/>
              <w:rPr>
                <w:rFonts w:ascii="宋体" w:hAnsi="宋体" w:cs="宋体" w:eastAsia="宋体" w:hint="default"/>
                <w:sz w:val="18"/>
                <w:szCs w:val="18"/>
              </w:rPr>
            </w:pPr>
            <w:r>
              <w:rPr>
                <w:rFonts w:ascii="宋体" w:hAnsi="宋体" w:cs="宋体" w:eastAsia="宋体" w:hint="default"/>
                <w:spacing w:val="5"/>
                <w:sz w:val="18"/>
                <w:szCs w:val="18"/>
              </w:rPr>
              <w:t>单项金额重大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并单项计提坏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账准备</w:t>
            </w:r>
          </w:p>
        </w:tc>
        <w:tc>
          <w:tcPr>
            <w:tcW w:w="1380"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133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10" w:right="101"/>
              <w:jc w:val="left"/>
              <w:rPr>
                <w:rFonts w:ascii="宋体" w:hAnsi="宋体" w:cs="宋体" w:eastAsia="宋体" w:hint="default"/>
                <w:sz w:val="18"/>
                <w:szCs w:val="18"/>
              </w:rPr>
            </w:pPr>
            <w:r>
              <w:rPr>
                <w:rFonts w:ascii="宋体" w:hAnsi="宋体" w:cs="宋体" w:eastAsia="宋体" w:hint="default"/>
                <w:spacing w:val="5"/>
                <w:sz w:val="18"/>
                <w:szCs w:val="18"/>
              </w:rPr>
              <w:t>按组合计提坏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账准备</w:t>
            </w:r>
          </w:p>
        </w:tc>
        <w:tc>
          <w:tcPr>
            <w:tcW w:w="1380"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133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49"/>
              <w:ind w:left="110" w:right="101"/>
              <w:jc w:val="left"/>
              <w:rPr>
                <w:rFonts w:ascii="宋体" w:hAnsi="宋体" w:cs="宋体" w:eastAsia="宋体" w:hint="default"/>
                <w:sz w:val="18"/>
                <w:szCs w:val="18"/>
              </w:rPr>
            </w:pPr>
            <w:r>
              <w:rPr>
                <w:rFonts w:ascii="宋体" w:hAnsi="宋体" w:cs="宋体" w:eastAsia="宋体" w:hint="default"/>
                <w:spacing w:val="5"/>
                <w:sz w:val="18"/>
                <w:szCs w:val="18"/>
              </w:rPr>
              <w:t>账龄分析法组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7,662,238.28</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100.00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608,527.41</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sz w:val="18"/>
              </w:rPr>
              <w:t>7.94</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5,016,183.45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100.00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279,463.74</w:t>
            </w:r>
          </w:p>
        </w:tc>
        <w:tc>
          <w:tcPr>
            <w:tcW w:w="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5.57</w:t>
            </w:r>
          </w:p>
        </w:tc>
      </w:tr>
      <w:tr>
        <w:trPr>
          <w:trHeight w:val="715" w:hRule="exact"/>
        </w:trPr>
        <w:tc>
          <w:tcPr>
            <w:tcW w:w="133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10" w:right="101"/>
              <w:jc w:val="left"/>
              <w:rPr>
                <w:rFonts w:ascii="宋体" w:hAnsi="宋体" w:cs="宋体" w:eastAsia="宋体" w:hint="default"/>
                <w:sz w:val="18"/>
                <w:szCs w:val="18"/>
              </w:rPr>
            </w:pPr>
            <w:r>
              <w:rPr>
                <w:rFonts w:ascii="宋体" w:hAnsi="宋体" w:cs="宋体" w:eastAsia="宋体" w:hint="default"/>
                <w:spacing w:val="5"/>
                <w:sz w:val="18"/>
                <w:szCs w:val="18"/>
              </w:rPr>
              <w:t>余额百分比法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组合</w:t>
            </w:r>
          </w:p>
        </w:tc>
        <w:tc>
          <w:tcPr>
            <w:tcW w:w="1380"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nil" w:sz="6" w:space="0" w:color="auto"/>
            </w:tcBorders>
          </w:tcPr>
          <w:p>
            <w:pPr/>
          </w:p>
        </w:tc>
      </w:tr>
      <w:tr>
        <w:trPr>
          <w:trHeight w:val="401" w:hRule="exact"/>
        </w:trPr>
        <w:tc>
          <w:tcPr>
            <w:tcW w:w="1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7,662,238.28</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sz w:val="18"/>
              </w:rPr>
              <w:t>100.00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608,527.41</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3" w:right="0"/>
              <w:jc w:val="left"/>
              <w:rPr>
                <w:rFonts w:ascii="宋体" w:hAnsi="宋体" w:cs="宋体" w:eastAsia="宋体" w:hint="default"/>
                <w:sz w:val="18"/>
                <w:szCs w:val="18"/>
              </w:rPr>
            </w:pPr>
            <w:r>
              <w:rPr>
                <w:rFonts w:ascii="宋体"/>
                <w:sz w:val="18"/>
              </w:rPr>
              <w:t>7.94</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5,016,183.45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sz w:val="18"/>
              </w:rPr>
              <w:t>100.00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sz w:val="18"/>
              </w:rPr>
              <w:t>279,463.74</w:t>
            </w:r>
          </w:p>
        </w:tc>
        <w:tc>
          <w:tcPr>
            <w:tcW w:w="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4"/>
              <w:jc w:val="right"/>
              <w:rPr>
                <w:rFonts w:ascii="宋体" w:hAnsi="宋体" w:cs="宋体" w:eastAsia="宋体" w:hint="default"/>
                <w:sz w:val="18"/>
                <w:szCs w:val="18"/>
              </w:rPr>
            </w:pPr>
            <w:r>
              <w:rPr>
                <w:rFonts w:ascii="宋体"/>
                <w:spacing w:val="-1"/>
                <w:sz w:val="18"/>
              </w:rPr>
              <w:t>5.57</w:t>
            </w:r>
          </w:p>
        </w:tc>
      </w:tr>
      <w:tr>
        <w:trPr>
          <w:trHeight w:val="1027" w:hRule="exact"/>
        </w:trPr>
        <w:tc>
          <w:tcPr>
            <w:tcW w:w="133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10" w:right="101"/>
              <w:jc w:val="both"/>
              <w:rPr>
                <w:rFonts w:ascii="宋体" w:hAnsi="宋体" w:cs="宋体" w:eastAsia="宋体" w:hint="default"/>
                <w:sz w:val="18"/>
                <w:szCs w:val="18"/>
              </w:rPr>
            </w:pPr>
            <w:r>
              <w:rPr>
                <w:rFonts w:ascii="宋体" w:hAnsi="宋体" w:cs="宋体" w:eastAsia="宋体" w:hint="default"/>
                <w:spacing w:val="5"/>
                <w:sz w:val="18"/>
                <w:szCs w:val="18"/>
              </w:rPr>
              <w:t>单项金额虽不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重大但单项计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提坏账准备</w:t>
            </w:r>
          </w:p>
        </w:tc>
        <w:tc>
          <w:tcPr>
            <w:tcW w:w="1380"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nil" w:sz="6" w:space="0" w:color="auto"/>
            </w:tcBorders>
          </w:tcPr>
          <w:p>
            <w:pPr/>
          </w:p>
        </w:tc>
      </w:tr>
    </w:tbl>
    <w:p>
      <w:pPr>
        <w:spacing w:after="0"/>
        <w:sectPr>
          <w:footerReference w:type="default" r:id="rId29"/>
          <w:pgSz w:w="11910" w:h="16840"/>
          <w:pgMar w:footer="979" w:header="745" w:top="1060" w:bottom="1160" w:left="1020" w:right="840"/>
          <w:pgNumType w:start="110"/>
        </w:sectPr>
      </w:pPr>
    </w:p>
    <w:p>
      <w:pPr>
        <w:spacing w:line="240" w:lineRule="auto" w:before="6"/>
        <w:rPr>
          <w:rFonts w:ascii="宋体" w:hAnsi="宋体" w:cs="宋体" w:eastAsia="宋体" w:hint="default"/>
          <w:sz w:val="28"/>
          <w:szCs w:val="28"/>
        </w:rPr>
      </w:pPr>
      <w:r>
        <w:rPr/>
        <w:pict>
          <v:group style="position:absolute;margin-left:47.639999pt;margin-top:781.919983pt;width:.1pt;height:10.35pt;mso-position-horizontal-relative:page;mso-position-vertical-relative:page;z-index:4912" coordorigin="953,15638" coordsize="2,207">
            <v:shape style="position:absolute;left:953;top:15638;width:2;height:207" coordorigin="953,15638" coordsize="0,207" path="m953,15638l953,15845e" filled="false" stroked="true" strokeweight=".12pt" strokecolor="#000000">
              <v:path arrowok="t"/>
            </v:shape>
            <w10:wrap type="none"/>
          </v:group>
        </w:pict>
      </w:r>
    </w:p>
    <w:tbl>
      <w:tblPr>
        <w:tblW w:w="0" w:type="auto"/>
        <w:jc w:val="left"/>
        <w:tblInd w:w="287" w:type="dxa"/>
        <w:tblLayout w:type="fixed"/>
        <w:tblCellMar>
          <w:top w:w="0" w:type="dxa"/>
          <w:left w:w="0" w:type="dxa"/>
          <w:bottom w:w="0" w:type="dxa"/>
          <w:right w:w="0" w:type="dxa"/>
        </w:tblCellMar>
        <w:tblLook w:val="01E0"/>
      </w:tblPr>
      <w:tblGrid>
        <w:gridCol w:w="1334"/>
        <w:gridCol w:w="1380"/>
        <w:gridCol w:w="756"/>
        <w:gridCol w:w="1116"/>
        <w:gridCol w:w="744"/>
        <w:gridCol w:w="1387"/>
        <w:gridCol w:w="756"/>
        <w:gridCol w:w="1116"/>
        <w:gridCol w:w="758"/>
      </w:tblGrid>
      <w:tr>
        <w:trPr>
          <w:trHeight w:val="427" w:hRule="exact"/>
        </w:trPr>
        <w:tc>
          <w:tcPr>
            <w:tcW w:w="1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29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87" w:right="0"/>
              <w:jc w:val="left"/>
              <w:rPr>
                <w:rFonts w:ascii="宋体" w:hAnsi="宋体" w:cs="宋体" w:eastAsia="宋体" w:hint="default"/>
                <w:sz w:val="18"/>
                <w:szCs w:val="18"/>
              </w:rPr>
            </w:pPr>
            <w:r>
              <w:rPr>
                <w:rFonts w:ascii="宋体"/>
                <w:sz w:val="18"/>
              </w:rPr>
              <w:t>7,662,238.28</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sz w:val="18"/>
              </w:rPr>
              <w:t>100.00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sz w:val="18"/>
              </w:rPr>
              <w:t>608,527.41</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73" w:right="0"/>
              <w:jc w:val="left"/>
              <w:rPr>
                <w:rFonts w:ascii="宋体" w:hAnsi="宋体" w:cs="宋体" w:eastAsia="宋体" w:hint="default"/>
                <w:sz w:val="18"/>
                <w:szCs w:val="18"/>
              </w:rPr>
            </w:pPr>
            <w:r>
              <w:rPr>
                <w:rFonts w:ascii="宋体"/>
                <w:sz w:val="18"/>
              </w:rPr>
              <w:t>7.94</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94" w:right="0"/>
              <w:jc w:val="left"/>
              <w:rPr>
                <w:rFonts w:ascii="宋体" w:hAnsi="宋体" w:cs="宋体" w:eastAsia="宋体" w:hint="default"/>
                <w:sz w:val="18"/>
                <w:szCs w:val="18"/>
              </w:rPr>
            </w:pPr>
            <w:r>
              <w:rPr>
                <w:rFonts w:ascii="宋体"/>
                <w:sz w:val="18"/>
              </w:rPr>
              <w:t>5,016,183.45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sz w:val="18"/>
              </w:rPr>
              <w:t>100.00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sz w:val="18"/>
              </w:rPr>
              <w:t>279,463.74</w:t>
            </w:r>
          </w:p>
        </w:tc>
        <w:tc>
          <w:tcPr>
            <w:tcW w:w="7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288" w:right="0"/>
              <w:jc w:val="left"/>
              <w:rPr>
                <w:rFonts w:ascii="宋体" w:hAnsi="宋体" w:cs="宋体" w:eastAsia="宋体" w:hint="default"/>
                <w:sz w:val="18"/>
                <w:szCs w:val="18"/>
              </w:rPr>
            </w:pPr>
            <w:r>
              <w:rPr>
                <w:rFonts w:ascii="宋体"/>
                <w:sz w:val="18"/>
              </w:rPr>
              <w:t>5.57</w:t>
            </w:r>
          </w:p>
        </w:tc>
      </w:tr>
    </w:tbl>
    <w:p>
      <w:pPr>
        <w:pStyle w:val="BodyText"/>
        <w:spacing w:line="240" w:lineRule="auto" w:before="79"/>
        <w:ind w:left="775" w:right="279"/>
        <w:jc w:val="left"/>
      </w:pPr>
      <w:r>
        <w:rPr/>
        <w:t>2)</w:t>
      </w:r>
      <w:r>
        <w:rPr>
          <w:spacing w:val="-3"/>
        </w:rPr>
        <w:t> </w:t>
      </w:r>
      <w:r>
        <w:rPr/>
        <w:t>组合中，采用账龄分析法计提坏账准备的其他应收款</w:t>
      </w:r>
    </w:p>
    <w:p>
      <w:pPr>
        <w:spacing w:line="240" w:lineRule="auto" w:before="12"/>
        <w:rPr>
          <w:rFonts w:ascii="宋体" w:hAnsi="宋体" w:cs="宋体" w:eastAsia="宋体" w:hint="default"/>
          <w:sz w:val="11"/>
          <w:szCs w:val="11"/>
        </w:rPr>
      </w:pPr>
    </w:p>
    <w:tbl>
      <w:tblPr>
        <w:tblW w:w="0" w:type="auto"/>
        <w:jc w:val="left"/>
        <w:tblInd w:w="179" w:type="dxa"/>
        <w:tblLayout w:type="fixed"/>
        <w:tblCellMar>
          <w:top w:w="0" w:type="dxa"/>
          <w:left w:w="0" w:type="dxa"/>
          <w:bottom w:w="0" w:type="dxa"/>
          <w:right w:w="0" w:type="dxa"/>
        </w:tblCellMar>
        <w:tblLook w:val="01E0"/>
      </w:tblPr>
      <w:tblGrid>
        <w:gridCol w:w="1200"/>
        <w:gridCol w:w="1807"/>
        <w:gridCol w:w="936"/>
        <w:gridCol w:w="1548"/>
        <w:gridCol w:w="1548"/>
        <w:gridCol w:w="1128"/>
        <w:gridCol w:w="1298"/>
      </w:tblGrid>
      <w:tr>
        <w:trPr>
          <w:trHeight w:val="338" w:hRule="exact"/>
        </w:trPr>
        <w:tc>
          <w:tcPr>
            <w:tcW w:w="120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290"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42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74"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18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1" w:hRule="exact"/>
        </w:trPr>
        <w:tc>
          <w:tcPr>
            <w:tcW w:w="1200" w:type="dxa"/>
            <w:vMerge/>
            <w:tcBorders>
              <w:left w:val="nil" w:sz="6" w:space="0" w:color="auto"/>
              <w:right w:val="single" w:sz="4" w:space="0" w:color="000000"/>
            </w:tcBorders>
          </w:tcPr>
          <w:p>
            <w:pPr/>
          </w:p>
        </w:tc>
        <w:tc>
          <w:tcPr>
            <w:tcW w:w="27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4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6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98" w:type="dxa"/>
            <w:vMerge w:val="restart"/>
            <w:tcBorders>
              <w:top w:val="single" w:sz="4" w:space="0" w:color="000000"/>
              <w:left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200" w:type="dxa"/>
            <w:vMerge/>
            <w:tcBorders>
              <w:left w:val="nil" w:sz="6" w:space="0" w:color="auto"/>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5"/>
              <w:jc w:val="right"/>
              <w:rPr>
                <w:rFonts w:ascii="宋体" w:hAnsi="宋体" w:cs="宋体" w:eastAsia="宋体" w:hint="default"/>
                <w:sz w:val="18"/>
                <w:szCs w:val="18"/>
              </w:rPr>
            </w:pPr>
            <w:r>
              <w:rPr>
                <w:rFonts w:ascii="宋体" w:hAnsi="宋体" w:cs="宋体" w:eastAsia="宋体" w:hint="default"/>
                <w:spacing w:val="-1"/>
                <w:sz w:val="18"/>
                <w:szCs w:val="18"/>
              </w:rPr>
              <w:t>比例(%)</w:t>
            </w:r>
          </w:p>
        </w:tc>
        <w:tc>
          <w:tcPr>
            <w:tcW w:w="1548" w:type="dxa"/>
            <w:vMerge/>
            <w:tcBorders>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98" w:type="dxa"/>
            <w:vMerge/>
            <w:tcBorders>
              <w:left w:val="single" w:sz="4" w:space="0" w:color="000000"/>
              <w:bottom w:val="single" w:sz="4" w:space="0" w:color="000000"/>
              <w:right w:val="nil" w:sz="6" w:space="0" w:color="auto"/>
            </w:tcBorders>
          </w:tcPr>
          <w:p>
            <w:pPr/>
          </w:p>
        </w:tc>
      </w:tr>
      <w:tr>
        <w:trPr>
          <w:trHeight w:val="559" w:hRule="exact"/>
        </w:trPr>
        <w:tc>
          <w:tcPr>
            <w:tcW w:w="1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年以内</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5,067,105.88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pacing w:val="-1"/>
                <w:sz w:val="18"/>
              </w:rPr>
              <w:t>66.13</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253,355.29</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7"/>
              <w:jc w:val="right"/>
              <w:rPr>
                <w:rFonts w:ascii="宋体" w:hAnsi="宋体" w:cs="宋体" w:eastAsia="宋体" w:hint="default"/>
                <w:sz w:val="18"/>
                <w:szCs w:val="18"/>
              </w:rPr>
            </w:pPr>
            <w:r>
              <w:rPr>
                <w:rFonts w:ascii="宋体"/>
                <w:spacing w:val="-1"/>
                <w:sz w:val="18"/>
              </w:rPr>
              <w:t>4,443,092.05</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88.58</w:t>
            </w:r>
          </w:p>
        </w:tc>
        <w:tc>
          <w:tcPr>
            <w:tcW w:w="1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222,154.60</w:t>
            </w:r>
          </w:p>
        </w:tc>
      </w:tr>
      <w:tr>
        <w:trPr>
          <w:trHeight w:val="557" w:hRule="exact"/>
        </w:trPr>
        <w:tc>
          <w:tcPr>
            <w:tcW w:w="1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08"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1"/>
                <w:sz w:val="18"/>
                <w:szCs w:val="18"/>
              </w:rPr>
              <w:t> </w:t>
            </w:r>
            <w:r>
              <w:rPr>
                <w:rFonts w:ascii="宋体" w:hAnsi="宋体" w:cs="宋体" w:eastAsia="宋体" w:hint="default"/>
                <w:sz w:val="18"/>
                <w:szCs w:val="18"/>
              </w:rPr>
              <w:t>年</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2,116,838.00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27.63</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211,683.80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pacing w:val="-1"/>
                <w:sz w:val="18"/>
              </w:rPr>
              <w:t>573,091.40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11.42</w:t>
            </w:r>
          </w:p>
        </w:tc>
        <w:tc>
          <w:tcPr>
            <w:tcW w:w="1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7"/>
              <w:jc w:val="right"/>
              <w:rPr>
                <w:rFonts w:ascii="宋体" w:hAnsi="宋体" w:cs="宋体" w:eastAsia="宋体" w:hint="default"/>
                <w:sz w:val="18"/>
                <w:szCs w:val="18"/>
              </w:rPr>
            </w:pPr>
            <w:r>
              <w:rPr>
                <w:rFonts w:ascii="宋体"/>
                <w:spacing w:val="-1"/>
                <w:sz w:val="18"/>
              </w:rPr>
              <w:t>57,309.14</w:t>
            </w:r>
          </w:p>
        </w:tc>
      </w:tr>
      <w:tr>
        <w:trPr>
          <w:trHeight w:val="559" w:hRule="exact"/>
        </w:trPr>
        <w:tc>
          <w:tcPr>
            <w:tcW w:w="1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08"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1"/>
                <w:sz w:val="18"/>
                <w:szCs w:val="18"/>
              </w:rPr>
              <w:t> </w:t>
            </w:r>
            <w:r>
              <w:rPr>
                <w:rFonts w:ascii="宋体" w:hAnsi="宋体" w:cs="宋体" w:eastAsia="宋体" w:hint="default"/>
                <w:sz w:val="18"/>
                <w:szCs w:val="18"/>
              </w:rPr>
              <w:t>年</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478,294.40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6.24</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143,488.32</w:t>
            </w:r>
          </w:p>
        </w:tc>
        <w:tc>
          <w:tcPr>
            <w:tcW w:w="1548"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2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9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7,662,238.28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pacing w:val="-1"/>
                <w:sz w:val="18"/>
              </w:rPr>
              <w:t>100.00</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608,527.41</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pacing w:val="-1"/>
                <w:sz w:val="18"/>
              </w:rPr>
              <w:t>5,016,183.45</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100.00</w:t>
            </w:r>
          </w:p>
        </w:tc>
        <w:tc>
          <w:tcPr>
            <w:tcW w:w="1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279,463.74</w:t>
            </w:r>
          </w:p>
        </w:tc>
      </w:tr>
    </w:tbl>
    <w:p>
      <w:pPr>
        <w:pStyle w:val="BodyText"/>
        <w:spacing w:line="388" w:lineRule="auto" w:before="82"/>
        <w:ind w:left="775" w:right="1692"/>
        <w:jc w:val="left"/>
      </w:pPr>
      <w:r>
        <w:rPr/>
        <w:t>(2)</w:t>
      </w:r>
      <w:r>
        <w:rPr>
          <w:spacing w:val="-3"/>
        </w:rPr>
        <w:t> </w:t>
      </w:r>
      <w:r>
        <w:rPr/>
        <w:t>期末无应收持有公司</w:t>
      </w:r>
      <w:r>
        <w:rPr>
          <w:spacing w:val="-60"/>
        </w:rPr>
        <w:t> </w:t>
      </w:r>
      <w:r>
        <w:rPr/>
        <w:t>5%以上（含</w:t>
      </w:r>
      <w:r>
        <w:rPr>
          <w:spacing w:val="-58"/>
        </w:rPr>
        <w:t> </w:t>
      </w:r>
      <w:r>
        <w:rPr/>
        <w:t>5%）表决权股份的股东单位款项。</w:t>
      </w:r>
      <w:r>
        <w:rPr/>
        <w:t> (3)</w:t>
      </w:r>
      <w:r>
        <w:rPr>
          <w:spacing w:val="-3"/>
        </w:rPr>
        <w:t> </w:t>
      </w:r>
      <w:r>
        <w:rPr/>
        <w:t>其他应收款金额前</w:t>
      </w:r>
      <w:r>
        <w:rPr>
          <w:spacing w:val="-60"/>
        </w:rPr>
        <w:t> </w:t>
      </w:r>
      <w:r>
        <w:rPr/>
        <w:t>5</w:t>
      </w:r>
      <w:r>
        <w:rPr>
          <w:spacing w:val="-60"/>
        </w:rPr>
        <w:t> </w:t>
      </w:r>
      <w:r>
        <w:rPr/>
        <w:t>名情况</w:t>
      </w:r>
    </w:p>
    <w:tbl>
      <w:tblPr>
        <w:tblW w:w="0" w:type="auto"/>
        <w:jc w:val="left"/>
        <w:tblInd w:w="287" w:type="dxa"/>
        <w:tblLayout w:type="fixed"/>
        <w:tblCellMar>
          <w:top w:w="0" w:type="dxa"/>
          <w:left w:w="0" w:type="dxa"/>
          <w:bottom w:w="0" w:type="dxa"/>
          <w:right w:w="0" w:type="dxa"/>
        </w:tblCellMar>
        <w:tblLook w:val="01E0"/>
      </w:tblPr>
      <w:tblGrid>
        <w:gridCol w:w="2114"/>
        <w:gridCol w:w="1006"/>
        <w:gridCol w:w="1342"/>
        <w:gridCol w:w="1776"/>
        <w:gridCol w:w="1217"/>
        <w:gridCol w:w="1126"/>
      </w:tblGrid>
      <w:tr>
        <w:trPr>
          <w:trHeight w:val="756" w:hRule="exact"/>
        </w:trPr>
        <w:tc>
          <w:tcPr>
            <w:tcW w:w="21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90" w:right="0"/>
              <w:jc w:val="left"/>
              <w:rPr>
                <w:rFonts w:ascii="宋体" w:hAnsi="宋体" w:cs="宋体" w:eastAsia="宋体" w:hint="default"/>
                <w:sz w:val="18"/>
                <w:szCs w:val="18"/>
              </w:rPr>
            </w:pPr>
            <w:bookmarkStart w:name="单位名称" w:id="179"/>
            <w:bookmarkEnd w:id="179"/>
            <w:r>
              <w:rPr/>
            </w:r>
            <w:bookmarkStart w:name="与本公司" w:id="180"/>
            <w:bookmarkEnd w:id="180"/>
            <w:r>
              <w:rPr/>
            </w:r>
            <w:bookmarkStart w:name="关系" w:id="181"/>
            <w:bookmarkEnd w:id="181"/>
            <w:r>
              <w:rPr/>
            </w:r>
            <w:bookmarkStart w:name="账面" w:id="182"/>
            <w:bookmarkEnd w:id="182"/>
            <w:r>
              <w:rPr/>
            </w:r>
            <w:bookmarkStart w:name="余额" w:id="183"/>
            <w:bookmarkEnd w:id="183"/>
            <w:r>
              <w:rPr/>
            </w:r>
            <w:bookmarkStart w:name="账龄" w:id="184"/>
            <w:bookmarkEnd w:id="184"/>
            <w:r>
              <w:rPr/>
            </w:r>
            <w:bookmarkStart w:name="占其他应收款" w:id="185"/>
            <w:bookmarkEnd w:id="185"/>
            <w:r>
              <w:rPr/>
            </w:r>
            <w:bookmarkStart w:name="余额的比例(%)" w:id="186"/>
            <w:bookmarkEnd w:id="186"/>
            <w:r>
              <w:rPr/>
            </w:r>
            <w:bookmarkStart w:name="款项性质" w:id="187"/>
            <w:bookmarkEnd w:id="187"/>
            <w:r>
              <w:rPr/>
            </w:r>
            <w:bookmarkStart w:name="或内容" w:id="188"/>
            <w:bookmarkEnd w:id="188"/>
            <w:r>
              <w:rPr/>
            </w:r>
            <w:r>
              <w:rPr>
                <w:rFonts w:ascii="宋体" w:hAnsi="宋体" w:cs="宋体" w:eastAsia="宋体" w:hint="default"/>
                <w:sz w:val="18"/>
                <w:szCs w:val="18"/>
              </w:rPr>
              <w:t>单位名称</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331" w:right="122"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499" w:right="470"/>
              <w:jc w:val="center"/>
              <w:rPr>
                <w:rFonts w:ascii="宋体" w:hAnsi="宋体" w:cs="宋体" w:eastAsia="宋体" w:hint="default"/>
                <w:sz w:val="18"/>
                <w:szCs w:val="18"/>
              </w:rPr>
            </w:pPr>
            <w:r>
              <w:rPr>
                <w:rFonts w:ascii="宋体" w:hAnsi="宋体" w:cs="宋体" w:eastAsia="宋体" w:hint="default"/>
                <w:sz w:val="18"/>
                <w:szCs w:val="18"/>
              </w:rPr>
              <w:t>账面 余额</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31" w:right="5" w:firstLine="45"/>
              <w:jc w:val="left"/>
              <w:rPr>
                <w:rFonts w:ascii="宋体" w:hAnsi="宋体" w:cs="宋体" w:eastAsia="宋体" w:hint="default"/>
                <w:sz w:val="18"/>
                <w:szCs w:val="18"/>
              </w:rPr>
            </w:pPr>
            <w:r>
              <w:rPr>
                <w:rFonts w:ascii="宋体" w:hAnsi="宋体" w:cs="宋体" w:eastAsia="宋体" w:hint="default"/>
                <w:sz w:val="18"/>
                <w:szCs w:val="18"/>
              </w:rPr>
              <w:t>占其他应收款 余额的比例(%)</w:t>
            </w:r>
          </w:p>
        </w:tc>
        <w:tc>
          <w:tcPr>
            <w:tcW w:w="1126"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51"/>
              <w:ind w:left="300" w:right="187" w:hanging="89"/>
              <w:jc w:val="left"/>
              <w:rPr>
                <w:rFonts w:ascii="宋体" w:hAnsi="宋体" w:cs="宋体" w:eastAsia="宋体" w:hint="default"/>
                <w:sz w:val="18"/>
                <w:szCs w:val="18"/>
              </w:rPr>
            </w:pPr>
            <w:r>
              <w:rPr>
                <w:rFonts w:ascii="宋体" w:hAnsi="宋体" w:cs="宋体" w:eastAsia="宋体" w:hint="default"/>
                <w:sz w:val="18"/>
                <w:szCs w:val="18"/>
              </w:rPr>
              <w:t>款项性质 或内容</w:t>
            </w:r>
          </w:p>
        </w:tc>
      </w:tr>
      <w:tr>
        <w:trPr>
          <w:trHeight w:val="415" w:hRule="exact"/>
        </w:trPr>
        <w:tc>
          <w:tcPr>
            <w:tcW w:w="211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0" w:right="0"/>
              <w:jc w:val="left"/>
              <w:rPr>
                <w:rFonts w:ascii="宋体" w:hAnsi="宋体" w:cs="宋体" w:eastAsia="宋体" w:hint="default"/>
                <w:sz w:val="18"/>
                <w:szCs w:val="18"/>
              </w:rPr>
            </w:pPr>
            <w:bookmarkStart w:name="非关联方" w:id="189"/>
            <w:bookmarkEnd w:id="189"/>
            <w:r>
              <w:rPr/>
            </w:r>
            <w:bookmarkStart w:name="质保金/投标保证金" w:id="190"/>
            <w:bookmarkEnd w:id="190"/>
            <w:r>
              <w:rPr/>
            </w:r>
            <w:r>
              <w:rPr>
                <w:rFonts w:ascii="宋体" w:hAnsi="宋体" w:cs="宋体" w:eastAsia="宋体" w:hint="default"/>
                <w:sz w:val="18"/>
                <w:szCs w:val="18"/>
              </w:rPr>
              <w:t>浙江省政府采购中心</w:t>
            </w:r>
          </w:p>
        </w:tc>
        <w:tc>
          <w:tcPr>
            <w:tcW w:w="10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9"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pacing w:val="-1"/>
                <w:sz w:val="18"/>
              </w:rPr>
              <w:t>363,390.00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79" w:right="0"/>
              <w:jc w:val="left"/>
              <w:rPr>
                <w:rFonts w:ascii="宋体" w:hAnsi="宋体" w:cs="宋体" w:eastAsia="宋体" w:hint="default"/>
                <w:sz w:val="18"/>
                <w:szCs w:val="18"/>
              </w:rPr>
            </w:pPr>
            <w:r>
              <w:rPr>
                <w:rFonts w:ascii="宋体"/>
                <w:sz w:val="18"/>
              </w:rPr>
              <w:t>18.99</w:t>
            </w:r>
          </w:p>
        </w:tc>
        <w:tc>
          <w:tcPr>
            <w:tcW w:w="1126" w:type="dxa"/>
            <w:vMerge w:val="restart"/>
            <w:tcBorders>
              <w:top w:val="single" w:sz="4" w:space="0" w:color="000000"/>
              <w:left w:val="single" w:sz="4" w:space="0" w:color="000000"/>
              <w:right w:val="nil" w:sz="6" w:space="0" w:color="auto"/>
            </w:tcBorders>
          </w:tcPr>
          <w:p>
            <w:pPr>
              <w:pStyle w:val="TableParagraph"/>
              <w:spacing w:line="477" w:lineRule="auto" w:before="128"/>
              <w:ind w:left="196" w:right="156" w:hanging="44"/>
              <w:jc w:val="left"/>
              <w:rPr>
                <w:rFonts w:ascii="宋体" w:hAnsi="宋体" w:cs="宋体" w:eastAsia="宋体" w:hint="default"/>
                <w:sz w:val="18"/>
                <w:szCs w:val="18"/>
              </w:rPr>
            </w:pPr>
            <w:r>
              <w:rPr>
                <w:rFonts w:ascii="宋体" w:hAnsi="宋体" w:cs="宋体" w:eastAsia="宋体" w:hint="default"/>
                <w:sz w:val="18"/>
                <w:szCs w:val="18"/>
              </w:rPr>
              <w:t>质保金/投 标保证金</w:t>
            </w:r>
          </w:p>
        </w:tc>
      </w:tr>
      <w:tr>
        <w:trPr>
          <w:trHeight w:val="610" w:hRule="exact"/>
        </w:trPr>
        <w:tc>
          <w:tcPr>
            <w:tcW w:w="2114" w:type="dxa"/>
            <w:vMerge/>
            <w:tcBorders>
              <w:left w:val="nil" w:sz="6" w:space="0" w:color="auto"/>
              <w:bottom w:val="single" w:sz="4" w:space="0" w:color="000000"/>
              <w:right w:val="single" w:sz="4" w:space="0" w:color="000000"/>
            </w:tcBorders>
          </w:tcPr>
          <w:p>
            <w:pPr/>
          </w:p>
        </w:tc>
        <w:tc>
          <w:tcPr>
            <w:tcW w:w="1006" w:type="dxa"/>
            <w:vMerge/>
            <w:tcBorders>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01"/>
              <w:jc w:val="right"/>
              <w:rPr>
                <w:rFonts w:ascii="宋体" w:hAnsi="宋体" w:cs="宋体" w:eastAsia="宋体" w:hint="default"/>
                <w:sz w:val="18"/>
                <w:szCs w:val="18"/>
              </w:rPr>
            </w:pPr>
            <w:r>
              <w:rPr>
                <w:rFonts w:ascii="宋体"/>
                <w:spacing w:val="-1"/>
                <w:sz w:val="18"/>
              </w:rPr>
              <w:t>1,091,520.50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21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nil" w:sz="6" w:space="0" w:color="auto"/>
            </w:tcBorders>
          </w:tcPr>
          <w:p>
            <w:pPr/>
          </w:p>
        </w:tc>
      </w:tr>
      <w:tr>
        <w:trPr>
          <w:trHeight w:val="715" w:hRule="exact"/>
        </w:trPr>
        <w:tc>
          <w:tcPr>
            <w:tcW w:w="211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10" w:right="110"/>
              <w:jc w:val="left"/>
              <w:rPr>
                <w:rFonts w:ascii="宋体" w:hAnsi="宋体" w:cs="宋体" w:eastAsia="宋体" w:hint="default"/>
                <w:sz w:val="18"/>
                <w:szCs w:val="18"/>
              </w:rPr>
            </w:pPr>
            <w:bookmarkStart w:name="非关联方" w:id="191"/>
            <w:bookmarkEnd w:id="191"/>
            <w:r>
              <w:rPr/>
            </w:r>
            <w:bookmarkStart w:name="1年以内" w:id="192"/>
            <w:bookmarkEnd w:id="192"/>
            <w:r>
              <w:rPr/>
            </w:r>
            <w:bookmarkStart w:name="质保金" w:id="193"/>
            <w:bookmarkEnd w:id="193"/>
            <w:r>
              <w:rPr/>
            </w:r>
            <w:r>
              <w:rPr>
                <w:rFonts w:ascii="宋体" w:hAnsi="宋体" w:cs="宋体" w:eastAsia="宋体" w:hint="default"/>
                <w:spacing w:val="8"/>
                <w:sz w:val="18"/>
                <w:szCs w:val="18"/>
              </w:rPr>
              <w:t>浙江建达科技股份有限</w:t>
            </w:r>
            <w:r>
              <w:rPr>
                <w:rFonts w:ascii="宋体" w:hAnsi="宋体" w:cs="宋体" w:eastAsia="宋体" w:hint="default"/>
                <w:sz w:val="18"/>
                <w:szCs w:val="18"/>
              </w:rPr>
              <w:t> 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360,000.00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sz w:val="18"/>
              </w:rPr>
              <w:t>4.70</w:t>
            </w:r>
          </w:p>
        </w:tc>
        <w:tc>
          <w:tcPr>
            <w:tcW w:w="1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90"/>
              <w:jc w:val="right"/>
              <w:rPr>
                <w:rFonts w:ascii="宋体" w:hAnsi="宋体" w:cs="宋体" w:eastAsia="宋体" w:hint="default"/>
                <w:sz w:val="18"/>
                <w:szCs w:val="18"/>
              </w:rPr>
            </w:pPr>
            <w:r>
              <w:rPr>
                <w:rFonts w:ascii="宋体" w:hAnsi="宋体" w:cs="宋体" w:eastAsia="宋体" w:hint="default"/>
                <w:sz w:val="18"/>
                <w:szCs w:val="18"/>
              </w:rPr>
              <w:t>质保金</w:t>
            </w:r>
          </w:p>
        </w:tc>
      </w:tr>
      <w:tr>
        <w:trPr>
          <w:trHeight w:val="557" w:hRule="exact"/>
        </w:trPr>
        <w:tc>
          <w:tcPr>
            <w:tcW w:w="21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bookmarkStart w:name="非关联方" w:id="194"/>
            <w:bookmarkEnd w:id="194"/>
            <w:r>
              <w:rPr/>
            </w:r>
            <w:bookmarkStart w:name="1年以内" w:id="195"/>
            <w:bookmarkEnd w:id="195"/>
            <w:r>
              <w:rPr/>
            </w:r>
            <w:bookmarkStart w:name="质保金" w:id="196"/>
            <w:bookmarkEnd w:id="196"/>
            <w:r>
              <w:rPr/>
            </w:r>
            <w:r>
              <w:rPr>
                <w:rFonts w:ascii="宋体" w:hAnsi="宋体" w:cs="宋体" w:eastAsia="宋体" w:hint="default"/>
                <w:sz w:val="18"/>
                <w:szCs w:val="18"/>
              </w:rPr>
              <w:t>浙江省公安科技研究所</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39"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347,100.00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 w:right="0"/>
              <w:jc w:val="center"/>
              <w:rPr>
                <w:rFonts w:ascii="宋体" w:hAnsi="宋体" w:cs="宋体" w:eastAsia="宋体" w:hint="default"/>
                <w:sz w:val="18"/>
                <w:szCs w:val="18"/>
              </w:rPr>
            </w:pPr>
            <w:r>
              <w:rPr>
                <w:rFonts w:ascii="宋体"/>
                <w:sz w:val="18"/>
              </w:rPr>
              <w:t>4.53</w:t>
            </w:r>
          </w:p>
        </w:tc>
        <w:tc>
          <w:tcPr>
            <w:tcW w:w="1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290"/>
              <w:jc w:val="right"/>
              <w:rPr>
                <w:rFonts w:ascii="宋体" w:hAnsi="宋体" w:cs="宋体" w:eastAsia="宋体" w:hint="default"/>
                <w:sz w:val="18"/>
                <w:szCs w:val="18"/>
              </w:rPr>
            </w:pPr>
            <w:r>
              <w:rPr>
                <w:rFonts w:ascii="宋体" w:hAnsi="宋体" w:cs="宋体" w:eastAsia="宋体" w:hint="default"/>
                <w:sz w:val="18"/>
                <w:szCs w:val="18"/>
              </w:rPr>
              <w:t>质保金</w:t>
            </w:r>
          </w:p>
        </w:tc>
      </w:tr>
      <w:tr>
        <w:trPr>
          <w:trHeight w:val="559" w:hRule="exact"/>
        </w:trPr>
        <w:tc>
          <w:tcPr>
            <w:tcW w:w="2114"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10" w:right="110"/>
              <w:jc w:val="left"/>
              <w:rPr>
                <w:rFonts w:ascii="宋体" w:hAnsi="宋体" w:cs="宋体" w:eastAsia="宋体" w:hint="default"/>
                <w:sz w:val="18"/>
                <w:szCs w:val="18"/>
              </w:rPr>
            </w:pPr>
            <w:bookmarkStart w:name="非关联方" w:id="197"/>
            <w:bookmarkEnd w:id="197"/>
            <w:r>
              <w:rPr/>
            </w:r>
            <w:bookmarkStart w:name="157,530.00" w:id="198"/>
            <w:bookmarkEnd w:id="198"/>
            <w:r>
              <w:rPr/>
            </w:r>
            <w:bookmarkStart w:name="1年以内" w:id="199"/>
            <w:bookmarkEnd w:id="199"/>
            <w:r>
              <w:rPr/>
            </w:r>
            <w:bookmarkStart w:name="质保金" w:id="200"/>
            <w:bookmarkEnd w:id="200"/>
            <w:r>
              <w:rPr/>
            </w:r>
            <w:r>
              <w:rPr>
                <w:rFonts w:ascii="宋体" w:hAnsi="宋体" w:cs="宋体" w:eastAsia="宋体" w:hint="default"/>
                <w:spacing w:val="8"/>
                <w:sz w:val="18"/>
                <w:szCs w:val="18"/>
              </w:rPr>
              <w:t>浙江信镧建设工程咨询</w:t>
            </w:r>
            <w:r>
              <w:rPr>
                <w:rFonts w:ascii="宋体" w:hAnsi="宋体" w:cs="宋体" w:eastAsia="宋体" w:hint="default"/>
                <w:sz w:val="18"/>
                <w:szCs w:val="18"/>
              </w:rPr>
              <w:t> </w:t>
            </w:r>
            <w:bookmarkStart w:name="149,500.00" w:id="201"/>
            <w:bookmarkEnd w:id="201"/>
            <w:r>
              <w:rPr>
                <w:rFonts w:ascii="宋体" w:hAnsi="宋体" w:cs="宋体" w:eastAsia="宋体" w:hint="default"/>
                <w:sz w:val="18"/>
                <w:szCs w:val="18"/>
              </w:rPr>
            </w:r>
            <w:bookmarkStart w:name="1-2年" w:id="202"/>
            <w:bookmarkEnd w:id="202"/>
            <w:r>
              <w:rPr>
                <w:rFonts w:ascii="宋体" w:hAnsi="宋体" w:cs="宋体" w:eastAsia="宋体" w:hint="default"/>
                <w:sz w:val="18"/>
                <w:szCs w:val="18"/>
              </w:rPr>
              <w:t>有限公司</w:t>
            </w:r>
          </w:p>
        </w:tc>
        <w:tc>
          <w:tcPr>
            <w:tcW w:w="10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157,530.00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 w:right="0"/>
              <w:jc w:val="center"/>
              <w:rPr>
                <w:rFonts w:ascii="宋体" w:hAnsi="宋体" w:cs="宋体" w:eastAsia="宋体" w:hint="default"/>
                <w:sz w:val="18"/>
                <w:szCs w:val="18"/>
              </w:rPr>
            </w:pPr>
            <w:r>
              <w:rPr>
                <w:rFonts w:ascii="宋体"/>
                <w:sz w:val="18"/>
              </w:rPr>
              <w:t>4.01</w:t>
            </w:r>
          </w:p>
        </w:tc>
        <w:tc>
          <w:tcPr>
            <w:tcW w:w="1126"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质保金</w:t>
            </w:r>
          </w:p>
        </w:tc>
      </w:tr>
      <w:tr>
        <w:trPr>
          <w:trHeight w:val="557" w:hRule="exact"/>
        </w:trPr>
        <w:tc>
          <w:tcPr>
            <w:tcW w:w="2114" w:type="dxa"/>
            <w:vMerge/>
            <w:tcBorders>
              <w:left w:val="nil" w:sz="6" w:space="0" w:color="auto"/>
              <w:bottom w:val="single" w:sz="4" w:space="0" w:color="000000"/>
              <w:right w:val="single" w:sz="4" w:space="0" w:color="000000"/>
            </w:tcBorders>
          </w:tcPr>
          <w:p>
            <w:pPr/>
          </w:p>
        </w:tc>
        <w:tc>
          <w:tcPr>
            <w:tcW w:w="1006" w:type="dxa"/>
            <w:vMerge/>
            <w:tcBorders>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9"/>
              <w:jc w:val="right"/>
              <w:rPr>
                <w:rFonts w:ascii="宋体" w:hAnsi="宋体" w:cs="宋体" w:eastAsia="宋体" w:hint="default"/>
                <w:sz w:val="18"/>
                <w:szCs w:val="18"/>
              </w:rPr>
            </w:pPr>
            <w:r>
              <w:rPr>
                <w:rFonts w:ascii="宋体"/>
                <w:spacing w:val="-1"/>
                <w:sz w:val="18"/>
              </w:rPr>
              <w:t>149,500.00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0"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21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nil" w:sz="6" w:space="0" w:color="auto"/>
            </w:tcBorders>
          </w:tcPr>
          <w:p>
            <w:pPr/>
          </w:p>
        </w:tc>
      </w:tr>
      <w:tr>
        <w:trPr>
          <w:trHeight w:val="715" w:hRule="exact"/>
        </w:trPr>
        <w:tc>
          <w:tcPr>
            <w:tcW w:w="211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10" w:right="110"/>
              <w:jc w:val="left"/>
              <w:rPr>
                <w:rFonts w:ascii="宋体" w:hAnsi="宋体" w:cs="宋体" w:eastAsia="宋体" w:hint="default"/>
                <w:sz w:val="18"/>
                <w:szCs w:val="18"/>
              </w:rPr>
            </w:pPr>
            <w:bookmarkStart w:name="非关联方" w:id="203"/>
            <w:bookmarkEnd w:id="203"/>
            <w:r>
              <w:rPr/>
            </w:r>
            <w:bookmarkStart w:name="2-3年" w:id="204"/>
            <w:bookmarkEnd w:id="204"/>
            <w:r>
              <w:rPr/>
            </w:r>
            <w:bookmarkStart w:name="质保金" w:id="205"/>
            <w:bookmarkEnd w:id="205"/>
            <w:r>
              <w:rPr/>
            </w:r>
            <w:r>
              <w:rPr>
                <w:rFonts w:ascii="宋体" w:hAnsi="宋体" w:cs="宋体" w:eastAsia="宋体" w:hint="default"/>
                <w:spacing w:val="8"/>
                <w:sz w:val="18"/>
                <w:szCs w:val="18"/>
              </w:rPr>
              <w:t>杭州市市级机关事业单</w:t>
            </w:r>
            <w:r>
              <w:rPr>
                <w:rFonts w:ascii="宋体" w:hAnsi="宋体" w:cs="宋体" w:eastAsia="宋体" w:hint="default"/>
                <w:sz w:val="18"/>
                <w:szCs w:val="18"/>
              </w:rPr>
              <w:t> 位会计核算中心</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314,444.40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7"/>
                <w:sz w:val="18"/>
                <w:szCs w:val="18"/>
              </w:rPr>
              <w:t> </w:t>
            </w:r>
            <w:r>
              <w:rPr>
                <w:rFonts w:ascii="宋体" w:hAnsi="宋体" w:cs="宋体" w:eastAsia="宋体" w:hint="default"/>
                <w:sz w:val="18"/>
                <w:szCs w:val="18"/>
              </w:rPr>
              <w:t>年</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sz w:val="18"/>
              </w:rPr>
              <w:t>4.10</w:t>
            </w:r>
          </w:p>
        </w:tc>
        <w:tc>
          <w:tcPr>
            <w:tcW w:w="1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90"/>
              <w:jc w:val="right"/>
              <w:rPr>
                <w:rFonts w:ascii="宋体" w:hAnsi="宋体" w:cs="宋体" w:eastAsia="宋体" w:hint="default"/>
                <w:sz w:val="18"/>
                <w:szCs w:val="18"/>
              </w:rPr>
            </w:pPr>
            <w:r>
              <w:rPr>
                <w:rFonts w:ascii="宋体" w:hAnsi="宋体" w:cs="宋体" w:eastAsia="宋体" w:hint="default"/>
                <w:sz w:val="18"/>
                <w:szCs w:val="18"/>
              </w:rPr>
              <w:t>质保金</w:t>
            </w:r>
          </w:p>
        </w:tc>
      </w:tr>
      <w:tr>
        <w:trPr>
          <w:trHeight w:val="557" w:hRule="exact"/>
        </w:trPr>
        <w:tc>
          <w:tcPr>
            <w:tcW w:w="21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90" w:right="0"/>
              <w:jc w:val="left"/>
              <w:rPr>
                <w:rFonts w:ascii="宋体" w:hAnsi="宋体" w:cs="宋体" w:eastAsia="宋体" w:hint="default"/>
                <w:sz w:val="18"/>
                <w:szCs w:val="18"/>
              </w:rPr>
            </w:pPr>
            <w:bookmarkStart w:name="小计" w:id="206"/>
            <w:bookmarkEnd w:id="206"/>
            <w:r>
              <w:rPr/>
            </w:r>
            <w:bookmarkStart w:name="36.33" w:id="207"/>
            <w:bookmarkEnd w:id="207"/>
            <w:r>
              <w:rPr/>
            </w:r>
            <w:r>
              <w:rPr>
                <w:rFonts w:ascii="宋体" w:hAnsi="宋体" w:cs="宋体" w:eastAsia="宋体" w:hint="default"/>
                <w:sz w:val="18"/>
                <w:szCs w:val="18"/>
              </w:rPr>
              <w:t>小  计</w:t>
            </w:r>
          </w:p>
        </w:tc>
        <w:tc>
          <w:tcPr>
            <w:tcW w:w="100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2,783,484.90</w:t>
            </w:r>
          </w:p>
        </w:tc>
        <w:tc>
          <w:tcPr>
            <w:tcW w:w="1776"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 w:right="0"/>
              <w:jc w:val="center"/>
              <w:rPr>
                <w:rFonts w:ascii="宋体" w:hAnsi="宋体" w:cs="宋体" w:eastAsia="宋体" w:hint="default"/>
                <w:sz w:val="18"/>
                <w:szCs w:val="18"/>
              </w:rPr>
            </w:pPr>
            <w:r>
              <w:rPr>
                <w:rFonts w:ascii="宋体"/>
                <w:sz w:val="18"/>
              </w:rPr>
              <w:t>36.33</w:t>
            </w:r>
          </w:p>
        </w:tc>
        <w:tc>
          <w:tcPr>
            <w:tcW w:w="1126"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BodyText"/>
        <w:spacing w:line="240" w:lineRule="auto" w:before="26"/>
        <w:ind w:left="775" w:right="279"/>
        <w:jc w:val="left"/>
      </w:pPr>
      <w:r>
        <w:rPr/>
        <w:t>3.</w:t>
      </w:r>
      <w:r>
        <w:rPr>
          <w:spacing w:val="-3"/>
        </w:rPr>
        <w:t> </w:t>
      </w:r>
      <w:r>
        <w:rPr/>
        <w:t>长期股权投资</w:t>
      </w:r>
    </w:p>
    <w:p>
      <w:pPr>
        <w:spacing w:line="240" w:lineRule="auto" w:before="10"/>
        <w:rPr>
          <w:rFonts w:ascii="宋体" w:hAnsi="宋体" w:cs="宋体" w:eastAsia="宋体" w:hint="default"/>
          <w:sz w:val="11"/>
          <w:szCs w:val="11"/>
        </w:rPr>
      </w:pPr>
    </w:p>
    <w:tbl>
      <w:tblPr>
        <w:tblW w:w="0" w:type="auto"/>
        <w:jc w:val="left"/>
        <w:tblInd w:w="287" w:type="dxa"/>
        <w:tblLayout w:type="fixed"/>
        <w:tblCellMar>
          <w:top w:w="0" w:type="dxa"/>
          <w:left w:w="0" w:type="dxa"/>
          <w:bottom w:w="0" w:type="dxa"/>
          <w:right w:w="0" w:type="dxa"/>
        </w:tblCellMar>
        <w:tblLook w:val="01E0"/>
      </w:tblPr>
      <w:tblGrid>
        <w:gridCol w:w="2160"/>
        <w:gridCol w:w="900"/>
        <w:gridCol w:w="1620"/>
        <w:gridCol w:w="1558"/>
        <w:gridCol w:w="1536"/>
        <w:gridCol w:w="1524"/>
      </w:tblGrid>
      <w:tr>
        <w:trPr>
          <w:trHeight w:val="756" w:hRule="exact"/>
        </w:trPr>
        <w:tc>
          <w:tcPr>
            <w:tcW w:w="2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624"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619" w:right="449"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588" w:right="599"/>
              <w:jc w:val="center"/>
              <w:rPr>
                <w:rFonts w:ascii="宋体" w:hAnsi="宋体" w:cs="宋体" w:eastAsia="宋体" w:hint="default"/>
                <w:sz w:val="18"/>
                <w:szCs w:val="18"/>
              </w:rPr>
            </w:pPr>
            <w:r>
              <w:rPr>
                <w:rFonts w:ascii="宋体" w:hAnsi="宋体" w:cs="宋体" w:eastAsia="宋体" w:hint="default"/>
                <w:sz w:val="18"/>
                <w:szCs w:val="18"/>
              </w:rPr>
              <w:t>期初 数</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576" w:right="588"/>
              <w:jc w:val="center"/>
              <w:rPr>
                <w:rFonts w:ascii="宋体" w:hAnsi="宋体" w:cs="宋体" w:eastAsia="宋体" w:hint="default"/>
                <w:sz w:val="18"/>
                <w:szCs w:val="18"/>
              </w:rPr>
            </w:pPr>
            <w:r>
              <w:rPr>
                <w:rFonts w:ascii="宋体" w:hAnsi="宋体" w:cs="宋体" w:eastAsia="宋体" w:hint="default"/>
                <w:sz w:val="18"/>
                <w:szCs w:val="18"/>
              </w:rPr>
              <w:t>增减 变动</w:t>
            </w:r>
          </w:p>
        </w:tc>
        <w:tc>
          <w:tcPr>
            <w:tcW w:w="1524"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51"/>
              <w:ind w:left="571" w:right="587"/>
              <w:jc w:val="center"/>
              <w:rPr>
                <w:rFonts w:ascii="宋体" w:hAnsi="宋体" w:cs="宋体" w:eastAsia="宋体" w:hint="default"/>
                <w:sz w:val="18"/>
                <w:szCs w:val="18"/>
              </w:rPr>
            </w:pPr>
            <w:r>
              <w:rPr>
                <w:rFonts w:ascii="宋体" w:hAnsi="宋体" w:cs="宋体" w:eastAsia="宋体" w:hint="default"/>
                <w:sz w:val="18"/>
                <w:szCs w:val="18"/>
              </w:rPr>
              <w:t>期末 数</w:t>
            </w:r>
          </w:p>
        </w:tc>
      </w:tr>
      <w:tr>
        <w:trPr>
          <w:trHeight w:val="778" w:hRule="exact"/>
        </w:trPr>
        <w:tc>
          <w:tcPr>
            <w:tcW w:w="216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2"/>
              <w:ind w:left="110" w:right="91"/>
              <w:jc w:val="left"/>
              <w:rPr>
                <w:rFonts w:ascii="宋体" w:hAnsi="宋体" w:cs="宋体" w:eastAsia="宋体" w:hint="default"/>
                <w:sz w:val="18"/>
                <w:szCs w:val="18"/>
              </w:rPr>
            </w:pPr>
            <w:r>
              <w:rPr>
                <w:rFonts w:ascii="宋体" w:hAnsi="宋体" w:cs="宋体" w:eastAsia="宋体" w:hint="default"/>
                <w:spacing w:val="14"/>
                <w:sz w:val="18"/>
                <w:szCs w:val="18"/>
              </w:rPr>
              <w:t>杭州新世纪电子科技有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38" w:right="0"/>
              <w:jc w:val="left"/>
              <w:rPr>
                <w:rFonts w:ascii="宋体" w:hAnsi="宋体" w:cs="宋体" w:eastAsia="宋体" w:hint="default"/>
                <w:sz w:val="18"/>
                <w:szCs w:val="18"/>
              </w:rPr>
            </w:pPr>
            <w:r>
              <w:rPr>
                <w:rFonts w:ascii="宋体"/>
                <w:sz w:val="18"/>
              </w:rPr>
              <w:t>24,700,459.01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76" w:right="0"/>
              <w:jc w:val="left"/>
              <w:rPr>
                <w:rFonts w:ascii="宋体" w:hAnsi="宋体" w:cs="宋体" w:eastAsia="宋体" w:hint="default"/>
                <w:sz w:val="18"/>
                <w:szCs w:val="18"/>
              </w:rPr>
            </w:pPr>
            <w:r>
              <w:rPr>
                <w:rFonts w:ascii="宋体"/>
                <w:sz w:val="18"/>
              </w:rPr>
              <w:t>24,700,459.01</w:t>
            </w:r>
          </w:p>
        </w:tc>
        <w:tc>
          <w:tcPr>
            <w:tcW w:w="153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42" w:right="0"/>
              <w:jc w:val="left"/>
              <w:rPr>
                <w:rFonts w:ascii="宋体" w:hAnsi="宋体" w:cs="宋体" w:eastAsia="宋体" w:hint="default"/>
                <w:sz w:val="18"/>
                <w:szCs w:val="18"/>
              </w:rPr>
            </w:pPr>
            <w:r>
              <w:rPr>
                <w:rFonts w:ascii="宋体"/>
                <w:sz w:val="18"/>
              </w:rPr>
              <w:t>24,700,459.01</w:t>
            </w:r>
          </w:p>
        </w:tc>
      </w:tr>
    </w:tbl>
    <w:p>
      <w:pPr>
        <w:spacing w:after="0" w:line="240" w:lineRule="auto"/>
        <w:jc w:val="left"/>
        <w:rPr>
          <w:rFonts w:ascii="宋体" w:hAnsi="宋体" w:cs="宋体" w:eastAsia="宋体" w:hint="default"/>
          <w:sz w:val="18"/>
          <w:szCs w:val="18"/>
        </w:rPr>
        <w:sectPr>
          <w:pgSz w:w="11910" w:h="16840"/>
          <w:pgMar w:header="745" w:footer="979" w:top="1060" w:bottom="1160" w:left="840" w:right="1020"/>
        </w:sectPr>
      </w:pPr>
    </w:p>
    <w:p>
      <w:pPr>
        <w:spacing w:line="240" w:lineRule="auto" w:before="6"/>
        <w:rPr>
          <w:rFonts w:ascii="宋体" w:hAnsi="宋体" w:cs="宋体" w:eastAsia="宋体" w:hint="default"/>
          <w:sz w:val="28"/>
          <w:szCs w:val="28"/>
        </w:rPr>
      </w:pPr>
    </w:p>
    <w:tbl>
      <w:tblPr>
        <w:tblW w:w="0" w:type="auto"/>
        <w:jc w:val="left"/>
        <w:tblInd w:w="287" w:type="dxa"/>
        <w:tblLayout w:type="fixed"/>
        <w:tblCellMar>
          <w:top w:w="0" w:type="dxa"/>
          <w:left w:w="0" w:type="dxa"/>
          <w:bottom w:w="0" w:type="dxa"/>
          <w:right w:w="0" w:type="dxa"/>
        </w:tblCellMar>
        <w:tblLook w:val="01E0"/>
      </w:tblPr>
      <w:tblGrid>
        <w:gridCol w:w="2160"/>
        <w:gridCol w:w="900"/>
        <w:gridCol w:w="1620"/>
        <w:gridCol w:w="1558"/>
        <w:gridCol w:w="1534"/>
        <w:gridCol w:w="1526"/>
      </w:tblGrid>
      <w:tr>
        <w:trPr>
          <w:trHeight w:val="713" w:hRule="exact"/>
        </w:trPr>
        <w:tc>
          <w:tcPr>
            <w:tcW w:w="2160"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51"/>
              <w:ind w:left="110" w:right="91"/>
              <w:jc w:val="left"/>
              <w:rPr>
                <w:rFonts w:ascii="宋体" w:hAnsi="宋体" w:cs="宋体" w:eastAsia="宋体" w:hint="default"/>
                <w:sz w:val="18"/>
                <w:szCs w:val="18"/>
              </w:rPr>
            </w:pPr>
            <w:r>
              <w:rPr>
                <w:rFonts w:ascii="宋体" w:hAnsi="宋体" w:cs="宋体" w:eastAsia="宋体" w:hint="default"/>
                <w:spacing w:val="14"/>
                <w:sz w:val="18"/>
                <w:szCs w:val="18"/>
              </w:rPr>
              <w:t>南京江琛系统自动化有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限责任公司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40,000,000.00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40,000,000.00</w:t>
            </w:r>
          </w:p>
        </w:tc>
        <w:tc>
          <w:tcPr>
            <w:tcW w:w="153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40,000,000.00</w:t>
            </w:r>
          </w:p>
        </w:tc>
      </w:tr>
      <w:tr>
        <w:trPr>
          <w:trHeight w:val="559" w:hRule="exact"/>
        </w:trPr>
        <w:tc>
          <w:tcPr>
            <w:tcW w:w="2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杭州德创电子有限公司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76,500,000.00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66,500,000.00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10,000,000.00</w:t>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76,500,000.00</w:t>
            </w:r>
          </w:p>
        </w:tc>
      </w:tr>
      <w:tr>
        <w:trPr>
          <w:trHeight w:val="557" w:hRule="exact"/>
        </w:trPr>
        <w:tc>
          <w:tcPr>
            <w:tcW w:w="2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杭州讯能科技有限公司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2,316,526.21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2,316,526.21</w:t>
            </w:r>
          </w:p>
        </w:tc>
        <w:tc>
          <w:tcPr>
            <w:tcW w:w="153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2,316,526.21</w:t>
            </w:r>
          </w:p>
        </w:tc>
      </w:tr>
      <w:tr>
        <w:trPr>
          <w:trHeight w:val="715" w:hRule="exact"/>
        </w:trPr>
        <w:tc>
          <w:tcPr>
            <w:tcW w:w="216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10" w:right="91"/>
              <w:jc w:val="left"/>
              <w:rPr>
                <w:rFonts w:ascii="宋体" w:hAnsi="宋体" w:cs="宋体" w:eastAsia="宋体" w:hint="default"/>
                <w:sz w:val="18"/>
                <w:szCs w:val="18"/>
              </w:rPr>
            </w:pPr>
            <w:r>
              <w:rPr>
                <w:rFonts w:ascii="宋体" w:hAnsi="宋体" w:cs="宋体" w:eastAsia="宋体" w:hint="default"/>
                <w:spacing w:val="14"/>
                <w:sz w:val="18"/>
                <w:szCs w:val="18"/>
              </w:rPr>
              <w:t>杭州市江干区和瑞科创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小额贷款有限公司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25,000,000.00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25,000,000.00</w:t>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25,000,000.00</w:t>
            </w:r>
          </w:p>
        </w:tc>
      </w:tr>
      <w:tr>
        <w:trPr>
          <w:trHeight w:val="557" w:hRule="exact"/>
        </w:trPr>
        <w:tc>
          <w:tcPr>
            <w:tcW w:w="21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99"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168,516,985.22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133,516,985.22</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35,000,000.00</w:t>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168,516,985.22</w:t>
            </w:r>
          </w:p>
        </w:tc>
      </w:tr>
    </w:tbl>
    <w:p>
      <w:pPr>
        <w:spacing w:line="240" w:lineRule="auto" w:before="5"/>
        <w:rPr>
          <w:rFonts w:ascii="宋体" w:hAnsi="宋体" w:cs="宋体" w:eastAsia="宋体" w:hint="default"/>
          <w:sz w:val="6"/>
          <w:szCs w:val="6"/>
        </w:rPr>
      </w:pPr>
    </w:p>
    <w:p>
      <w:pPr>
        <w:spacing w:before="44"/>
        <w:ind w:left="715" w:right="0"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3"/>
        <w:rPr>
          <w:rFonts w:ascii="宋体" w:hAnsi="宋体" w:cs="宋体" w:eastAsia="宋体" w:hint="default"/>
          <w:sz w:val="14"/>
          <w:szCs w:val="14"/>
        </w:rPr>
      </w:pPr>
    </w:p>
    <w:tbl>
      <w:tblPr>
        <w:tblW w:w="0" w:type="auto"/>
        <w:jc w:val="left"/>
        <w:tblInd w:w="287" w:type="dxa"/>
        <w:tblLayout w:type="fixed"/>
        <w:tblCellMar>
          <w:top w:w="0" w:type="dxa"/>
          <w:left w:w="0" w:type="dxa"/>
          <w:bottom w:w="0" w:type="dxa"/>
          <w:right w:w="0" w:type="dxa"/>
        </w:tblCellMar>
        <w:tblLook w:val="01E0"/>
      </w:tblPr>
      <w:tblGrid>
        <w:gridCol w:w="2126"/>
        <w:gridCol w:w="869"/>
        <w:gridCol w:w="1025"/>
        <w:gridCol w:w="1368"/>
        <w:gridCol w:w="1416"/>
        <w:gridCol w:w="1560"/>
        <w:gridCol w:w="974"/>
      </w:tblGrid>
      <w:tr>
        <w:trPr>
          <w:trHeight w:val="1025"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60" w:lineRule="auto"/>
              <w:ind w:left="794" w:right="785"/>
              <w:jc w:val="center"/>
              <w:rPr>
                <w:rFonts w:ascii="宋体" w:hAnsi="宋体" w:cs="宋体" w:eastAsia="宋体" w:hint="default"/>
                <w:sz w:val="18"/>
                <w:szCs w:val="18"/>
              </w:rPr>
            </w:pPr>
            <w:r>
              <w:rPr>
                <w:rFonts w:ascii="宋体" w:hAnsi="宋体" w:cs="宋体" w:eastAsia="宋体" w:hint="default"/>
                <w:sz w:val="18"/>
                <w:szCs w:val="18"/>
              </w:rPr>
              <w:t>被投资 单位</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60" w:lineRule="auto"/>
              <w:ind w:left="105" w:right="121" w:firstLine="134"/>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60" w:lineRule="auto"/>
              <w:ind w:left="182" w:right="200" w:firstLine="45"/>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8" w:right="59"/>
              <w:jc w:val="center"/>
              <w:rPr>
                <w:rFonts w:ascii="宋体" w:hAnsi="宋体" w:cs="宋体" w:eastAsia="宋体" w:hint="default"/>
                <w:sz w:val="18"/>
                <w:szCs w:val="18"/>
              </w:rPr>
            </w:pPr>
            <w:r>
              <w:rPr>
                <w:rFonts w:ascii="宋体" w:hAnsi="宋体" w:cs="宋体" w:eastAsia="宋体" w:hint="default"/>
                <w:sz w:val="18"/>
                <w:szCs w:val="18"/>
              </w:rPr>
              <w:t>持股比例与表决 权比例不一致的 说明</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62"/>
              <w:jc w:val="right"/>
              <w:rPr>
                <w:rFonts w:ascii="宋体" w:hAnsi="宋体" w:cs="宋体" w:eastAsia="宋体" w:hint="default"/>
                <w:sz w:val="18"/>
                <w:szCs w:val="18"/>
              </w:rPr>
            </w:pPr>
            <w:r>
              <w:rPr>
                <w:rFonts w:ascii="宋体" w:hAnsi="宋体" w:cs="宋体" w:eastAsia="宋体" w:hint="default"/>
                <w:sz w:val="18"/>
                <w:szCs w:val="18"/>
              </w:rPr>
              <w:t>本期计提减值准备</w:t>
            </w:r>
          </w:p>
        </w:tc>
        <w:tc>
          <w:tcPr>
            <w:tcW w:w="9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84" w:right="43" w:hanging="360"/>
              <w:jc w:val="left"/>
              <w:rPr>
                <w:rFonts w:ascii="宋体" w:hAnsi="宋体" w:cs="宋体" w:eastAsia="宋体" w:hint="default"/>
                <w:sz w:val="18"/>
                <w:szCs w:val="18"/>
              </w:rPr>
            </w:pPr>
            <w:r>
              <w:rPr>
                <w:rFonts w:ascii="宋体" w:hAnsi="宋体" w:cs="宋体" w:eastAsia="宋体" w:hint="default"/>
                <w:sz w:val="18"/>
                <w:szCs w:val="18"/>
              </w:rPr>
              <w:t>本期现金红 利</w:t>
            </w:r>
          </w:p>
        </w:tc>
      </w:tr>
      <w:tr>
        <w:trPr>
          <w:trHeight w:val="715"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10" w:right="101"/>
              <w:jc w:val="left"/>
              <w:rPr>
                <w:rFonts w:ascii="宋体" w:hAnsi="宋体" w:cs="宋体" w:eastAsia="宋体" w:hint="default"/>
                <w:sz w:val="18"/>
                <w:szCs w:val="18"/>
              </w:rPr>
            </w:pPr>
            <w:r>
              <w:rPr>
                <w:rFonts w:ascii="宋体" w:hAnsi="宋体" w:cs="宋体" w:eastAsia="宋体" w:hint="default"/>
                <w:spacing w:val="10"/>
                <w:sz w:val="18"/>
                <w:szCs w:val="18"/>
              </w:rPr>
              <w:t>杭州新世纪电子科技有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51"/>
              <w:ind w:left="110" w:right="101"/>
              <w:jc w:val="left"/>
              <w:rPr>
                <w:rFonts w:ascii="宋体" w:hAnsi="宋体" w:cs="宋体" w:eastAsia="宋体" w:hint="default"/>
                <w:sz w:val="18"/>
                <w:szCs w:val="18"/>
              </w:rPr>
            </w:pPr>
            <w:r>
              <w:rPr>
                <w:rFonts w:ascii="宋体" w:hAnsi="宋体" w:cs="宋体" w:eastAsia="宋体" w:hint="default"/>
                <w:spacing w:val="10"/>
                <w:sz w:val="18"/>
                <w:szCs w:val="18"/>
              </w:rPr>
              <w:t>南京江琛自动化系统有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限责任公司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 w:right="0"/>
              <w:jc w:val="center"/>
              <w:rPr>
                <w:rFonts w:ascii="宋体" w:hAnsi="宋体" w:cs="宋体" w:eastAsia="宋体" w:hint="default"/>
                <w:sz w:val="18"/>
                <w:szCs w:val="18"/>
              </w:rPr>
            </w:pPr>
            <w:r>
              <w:rPr>
                <w:rFonts w:ascii="宋体"/>
                <w:sz w:val="18"/>
              </w:rPr>
              <w:t>11,017,908.28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11,017,908.28</w:t>
            </w:r>
          </w:p>
        </w:tc>
        <w:tc>
          <w:tcPr>
            <w:tcW w:w="974"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杭州德创电子有限公司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100.00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hAnsi="宋体" w:cs="宋体" w:eastAsia="宋体" w:hint="default"/>
                <w:sz w:val="18"/>
                <w:szCs w:val="18"/>
              </w:rPr>
              <w:t>杭州讯能科技有限公司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15.72</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15.72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10" w:right="101"/>
              <w:jc w:val="left"/>
              <w:rPr>
                <w:rFonts w:ascii="宋体" w:hAnsi="宋体" w:cs="宋体" w:eastAsia="宋体" w:hint="default"/>
                <w:sz w:val="18"/>
                <w:szCs w:val="18"/>
              </w:rPr>
            </w:pPr>
            <w:r>
              <w:rPr>
                <w:rFonts w:ascii="宋体" w:hAnsi="宋体" w:cs="宋体" w:eastAsia="宋体" w:hint="default"/>
                <w:spacing w:val="10"/>
                <w:sz w:val="18"/>
                <w:szCs w:val="18"/>
              </w:rPr>
              <w:t>杭州市江干区和瑞科创</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小额贷款有限公司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9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869"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2" w:right="0"/>
              <w:jc w:val="center"/>
              <w:rPr>
                <w:rFonts w:ascii="宋体" w:hAnsi="宋体" w:cs="宋体" w:eastAsia="宋体" w:hint="default"/>
                <w:sz w:val="18"/>
                <w:szCs w:val="18"/>
              </w:rPr>
            </w:pPr>
            <w:r>
              <w:rPr>
                <w:rFonts w:ascii="宋体"/>
                <w:sz w:val="18"/>
              </w:rPr>
              <w:t>11,017,908.28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11,017,908.28</w:t>
            </w:r>
          </w:p>
        </w:tc>
        <w:tc>
          <w:tcPr>
            <w:tcW w:w="974"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BodyText"/>
        <w:spacing w:line="388" w:lineRule="auto" w:before="26"/>
        <w:ind w:left="775" w:right="6434"/>
        <w:jc w:val="left"/>
      </w:pPr>
      <w:r>
        <w:rPr/>
        <w:t>(二)</w:t>
      </w:r>
      <w:r>
        <w:rPr>
          <w:spacing w:val="-3"/>
        </w:rPr>
        <w:t> </w:t>
      </w:r>
      <w:r>
        <w:rPr/>
        <w:t>母公司利润表项目注释</w:t>
      </w:r>
      <w:r>
        <w:rPr/>
        <w:t> 1.</w:t>
      </w:r>
      <w:r>
        <w:rPr>
          <w:spacing w:val="-1"/>
        </w:rPr>
        <w:t> </w:t>
      </w:r>
      <w:r>
        <w:rPr/>
        <w:t>营业收入/营业成本</w:t>
      </w:r>
    </w:p>
    <w:p>
      <w:pPr>
        <w:pStyle w:val="BodyText"/>
        <w:spacing w:line="240" w:lineRule="auto" w:before="46"/>
        <w:ind w:left="775" w:right="0"/>
        <w:jc w:val="left"/>
      </w:pPr>
      <w:r>
        <w:rPr/>
        <w:t>(1)</w:t>
      </w:r>
      <w:r>
        <w:rPr>
          <w:spacing w:val="-3"/>
        </w:rPr>
        <w:t> </w:t>
      </w:r>
      <w:r>
        <w:rPr/>
        <w:t>明细情况</w:t>
      </w:r>
    </w:p>
    <w:p>
      <w:pPr>
        <w:spacing w:line="240" w:lineRule="auto" w:before="10"/>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4140"/>
        <w:gridCol w:w="2340"/>
        <w:gridCol w:w="2160"/>
      </w:tblGrid>
      <w:tr>
        <w:trPr>
          <w:trHeight w:val="557" w:hRule="exact"/>
        </w:trPr>
        <w:tc>
          <w:tcPr>
            <w:tcW w:w="4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90"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626"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59" w:hRule="exact"/>
        </w:trPr>
        <w:tc>
          <w:tcPr>
            <w:tcW w:w="4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0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173,185,644.07</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236,158,465.41</w:t>
            </w:r>
          </w:p>
        </w:tc>
      </w:tr>
      <w:tr>
        <w:trPr>
          <w:trHeight w:val="557" w:hRule="exact"/>
        </w:trPr>
        <w:tc>
          <w:tcPr>
            <w:tcW w:w="4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08"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1,822,339.67</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2,148,911.18</w:t>
            </w:r>
          </w:p>
        </w:tc>
      </w:tr>
      <w:tr>
        <w:trPr>
          <w:trHeight w:val="559" w:hRule="exact"/>
        </w:trPr>
        <w:tc>
          <w:tcPr>
            <w:tcW w:w="4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0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86,755,087.88</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159,549,057.14</w:t>
            </w:r>
          </w:p>
        </w:tc>
      </w:tr>
    </w:tbl>
    <w:p>
      <w:pPr>
        <w:pStyle w:val="BodyText"/>
        <w:spacing w:line="240" w:lineRule="auto" w:before="79"/>
        <w:ind w:left="775" w:right="0"/>
        <w:jc w:val="left"/>
      </w:pPr>
      <w:r>
        <w:rPr/>
        <w:pict>
          <v:group style="position:absolute;margin-left:547.559998pt;margin-top:68.605614pt;width:.1pt;height:10.35pt;mso-position-horizontal-relative:page;mso-position-vertical-relative:paragraph;z-index:4936" coordorigin="10951,1372" coordsize="2,207">
            <v:shape style="position:absolute;left:10951;top:1372;width:2;height:207" coordorigin="10951,1372" coordsize="0,207" path="m10951,1372l10951,1579e" filled="false" stroked="true" strokeweight=".12pt" strokecolor="#000000">
              <v:path arrowok="t"/>
            </v:shape>
            <w10:wrap type="none"/>
          </v:group>
        </w:pict>
      </w:r>
      <w:r>
        <w:rPr/>
        <w:t>(2)</w:t>
      </w:r>
      <w:r>
        <w:rPr>
          <w:spacing w:val="-1"/>
        </w:rPr>
        <w:t> </w:t>
      </w:r>
      <w:r>
        <w:rPr/>
        <w:t>主营业务收入/主营业务成本</w:t>
      </w:r>
    </w:p>
    <w:p>
      <w:pPr>
        <w:spacing w:line="240" w:lineRule="auto" w:before="10"/>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2016"/>
        <w:gridCol w:w="3506"/>
        <w:gridCol w:w="3334"/>
      </w:tblGrid>
      <w:tr>
        <w:trPr>
          <w:trHeight w:val="454" w:hRule="exact"/>
        </w:trPr>
        <w:tc>
          <w:tcPr>
            <w:tcW w:w="2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290"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3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94"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3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left="1003"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bl>
    <w:p>
      <w:pPr>
        <w:spacing w:after="0" w:line="240" w:lineRule="auto"/>
        <w:jc w:val="left"/>
        <w:rPr>
          <w:rFonts w:ascii="宋体" w:hAnsi="宋体" w:cs="宋体" w:eastAsia="宋体" w:hint="default"/>
          <w:sz w:val="18"/>
          <w:szCs w:val="18"/>
        </w:rPr>
        <w:sectPr>
          <w:pgSz w:w="11910" w:h="16840"/>
          <w:pgMar w:header="745" w:footer="979" w:top="1060" w:bottom="1160" w:left="840" w:right="840"/>
        </w:sectPr>
      </w:pPr>
    </w:p>
    <w:p>
      <w:pPr>
        <w:spacing w:line="240" w:lineRule="auto" w:before="6"/>
        <w:rPr>
          <w:rFonts w:ascii="宋体" w:hAnsi="宋体" w:cs="宋体" w:eastAsia="宋体" w:hint="default"/>
          <w:sz w:val="28"/>
          <w:szCs w:val="28"/>
        </w:rPr>
      </w:pPr>
      <w:r>
        <w:rPr/>
        <w:pict>
          <v:group style="position:absolute;margin-left:47.639999pt;margin-top:781.919983pt;width:.1pt;height:10.35pt;mso-position-horizontal-relative:page;mso-position-vertical-relative:page;z-index:4960" coordorigin="953,15638" coordsize="2,207">
            <v:shape style="position:absolute;left:953;top:15638;width:2;height:207" coordorigin="953,15638" coordsize="0,207" path="m953,15638l953,15845e" filled="false" stroked="true" strokeweight=".12pt" strokecolor="#000000">
              <v:path arrowok="t"/>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2016"/>
        <w:gridCol w:w="1800"/>
        <w:gridCol w:w="1706"/>
        <w:gridCol w:w="1704"/>
        <w:gridCol w:w="1630"/>
      </w:tblGrid>
      <w:tr>
        <w:trPr>
          <w:trHeight w:val="454" w:hRule="exact"/>
        </w:trPr>
        <w:tc>
          <w:tcPr>
            <w:tcW w:w="2016" w:type="dxa"/>
            <w:tcBorders>
              <w:top w:val="single" w:sz="4" w:space="0" w:color="000000"/>
              <w:left w:val="nil" w:sz="6" w:space="0" w:color="auto"/>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46" w:hRule="exact"/>
        </w:trPr>
        <w:tc>
          <w:tcPr>
            <w:tcW w:w="2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08" w:right="0"/>
              <w:jc w:val="left"/>
              <w:rPr>
                <w:rFonts w:ascii="宋体" w:hAnsi="宋体" w:cs="宋体" w:eastAsia="宋体" w:hint="default"/>
                <w:sz w:val="18"/>
                <w:szCs w:val="18"/>
              </w:rPr>
            </w:pPr>
            <w:r>
              <w:rPr>
                <w:rFonts w:ascii="宋体" w:hAnsi="宋体" w:cs="宋体" w:eastAsia="宋体" w:hint="default"/>
                <w:sz w:val="18"/>
                <w:szCs w:val="18"/>
              </w:rPr>
              <w:t>应用软件开发与销售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pacing w:val="-1"/>
                <w:sz w:val="18"/>
              </w:rPr>
              <w:t>68,565,964.94</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pacing w:val="-1"/>
                <w:sz w:val="18"/>
              </w:rPr>
              <w:t>9,455,303.71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pacing w:val="-1"/>
                <w:sz w:val="18"/>
              </w:rPr>
              <w:t>50,238,916.25</w:t>
            </w:r>
          </w:p>
        </w:tc>
        <w:tc>
          <w:tcPr>
            <w:tcW w:w="1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4"/>
              <w:jc w:val="right"/>
              <w:rPr>
                <w:rFonts w:ascii="宋体" w:hAnsi="宋体" w:cs="宋体" w:eastAsia="宋体" w:hint="default"/>
                <w:sz w:val="18"/>
                <w:szCs w:val="18"/>
              </w:rPr>
            </w:pPr>
            <w:r>
              <w:rPr>
                <w:rFonts w:ascii="宋体"/>
                <w:spacing w:val="-1"/>
                <w:sz w:val="18"/>
              </w:rPr>
              <w:t>8,511,815.19</w:t>
            </w:r>
          </w:p>
        </w:tc>
      </w:tr>
      <w:tr>
        <w:trPr>
          <w:trHeight w:val="454" w:hRule="exact"/>
        </w:trPr>
        <w:tc>
          <w:tcPr>
            <w:tcW w:w="2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技术支持与服务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27,262,370.44</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5,713,566.35</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24,060,519.67</w:t>
            </w:r>
          </w:p>
        </w:tc>
        <w:tc>
          <w:tcPr>
            <w:tcW w:w="1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3,737,551.56</w:t>
            </w:r>
          </w:p>
        </w:tc>
      </w:tr>
      <w:tr>
        <w:trPr>
          <w:trHeight w:val="545" w:hRule="exact"/>
        </w:trPr>
        <w:tc>
          <w:tcPr>
            <w:tcW w:w="2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1"/>
              <w:ind w:left="108" w:right="0"/>
              <w:jc w:val="left"/>
              <w:rPr>
                <w:rFonts w:ascii="宋体" w:hAnsi="宋体" w:cs="宋体" w:eastAsia="宋体" w:hint="default"/>
                <w:sz w:val="18"/>
                <w:szCs w:val="18"/>
              </w:rPr>
            </w:pPr>
            <w:r>
              <w:rPr>
                <w:rFonts w:ascii="宋体" w:hAnsi="宋体" w:cs="宋体" w:eastAsia="宋体" w:hint="default"/>
                <w:sz w:val="18"/>
                <w:szCs w:val="18"/>
              </w:rPr>
              <w:t>系统集成与硬件销售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pacing w:val="-1"/>
                <w:sz w:val="18"/>
              </w:rPr>
              <w:t>77,357,308.69</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2"/>
              <w:jc w:val="right"/>
              <w:rPr>
                <w:rFonts w:ascii="宋体" w:hAnsi="宋体" w:cs="宋体" w:eastAsia="宋体" w:hint="default"/>
                <w:sz w:val="18"/>
                <w:szCs w:val="18"/>
              </w:rPr>
            </w:pPr>
            <w:r>
              <w:rPr>
                <w:rFonts w:ascii="宋体"/>
                <w:spacing w:val="-1"/>
                <w:sz w:val="18"/>
              </w:rPr>
              <w:t>71,282,147.84</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宋体" w:hAnsi="宋体" w:cs="宋体" w:eastAsia="宋体" w:hint="default"/>
                <w:sz w:val="18"/>
                <w:szCs w:val="18"/>
              </w:rPr>
            </w:pPr>
            <w:r>
              <w:rPr>
                <w:rFonts w:ascii="宋体"/>
                <w:spacing w:val="-1"/>
                <w:sz w:val="18"/>
              </w:rPr>
              <w:t>161,859,029.49</w:t>
            </w:r>
          </w:p>
        </w:tc>
        <w:tc>
          <w:tcPr>
            <w:tcW w:w="1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104"/>
              <w:jc w:val="right"/>
              <w:rPr>
                <w:rFonts w:ascii="宋体" w:hAnsi="宋体" w:cs="宋体" w:eastAsia="宋体" w:hint="default"/>
                <w:sz w:val="18"/>
                <w:szCs w:val="18"/>
              </w:rPr>
            </w:pPr>
            <w:r>
              <w:rPr>
                <w:rFonts w:ascii="宋体"/>
                <w:spacing w:val="-1"/>
                <w:sz w:val="18"/>
              </w:rPr>
              <w:t>146,941,685.11</w:t>
            </w:r>
          </w:p>
        </w:tc>
      </w:tr>
      <w:tr>
        <w:trPr>
          <w:trHeight w:val="454" w:hRule="exact"/>
        </w:trPr>
        <w:tc>
          <w:tcPr>
            <w:tcW w:w="2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90"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8"/>
                <w:szCs w:val="18"/>
              </w:rPr>
            </w:pPr>
            <w:r>
              <w:rPr>
                <w:rFonts w:ascii="宋体"/>
                <w:spacing w:val="-1"/>
                <w:sz w:val="18"/>
              </w:rPr>
              <w:t>173,185,644.07</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pacing w:val="-1"/>
                <w:sz w:val="18"/>
              </w:rPr>
              <w:t>86,451,017.90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pacing w:val="-1"/>
                <w:sz w:val="18"/>
              </w:rPr>
              <w:t>236,158,465.41</w:t>
            </w:r>
          </w:p>
        </w:tc>
        <w:tc>
          <w:tcPr>
            <w:tcW w:w="1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4"/>
              <w:jc w:val="right"/>
              <w:rPr>
                <w:rFonts w:ascii="宋体" w:hAnsi="宋体" w:cs="宋体" w:eastAsia="宋体" w:hint="default"/>
                <w:sz w:val="18"/>
                <w:szCs w:val="18"/>
              </w:rPr>
            </w:pPr>
            <w:r>
              <w:rPr>
                <w:rFonts w:ascii="宋体"/>
                <w:spacing w:val="-1"/>
                <w:sz w:val="18"/>
              </w:rPr>
              <w:t>159,191,051.86</w:t>
            </w:r>
          </w:p>
        </w:tc>
      </w:tr>
    </w:tbl>
    <w:p>
      <w:pPr>
        <w:pStyle w:val="BodyText"/>
        <w:spacing w:line="240" w:lineRule="auto" w:before="82"/>
        <w:ind w:left="775" w:right="279"/>
        <w:jc w:val="left"/>
      </w:pPr>
      <w:r>
        <w:rPr/>
        <w:t>(3)</w:t>
      </w:r>
      <w:r>
        <w:rPr>
          <w:spacing w:val="-3"/>
        </w:rPr>
        <w:t> </w:t>
      </w:r>
      <w:r>
        <w:rPr/>
        <w:t>公司前</w:t>
      </w:r>
      <w:r>
        <w:rPr>
          <w:spacing w:val="-58"/>
        </w:rPr>
        <w:t> </w:t>
      </w:r>
      <w:r>
        <w:rPr/>
        <w:t>5</w:t>
      </w:r>
      <w:r>
        <w:rPr>
          <w:spacing w:val="-60"/>
        </w:rPr>
        <w:t> </w:t>
      </w:r>
      <w:r>
        <w:rPr/>
        <w:t>名客户的营业收入情况</w:t>
      </w:r>
    </w:p>
    <w:p>
      <w:pPr>
        <w:spacing w:line="240" w:lineRule="auto" w:before="10"/>
        <w:rPr>
          <w:rFonts w:ascii="宋体" w:hAnsi="宋体" w:cs="宋体" w:eastAsia="宋体" w:hint="default"/>
          <w:sz w:val="11"/>
          <w:szCs w:val="11"/>
        </w:rPr>
      </w:pPr>
    </w:p>
    <w:tbl>
      <w:tblPr>
        <w:tblW w:w="0" w:type="auto"/>
        <w:jc w:val="left"/>
        <w:tblInd w:w="287" w:type="dxa"/>
        <w:tblLayout w:type="fixed"/>
        <w:tblCellMar>
          <w:top w:w="0" w:type="dxa"/>
          <w:left w:w="0" w:type="dxa"/>
          <w:bottom w:w="0" w:type="dxa"/>
          <w:right w:w="0" w:type="dxa"/>
        </w:tblCellMar>
        <w:tblLook w:val="01E0"/>
      </w:tblPr>
      <w:tblGrid>
        <w:gridCol w:w="3600"/>
        <w:gridCol w:w="1980"/>
        <w:gridCol w:w="3060"/>
      </w:tblGrid>
      <w:tr>
        <w:trPr>
          <w:trHeight w:val="557" w:hRule="exact"/>
        </w:trPr>
        <w:tc>
          <w:tcPr>
            <w:tcW w:w="36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290" w:right="0"/>
              <w:jc w:val="left"/>
              <w:rPr>
                <w:rFonts w:ascii="宋体" w:hAnsi="宋体" w:cs="宋体" w:eastAsia="宋体" w:hint="default"/>
                <w:sz w:val="18"/>
                <w:szCs w:val="18"/>
              </w:rPr>
            </w:pPr>
            <w:r>
              <w:rPr>
                <w:rFonts w:ascii="宋体" w:hAnsi="宋体" w:cs="宋体" w:eastAsia="宋体" w:hint="default"/>
                <w:sz w:val="18"/>
                <w:szCs w:val="18"/>
              </w:rPr>
              <w:t>客户名称</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2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占公司全部营业收入的比例(%)</w:t>
            </w:r>
          </w:p>
        </w:tc>
      </w:tr>
      <w:tr>
        <w:trPr>
          <w:trHeight w:val="504" w:hRule="exact"/>
        </w:trPr>
        <w:tc>
          <w:tcPr>
            <w:tcW w:w="36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10" w:right="0"/>
              <w:jc w:val="left"/>
              <w:rPr>
                <w:rFonts w:ascii="宋体" w:hAnsi="宋体" w:cs="宋体" w:eastAsia="宋体" w:hint="default"/>
                <w:sz w:val="18"/>
                <w:szCs w:val="18"/>
              </w:rPr>
            </w:pPr>
            <w:bookmarkStart w:name="浙江省电力公司" w:id="208"/>
            <w:bookmarkEnd w:id="208"/>
            <w:r>
              <w:rPr/>
            </w:r>
            <w:bookmarkStart w:name="23,384,702.99" w:id="209"/>
            <w:bookmarkEnd w:id="209"/>
            <w:r>
              <w:rPr/>
            </w:r>
            <w:r>
              <w:rPr>
                <w:rFonts w:ascii="宋体" w:hAnsi="宋体" w:cs="宋体" w:eastAsia="宋体" w:hint="default"/>
                <w:sz w:val="18"/>
                <w:szCs w:val="18"/>
              </w:rPr>
              <w:t>浙江省电力公司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pacing w:val="-1"/>
                <w:sz w:val="18"/>
              </w:rPr>
              <w:t>23,384,702.99</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
              <w:jc w:val="center"/>
              <w:rPr>
                <w:rFonts w:ascii="宋体" w:hAnsi="宋体" w:cs="宋体" w:eastAsia="宋体" w:hint="default"/>
                <w:sz w:val="18"/>
                <w:szCs w:val="18"/>
              </w:rPr>
            </w:pPr>
            <w:r>
              <w:rPr>
                <w:rFonts w:ascii="宋体"/>
                <w:sz w:val="18"/>
              </w:rPr>
              <w:t>13.36</w:t>
            </w:r>
          </w:p>
        </w:tc>
      </w:tr>
      <w:tr>
        <w:trPr>
          <w:trHeight w:val="504" w:hRule="exact"/>
        </w:trPr>
        <w:tc>
          <w:tcPr>
            <w:tcW w:w="36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10" w:right="0"/>
              <w:jc w:val="left"/>
              <w:rPr>
                <w:rFonts w:ascii="宋体" w:hAnsi="宋体" w:cs="宋体" w:eastAsia="宋体" w:hint="default"/>
                <w:sz w:val="18"/>
                <w:szCs w:val="18"/>
              </w:rPr>
            </w:pPr>
            <w:bookmarkStart w:name="浙江中烟工业有限责任公司" w:id="210"/>
            <w:bookmarkEnd w:id="210"/>
            <w:r>
              <w:rPr/>
            </w:r>
            <w:bookmarkStart w:name="11,565,581.58" w:id="211"/>
            <w:bookmarkEnd w:id="211"/>
            <w:r>
              <w:rPr/>
            </w:r>
            <w:r>
              <w:rPr>
                <w:rFonts w:ascii="宋体" w:hAnsi="宋体" w:cs="宋体" w:eastAsia="宋体" w:hint="default"/>
                <w:sz w:val="18"/>
                <w:szCs w:val="18"/>
              </w:rPr>
              <w:t>浙江中烟工业有限责任公司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pacing w:val="-1"/>
                <w:sz w:val="18"/>
              </w:rPr>
              <w:t>11,565,581.58</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
              <w:jc w:val="center"/>
              <w:rPr>
                <w:rFonts w:ascii="宋体" w:hAnsi="宋体" w:cs="宋体" w:eastAsia="宋体" w:hint="default"/>
                <w:sz w:val="18"/>
                <w:szCs w:val="18"/>
              </w:rPr>
            </w:pPr>
            <w:r>
              <w:rPr>
                <w:rFonts w:ascii="宋体"/>
                <w:sz w:val="18"/>
              </w:rPr>
              <w:t>6.61</w:t>
            </w:r>
          </w:p>
        </w:tc>
      </w:tr>
      <w:tr>
        <w:trPr>
          <w:trHeight w:val="502" w:hRule="exact"/>
        </w:trPr>
        <w:tc>
          <w:tcPr>
            <w:tcW w:w="36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10" w:right="0"/>
              <w:jc w:val="left"/>
              <w:rPr>
                <w:rFonts w:ascii="宋体" w:hAnsi="宋体" w:cs="宋体" w:eastAsia="宋体" w:hint="default"/>
                <w:sz w:val="18"/>
                <w:szCs w:val="18"/>
              </w:rPr>
            </w:pPr>
            <w:bookmarkStart w:name="辽宁省电力有限公司信息通信分公司" w:id="212"/>
            <w:bookmarkEnd w:id="212"/>
            <w:r>
              <w:rPr/>
            </w:r>
            <w:bookmarkStart w:name="9,043,018.90" w:id="213"/>
            <w:bookmarkEnd w:id="213"/>
            <w:r>
              <w:rPr/>
            </w:r>
            <w:r>
              <w:rPr>
                <w:rFonts w:ascii="宋体" w:hAnsi="宋体" w:cs="宋体" w:eastAsia="宋体" w:hint="default"/>
                <w:sz w:val="18"/>
                <w:szCs w:val="18"/>
              </w:rPr>
              <w:t>辽宁省电力有限公司信息通信分公司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宋体" w:hAnsi="宋体" w:cs="宋体" w:eastAsia="宋体" w:hint="default"/>
                <w:sz w:val="18"/>
                <w:szCs w:val="18"/>
              </w:rPr>
            </w:pPr>
            <w:r>
              <w:rPr>
                <w:rFonts w:ascii="宋体"/>
                <w:spacing w:val="-1"/>
                <w:sz w:val="18"/>
              </w:rPr>
              <w:t>9,043,018.90</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right="1"/>
              <w:jc w:val="center"/>
              <w:rPr>
                <w:rFonts w:ascii="宋体" w:hAnsi="宋体" w:cs="宋体" w:eastAsia="宋体" w:hint="default"/>
                <w:sz w:val="18"/>
                <w:szCs w:val="18"/>
              </w:rPr>
            </w:pPr>
            <w:r>
              <w:rPr>
                <w:rFonts w:ascii="宋体"/>
                <w:sz w:val="18"/>
              </w:rPr>
              <w:t>5.17</w:t>
            </w:r>
          </w:p>
        </w:tc>
      </w:tr>
      <w:tr>
        <w:trPr>
          <w:trHeight w:val="504" w:hRule="exact"/>
        </w:trPr>
        <w:tc>
          <w:tcPr>
            <w:tcW w:w="36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10" w:right="0"/>
              <w:jc w:val="left"/>
              <w:rPr>
                <w:rFonts w:ascii="宋体" w:hAnsi="宋体" w:cs="宋体" w:eastAsia="宋体" w:hint="default"/>
                <w:sz w:val="18"/>
                <w:szCs w:val="18"/>
              </w:rPr>
            </w:pPr>
            <w:bookmarkStart w:name="浙江沃安互联科技有限公司" w:id="214"/>
            <w:bookmarkEnd w:id="214"/>
            <w:r>
              <w:rPr/>
            </w:r>
            <w:bookmarkStart w:name="8,951,124.99" w:id="215"/>
            <w:bookmarkEnd w:id="215"/>
            <w:r>
              <w:rPr/>
            </w:r>
            <w:r>
              <w:rPr>
                <w:rFonts w:ascii="宋体" w:hAnsi="宋体" w:cs="宋体" w:eastAsia="宋体" w:hint="default"/>
                <w:sz w:val="18"/>
                <w:szCs w:val="18"/>
              </w:rPr>
              <w:t>浙江沃安互联科技有限公司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18"/>
                <w:szCs w:val="18"/>
              </w:rPr>
            </w:pPr>
            <w:r>
              <w:rPr>
                <w:rFonts w:ascii="宋体"/>
                <w:spacing w:val="-1"/>
                <w:sz w:val="18"/>
              </w:rPr>
              <w:t>8,951,124.99</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
              <w:jc w:val="center"/>
              <w:rPr>
                <w:rFonts w:ascii="宋体" w:hAnsi="宋体" w:cs="宋体" w:eastAsia="宋体" w:hint="default"/>
                <w:sz w:val="18"/>
                <w:szCs w:val="18"/>
              </w:rPr>
            </w:pPr>
            <w:r>
              <w:rPr>
                <w:rFonts w:ascii="宋体"/>
                <w:sz w:val="18"/>
              </w:rPr>
              <w:t>5.11</w:t>
            </w:r>
          </w:p>
        </w:tc>
      </w:tr>
      <w:tr>
        <w:trPr>
          <w:trHeight w:val="502" w:hRule="exact"/>
        </w:trPr>
        <w:tc>
          <w:tcPr>
            <w:tcW w:w="36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10" w:right="0"/>
              <w:jc w:val="left"/>
              <w:rPr>
                <w:rFonts w:ascii="宋体" w:hAnsi="宋体" w:cs="宋体" w:eastAsia="宋体" w:hint="default"/>
                <w:sz w:val="18"/>
                <w:szCs w:val="18"/>
              </w:rPr>
            </w:pPr>
            <w:bookmarkStart w:name="浙江省交通运输厅信息中心" w:id="216"/>
            <w:bookmarkEnd w:id="216"/>
            <w:r>
              <w:rPr/>
            </w:r>
            <w:bookmarkStart w:name="8,157,272.19" w:id="217"/>
            <w:bookmarkEnd w:id="217"/>
            <w:r>
              <w:rPr/>
            </w:r>
            <w:r>
              <w:rPr>
                <w:rFonts w:ascii="宋体" w:hAnsi="宋体" w:cs="宋体" w:eastAsia="宋体" w:hint="default"/>
                <w:sz w:val="18"/>
                <w:szCs w:val="18"/>
              </w:rPr>
              <w:t>浙江省交通运输厅信息中心</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宋体" w:hAnsi="宋体" w:cs="宋体" w:eastAsia="宋体" w:hint="default"/>
                <w:sz w:val="18"/>
                <w:szCs w:val="18"/>
              </w:rPr>
            </w:pPr>
            <w:r>
              <w:rPr>
                <w:rFonts w:ascii="宋体"/>
                <w:spacing w:val="-1"/>
                <w:sz w:val="18"/>
              </w:rPr>
              <w:t>8,157,272.19</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
              <w:jc w:val="center"/>
              <w:rPr>
                <w:rFonts w:ascii="宋体" w:hAnsi="宋体" w:cs="宋体" w:eastAsia="宋体" w:hint="default"/>
                <w:sz w:val="18"/>
                <w:szCs w:val="18"/>
              </w:rPr>
            </w:pPr>
            <w:r>
              <w:rPr>
                <w:rFonts w:ascii="宋体"/>
                <w:sz w:val="18"/>
              </w:rPr>
              <w:t>4.66</w:t>
            </w:r>
          </w:p>
        </w:tc>
      </w:tr>
      <w:tr>
        <w:trPr>
          <w:trHeight w:val="504" w:hRule="exact"/>
        </w:trPr>
        <w:tc>
          <w:tcPr>
            <w:tcW w:w="36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10"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pacing w:val="-1"/>
                <w:sz w:val="18"/>
              </w:rPr>
              <w:t>61,101,700.65</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1"/>
              <w:jc w:val="center"/>
              <w:rPr>
                <w:rFonts w:ascii="宋体" w:hAnsi="宋体" w:cs="宋体" w:eastAsia="宋体" w:hint="default"/>
                <w:sz w:val="18"/>
                <w:szCs w:val="18"/>
              </w:rPr>
            </w:pPr>
            <w:r>
              <w:rPr>
                <w:rFonts w:ascii="宋体"/>
                <w:sz w:val="18"/>
              </w:rPr>
              <w:t>34.91</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BodyText"/>
        <w:spacing w:line="240" w:lineRule="auto" w:before="26"/>
        <w:ind w:left="775" w:right="279"/>
        <w:jc w:val="left"/>
      </w:pPr>
      <w:r>
        <w:rPr/>
        <w:t>(三)</w:t>
      </w:r>
      <w:r>
        <w:rPr>
          <w:spacing w:val="-3"/>
        </w:rPr>
        <w:t> </w:t>
      </w:r>
      <w:r>
        <w:rPr/>
        <w:t>母公司现金流量表补充资料</w:t>
      </w:r>
    </w:p>
    <w:p>
      <w:pPr>
        <w:spacing w:line="240" w:lineRule="auto" w:before="10"/>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4860"/>
        <w:gridCol w:w="1980"/>
        <w:gridCol w:w="1800"/>
      </w:tblGrid>
      <w:tr>
        <w:trPr>
          <w:trHeight w:val="559"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70" w:right="0"/>
              <w:jc w:val="left"/>
              <w:rPr>
                <w:rFonts w:ascii="宋体" w:hAnsi="宋体" w:cs="宋体" w:eastAsia="宋体" w:hint="default"/>
                <w:sz w:val="18"/>
                <w:szCs w:val="18"/>
              </w:rPr>
            </w:pPr>
            <w:r>
              <w:rPr>
                <w:rFonts w:ascii="宋体" w:hAnsi="宋体" w:cs="宋体" w:eastAsia="宋体" w:hint="default"/>
                <w:sz w:val="18"/>
                <w:szCs w:val="18"/>
              </w:rPr>
              <w:t>补充资料</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446"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57"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
                <w:sz w:val="18"/>
                <w:szCs w:val="18"/>
              </w:rPr>
              <w:t> </w:t>
            </w:r>
            <w:r>
              <w:rPr>
                <w:rFonts w:ascii="宋体" w:hAnsi="宋体" w:cs="宋体" w:eastAsia="宋体" w:hint="default"/>
                <w:sz w:val="18"/>
                <w:szCs w:val="18"/>
              </w:rPr>
              <w:t>将净利润调节为经营活动现金流量：</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7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30,486,683.01</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36,088,504.27</w:t>
            </w:r>
          </w:p>
        </w:tc>
      </w:tr>
      <w:tr>
        <w:trPr>
          <w:trHeight w:val="425"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06"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pacing w:val="-1"/>
                <w:sz w:val="18"/>
              </w:rPr>
              <w:t>12,915,805.62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18"/>
                <w:szCs w:val="18"/>
              </w:rPr>
            </w:pPr>
            <w:r>
              <w:rPr>
                <w:rFonts w:ascii="宋体"/>
                <w:spacing w:val="-1"/>
                <w:sz w:val="18"/>
              </w:rPr>
              <w:t>-652,696.87</w:t>
            </w:r>
          </w:p>
        </w:tc>
      </w:tr>
      <w:tr>
        <w:trPr>
          <w:trHeight w:val="715"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806" w:right="101"/>
              <w:jc w:val="left"/>
              <w:rPr>
                <w:rFonts w:ascii="宋体" w:hAnsi="宋体" w:cs="宋体" w:eastAsia="宋体" w:hint="default"/>
                <w:sz w:val="18"/>
                <w:szCs w:val="18"/>
              </w:rPr>
            </w:pPr>
            <w:r>
              <w:rPr>
                <w:rFonts w:ascii="宋体" w:hAnsi="宋体" w:cs="宋体" w:eastAsia="宋体" w:hint="default"/>
                <w:spacing w:val="-1"/>
                <w:sz w:val="18"/>
                <w:szCs w:val="18"/>
              </w:rPr>
              <w:t>固定资产折旧、油气资产折耗、生产性生物资产折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旧</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3,031,039.88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2,639,260.93</w:t>
            </w:r>
          </w:p>
        </w:tc>
      </w:tr>
      <w:tr>
        <w:trPr>
          <w:trHeight w:val="557"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787"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pacing w:val="-1"/>
                <w:sz w:val="18"/>
              </w:rPr>
              <w:t>8,137,541.91</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6,135,632.69</w:t>
            </w:r>
          </w:p>
        </w:tc>
      </w:tr>
      <w:tr>
        <w:trPr>
          <w:trHeight w:val="559"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787"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27,600.00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27,600.00</w:t>
            </w:r>
          </w:p>
        </w:tc>
      </w:tr>
      <w:tr>
        <w:trPr>
          <w:trHeight w:val="713"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312" w:lineRule="auto" w:before="51"/>
              <w:ind w:left="806" w:right="110" w:hanging="20"/>
              <w:jc w:val="left"/>
              <w:rPr>
                <w:rFonts w:ascii="宋体" w:hAnsi="宋体" w:cs="宋体" w:eastAsia="宋体" w:hint="default"/>
                <w:sz w:val="18"/>
                <w:szCs w:val="18"/>
              </w:rPr>
            </w:pPr>
            <w:r>
              <w:rPr>
                <w:rFonts w:ascii="宋体" w:hAnsi="宋体" w:cs="宋体" w:eastAsia="宋体" w:hint="default"/>
                <w:spacing w:val="7"/>
                <w:sz w:val="18"/>
                <w:szCs w:val="18"/>
              </w:rPr>
              <w:t>处置固定资产、无形资产和其他长期资产的损失</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position w:val="1"/>
                <w:sz w:val="18"/>
                <w:szCs w:val="18"/>
              </w:rPr>
              <w:t>(收益</w:t>
            </w:r>
            <w:r>
              <w:rPr>
                <w:rFonts w:ascii="宋体" w:hAnsi="宋体" w:cs="宋体" w:eastAsia="宋体" w:hint="default"/>
                <w:spacing w:val="2"/>
                <w:sz w:val="18"/>
                <w:szCs w:val="18"/>
              </w:rPr>
              <w:t>以“－”号填列)</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right="824"/>
              <w:jc w:val="right"/>
              <w:rPr>
                <w:rFonts w:ascii="宋体" w:hAnsi="宋体" w:cs="宋体" w:eastAsia="宋体" w:hint="default"/>
                <w:sz w:val="18"/>
                <w:szCs w:val="18"/>
              </w:rPr>
            </w:pPr>
            <w:r>
              <w:rPr>
                <w:rFonts w:ascii="宋体" w:hAnsi="宋体" w:cs="宋体" w:eastAsia="宋体" w:hint="default"/>
                <w:spacing w:val="-1"/>
                <w:sz w:val="18"/>
                <w:szCs w:val="18"/>
              </w:rPr>
              <w:t>固定资产报废损失(收益以“－”号填列)</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right="824"/>
              <w:jc w:val="right"/>
              <w:rPr>
                <w:rFonts w:ascii="宋体" w:hAnsi="宋体" w:cs="宋体" w:eastAsia="宋体" w:hint="default"/>
                <w:sz w:val="18"/>
                <w:szCs w:val="18"/>
              </w:rPr>
            </w:pPr>
            <w:r>
              <w:rPr>
                <w:rFonts w:ascii="宋体" w:hAnsi="宋体" w:cs="宋体" w:eastAsia="宋体" w:hint="default"/>
                <w:spacing w:val="-1"/>
                <w:sz w:val="18"/>
                <w:szCs w:val="18"/>
              </w:rPr>
              <w:t>公允价值变动损失(收益以“－”号填列)</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787"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-4,576,300.30</w:t>
            </w:r>
          </w:p>
        </w:tc>
        <w:tc>
          <w:tcPr>
            <w:tcW w:w="180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5" w:footer="979" w:top="1060" w:bottom="1160" w:left="840" w:right="1020"/>
        </w:sectPr>
      </w:pPr>
    </w:p>
    <w:p>
      <w:pPr>
        <w:spacing w:line="240" w:lineRule="auto" w:before="6"/>
        <w:rPr>
          <w:rFonts w:ascii="宋体" w:hAnsi="宋体" w:cs="宋体" w:eastAsia="宋体" w:hint="default"/>
          <w:sz w:val="28"/>
          <w:szCs w:val="28"/>
        </w:rPr>
      </w:pPr>
      <w:r>
        <w:rPr/>
        <w:pict>
          <v:group style="position:absolute;margin-left:547.559998pt;margin-top:781.919983pt;width:.1pt;height:10.35pt;mso-position-horizontal-relative:page;mso-position-vertical-relative:page;z-index:4984" coordorigin="10951,15638" coordsize="2,207">
            <v:shape style="position:absolute;left:10951;top:15638;width:2;height:207" coordorigin="10951,15638" coordsize="0,207" path="m10951,15638l10951,15845e" filled="false" stroked="true" strokeweight=".12pt" strokecolor="#000000">
              <v:path arrowok="t"/>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4860"/>
        <w:gridCol w:w="1980"/>
        <w:gridCol w:w="1800"/>
      </w:tblGrid>
      <w:tr>
        <w:trPr>
          <w:trHeight w:val="557"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787"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787"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-532,858.98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-183,918.11</w:t>
            </w:r>
          </w:p>
        </w:tc>
      </w:tr>
      <w:tr>
        <w:trPr>
          <w:trHeight w:val="557"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787"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787"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-4,643,007.49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5,288,584.97</w:t>
            </w:r>
          </w:p>
        </w:tc>
      </w:tr>
      <w:tr>
        <w:trPr>
          <w:trHeight w:val="480"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464"/>
              <w:jc w:val="righ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宋体" w:hAnsi="宋体" w:cs="宋体" w:eastAsia="宋体" w:hint="default"/>
                <w:sz w:val="18"/>
                <w:szCs w:val="18"/>
              </w:rPr>
            </w:pPr>
            <w:r>
              <w:rPr>
                <w:rFonts w:ascii="宋体"/>
                <w:spacing w:val="-1"/>
                <w:sz w:val="18"/>
              </w:rPr>
              <w:t>-21,611,101.58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4"/>
              <w:jc w:val="right"/>
              <w:rPr>
                <w:rFonts w:ascii="宋体" w:hAnsi="宋体" w:cs="宋体" w:eastAsia="宋体" w:hint="default"/>
                <w:sz w:val="18"/>
                <w:szCs w:val="18"/>
              </w:rPr>
            </w:pPr>
            <w:r>
              <w:rPr>
                <w:rFonts w:ascii="宋体"/>
                <w:spacing w:val="-1"/>
                <w:sz w:val="18"/>
              </w:rPr>
              <w:t>5,709,740.77</w:t>
            </w:r>
          </w:p>
        </w:tc>
      </w:tr>
      <w:tr>
        <w:trPr>
          <w:trHeight w:val="430"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right="464"/>
              <w:jc w:val="righ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18"/>
                <w:szCs w:val="18"/>
              </w:rPr>
            </w:pPr>
            <w:r>
              <w:rPr>
                <w:rFonts w:ascii="宋体"/>
                <w:spacing w:val="-1"/>
                <w:sz w:val="18"/>
              </w:rPr>
              <w:t>5,500,039.30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18"/>
                <w:szCs w:val="18"/>
              </w:rPr>
            </w:pPr>
            <w:r>
              <w:rPr>
                <w:rFonts w:ascii="宋体"/>
                <w:spacing w:val="-1"/>
                <w:sz w:val="18"/>
              </w:rPr>
              <w:t>-1,593,511.59</w:t>
            </w:r>
          </w:p>
        </w:tc>
      </w:tr>
      <w:tr>
        <w:trPr>
          <w:trHeight w:val="557"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78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78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28,735,441.37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53,459,197.06</w:t>
            </w:r>
          </w:p>
        </w:tc>
      </w:tr>
      <w:tr>
        <w:trPr>
          <w:trHeight w:val="1025"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79"/>
              <w:ind w:left="108" w:right="120" w:firstLine="482"/>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16"/>
                <w:sz w:val="24"/>
                <w:szCs w:val="24"/>
              </w:rPr>
              <w:t> </w:t>
            </w:r>
            <w:r>
              <w:rPr>
                <w:rFonts w:ascii="宋体" w:hAnsi="宋体" w:cs="宋体" w:eastAsia="宋体" w:hint="default"/>
                <w:spacing w:val="11"/>
                <w:sz w:val="24"/>
                <w:szCs w:val="24"/>
              </w:rPr>
              <w:t>不涉及现金收支的重大投资和筹资</w:t>
            </w:r>
            <w:r>
              <w:rPr>
                <w:rFonts w:ascii="宋体" w:hAnsi="宋体" w:cs="宋体" w:eastAsia="宋体" w:hint="default"/>
                <w:sz w:val="24"/>
                <w:szCs w:val="24"/>
              </w:rPr>
              <w:t> 活动：</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506"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506"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506"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left="590"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3"/>
                <w:sz w:val="24"/>
                <w:szCs w:val="24"/>
              </w:rPr>
              <w:t> </w:t>
            </w:r>
            <w:r>
              <w:rPr>
                <w:rFonts w:ascii="宋体" w:hAnsi="宋体" w:cs="宋体" w:eastAsia="宋体" w:hint="default"/>
                <w:sz w:val="24"/>
                <w:szCs w:val="24"/>
              </w:rPr>
              <w:t>现金及现金等价物净变动情况：</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70"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40,592,168.91</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37,866,753.08</w:t>
            </w:r>
          </w:p>
        </w:tc>
      </w:tr>
      <w:tr>
        <w:trPr>
          <w:trHeight w:val="557"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470"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37,866,753.08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30,475,353.17</w:t>
            </w:r>
          </w:p>
        </w:tc>
      </w:tr>
      <w:tr>
        <w:trPr>
          <w:trHeight w:val="559"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70"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506"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559" w:hRule="exact"/>
        </w:trPr>
        <w:tc>
          <w:tcPr>
            <w:tcW w:w="48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70"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2,725,415.83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04"/>
              <w:jc w:val="right"/>
              <w:rPr>
                <w:rFonts w:ascii="宋体" w:hAnsi="宋体" w:cs="宋体" w:eastAsia="宋体" w:hint="default"/>
                <w:sz w:val="18"/>
                <w:szCs w:val="18"/>
              </w:rPr>
            </w:pPr>
            <w:r>
              <w:rPr>
                <w:rFonts w:ascii="宋体"/>
                <w:spacing w:val="-1"/>
                <w:sz w:val="18"/>
              </w:rPr>
              <w:t>7,391,399.91</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before="26"/>
        <w:ind w:left="775" w:right="0"/>
        <w:jc w:val="left"/>
      </w:pPr>
      <w:r>
        <w:rPr/>
        <w:t>十二、其他补充资料</w:t>
      </w:r>
    </w:p>
    <w:p>
      <w:pPr>
        <w:pStyle w:val="BodyText"/>
        <w:spacing w:line="240" w:lineRule="auto" w:before="194"/>
        <w:ind w:left="775" w:right="0"/>
        <w:jc w:val="left"/>
      </w:pPr>
      <w:r>
        <w:rPr/>
        <w:t>(一)</w:t>
      </w:r>
      <w:r>
        <w:rPr>
          <w:spacing w:val="-3"/>
        </w:rPr>
        <w:t> </w:t>
      </w:r>
      <w:r>
        <w:rPr/>
        <w:t>非经常性损益明细表</w:t>
      </w:r>
    </w:p>
    <w:p>
      <w:pPr>
        <w:spacing w:line="240" w:lineRule="auto" w:before="10"/>
        <w:rPr>
          <w:rFonts w:ascii="宋体" w:hAnsi="宋体" w:cs="宋体" w:eastAsia="宋体" w:hint="default"/>
          <w:sz w:val="11"/>
          <w:szCs w:val="11"/>
        </w:rPr>
      </w:pPr>
    </w:p>
    <w:tbl>
      <w:tblPr>
        <w:tblW w:w="0" w:type="auto"/>
        <w:jc w:val="left"/>
        <w:tblInd w:w="287" w:type="dxa"/>
        <w:tblLayout w:type="fixed"/>
        <w:tblCellMar>
          <w:top w:w="0" w:type="dxa"/>
          <w:left w:w="0" w:type="dxa"/>
          <w:bottom w:w="0" w:type="dxa"/>
          <w:right w:w="0" w:type="dxa"/>
        </w:tblCellMar>
        <w:tblLook w:val="01E0"/>
      </w:tblPr>
      <w:tblGrid>
        <w:gridCol w:w="5508"/>
        <w:gridCol w:w="1476"/>
        <w:gridCol w:w="1418"/>
      </w:tblGrid>
      <w:tr>
        <w:trPr>
          <w:trHeight w:val="566" w:hRule="exact"/>
        </w:trPr>
        <w:tc>
          <w:tcPr>
            <w:tcW w:w="55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290"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5"/>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69" w:hRule="exact"/>
        </w:trPr>
        <w:tc>
          <w:tcPr>
            <w:tcW w:w="55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10" w:right="0"/>
              <w:jc w:val="left"/>
              <w:rPr>
                <w:rFonts w:ascii="宋体" w:hAnsi="宋体" w:cs="宋体" w:eastAsia="宋体" w:hint="default"/>
                <w:sz w:val="18"/>
                <w:szCs w:val="18"/>
              </w:rPr>
            </w:pPr>
            <w:r>
              <w:rPr>
                <w:rFonts w:ascii="宋体" w:hAnsi="宋体" w:cs="宋体" w:eastAsia="宋体" w:hint="default"/>
                <w:sz w:val="18"/>
                <w:szCs w:val="18"/>
              </w:rPr>
              <w:t>非流动性资产处置损益，包括已计提资产减值准备的冲销部分</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0"/>
              <w:jc w:val="right"/>
              <w:rPr>
                <w:rFonts w:ascii="宋体" w:hAnsi="宋体" w:cs="宋体" w:eastAsia="宋体" w:hint="default"/>
                <w:sz w:val="18"/>
                <w:szCs w:val="18"/>
              </w:rPr>
            </w:pPr>
            <w:r>
              <w:rPr>
                <w:rFonts w:ascii="宋体"/>
                <w:spacing w:val="-1"/>
                <w:sz w:val="18"/>
              </w:rPr>
              <w:t>-42,167.55</w:t>
            </w:r>
          </w:p>
        </w:tc>
        <w:tc>
          <w:tcPr>
            <w:tcW w:w="1418"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越权审批，或无正式批准文件，或偶发性的税收返还、减免</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190,645.90</w:t>
            </w:r>
          </w:p>
        </w:tc>
        <w:tc>
          <w:tcPr>
            <w:tcW w:w="1418"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5" w:footer="979" w:top="1060" w:bottom="1160" w:left="840" w:right="840"/>
        </w:sectPr>
      </w:pPr>
    </w:p>
    <w:p>
      <w:pPr>
        <w:spacing w:line="240" w:lineRule="auto" w:before="0"/>
        <w:rPr>
          <w:rFonts w:ascii="Times New Roman" w:hAnsi="Times New Roman" w:cs="Times New Roman" w:eastAsia="Times New Roman" w:hint="default"/>
          <w:sz w:val="20"/>
          <w:szCs w:val="20"/>
        </w:rPr>
      </w:pPr>
      <w:r>
        <w:rPr/>
        <w:pict>
          <v:group style="position:absolute;margin-left:47.639999pt;margin-top:781.919983pt;width:.1pt;height:10.35pt;mso-position-horizontal-relative:page;mso-position-vertical-relative:page;z-index:5008" coordorigin="953,15638" coordsize="2,207">
            <v:shape style="position:absolute;left:953;top:15638;width:2;height:207" coordorigin="953,15638" coordsize="0,207" path="m953,15638l953,15845e" filled="false" stroked="true" strokeweight=".12pt" strokecolor="#000000">
              <v:path arrowok="t"/>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287" w:type="dxa"/>
        <w:tblLayout w:type="fixed"/>
        <w:tblCellMar>
          <w:top w:w="0" w:type="dxa"/>
          <w:left w:w="0" w:type="dxa"/>
          <w:bottom w:w="0" w:type="dxa"/>
          <w:right w:w="0" w:type="dxa"/>
        </w:tblCellMar>
        <w:tblLook w:val="01E0"/>
      </w:tblPr>
      <w:tblGrid>
        <w:gridCol w:w="5508"/>
        <w:gridCol w:w="1476"/>
        <w:gridCol w:w="1418"/>
      </w:tblGrid>
      <w:tr>
        <w:trPr>
          <w:trHeight w:val="665" w:hRule="exact"/>
        </w:trPr>
        <w:tc>
          <w:tcPr>
            <w:tcW w:w="5508"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51"/>
              <w:ind w:left="110" w:right="103"/>
              <w:jc w:val="left"/>
              <w:rPr>
                <w:rFonts w:ascii="宋体" w:hAnsi="宋体" w:cs="宋体" w:eastAsia="宋体" w:hint="default"/>
                <w:sz w:val="18"/>
                <w:szCs w:val="18"/>
              </w:rPr>
            </w:pPr>
            <w:r>
              <w:rPr>
                <w:rFonts w:ascii="宋体" w:hAnsi="宋体" w:cs="宋体" w:eastAsia="宋体" w:hint="default"/>
                <w:sz w:val="18"/>
                <w:szCs w:val="18"/>
              </w:rPr>
              <w:t>计入当期损益的政府补助（与公司正常经营业务密切相关，符合国</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家政策规定、按照一定标准定额或定量持续享受的政府补助除外）</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2,433,661.52</w:t>
            </w:r>
          </w:p>
        </w:tc>
        <w:tc>
          <w:tcPr>
            <w:tcW w:w="1418"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10"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
        </w:tc>
      </w:tr>
      <w:tr>
        <w:trPr>
          <w:trHeight w:val="698" w:hRule="exact"/>
        </w:trPr>
        <w:tc>
          <w:tcPr>
            <w:tcW w:w="550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10" w:right="103"/>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企业取得子公司、联营企业及合营企业的投资成本小于取得投资时</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应享有被投资单位可辨认净资产公允价值产生的收益</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10"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
        </w:tc>
      </w:tr>
      <w:tr>
        <w:trPr>
          <w:trHeight w:val="569" w:hRule="exact"/>
        </w:trPr>
        <w:tc>
          <w:tcPr>
            <w:tcW w:w="55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10"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10"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10"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10"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
        </w:tc>
      </w:tr>
      <w:tr>
        <w:trPr>
          <w:trHeight w:val="569" w:hRule="exact"/>
        </w:trPr>
        <w:tc>
          <w:tcPr>
            <w:tcW w:w="55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10"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10"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10"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
        </w:tc>
      </w:tr>
      <w:tr>
        <w:trPr>
          <w:trHeight w:val="965" w:hRule="exact"/>
        </w:trPr>
        <w:tc>
          <w:tcPr>
            <w:tcW w:w="550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10" w:right="103"/>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融资产、交易性金融负债产生的公允价值变动损益，以及处置交易</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性金融资产、交易性金融负债和可供出售金融资产取得的投资收益</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10"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10"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
        </w:tc>
      </w:tr>
      <w:tr>
        <w:trPr>
          <w:trHeight w:val="722" w:hRule="exact"/>
        </w:trPr>
        <w:tc>
          <w:tcPr>
            <w:tcW w:w="550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6"/>
              <w:ind w:left="110" w:right="103"/>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采用公允价值模式进行后续计量的投资性房地产公允价值变动产生</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的损益</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
        </w:tc>
      </w:tr>
      <w:tr>
        <w:trPr>
          <w:trHeight w:val="701" w:hRule="exact"/>
        </w:trPr>
        <w:tc>
          <w:tcPr>
            <w:tcW w:w="550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1"/>
              <w:ind w:left="110" w:right="103"/>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根据税收、会计等法律、法规的要求对当期损益进行一次性调整对</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当期损益的影响</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
        </w:tc>
      </w:tr>
      <w:tr>
        <w:trPr>
          <w:trHeight w:val="569" w:hRule="exact"/>
        </w:trPr>
        <w:tc>
          <w:tcPr>
            <w:tcW w:w="55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10"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10"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0"/>
              <w:jc w:val="right"/>
              <w:rPr>
                <w:rFonts w:ascii="宋体" w:hAnsi="宋体" w:cs="宋体" w:eastAsia="宋体" w:hint="default"/>
                <w:sz w:val="18"/>
                <w:szCs w:val="18"/>
              </w:rPr>
            </w:pPr>
            <w:r>
              <w:rPr>
                <w:rFonts w:ascii="宋体"/>
                <w:spacing w:val="-1"/>
                <w:sz w:val="18"/>
              </w:rPr>
              <w:t>256,181.39</w:t>
            </w:r>
          </w:p>
        </w:tc>
        <w:tc>
          <w:tcPr>
            <w:tcW w:w="1418"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10"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0"/>
              <w:jc w:val="right"/>
              <w:rPr>
                <w:rFonts w:ascii="宋体" w:hAnsi="宋体" w:cs="宋体" w:eastAsia="宋体" w:hint="default"/>
                <w:sz w:val="18"/>
                <w:szCs w:val="18"/>
              </w:rPr>
            </w:pPr>
            <w:r>
              <w:rPr>
                <w:rFonts w:ascii="宋体"/>
                <w:spacing w:val="-1"/>
                <w:sz w:val="18"/>
              </w:rPr>
              <w:t>-19,315,650.47</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商誉减值准备</w:t>
            </w:r>
          </w:p>
        </w:tc>
      </w:tr>
      <w:tr>
        <w:trPr>
          <w:trHeight w:val="566" w:hRule="exact"/>
        </w:trPr>
        <w:tc>
          <w:tcPr>
            <w:tcW w:w="55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290"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0"/>
              <w:jc w:val="right"/>
              <w:rPr>
                <w:rFonts w:ascii="宋体" w:hAnsi="宋体" w:cs="宋体" w:eastAsia="宋体" w:hint="default"/>
                <w:sz w:val="18"/>
                <w:szCs w:val="18"/>
              </w:rPr>
            </w:pPr>
            <w:r>
              <w:rPr>
                <w:rFonts w:ascii="宋体"/>
                <w:spacing w:val="-1"/>
                <w:sz w:val="18"/>
              </w:rPr>
              <w:t>-16,477,329.21</w:t>
            </w:r>
          </w:p>
        </w:tc>
        <w:tc>
          <w:tcPr>
            <w:tcW w:w="1418" w:type="dxa"/>
            <w:tcBorders>
              <w:top w:val="single" w:sz="4" w:space="0" w:color="000000"/>
              <w:left w:val="single" w:sz="4" w:space="0" w:color="000000"/>
              <w:bottom w:val="single" w:sz="4" w:space="0" w:color="000000"/>
              <w:right w:val="nil" w:sz="6" w:space="0" w:color="auto"/>
            </w:tcBorders>
          </w:tcPr>
          <w:p>
            <w:pPr/>
          </w:p>
        </w:tc>
      </w:tr>
      <w:tr>
        <w:trPr>
          <w:trHeight w:val="569" w:hRule="exact"/>
        </w:trPr>
        <w:tc>
          <w:tcPr>
            <w:tcW w:w="55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10" w:right="0"/>
              <w:jc w:val="left"/>
              <w:rPr>
                <w:rFonts w:ascii="宋体" w:hAnsi="宋体" w:cs="宋体" w:eastAsia="宋体" w:hint="default"/>
                <w:sz w:val="18"/>
                <w:szCs w:val="18"/>
              </w:rPr>
            </w:pPr>
            <w:r>
              <w:rPr>
                <w:rFonts w:ascii="宋体" w:hAnsi="宋体" w:cs="宋体" w:eastAsia="宋体" w:hint="default"/>
                <w:sz w:val="18"/>
                <w:szCs w:val="18"/>
              </w:rPr>
              <w:t>减：企业所得税影响数（所得税减少以“－”表示）</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0"/>
              <w:jc w:val="right"/>
              <w:rPr>
                <w:rFonts w:ascii="宋体" w:hAnsi="宋体" w:cs="宋体" w:eastAsia="宋体" w:hint="default"/>
                <w:sz w:val="18"/>
                <w:szCs w:val="18"/>
              </w:rPr>
            </w:pPr>
            <w:r>
              <w:rPr>
                <w:rFonts w:ascii="宋体"/>
                <w:spacing w:val="-1"/>
                <w:sz w:val="18"/>
              </w:rPr>
              <w:t>425,748.19</w:t>
            </w:r>
          </w:p>
        </w:tc>
        <w:tc>
          <w:tcPr>
            <w:tcW w:w="1418"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5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470"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745" w:footer="979" w:top="1060" w:bottom="1160" w:left="840" w:right="1020"/>
        </w:sectPr>
      </w:pPr>
    </w:p>
    <w:p>
      <w:pPr>
        <w:spacing w:line="240" w:lineRule="auto" w:before="0"/>
        <w:rPr>
          <w:rFonts w:ascii="Times New Roman" w:hAnsi="Times New Roman" w:cs="Times New Roman" w:eastAsia="Times New Roman" w:hint="default"/>
          <w:sz w:val="20"/>
          <w:szCs w:val="20"/>
        </w:rPr>
      </w:pPr>
      <w:r>
        <w:rPr/>
        <w:pict>
          <v:group style="position:absolute;margin-left:547.559998pt;margin-top:781.919983pt;width:.1pt;height:10.35pt;mso-position-horizontal-relative:page;mso-position-vertical-relative:page;z-index:5032" coordorigin="10951,15638" coordsize="2,207">
            <v:shape style="position:absolute;left:10951;top:15638;width:2;height:207" coordorigin="10951,15638" coordsize="0,207" path="m10951,15638l10951,15845e" filled="false" stroked="true" strokeweight=".12pt" strokecolor="#000000">
              <v:path arrowok="t"/>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5508"/>
        <w:gridCol w:w="1476"/>
        <w:gridCol w:w="1418"/>
      </w:tblGrid>
      <w:tr>
        <w:trPr>
          <w:trHeight w:val="566" w:hRule="exact"/>
        </w:trPr>
        <w:tc>
          <w:tcPr>
            <w:tcW w:w="55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10" w:right="0"/>
              <w:jc w:val="left"/>
              <w:rPr>
                <w:rFonts w:ascii="宋体" w:hAnsi="宋体" w:cs="宋体" w:eastAsia="宋体" w:hint="default"/>
                <w:sz w:val="18"/>
                <w:szCs w:val="18"/>
              </w:rPr>
            </w:pPr>
            <w:r>
              <w:rPr>
                <w:rFonts w:ascii="宋体" w:hAnsi="宋体" w:cs="宋体" w:eastAsia="宋体" w:hint="default"/>
                <w:sz w:val="18"/>
                <w:szCs w:val="18"/>
              </w:rPr>
              <w:t>归属于母公司所有者的非经常性损益净额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5" w:right="0"/>
              <w:jc w:val="left"/>
              <w:rPr>
                <w:rFonts w:ascii="宋体" w:hAnsi="宋体" w:cs="宋体" w:eastAsia="宋体" w:hint="default"/>
                <w:sz w:val="18"/>
                <w:szCs w:val="18"/>
              </w:rPr>
            </w:pPr>
            <w:r>
              <w:rPr>
                <w:rFonts w:ascii="宋体"/>
                <w:sz w:val="18"/>
              </w:rPr>
              <w:t>-16,903,077.40</w:t>
            </w:r>
          </w:p>
        </w:tc>
        <w:tc>
          <w:tcPr>
            <w:tcW w:w="1418"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8"/>
          <w:szCs w:val="28"/>
        </w:rPr>
      </w:pPr>
    </w:p>
    <w:p>
      <w:pPr>
        <w:pStyle w:val="BodyText"/>
        <w:spacing w:line="388" w:lineRule="auto" w:before="26"/>
        <w:ind w:left="595" w:right="6194"/>
        <w:jc w:val="left"/>
      </w:pPr>
      <w:r>
        <w:rPr/>
        <w:t>(二)</w:t>
      </w:r>
      <w:r>
        <w:rPr>
          <w:spacing w:val="-3"/>
        </w:rPr>
        <w:t> </w:t>
      </w:r>
      <w:r>
        <w:rPr/>
        <w:t>净资产收益率及每股收益</w:t>
      </w:r>
      <w:r>
        <w:rPr/>
        <w:t> 1.</w:t>
      </w:r>
      <w:r>
        <w:rPr>
          <w:spacing w:val="-3"/>
        </w:rPr>
        <w:t> </w:t>
      </w:r>
      <w:r>
        <w:rPr/>
        <w:t>明细情况</w:t>
      </w:r>
    </w:p>
    <w:tbl>
      <w:tblPr>
        <w:tblW w:w="0" w:type="auto"/>
        <w:jc w:val="left"/>
        <w:tblInd w:w="107" w:type="dxa"/>
        <w:tblLayout w:type="fixed"/>
        <w:tblCellMar>
          <w:top w:w="0" w:type="dxa"/>
          <w:left w:w="0" w:type="dxa"/>
          <w:bottom w:w="0" w:type="dxa"/>
          <w:right w:w="0" w:type="dxa"/>
        </w:tblCellMar>
        <w:tblLook w:val="01E0"/>
      </w:tblPr>
      <w:tblGrid>
        <w:gridCol w:w="2880"/>
        <w:gridCol w:w="2083"/>
        <w:gridCol w:w="1877"/>
        <w:gridCol w:w="1781"/>
      </w:tblGrid>
      <w:tr>
        <w:trPr>
          <w:trHeight w:val="566" w:hRule="exact"/>
        </w:trPr>
        <w:tc>
          <w:tcPr>
            <w:tcW w:w="288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208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32" w:lineRule="exact"/>
              <w:ind w:left="633" w:right="403" w:hanging="226"/>
              <w:jc w:val="left"/>
              <w:rPr>
                <w:rFonts w:ascii="宋体" w:hAnsi="宋体" w:cs="宋体" w:eastAsia="宋体" w:hint="default"/>
                <w:sz w:val="18"/>
                <w:szCs w:val="18"/>
              </w:rPr>
            </w:pPr>
            <w:r>
              <w:rPr>
                <w:rFonts w:ascii="宋体" w:hAnsi="宋体" w:cs="宋体" w:eastAsia="宋体" w:hint="default"/>
                <w:sz w:val="18"/>
                <w:szCs w:val="18"/>
              </w:rPr>
              <w:t>加权平均净资产 收益率(%)</w:t>
            </w:r>
          </w:p>
        </w:tc>
        <w:tc>
          <w:tcPr>
            <w:tcW w:w="365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left="1149" w:right="0"/>
              <w:jc w:val="left"/>
              <w:rPr>
                <w:rFonts w:ascii="宋体" w:hAnsi="宋体" w:cs="宋体" w:eastAsia="宋体" w:hint="default"/>
                <w:sz w:val="18"/>
                <w:szCs w:val="18"/>
              </w:rPr>
            </w:pPr>
            <w:r>
              <w:rPr>
                <w:rFonts w:ascii="宋体" w:hAnsi="宋体" w:cs="宋体" w:eastAsia="宋体" w:hint="default"/>
                <w:sz w:val="18"/>
                <w:szCs w:val="18"/>
              </w:rPr>
              <w:t>每股收益(元/股)</w:t>
            </w:r>
          </w:p>
        </w:tc>
      </w:tr>
      <w:tr>
        <w:trPr>
          <w:trHeight w:val="566" w:hRule="exact"/>
        </w:trPr>
        <w:tc>
          <w:tcPr>
            <w:tcW w:w="2880" w:type="dxa"/>
            <w:vMerge/>
            <w:tcBorders>
              <w:left w:val="nil" w:sz="6" w:space="0" w:color="auto"/>
              <w:bottom w:val="single" w:sz="4" w:space="0" w:color="000000"/>
              <w:right w:val="single" w:sz="4" w:space="0" w:color="000000"/>
            </w:tcBorders>
          </w:tcPr>
          <w:p>
            <w:pPr/>
          </w:p>
        </w:tc>
        <w:tc>
          <w:tcPr>
            <w:tcW w:w="2083" w:type="dxa"/>
            <w:vMerge/>
            <w:tcBorders>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4"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2"/>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566" w:hRule="exact"/>
        </w:trPr>
        <w:tc>
          <w:tcPr>
            <w:tcW w:w="28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10"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6" w:right="0"/>
              <w:jc w:val="center"/>
              <w:rPr>
                <w:rFonts w:ascii="宋体" w:hAnsi="宋体" w:cs="宋体" w:eastAsia="宋体" w:hint="default"/>
                <w:sz w:val="18"/>
                <w:szCs w:val="18"/>
              </w:rPr>
            </w:pPr>
            <w:r>
              <w:rPr>
                <w:rFonts w:ascii="宋体"/>
                <w:sz w:val="18"/>
              </w:rPr>
              <w:t>0.92</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6" w:right="0"/>
              <w:jc w:val="center"/>
              <w:rPr>
                <w:rFonts w:ascii="宋体" w:hAnsi="宋体" w:cs="宋体" w:eastAsia="宋体" w:hint="default"/>
                <w:sz w:val="18"/>
                <w:szCs w:val="18"/>
              </w:rPr>
            </w:pPr>
            <w:r>
              <w:rPr>
                <w:rFonts w:ascii="宋体"/>
                <w:sz w:val="18"/>
              </w:rPr>
              <w:t>0.04</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0.04</w:t>
            </w:r>
          </w:p>
        </w:tc>
      </w:tr>
      <w:tr>
        <w:trPr>
          <w:trHeight w:val="569" w:hRule="exact"/>
        </w:trPr>
        <w:tc>
          <w:tcPr>
            <w:tcW w:w="2880"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42"/>
              <w:ind w:left="110" w:right="101"/>
              <w:jc w:val="left"/>
              <w:rPr>
                <w:rFonts w:ascii="宋体" w:hAnsi="宋体" w:cs="宋体" w:eastAsia="宋体" w:hint="default"/>
                <w:sz w:val="18"/>
                <w:szCs w:val="18"/>
              </w:rPr>
            </w:pPr>
            <w:r>
              <w:rPr>
                <w:rFonts w:ascii="宋体" w:hAnsi="宋体" w:cs="宋体" w:eastAsia="宋体" w:hint="default"/>
                <w:spacing w:val="9"/>
                <w:sz w:val="18"/>
                <w:szCs w:val="18"/>
              </w:rPr>
              <w:t>扣除非经常性损益后归属于公司</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普通股股东的净利润</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6" w:right="0"/>
              <w:jc w:val="center"/>
              <w:rPr>
                <w:rFonts w:ascii="宋体" w:hAnsi="宋体" w:cs="宋体" w:eastAsia="宋体" w:hint="default"/>
                <w:sz w:val="18"/>
                <w:szCs w:val="18"/>
              </w:rPr>
            </w:pPr>
            <w:r>
              <w:rPr>
                <w:rFonts w:ascii="宋体"/>
                <w:sz w:val="18"/>
              </w:rPr>
              <w:t>4.42</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6" w:right="0"/>
              <w:jc w:val="center"/>
              <w:rPr>
                <w:rFonts w:ascii="宋体" w:hAnsi="宋体" w:cs="宋体" w:eastAsia="宋体" w:hint="default"/>
                <w:sz w:val="18"/>
                <w:szCs w:val="18"/>
              </w:rPr>
            </w:pPr>
            <w:r>
              <w:rPr>
                <w:rFonts w:ascii="宋体"/>
                <w:sz w:val="18"/>
              </w:rPr>
              <w:t>0.20</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1"/>
              <w:jc w:val="center"/>
              <w:rPr>
                <w:rFonts w:ascii="宋体" w:hAnsi="宋体" w:cs="宋体" w:eastAsia="宋体" w:hint="default"/>
                <w:sz w:val="18"/>
                <w:szCs w:val="18"/>
              </w:rPr>
            </w:pPr>
            <w:r>
              <w:rPr>
                <w:rFonts w:ascii="宋体"/>
                <w:sz w:val="18"/>
              </w:rPr>
              <w:t>0.20</w:t>
            </w:r>
          </w:p>
        </w:tc>
      </w:tr>
    </w:tbl>
    <w:p>
      <w:pPr>
        <w:pStyle w:val="BodyText"/>
        <w:spacing w:line="240" w:lineRule="auto" w:before="84"/>
        <w:ind w:left="595" w:right="279"/>
        <w:jc w:val="left"/>
      </w:pPr>
      <w:r>
        <w:rPr/>
        <w:t>2.</w:t>
      </w:r>
      <w:r>
        <w:rPr>
          <w:spacing w:val="-3"/>
        </w:rPr>
        <w:t> </w:t>
      </w:r>
      <w:r>
        <w:rPr/>
        <w:t>加权平均净资产收益率的计算过程</w:t>
      </w:r>
    </w:p>
    <w:p>
      <w:pPr>
        <w:spacing w:line="240" w:lineRule="auto" w:before="10"/>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852"/>
        <w:gridCol w:w="3648"/>
        <w:gridCol w:w="1800"/>
        <w:gridCol w:w="2340"/>
      </w:tblGrid>
      <w:tr>
        <w:trPr>
          <w:trHeight w:val="566" w:hRule="exact"/>
        </w:trPr>
        <w:tc>
          <w:tcPr>
            <w:tcW w:w="450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290"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4"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2"/>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569" w:hRule="exact"/>
        </w:trPr>
        <w:tc>
          <w:tcPr>
            <w:tcW w:w="450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10"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3" w:right="0"/>
              <w:jc w:val="center"/>
              <w:rPr>
                <w:rFonts w:ascii="宋体" w:hAnsi="宋体" w:cs="宋体" w:eastAsia="宋体" w:hint="default"/>
                <w:sz w:val="18"/>
                <w:szCs w:val="18"/>
              </w:rPr>
            </w:pPr>
            <w:r>
              <w:rPr>
                <w:rFonts w:ascii="宋体"/>
                <w:sz w:val="18"/>
              </w:rPr>
              <w:t>A</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5"/>
              <w:ind w:right="104"/>
              <w:jc w:val="right"/>
              <w:rPr>
                <w:rFonts w:ascii="宋体" w:hAnsi="宋体" w:cs="宋体" w:eastAsia="宋体" w:hint="default"/>
                <w:sz w:val="18"/>
                <w:szCs w:val="18"/>
              </w:rPr>
            </w:pPr>
            <w:r>
              <w:rPr>
                <w:rFonts w:ascii="宋体"/>
                <w:spacing w:val="-1"/>
                <w:sz w:val="18"/>
              </w:rPr>
              <w:t>4,431,085.96</w:t>
            </w:r>
          </w:p>
        </w:tc>
      </w:tr>
      <w:tr>
        <w:trPr>
          <w:trHeight w:val="566" w:hRule="exact"/>
        </w:trPr>
        <w:tc>
          <w:tcPr>
            <w:tcW w:w="450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10"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3" w:right="0"/>
              <w:jc w:val="center"/>
              <w:rPr>
                <w:rFonts w:ascii="宋体" w:hAnsi="宋体" w:cs="宋体" w:eastAsia="宋体" w:hint="default"/>
                <w:sz w:val="18"/>
                <w:szCs w:val="18"/>
              </w:rPr>
            </w:pPr>
            <w:r>
              <w:rPr>
                <w:rFonts w:ascii="宋体"/>
                <w:sz w:val="18"/>
              </w:rPr>
              <w:t>B</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4"/>
              <w:jc w:val="right"/>
              <w:rPr>
                <w:rFonts w:ascii="宋体" w:hAnsi="宋体" w:cs="宋体" w:eastAsia="宋体" w:hint="default"/>
                <w:sz w:val="18"/>
                <w:szCs w:val="18"/>
              </w:rPr>
            </w:pPr>
            <w:r>
              <w:rPr>
                <w:rFonts w:ascii="宋体"/>
                <w:spacing w:val="-1"/>
                <w:sz w:val="18"/>
              </w:rPr>
              <w:t>-16,903,077.40</w:t>
            </w:r>
          </w:p>
        </w:tc>
      </w:tr>
      <w:tr>
        <w:trPr>
          <w:trHeight w:val="758" w:hRule="exact"/>
        </w:trPr>
        <w:tc>
          <w:tcPr>
            <w:tcW w:w="4500" w:type="dxa"/>
            <w:gridSpan w:val="2"/>
            <w:tcBorders>
              <w:top w:val="single" w:sz="4" w:space="0" w:color="000000"/>
              <w:left w:val="nil" w:sz="6" w:space="0" w:color="auto"/>
              <w:bottom w:val="single" w:sz="4" w:space="0" w:color="000000"/>
              <w:right w:val="single" w:sz="4" w:space="0" w:color="000000"/>
            </w:tcBorders>
          </w:tcPr>
          <w:p>
            <w:pPr>
              <w:pStyle w:val="TableParagraph"/>
              <w:spacing w:line="316" w:lineRule="auto" w:before="73"/>
              <w:ind w:left="110" w:right="110"/>
              <w:jc w:val="left"/>
              <w:rPr>
                <w:rFonts w:ascii="宋体" w:hAnsi="宋体" w:cs="宋体" w:eastAsia="宋体" w:hint="default"/>
                <w:sz w:val="18"/>
                <w:szCs w:val="18"/>
              </w:rPr>
            </w:pPr>
            <w:r>
              <w:rPr>
                <w:rFonts w:ascii="宋体" w:hAnsi="宋体" w:cs="宋体" w:eastAsia="宋体" w:hint="default"/>
                <w:spacing w:val="5"/>
                <w:sz w:val="18"/>
                <w:szCs w:val="18"/>
              </w:rPr>
              <w:t>扣除非经常性损益后的归属于公司普通股股东的净利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 w:right="0"/>
              <w:jc w:val="center"/>
              <w:rPr>
                <w:rFonts w:ascii="宋体" w:hAnsi="宋体" w:cs="宋体" w:eastAsia="宋体" w:hint="default"/>
                <w:sz w:val="18"/>
                <w:szCs w:val="18"/>
              </w:rPr>
            </w:pPr>
            <w:r>
              <w:rPr>
                <w:rFonts w:ascii="宋体"/>
                <w:sz w:val="18"/>
              </w:rPr>
              <w:t>C=A-B</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21,334,163.36</w:t>
            </w:r>
          </w:p>
        </w:tc>
      </w:tr>
      <w:tr>
        <w:trPr>
          <w:trHeight w:val="566" w:hRule="exact"/>
        </w:trPr>
        <w:tc>
          <w:tcPr>
            <w:tcW w:w="450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10"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归属于公司普通股股东的期初净资产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3" w:right="0"/>
              <w:jc w:val="center"/>
              <w:rPr>
                <w:rFonts w:ascii="宋体" w:hAnsi="宋体" w:cs="宋体" w:eastAsia="宋体" w:hint="default"/>
                <w:sz w:val="18"/>
                <w:szCs w:val="18"/>
              </w:rPr>
            </w:pPr>
            <w:r>
              <w:rPr>
                <w:rFonts w:ascii="宋体"/>
                <w:sz w:val="18"/>
              </w:rPr>
              <w:t>D</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4"/>
              <w:jc w:val="right"/>
              <w:rPr>
                <w:rFonts w:ascii="宋体" w:hAnsi="宋体" w:cs="宋体" w:eastAsia="宋体" w:hint="default"/>
                <w:sz w:val="18"/>
                <w:szCs w:val="18"/>
              </w:rPr>
            </w:pPr>
            <w:r>
              <w:rPr>
                <w:rFonts w:ascii="宋体"/>
                <w:spacing w:val="-1"/>
                <w:sz w:val="18"/>
              </w:rPr>
              <w:t>493,307,621.98</w:t>
            </w:r>
          </w:p>
        </w:tc>
      </w:tr>
      <w:tr>
        <w:trPr>
          <w:trHeight w:val="761" w:hRule="exact"/>
        </w:trPr>
        <w:tc>
          <w:tcPr>
            <w:tcW w:w="4500" w:type="dxa"/>
            <w:gridSpan w:val="2"/>
            <w:tcBorders>
              <w:top w:val="single" w:sz="4" w:space="0" w:color="000000"/>
              <w:left w:val="nil" w:sz="6" w:space="0" w:color="auto"/>
              <w:bottom w:val="single" w:sz="4" w:space="0" w:color="000000"/>
              <w:right w:val="single" w:sz="4" w:space="0" w:color="000000"/>
            </w:tcBorders>
          </w:tcPr>
          <w:p>
            <w:pPr>
              <w:pStyle w:val="TableParagraph"/>
              <w:spacing w:line="319" w:lineRule="auto" w:before="73"/>
              <w:ind w:left="110" w:right="98"/>
              <w:jc w:val="left"/>
              <w:rPr>
                <w:rFonts w:ascii="宋体" w:hAnsi="宋体" w:cs="宋体" w:eastAsia="宋体" w:hint="default"/>
                <w:sz w:val="18"/>
                <w:szCs w:val="18"/>
              </w:rPr>
            </w:pPr>
            <w:r>
              <w:rPr>
                <w:rFonts w:ascii="宋体" w:hAnsi="宋体" w:cs="宋体" w:eastAsia="宋体" w:hint="default"/>
                <w:spacing w:val="-2"/>
                <w:sz w:val="18"/>
                <w:szCs w:val="18"/>
              </w:rPr>
              <w:t>发行新股或债转股等新增的、归属于公司普通股股东的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净资产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 w:right="0"/>
              <w:jc w:val="center"/>
              <w:rPr>
                <w:rFonts w:ascii="宋体" w:hAnsi="宋体" w:cs="宋体" w:eastAsia="宋体" w:hint="default"/>
                <w:sz w:val="18"/>
                <w:szCs w:val="18"/>
              </w:rPr>
            </w:pPr>
            <w:r>
              <w:rPr>
                <w:rFonts w:ascii="宋体"/>
                <w:sz w:val="18"/>
              </w:rPr>
              <w:t>E</w:t>
            </w:r>
          </w:p>
        </w:tc>
        <w:tc>
          <w:tcPr>
            <w:tcW w:w="2340"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450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10" w:right="0"/>
              <w:jc w:val="left"/>
              <w:rPr>
                <w:rFonts w:ascii="宋体" w:hAnsi="宋体" w:cs="宋体" w:eastAsia="宋体" w:hint="default"/>
                <w:sz w:val="18"/>
                <w:szCs w:val="18"/>
              </w:rPr>
            </w:pPr>
            <w:r>
              <w:rPr>
                <w:rFonts w:ascii="宋体" w:hAnsi="宋体" w:cs="宋体" w:eastAsia="宋体" w:hint="default"/>
                <w:sz w:val="18"/>
                <w:szCs w:val="18"/>
              </w:rPr>
              <w:t>新增净资产次月起至报告期期末的累计月数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3" w:right="0"/>
              <w:jc w:val="center"/>
              <w:rPr>
                <w:rFonts w:ascii="宋体" w:hAnsi="宋体" w:cs="宋体" w:eastAsia="宋体" w:hint="default"/>
                <w:sz w:val="18"/>
                <w:szCs w:val="18"/>
              </w:rPr>
            </w:pPr>
            <w:r>
              <w:rPr>
                <w:rFonts w:ascii="宋体"/>
                <w:sz w:val="18"/>
              </w:rPr>
              <w:t>F</w:t>
            </w:r>
          </w:p>
        </w:tc>
        <w:tc>
          <w:tcPr>
            <w:tcW w:w="2340" w:type="dxa"/>
            <w:tcBorders>
              <w:top w:val="single" w:sz="4" w:space="0" w:color="000000"/>
              <w:left w:val="single" w:sz="4" w:space="0" w:color="000000"/>
              <w:bottom w:val="single" w:sz="4" w:space="0" w:color="000000"/>
              <w:right w:val="nil" w:sz="6" w:space="0" w:color="auto"/>
            </w:tcBorders>
          </w:tcPr>
          <w:p>
            <w:pPr/>
          </w:p>
        </w:tc>
      </w:tr>
      <w:tr>
        <w:trPr>
          <w:trHeight w:val="749" w:hRule="exact"/>
        </w:trPr>
        <w:tc>
          <w:tcPr>
            <w:tcW w:w="4500" w:type="dxa"/>
            <w:gridSpan w:val="2"/>
            <w:tcBorders>
              <w:top w:val="single" w:sz="4" w:space="0" w:color="000000"/>
              <w:left w:val="nil" w:sz="6" w:space="0" w:color="auto"/>
              <w:bottom w:val="single" w:sz="4" w:space="0" w:color="000000"/>
              <w:right w:val="single" w:sz="4" w:space="0" w:color="000000"/>
            </w:tcBorders>
          </w:tcPr>
          <w:p>
            <w:pPr>
              <w:pStyle w:val="TableParagraph"/>
              <w:spacing w:line="316" w:lineRule="auto" w:before="68"/>
              <w:ind w:left="110" w:right="98"/>
              <w:jc w:val="left"/>
              <w:rPr>
                <w:rFonts w:ascii="宋体" w:hAnsi="宋体" w:cs="宋体" w:eastAsia="宋体" w:hint="default"/>
                <w:sz w:val="18"/>
                <w:szCs w:val="18"/>
              </w:rPr>
            </w:pPr>
            <w:r>
              <w:rPr>
                <w:rFonts w:ascii="宋体" w:hAnsi="宋体" w:cs="宋体" w:eastAsia="宋体" w:hint="default"/>
                <w:spacing w:val="-2"/>
                <w:sz w:val="18"/>
                <w:szCs w:val="18"/>
              </w:rPr>
              <w:t>回购或现金分红等减少的、归属于公司普通股股东的净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 w:right="0"/>
              <w:jc w:val="center"/>
              <w:rPr>
                <w:rFonts w:ascii="宋体" w:hAnsi="宋体" w:cs="宋体" w:eastAsia="宋体" w:hint="default"/>
                <w:sz w:val="18"/>
                <w:szCs w:val="18"/>
              </w:rPr>
            </w:pPr>
            <w:r>
              <w:rPr>
                <w:rFonts w:ascii="宋体"/>
                <w:sz w:val="18"/>
              </w:rPr>
              <w:t>G</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12,839,999.98</w:t>
            </w:r>
          </w:p>
        </w:tc>
      </w:tr>
      <w:tr>
        <w:trPr>
          <w:trHeight w:val="566" w:hRule="exact"/>
        </w:trPr>
        <w:tc>
          <w:tcPr>
            <w:tcW w:w="450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10"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3" w:right="0"/>
              <w:jc w:val="center"/>
              <w:rPr>
                <w:rFonts w:ascii="宋体" w:hAnsi="宋体" w:cs="宋体" w:eastAsia="宋体" w:hint="default"/>
                <w:sz w:val="18"/>
                <w:szCs w:val="18"/>
              </w:rPr>
            </w:pPr>
            <w:r>
              <w:rPr>
                <w:rFonts w:ascii="宋体"/>
                <w:sz w:val="18"/>
              </w:rPr>
              <w:t>H</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4"/>
              <w:jc w:val="right"/>
              <w:rPr>
                <w:rFonts w:ascii="宋体" w:hAnsi="宋体" w:cs="宋体" w:eastAsia="宋体" w:hint="default"/>
                <w:sz w:val="18"/>
                <w:szCs w:val="18"/>
              </w:rPr>
            </w:pPr>
            <w:r>
              <w:rPr>
                <w:rFonts w:ascii="宋体"/>
                <w:sz w:val="18"/>
              </w:rPr>
              <w:t>8</w:t>
            </w:r>
          </w:p>
        </w:tc>
      </w:tr>
      <w:tr>
        <w:trPr>
          <w:trHeight w:val="566" w:hRule="exact"/>
        </w:trPr>
        <w:tc>
          <w:tcPr>
            <w:tcW w:w="85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购买子公司少数股东权益减少资本公积</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3" w:right="0"/>
              <w:jc w:val="center"/>
              <w:rPr>
                <w:rFonts w:ascii="宋体" w:hAnsi="宋体" w:cs="宋体" w:eastAsia="宋体" w:hint="default"/>
                <w:sz w:val="18"/>
                <w:szCs w:val="18"/>
              </w:rPr>
            </w:pPr>
            <w:r>
              <w:rPr>
                <w:rFonts w:ascii="宋体"/>
                <w:sz w:val="18"/>
              </w:rPr>
              <w:t>I</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4"/>
              <w:jc w:val="right"/>
              <w:rPr>
                <w:rFonts w:ascii="宋体" w:hAnsi="宋体" w:cs="宋体" w:eastAsia="宋体" w:hint="default"/>
                <w:sz w:val="18"/>
                <w:szCs w:val="18"/>
              </w:rPr>
            </w:pPr>
            <w:r>
              <w:rPr>
                <w:rFonts w:ascii="宋体"/>
                <w:spacing w:val="-1"/>
                <w:sz w:val="18"/>
              </w:rPr>
              <w:t>5,268,332.47</w:t>
            </w:r>
          </w:p>
        </w:tc>
      </w:tr>
      <w:tr>
        <w:trPr>
          <w:trHeight w:val="566" w:hRule="exact"/>
        </w:trPr>
        <w:tc>
          <w:tcPr>
            <w:tcW w:w="852" w:type="dxa"/>
            <w:vMerge/>
            <w:tcBorders>
              <w:left w:val="nil" w:sz="6" w:space="0" w:color="auto"/>
              <w:bottom w:val="single" w:sz="4" w:space="0" w:color="000000"/>
              <w:right w:val="single" w:sz="4" w:space="0" w:color="000000"/>
            </w:tcBorders>
          </w:tcPr>
          <w:p>
            <w:pPr/>
          </w:p>
        </w:tc>
        <w:tc>
          <w:tcPr>
            <w:tcW w:w="3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3" w:right="0"/>
              <w:jc w:val="center"/>
              <w:rPr>
                <w:rFonts w:ascii="宋体" w:hAnsi="宋体" w:cs="宋体" w:eastAsia="宋体" w:hint="default"/>
                <w:sz w:val="18"/>
                <w:szCs w:val="18"/>
              </w:rPr>
            </w:pPr>
            <w:r>
              <w:rPr>
                <w:rFonts w:ascii="宋体"/>
                <w:sz w:val="18"/>
              </w:rPr>
              <w:t>J</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4"/>
              <w:jc w:val="right"/>
              <w:rPr>
                <w:rFonts w:ascii="宋体" w:hAnsi="宋体" w:cs="宋体" w:eastAsia="宋体" w:hint="default"/>
                <w:sz w:val="18"/>
                <w:szCs w:val="18"/>
              </w:rPr>
            </w:pPr>
            <w:r>
              <w:rPr>
                <w:rFonts w:ascii="宋体"/>
                <w:sz w:val="18"/>
              </w:rPr>
              <w:t>11</w:t>
            </w:r>
          </w:p>
        </w:tc>
      </w:tr>
      <w:tr>
        <w:trPr>
          <w:trHeight w:val="569" w:hRule="exact"/>
        </w:trPr>
        <w:tc>
          <w:tcPr>
            <w:tcW w:w="450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10"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3" w:right="0"/>
              <w:jc w:val="center"/>
              <w:rPr>
                <w:rFonts w:ascii="宋体" w:hAnsi="宋体" w:cs="宋体" w:eastAsia="宋体" w:hint="default"/>
                <w:sz w:val="18"/>
                <w:szCs w:val="18"/>
              </w:rPr>
            </w:pPr>
            <w:r>
              <w:rPr>
                <w:rFonts w:ascii="宋体"/>
                <w:sz w:val="18"/>
              </w:rPr>
              <w:t>K</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4"/>
              <w:jc w:val="right"/>
              <w:rPr>
                <w:rFonts w:ascii="宋体" w:hAnsi="宋体" w:cs="宋体" w:eastAsia="宋体" w:hint="default"/>
                <w:sz w:val="18"/>
                <w:szCs w:val="18"/>
              </w:rPr>
            </w:pPr>
            <w:r>
              <w:rPr>
                <w:rFonts w:ascii="宋体"/>
                <w:sz w:val="18"/>
              </w:rPr>
              <w:t>12</w:t>
            </w:r>
          </w:p>
        </w:tc>
      </w:tr>
      <w:tr>
        <w:trPr>
          <w:trHeight w:val="566" w:hRule="exact"/>
        </w:trPr>
        <w:tc>
          <w:tcPr>
            <w:tcW w:w="450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10" w:right="0"/>
              <w:jc w:val="left"/>
              <w:rPr>
                <w:rFonts w:ascii="宋体" w:hAnsi="宋体" w:cs="宋体" w:eastAsia="宋体" w:hint="default"/>
                <w:sz w:val="18"/>
                <w:szCs w:val="18"/>
              </w:rPr>
            </w:pPr>
            <w:r>
              <w:rPr>
                <w:rFonts w:ascii="宋体" w:hAnsi="宋体" w:cs="宋体" w:eastAsia="宋体" w:hint="default"/>
                <w:sz w:val="18"/>
                <w:szCs w:val="18"/>
              </w:rPr>
              <w:t>加权平均净资产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L= D+A/2+</w:t>
            </w:r>
            <w:r>
              <w:rPr>
                <w:rFonts w:ascii="宋体" w:hAnsi="宋体" w:cs="宋体" w:eastAsia="宋体" w:hint="default"/>
                <w:spacing w:val="-44"/>
                <w:sz w:val="18"/>
                <w:szCs w:val="18"/>
              </w:rPr>
              <w:t> </w:t>
            </w:r>
            <w:r>
              <w:rPr>
                <w:rFonts w:ascii="宋体" w:hAnsi="宋体" w:cs="宋体" w:eastAsia="宋体" w:hint="default"/>
                <w:sz w:val="18"/>
                <w:szCs w:val="18"/>
              </w:rPr>
              <w:t>E×F/K-G</w:t>
            </w:r>
          </w:p>
          <w:p>
            <w:pPr>
              <w:pStyle w:val="TableParagraph"/>
              <w:spacing w:line="233" w:lineRule="exact" w:before="76"/>
              <w:ind w:left="3" w:right="0"/>
              <w:jc w:val="center"/>
              <w:rPr>
                <w:rFonts w:ascii="宋体" w:hAnsi="宋体" w:cs="宋体" w:eastAsia="宋体" w:hint="default"/>
                <w:sz w:val="18"/>
                <w:szCs w:val="18"/>
              </w:rPr>
            </w:pPr>
            <w:r>
              <w:rPr>
                <w:rFonts w:ascii="宋体" w:hAnsi="宋体" w:cs="宋体" w:eastAsia="宋体" w:hint="default"/>
                <w:sz w:val="18"/>
                <w:szCs w:val="18"/>
              </w:rPr>
              <w:t>×H/K±I×J/K</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4"/>
              <w:jc w:val="right"/>
              <w:rPr>
                <w:rFonts w:ascii="宋体" w:hAnsi="宋体" w:cs="宋体" w:eastAsia="宋体" w:hint="default"/>
                <w:sz w:val="18"/>
                <w:szCs w:val="18"/>
              </w:rPr>
            </w:pPr>
            <w:r>
              <w:rPr>
                <w:rFonts w:ascii="宋体"/>
                <w:spacing w:val="-1"/>
                <w:sz w:val="18"/>
              </w:rPr>
              <w:t>482,133,860.21</w:t>
            </w:r>
          </w:p>
        </w:tc>
      </w:tr>
      <w:tr>
        <w:trPr>
          <w:trHeight w:val="566" w:hRule="exact"/>
        </w:trPr>
        <w:tc>
          <w:tcPr>
            <w:tcW w:w="450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10"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3" w:right="0"/>
              <w:jc w:val="center"/>
              <w:rPr>
                <w:rFonts w:ascii="宋体" w:hAnsi="宋体" w:cs="宋体" w:eastAsia="宋体" w:hint="default"/>
                <w:sz w:val="18"/>
                <w:szCs w:val="18"/>
              </w:rPr>
            </w:pPr>
            <w:r>
              <w:rPr>
                <w:rFonts w:ascii="宋体"/>
                <w:sz w:val="18"/>
              </w:rPr>
              <w:t>M=A/L</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4"/>
              <w:jc w:val="right"/>
              <w:rPr>
                <w:rFonts w:ascii="宋体" w:hAnsi="宋体" w:cs="宋体" w:eastAsia="宋体" w:hint="default"/>
                <w:sz w:val="18"/>
                <w:szCs w:val="18"/>
              </w:rPr>
            </w:pPr>
            <w:r>
              <w:rPr>
                <w:rFonts w:ascii="宋体"/>
                <w:spacing w:val="-1"/>
                <w:sz w:val="18"/>
              </w:rPr>
              <w:t>0.92%</w:t>
            </w:r>
          </w:p>
        </w:tc>
      </w:tr>
    </w:tbl>
    <w:p>
      <w:pPr>
        <w:spacing w:after="0" w:line="240" w:lineRule="auto"/>
        <w:jc w:val="right"/>
        <w:rPr>
          <w:rFonts w:ascii="宋体" w:hAnsi="宋体" w:cs="宋体" w:eastAsia="宋体" w:hint="default"/>
          <w:sz w:val="18"/>
          <w:szCs w:val="18"/>
        </w:rPr>
        <w:sectPr>
          <w:pgSz w:w="11910" w:h="16840"/>
          <w:pgMar w:header="745" w:footer="979" w:top="1060" w:bottom="1160" w:left="1020" w:right="840"/>
        </w:sectPr>
      </w:pPr>
    </w:p>
    <w:p>
      <w:pPr>
        <w:spacing w:line="240" w:lineRule="auto" w:before="6"/>
        <w:rPr>
          <w:rFonts w:ascii="宋体" w:hAnsi="宋体" w:cs="宋体" w:eastAsia="宋体" w:hint="default"/>
          <w:sz w:val="28"/>
          <w:szCs w:val="28"/>
        </w:rPr>
      </w:pPr>
      <w:r>
        <w:rPr/>
        <w:pict>
          <v:group style="position:absolute;margin-left:47.639999pt;margin-top:781.919983pt;width:.1pt;height:10.35pt;mso-position-horizontal-relative:page;mso-position-vertical-relative:page;z-index:5056" coordorigin="953,15638" coordsize="2,207">
            <v:shape style="position:absolute;left:953;top:15638;width:2;height:207" coordorigin="953,15638" coordsize="0,207" path="m953,15638l953,15845e" filled="false" stroked="true" strokeweight=".12pt" strokecolor="#000000">
              <v:path arrowok="t"/>
            </v:shape>
            <w10:wrap type="none"/>
          </v:group>
        </w:pict>
      </w:r>
    </w:p>
    <w:tbl>
      <w:tblPr>
        <w:tblW w:w="0" w:type="auto"/>
        <w:jc w:val="left"/>
        <w:tblInd w:w="287" w:type="dxa"/>
        <w:tblLayout w:type="fixed"/>
        <w:tblCellMar>
          <w:top w:w="0" w:type="dxa"/>
          <w:left w:w="0" w:type="dxa"/>
          <w:bottom w:w="0" w:type="dxa"/>
          <w:right w:w="0" w:type="dxa"/>
        </w:tblCellMar>
        <w:tblLook w:val="01E0"/>
      </w:tblPr>
      <w:tblGrid>
        <w:gridCol w:w="4500"/>
        <w:gridCol w:w="1800"/>
        <w:gridCol w:w="2340"/>
      </w:tblGrid>
      <w:tr>
        <w:trPr>
          <w:trHeight w:val="566" w:hRule="exact"/>
        </w:trPr>
        <w:tc>
          <w:tcPr>
            <w:tcW w:w="4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10" w:right="0"/>
              <w:jc w:val="left"/>
              <w:rPr>
                <w:rFonts w:ascii="宋体" w:hAnsi="宋体" w:cs="宋体" w:eastAsia="宋体" w:hint="default"/>
                <w:sz w:val="18"/>
                <w:szCs w:val="18"/>
              </w:rPr>
            </w:pPr>
            <w:r>
              <w:rPr>
                <w:rFonts w:ascii="宋体" w:hAnsi="宋体" w:cs="宋体" w:eastAsia="宋体" w:hint="default"/>
                <w:sz w:val="18"/>
                <w:szCs w:val="18"/>
              </w:rPr>
              <w:t>扣除非经常损益加权平均净资产收益率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3" w:right="0"/>
              <w:jc w:val="center"/>
              <w:rPr>
                <w:rFonts w:ascii="宋体" w:hAnsi="宋体" w:cs="宋体" w:eastAsia="宋体" w:hint="default"/>
                <w:sz w:val="18"/>
                <w:szCs w:val="18"/>
              </w:rPr>
            </w:pPr>
            <w:r>
              <w:rPr>
                <w:rFonts w:ascii="宋体"/>
                <w:sz w:val="18"/>
              </w:rPr>
              <w:t>N=C/L</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4"/>
              <w:jc w:val="right"/>
              <w:rPr>
                <w:rFonts w:ascii="宋体" w:hAnsi="宋体" w:cs="宋体" w:eastAsia="宋体" w:hint="default"/>
                <w:sz w:val="18"/>
                <w:szCs w:val="18"/>
              </w:rPr>
            </w:pPr>
            <w:r>
              <w:rPr>
                <w:rFonts w:ascii="宋体"/>
                <w:spacing w:val="-1"/>
                <w:sz w:val="18"/>
              </w:rPr>
              <w:t>4.42%</w:t>
            </w:r>
          </w:p>
        </w:tc>
      </w:tr>
    </w:tbl>
    <w:p>
      <w:pPr>
        <w:spacing w:line="240" w:lineRule="auto" w:before="0"/>
        <w:rPr>
          <w:rFonts w:ascii="宋体" w:hAnsi="宋体" w:cs="宋体" w:eastAsia="宋体" w:hint="default"/>
          <w:sz w:val="20"/>
          <w:szCs w:val="20"/>
        </w:rPr>
      </w:pPr>
    </w:p>
    <w:p>
      <w:pPr>
        <w:pStyle w:val="BodyText"/>
        <w:spacing w:line="240" w:lineRule="auto" w:before="168"/>
        <w:ind w:left="775" w:right="279"/>
        <w:jc w:val="left"/>
      </w:pPr>
      <w:r>
        <w:rPr/>
        <w:t>(三)</w:t>
      </w:r>
      <w:r>
        <w:rPr>
          <w:spacing w:val="-3"/>
        </w:rPr>
        <w:t> </w:t>
      </w:r>
      <w:r>
        <w:rPr/>
        <w:t>公司主要财务报表项目的异常情况及原因说明</w:t>
      </w:r>
    </w:p>
    <w:p>
      <w:pPr>
        <w:spacing w:line="240" w:lineRule="auto" w:before="10"/>
        <w:rPr>
          <w:rFonts w:ascii="宋体" w:hAnsi="宋体" w:cs="宋体" w:eastAsia="宋体" w:hint="default"/>
          <w:sz w:val="11"/>
          <w:szCs w:val="11"/>
        </w:rPr>
      </w:pPr>
    </w:p>
    <w:tbl>
      <w:tblPr>
        <w:tblW w:w="0" w:type="auto"/>
        <w:jc w:val="left"/>
        <w:tblInd w:w="273" w:type="dxa"/>
        <w:tblLayout w:type="fixed"/>
        <w:tblCellMar>
          <w:top w:w="0" w:type="dxa"/>
          <w:left w:w="0" w:type="dxa"/>
          <w:bottom w:w="0" w:type="dxa"/>
          <w:right w:w="0" w:type="dxa"/>
        </w:tblCellMar>
        <w:tblLook w:val="01E0"/>
      </w:tblPr>
      <w:tblGrid>
        <w:gridCol w:w="1814"/>
        <w:gridCol w:w="1476"/>
        <w:gridCol w:w="1476"/>
        <w:gridCol w:w="1080"/>
        <w:gridCol w:w="3168"/>
      </w:tblGrid>
      <w:tr>
        <w:trPr>
          <w:trHeight w:val="5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99" w:right="0"/>
              <w:jc w:val="left"/>
              <w:rPr>
                <w:rFonts w:ascii="宋体" w:hAnsi="宋体" w:cs="宋体" w:eastAsia="宋体" w:hint="default"/>
                <w:sz w:val="18"/>
                <w:szCs w:val="18"/>
              </w:rPr>
            </w:pPr>
            <w:r>
              <w:rPr>
                <w:rFonts w:ascii="宋体" w:hAnsi="宋体" w:cs="宋体" w:eastAsia="宋体" w:hint="default"/>
                <w:sz w:val="18"/>
                <w:szCs w:val="18"/>
              </w:rPr>
              <w:t>资产负债表项目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60"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6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77" w:right="0"/>
              <w:jc w:val="left"/>
              <w:rPr>
                <w:rFonts w:ascii="宋体" w:hAnsi="宋体" w:cs="宋体" w:eastAsia="宋体" w:hint="default"/>
                <w:sz w:val="18"/>
                <w:szCs w:val="18"/>
              </w:rPr>
            </w:pPr>
            <w:r>
              <w:rPr>
                <w:rFonts w:ascii="宋体" w:hAnsi="宋体" w:cs="宋体" w:eastAsia="宋体" w:hint="default"/>
                <w:sz w:val="18"/>
                <w:szCs w:val="18"/>
              </w:rPr>
              <w:t>变动幅度</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left="1039" w:right="0"/>
              <w:jc w:val="left"/>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576"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290"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0"/>
              <w:jc w:val="right"/>
              <w:rPr>
                <w:rFonts w:ascii="宋体" w:hAnsi="宋体" w:cs="宋体" w:eastAsia="宋体" w:hint="default"/>
                <w:sz w:val="18"/>
                <w:szCs w:val="18"/>
              </w:rPr>
            </w:pPr>
            <w:r>
              <w:rPr>
                <w:rFonts w:ascii="宋体"/>
                <w:spacing w:val="-1"/>
                <w:sz w:val="18"/>
              </w:rPr>
              <w:t>4,211,982.30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pacing w:val="-1"/>
                <w:sz w:val="18"/>
              </w:rPr>
              <w:t>8,670,025.74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pacing w:val="-1"/>
                <w:sz w:val="18"/>
              </w:rPr>
              <w:t>-51.42%</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系预付款项目本期履行完毕所致。</w:t>
            </w:r>
          </w:p>
        </w:tc>
      </w:tr>
      <w:tr>
        <w:trPr>
          <w:trHeight w:val="5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290"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pacing w:val="-1"/>
                <w:sz w:val="18"/>
              </w:rPr>
              <w:t>27,850,287.78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pacing w:val="-1"/>
                <w:sz w:val="18"/>
              </w:rPr>
              <w:t>16,012,595.36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0"/>
              <w:jc w:val="right"/>
              <w:rPr>
                <w:rFonts w:ascii="宋体" w:hAnsi="宋体" w:cs="宋体" w:eastAsia="宋体" w:hint="default"/>
                <w:sz w:val="18"/>
                <w:szCs w:val="18"/>
              </w:rPr>
            </w:pPr>
            <w:r>
              <w:rPr>
                <w:rFonts w:ascii="宋体"/>
                <w:spacing w:val="-1"/>
                <w:sz w:val="18"/>
              </w:rPr>
              <w:t>73.93%</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系正在实施的合同项目增加所致。</w:t>
            </w:r>
          </w:p>
        </w:tc>
      </w:tr>
      <w:tr>
        <w:trPr>
          <w:trHeight w:val="713"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2,616,671.62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1,812,190.38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44.39%</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49"/>
              <w:ind w:left="105" w:right="103"/>
              <w:jc w:val="left"/>
              <w:rPr>
                <w:rFonts w:ascii="宋体" w:hAnsi="宋体" w:cs="宋体" w:eastAsia="宋体" w:hint="default"/>
                <w:sz w:val="18"/>
                <w:szCs w:val="18"/>
              </w:rPr>
            </w:pPr>
            <w:r>
              <w:rPr>
                <w:rFonts w:ascii="宋体" w:hAnsi="宋体" w:cs="宋体" w:eastAsia="宋体" w:hint="default"/>
                <w:spacing w:val="3"/>
                <w:sz w:val="18"/>
                <w:szCs w:val="18"/>
              </w:rPr>
              <w:t>系本期采购存货增加相应待抵扣进项</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税额增加所致。</w:t>
            </w:r>
          </w:p>
        </w:tc>
      </w:tr>
      <w:tr>
        <w:trPr>
          <w:trHeight w:val="576"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29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pacing w:val="-1"/>
                <w:sz w:val="18"/>
              </w:rPr>
              <w:t>27,316,526.21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pacing w:val="-1"/>
                <w:sz w:val="18"/>
              </w:rPr>
              <w:t>2,316,526.21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8"/>
              <w:jc w:val="right"/>
              <w:rPr>
                <w:rFonts w:ascii="宋体" w:hAnsi="宋体" w:cs="宋体" w:eastAsia="宋体" w:hint="default"/>
                <w:sz w:val="18"/>
                <w:szCs w:val="18"/>
              </w:rPr>
            </w:pPr>
            <w:r>
              <w:rPr>
                <w:rFonts w:ascii="宋体" w:hAnsi="宋体" w:cs="宋体" w:eastAsia="宋体" w:hint="default"/>
                <w:sz w:val="18"/>
                <w:szCs w:val="18"/>
              </w:rPr>
              <w:t>10.79</w:t>
            </w:r>
            <w:r>
              <w:rPr>
                <w:rFonts w:ascii="宋体" w:hAnsi="宋体" w:cs="宋体" w:eastAsia="宋体" w:hint="default"/>
                <w:spacing w:val="-46"/>
                <w:sz w:val="18"/>
                <w:szCs w:val="18"/>
              </w:rPr>
              <w:t> </w:t>
            </w:r>
            <w:r>
              <w:rPr>
                <w:rFonts w:ascii="宋体" w:hAnsi="宋体" w:cs="宋体" w:eastAsia="宋体" w:hint="default"/>
                <w:sz w:val="18"/>
                <w:szCs w:val="18"/>
              </w:rPr>
              <w:t>倍</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系本期新增股权投资所致。</w:t>
            </w:r>
          </w:p>
        </w:tc>
      </w:tr>
      <w:tr>
        <w:trPr>
          <w:trHeight w:val="5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290"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1"/>
              <w:jc w:val="right"/>
              <w:rPr>
                <w:rFonts w:ascii="宋体" w:hAnsi="宋体" w:cs="宋体" w:eastAsia="宋体" w:hint="default"/>
                <w:sz w:val="18"/>
                <w:szCs w:val="18"/>
              </w:rPr>
            </w:pPr>
            <w:r>
              <w:rPr>
                <w:rFonts w:ascii="宋体"/>
                <w:spacing w:val="-1"/>
                <w:sz w:val="18"/>
              </w:rPr>
              <w:t>10,494,943.76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1"/>
              <w:jc w:val="right"/>
              <w:rPr>
                <w:rFonts w:ascii="宋体" w:hAnsi="宋体" w:cs="宋体" w:eastAsia="宋体" w:hint="default"/>
                <w:sz w:val="18"/>
                <w:szCs w:val="18"/>
              </w:rPr>
            </w:pPr>
            <w:r>
              <w:rPr>
                <w:rFonts w:ascii="宋体"/>
                <w:spacing w:val="-1"/>
                <w:sz w:val="18"/>
              </w:rPr>
              <w:t>7,137,653.99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0"/>
              <w:jc w:val="right"/>
              <w:rPr>
                <w:rFonts w:ascii="宋体" w:hAnsi="宋体" w:cs="宋体" w:eastAsia="宋体" w:hint="default"/>
                <w:sz w:val="18"/>
                <w:szCs w:val="18"/>
              </w:rPr>
            </w:pPr>
            <w:r>
              <w:rPr>
                <w:rFonts w:ascii="宋体"/>
                <w:spacing w:val="-1"/>
                <w:sz w:val="18"/>
              </w:rPr>
              <w:t>47.04%</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left="105" w:right="0"/>
              <w:jc w:val="left"/>
              <w:rPr>
                <w:rFonts w:ascii="宋体" w:hAnsi="宋体" w:cs="宋体" w:eastAsia="宋体" w:hint="default"/>
                <w:sz w:val="18"/>
                <w:szCs w:val="18"/>
              </w:rPr>
            </w:pPr>
            <w:r>
              <w:rPr>
                <w:rFonts w:ascii="宋体" w:hAnsi="宋体" w:cs="宋体" w:eastAsia="宋体" w:hint="default"/>
                <w:sz w:val="18"/>
                <w:szCs w:val="18"/>
              </w:rPr>
              <w:t>系本期开发投入未完工所致。</w:t>
            </w:r>
          </w:p>
        </w:tc>
      </w:tr>
      <w:tr>
        <w:trPr>
          <w:trHeight w:val="713"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19,167,521.72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38,483,172.19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-50.19%</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51"/>
              <w:ind w:left="105" w:right="103"/>
              <w:jc w:val="left"/>
              <w:rPr>
                <w:rFonts w:ascii="宋体" w:hAnsi="宋体" w:cs="宋体" w:eastAsia="宋体" w:hint="default"/>
                <w:sz w:val="18"/>
                <w:szCs w:val="18"/>
              </w:rPr>
            </w:pPr>
            <w:r>
              <w:rPr>
                <w:rFonts w:ascii="宋体" w:hAnsi="宋体" w:cs="宋体" w:eastAsia="宋体" w:hint="default"/>
                <w:spacing w:val="3"/>
                <w:sz w:val="18"/>
                <w:szCs w:val="18"/>
              </w:rPr>
              <w:t>系子公司南京江琛自动化系统有限责</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任公司商誉减值所致。</w:t>
            </w:r>
          </w:p>
        </w:tc>
      </w:tr>
      <w:tr>
        <w:trPr>
          <w:trHeight w:val="715"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递延所得税资产</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1,711,048.84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1,011,973.65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69.08%</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51"/>
              <w:ind w:left="105" w:right="103"/>
              <w:jc w:val="left"/>
              <w:rPr>
                <w:rFonts w:ascii="宋体" w:hAnsi="宋体" w:cs="宋体" w:eastAsia="宋体" w:hint="default"/>
                <w:sz w:val="18"/>
                <w:szCs w:val="18"/>
              </w:rPr>
            </w:pPr>
            <w:r>
              <w:rPr>
                <w:rFonts w:ascii="宋体" w:hAnsi="宋体" w:cs="宋体" w:eastAsia="宋体" w:hint="default"/>
                <w:spacing w:val="3"/>
                <w:sz w:val="18"/>
                <w:szCs w:val="18"/>
              </w:rPr>
              <w:t>系确认本期新增递延收益相应的递延</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所得税资产所致。</w:t>
            </w:r>
          </w:p>
        </w:tc>
      </w:tr>
      <w:tr>
        <w:trPr>
          <w:trHeight w:val="576"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29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pacing w:val="-1"/>
                <w:sz w:val="18"/>
              </w:rPr>
              <w:t>44,708,825.56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pacing w:val="-1"/>
                <w:sz w:val="18"/>
              </w:rPr>
              <w:t>26,031,196.12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0"/>
              <w:jc w:val="right"/>
              <w:rPr>
                <w:rFonts w:ascii="宋体" w:hAnsi="宋体" w:cs="宋体" w:eastAsia="宋体" w:hint="default"/>
                <w:sz w:val="18"/>
                <w:szCs w:val="18"/>
              </w:rPr>
            </w:pPr>
            <w:r>
              <w:rPr>
                <w:rFonts w:ascii="宋体"/>
                <w:spacing w:val="-1"/>
                <w:sz w:val="18"/>
              </w:rPr>
              <w:t>71.75%</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系存货采购增加所致。</w:t>
            </w:r>
          </w:p>
        </w:tc>
      </w:tr>
      <w:tr>
        <w:trPr>
          <w:trHeight w:val="5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290"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0"/>
              <w:jc w:val="right"/>
              <w:rPr>
                <w:rFonts w:ascii="宋体" w:hAnsi="宋体" w:cs="宋体" w:eastAsia="宋体" w:hint="default"/>
                <w:sz w:val="18"/>
                <w:szCs w:val="18"/>
              </w:rPr>
            </w:pPr>
            <w:r>
              <w:rPr>
                <w:rFonts w:ascii="宋体"/>
                <w:spacing w:val="-1"/>
                <w:sz w:val="18"/>
              </w:rPr>
              <w:t>5,926,599.18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pacing w:val="-1"/>
                <w:sz w:val="18"/>
              </w:rPr>
              <w:t>13,088,851.91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pacing w:val="-1"/>
                <w:sz w:val="18"/>
              </w:rPr>
              <w:t>-54.72%</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系预收款合同本期履行完毕所致。</w:t>
            </w:r>
          </w:p>
        </w:tc>
      </w:tr>
      <w:tr>
        <w:trPr>
          <w:trHeight w:val="713"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228,132.99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2,180,801.66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-89.54%</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49"/>
              <w:ind w:left="105" w:right="103"/>
              <w:jc w:val="left"/>
              <w:rPr>
                <w:rFonts w:ascii="宋体" w:hAnsi="宋体" w:cs="宋体" w:eastAsia="宋体" w:hint="default"/>
                <w:sz w:val="18"/>
                <w:szCs w:val="18"/>
              </w:rPr>
            </w:pPr>
            <w:r>
              <w:rPr>
                <w:rFonts w:ascii="宋体" w:hAnsi="宋体" w:cs="宋体" w:eastAsia="宋体" w:hint="default"/>
                <w:spacing w:val="3"/>
                <w:sz w:val="18"/>
                <w:szCs w:val="18"/>
              </w:rPr>
              <w:t>系本期使用售后服务费用增加及递延</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收益余额本期计入营业外收入所致。</w:t>
            </w:r>
          </w:p>
        </w:tc>
      </w:tr>
      <w:tr>
        <w:trPr>
          <w:trHeight w:val="5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right="257"/>
              <w:jc w:val="right"/>
              <w:rPr>
                <w:rFonts w:ascii="宋体" w:hAnsi="宋体" w:cs="宋体" w:eastAsia="宋体" w:hint="default"/>
                <w:sz w:val="18"/>
                <w:szCs w:val="18"/>
              </w:rPr>
            </w:pPr>
            <w:r>
              <w:rPr>
                <w:rFonts w:ascii="宋体" w:hAnsi="宋体" w:cs="宋体" w:eastAsia="宋体" w:hint="default"/>
                <w:sz w:val="18"/>
                <w:szCs w:val="18"/>
              </w:rPr>
              <w:t>其他非流动负债</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0"/>
              <w:jc w:val="right"/>
              <w:rPr>
                <w:rFonts w:ascii="宋体" w:hAnsi="宋体" w:cs="宋体" w:eastAsia="宋体" w:hint="default"/>
                <w:sz w:val="18"/>
                <w:szCs w:val="18"/>
              </w:rPr>
            </w:pPr>
            <w:r>
              <w:rPr>
                <w:rFonts w:ascii="宋体"/>
                <w:spacing w:val="-1"/>
                <w:sz w:val="18"/>
              </w:rPr>
              <w:t>9,821,850.08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pacing w:val="-1"/>
                <w:sz w:val="18"/>
              </w:rPr>
              <w:t>6,735,043.28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0"/>
              <w:jc w:val="right"/>
              <w:rPr>
                <w:rFonts w:ascii="宋体" w:hAnsi="宋体" w:cs="宋体" w:eastAsia="宋体" w:hint="default"/>
                <w:sz w:val="18"/>
                <w:szCs w:val="18"/>
              </w:rPr>
            </w:pPr>
            <w:r>
              <w:rPr>
                <w:rFonts w:ascii="宋体"/>
                <w:spacing w:val="-1"/>
                <w:sz w:val="18"/>
              </w:rPr>
              <w:t>45.83%</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系政府项目补助增加所致。</w:t>
            </w:r>
          </w:p>
        </w:tc>
      </w:tr>
      <w:tr>
        <w:trPr>
          <w:trHeight w:val="576"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549" w:right="0"/>
              <w:jc w:val="left"/>
              <w:rPr>
                <w:rFonts w:ascii="宋体" w:hAnsi="宋体" w:cs="宋体" w:eastAsia="宋体" w:hint="default"/>
                <w:sz w:val="18"/>
                <w:szCs w:val="18"/>
              </w:rPr>
            </w:pPr>
            <w:r>
              <w:rPr>
                <w:rFonts w:ascii="宋体" w:hAnsi="宋体" w:cs="宋体" w:eastAsia="宋体" w:hint="default"/>
                <w:sz w:val="18"/>
                <w:szCs w:val="18"/>
              </w:rPr>
              <w:t>利润表项目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60"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80"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72" w:right="0"/>
              <w:jc w:val="left"/>
              <w:rPr>
                <w:rFonts w:ascii="宋体" w:hAnsi="宋体" w:cs="宋体" w:eastAsia="宋体" w:hint="default"/>
                <w:sz w:val="18"/>
                <w:szCs w:val="18"/>
              </w:rPr>
            </w:pPr>
            <w:r>
              <w:rPr>
                <w:rFonts w:ascii="宋体" w:hAnsi="宋体" w:cs="宋体" w:eastAsia="宋体" w:hint="default"/>
                <w:sz w:val="18"/>
                <w:szCs w:val="18"/>
              </w:rPr>
              <w:t>变动幅度</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left="1036" w:right="0"/>
              <w:jc w:val="left"/>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576"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29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0"/>
              <w:jc w:val="right"/>
              <w:rPr>
                <w:rFonts w:ascii="宋体" w:hAnsi="宋体" w:cs="宋体" w:eastAsia="宋体" w:hint="default"/>
                <w:sz w:val="18"/>
                <w:szCs w:val="18"/>
              </w:rPr>
            </w:pPr>
            <w:r>
              <w:rPr>
                <w:rFonts w:ascii="宋体"/>
                <w:spacing w:val="-1"/>
                <w:sz w:val="18"/>
              </w:rPr>
              <w:t>254,819,501.09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pacing w:val="-1"/>
                <w:sz w:val="18"/>
              </w:rPr>
              <w:t>369,232,905.11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pacing w:val="-1"/>
                <w:sz w:val="18"/>
              </w:rPr>
              <w:t>-30.99%</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系系统集成与硬件销售减少所致。</w:t>
            </w:r>
          </w:p>
        </w:tc>
      </w:tr>
      <w:tr>
        <w:trPr>
          <w:trHeight w:val="5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29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0"/>
              <w:jc w:val="right"/>
              <w:rPr>
                <w:rFonts w:ascii="宋体" w:hAnsi="宋体" w:cs="宋体" w:eastAsia="宋体" w:hint="default"/>
                <w:sz w:val="18"/>
                <w:szCs w:val="18"/>
              </w:rPr>
            </w:pPr>
            <w:r>
              <w:rPr>
                <w:rFonts w:ascii="宋体"/>
                <w:spacing w:val="-1"/>
                <w:sz w:val="18"/>
              </w:rPr>
              <w:t>168,601,712.53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1"/>
              <w:jc w:val="right"/>
              <w:rPr>
                <w:rFonts w:ascii="宋体" w:hAnsi="宋体" w:cs="宋体" w:eastAsia="宋体" w:hint="default"/>
                <w:sz w:val="18"/>
                <w:szCs w:val="18"/>
              </w:rPr>
            </w:pPr>
            <w:r>
              <w:rPr>
                <w:rFonts w:ascii="宋体"/>
                <w:spacing w:val="-1"/>
                <w:sz w:val="18"/>
              </w:rPr>
              <w:t>258,479,630.32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1"/>
              <w:jc w:val="right"/>
              <w:rPr>
                <w:rFonts w:ascii="宋体" w:hAnsi="宋体" w:cs="宋体" w:eastAsia="宋体" w:hint="default"/>
                <w:sz w:val="18"/>
                <w:szCs w:val="18"/>
              </w:rPr>
            </w:pPr>
            <w:r>
              <w:rPr>
                <w:rFonts w:ascii="宋体"/>
                <w:spacing w:val="-1"/>
                <w:sz w:val="18"/>
              </w:rPr>
              <w:t>-34.77%</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left="105" w:right="0"/>
              <w:jc w:val="left"/>
              <w:rPr>
                <w:rFonts w:ascii="宋体" w:hAnsi="宋体" w:cs="宋体" w:eastAsia="宋体" w:hint="default"/>
                <w:sz w:val="18"/>
                <w:szCs w:val="18"/>
              </w:rPr>
            </w:pPr>
            <w:r>
              <w:rPr>
                <w:rFonts w:ascii="宋体" w:hAnsi="宋体" w:cs="宋体" w:eastAsia="宋体" w:hint="default"/>
                <w:sz w:val="18"/>
                <w:szCs w:val="18"/>
              </w:rPr>
              <w:t>系营业收入减少相应成本减少所致。</w:t>
            </w:r>
          </w:p>
        </w:tc>
      </w:tr>
      <w:tr>
        <w:trPr>
          <w:trHeight w:val="576"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290"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pacing w:val="-1"/>
                <w:sz w:val="18"/>
              </w:rPr>
              <w:t>-5,567,569.99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pacing w:val="-1"/>
                <w:sz w:val="18"/>
              </w:rPr>
              <w:t>-4,187,882.10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0"/>
              <w:jc w:val="right"/>
              <w:rPr>
                <w:rFonts w:ascii="宋体" w:hAnsi="宋体" w:cs="宋体" w:eastAsia="宋体" w:hint="default"/>
                <w:sz w:val="18"/>
                <w:szCs w:val="18"/>
              </w:rPr>
            </w:pPr>
            <w:r>
              <w:rPr>
                <w:rFonts w:ascii="宋体"/>
                <w:spacing w:val="-1"/>
                <w:sz w:val="18"/>
              </w:rPr>
              <w:t>32.94%</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left="105" w:right="0"/>
              <w:jc w:val="left"/>
              <w:rPr>
                <w:rFonts w:ascii="宋体" w:hAnsi="宋体" w:cs="宋体" w:eastAsia="宋体" w:hint="default"/>
                <w:sz w:val="18"/>
                <w:szCs w:val="18"/>
              </w:rPr>
            </w:pPr>
            <w:r>
              <w:rPr>
                <w:rFonts w:ascii="宋体" w:hAnsi="宋体" w:cs="宋体" w:eastAsia="宋体" w:hint="default"/>
                <w:sz w:val="18"/>
                <w:szCs w:val="18"/>
              </w:rPr>
              <w:t>系存款利息收入增加所致。</w:t>
            </w:r>
          </w:p>
        </w:tc>
      </w:tr>
      <w:tr>
        <w:trPr>
          <w:trHeight w:val="715"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23,258,041.33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-427,613.56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-55.39</w:t>
            </w:r>
            <w:r>
              <w:rPr>
                <w:rFonts w:ascii="宋体" w:hAnsi="宋体" w:cs="宋体" w:eastAsia="宋体" w:hint="default"/>
                <w:spacing w:val="-47"/>
                <w:sz w:val="18"/>
                <w:szCs w:val="18"/>
              </w:rPr>
              <w:t> </w:t>
            </w:r>
            <w:r>
              <w:rPr>
                <w:rFonts w:ascii="宋体" w:hAnsi="宋体" w:cs="宋体" w:eastAsia="宋体" w:hint="default"/>
                <w:sz w:val="18"/>
                <w:szCs w:val="18"/>
              </w:rPr>
              <w:t>倍</w:t>
            </w:r>
          </w:p>
        </w:tc>
        <w:tc>
          <w:tcPr>
            <w:tcW w:w="3168"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51"/>
              <w:ind w:left="105" w:right="103"/>
              <w:jc w:val="left"/>
              <w:rPr>
                <w:rFonts w:ascii="宋体" w:hAnsi="宋体" w:cs="宋体" w:eastAsia="宋体" w:hint="default"/>
                <w:sz w:val="18"/>
                <w:szCs w:val="18"/>
              </w:rPr>
            </w:pPr>
            <w:r>
              <w:rPr>
                <w:rFonts w:ascii="宋体" w:hAnsi="宋体" w:cs="宋体" w:eastAsia="宋体" w:hint="default"/>
                <w:spacing w:val="3"/>
                <w:sz w:val="18"/>
                <w:szCs w:val="18"/>
              </w:rPr>
              <w:t>系子公司南京江琛自动化系统有限责</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任公司商誉减值所致。</w:t>
            </w:r>
          </w:p>
        </w:tc>
      </w:tr>
    </w:tbl>
    <w:p>
      <w:pPr>
        <w:spacing w:after="0" w:line="316" w:lineRule="auto"/>
        <w:jc w:val="left"/>
        <w:rPr>
          <w:rFonts w:ascii="宋体" w:hAnsi="宋体" w:cs="宋体" w:eastAsia="宋体" w:hint="default"/>
          <w:sz w:val="18"/>
          <w:szCs w:val="18"/>
        </w:rPr>
        <w:sectPr>
          <w:pgSz w:w="11910" w:h="16840"/>
          <w:pgMar w:header="745" w:footer="979" w:top="1060" w:bottom="1160" w:left="840" w:right="1020"/>
        </w:sectPr>
      </w:pPr>
    </w:p>
    <w:p>
      <w:pPr>
        <w:spacing w:line="240" w:lineRule="auto" w:before="0"/>
        <w:rPr>
          <w:rFonts w:ascii="宋体" w:hAnsi="宋体" w:cs="宋体" w:eastAsia="宋体" w:hint="default"/>
          <w:sz w:val="20"/>
          <w:szCs w:val="20"/>
        </w:rPr>
      </w:pPr>
      <w:r>
        <w:rPr/>
        <w:pict>
          <v:group style="position:absolute;margin-left:547.559998pt;margin-top:781.919983pt;width:.1pt;height:10.35pt;mso-position-horizontal-relative:page;mso-position-vertical-relative:page;z-index:5104" coordorigin="10951,15638" coordsize="2,207">
            <v:shape style="position:absolute;left:10951;top:15638;width:2;height:207" coordorigin="10951,15638" coordsize="0,207" path="m10951,15638l10951,15845e" filled="false" stroked="true" strokeweight=".12pt" strokecolor="#000000">
              <v:path arrowok="t"/>
            </v:shape>
            <w10:wrap type="none"/>
          </v:group>
        </w:pic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2"/>
        <w:spacing w:line="456" w:lineRule="exact"/>
        <w:ind w:left="3247" w:right="279"/>
        <w:jc w:val="left"/>
        <w:rPr>
          <w:b w:val="0"/>
          <w:bCs w:val="0"/>
        </w:rPr>
      </w:pPr>
      <w:bookmarkStart w:name="第十一节备查文件目录" w:id="218"/>
      <w:bookmarkEnd w:id="218"/>
      <w:r>
        <w:rPr>
          <w:b w:val="0"/>
          <w:bCs w:val="0"/>
        </w:rPr>
      </w:r>
      <w:bookmarkStart w:name="_bookmark10" w:id="219"/>
      <w:bookmarkEnd w:id="219"/>
      <w:r>
        <w:rPr>
          <w:b w:val="0"/>
          <w:bCs w:val="0"/>
        </w:rPr>
      </w:r>
      <w:r>
        <w:rPr/>
        <w:t>第十一节 </w:t>
      </w:r>
      <w:r>
        <w:rPr>
          <w:spacing w:val="7"/>
        </w:rPr>
        <w:t> </w:t>
      </w:r>
      <w:r>
        <w:rPr/>
        <w:t>备查文件目录</w:t>
      </w:r>
      <w:r>
        <w:rPr>
          <w:b w:val="0"/>
          <w:bCs w:val="0"/>
        </w:rPr>
      </w:r>
    </w:p>
    <w:p>
      <w:pPr>
        <w:spacing w:line="240" w:lineRule="auto" w:before="10"/>
        <w:rPr>
          <w:rFonts w:ascii="Microsoft JhengHei" w:hAnsi="Microsoft JhengHei" w:cs="Microsoft JhengHei" w:eastAsia="Microsoft JhengHei" w:hint="default"/>
          <w:b/>
          <w:bCs/>
          <w:sz w:val="25"/>
          <w:szCs w:val="25"/>
        </w:rPr>
      </w:pPr>
    </w:p>
    <w:p>
      <w:pPr>
        <w:pStyle w:val="BodyText"/>
        <w:spacing w:line="240" w:lineRule="auto" w:before="26"/>
        <w:ind w:left="595" w:right="0"/>
        <w:jc w:val="left"/>
      </w:pPr>
      <w:r>
        <w:rPr>
          <w:spacing w:val="-3"/>
        </w:rPr>
        <w:t>（一）载有法定代表人、主管会计工作负责人、会计机构负责人签名并盖章的会计报表。</w:t>
      </w:r>
    </w:p>
    <w:p>
      <w:pPr>
        <w:pStyle w:val="BodyText"/>
        <w:spacing w:line="240" w:lineRule="auto" w:before="38"/>
        <w:ind w:left="595" w:right="279"/>
        <w:jc w:val="left"/>
      </w:pPr>
      <w:r>
        <w:rPr/>
        <w:t>（二）载有会计师事务所盖章、注册会计师签名并盖章的审计报告原件。</w:t>
      </w:r>
    </w:p>
    <w:p>
      <w:pPr>
        <w:pStyle w:val="BodyText"/>
        <w:spacing w:line="313" w:lineRule="exact"/>
        <w:ind w:left="595" w:right="279"/>
        <w:jc w:val="left"/>
      </w:pPr>
      <w:r>
        <w:rPr/>
        <w:t>（三）报告期内在中国证监会指定报纸上公开披露过的所有公司文件的正本及公告的原</w:t>
      </w:r>
    </w:p>
    <w:p>
      <w:pPr>
        <w:pStyle w:val="BodyText"/>
        <w:spacing w:line="313" w:lineRule="exact" w:before="0"/>
        <w:ind w:left="112" w:right="279"/>
        <w:jc w:val="left"/>
      </w:pPr>
      <w:r>
        <w:rPr/>
        <w:t>稿。</w:t>
      </w:r>
    </w:p>
    <w:p>
      <w:pPr>
        <w:pStyle w:val="BodyText"/>
        <w:spacing w:line="240" w:lineRule="auto" w:before="38"/>
        <w:ind w:left="595" w:right="279"/>
        <w:jc w:val="left"/>
      </w:pPr>
      <w:r>
        <w:rPr/>
        <w:t>（四）载有董事长签名的</w:t>
      </w:r>
      <w:r>
        <w:rPr>
          <w:rFonts w:ascii="Times New Roman" w:hAnsi="Times New Roman" w:cs="Times New Roman" w:eastAsia="Times New Roman" w:hint="default"/>
        </w:rPr>
        <w:t>2012</w:t>
      </w:r>
      <w:r>
        <w:rPr/>
        <w:t>年年度报告文本原件。</w:t>
      </w:r>
    </w:p>
    <w:p>
      <w:pPr>
        <w:pStyle w:val="BodyText"/>
        <w:spacing w:line="240" w:lineRule="auto" w:before="20"/>
        <w:ind w:left="595" w:right="279"/>
        <w:jc w:val="left"/>
      </w:pPr>
      <w:r>
        <w:rPr/>
        <w:t>（五）以上备查文件的备置地点：公司证券事务部。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5"/>
          <w:szCs w:val="35"/>
        </w:rPr>
      </w:pPr>
    </w:p>
    <w:p>
      <w:pPr>
        <w:pStyle w:val="BodyText"/>
        <w:spacing w:line="240" w:lineRule="auto" w:before="0"/>
        <w:ind w:left="4435" w:right="279"/>
        <w:jc w:val="left"/>
      </w:pPr>
      <w:r>
        <w:rPr/>
        <w:t>杭州新世纪信息技术股份有限公司</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6"/>
          <w:szCs w:val="26"/>
        </w:rPr>
      </w:pPr>
    </w:p>
    <w:p>
      <w:pPr>
        <w:pStyle w:val="BodyText"/>
        <w:spacing w:line="240" w:lineRule="auto" w:before="0"/>
        <w:ind w:left="2393" w:right="4771"/>
        <w:jc w:val="center"/>
      </w:pPr>
      <w:r>
        <w:rPr/>
        <w:t>董事长：</w:t>
      </w:r>
    </w:p>
    <w:p>
      <w:pPr>
        <w:spacing w:line="240" w:lineRule="auto" w:before="3"/>
        <w:rPr>
          <w:rFonts w:ascii="宋体" w:hAnsi="宋体" w:cs="宋体" w:eastAsia="宋体" w:hint="default"/>
          <w:sz w:val="10"/>
          <w:szCs w:val="10"/>
        </w:rPr>
      </w:pPr>
    </w:p>
    <w:p>
      <w:pPr>
        <w:spacing w:line="20" w:lineRule="exact"/>
        <w:ind w:left="5071" w:right="0" w:firstLine="0"/>
        <w:rPr>
          <w:rFonts w:ascii="宋体" w:hAnsi="宋体" w:cs="宋体" w:eastAsia="宋体" w:hint="default"/>
          <w:sz w:val="2"/>
          <w:szCs w:val="2"/>
        </w:rPr>
      </w:pPr>
      <w:r>
        <w:rPr>
          <w:rFonts w:ascii="宋体" w:hAnsi="宋体" w:cs="宋体" w:eastAsia="宋体" w:hint="default"/>
          <w:sz w:val="2"/>
          <w:szCs w:val="2"/>
        </w:rPr>
        <w:pict>
          <v:group style="width:117.75pt;height:.75pt;mso-position-horizontal-relative:char;mso-position-vertical-relative:line" coordorigin="0,0" coordsize="2355,15">
            <v:group style="position:absolute;left:7;top:7;width:2340;height:2" coordorigin="7,7" coordsize="2340,2">
              <v:shape style="position:absolute;left:7;top:7;width:2340;height:2" coordorigin="7,7" coordsize="2340,0" path="m7,7l234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38"/>
        <w:ind w:left="5995" w:right="279"/>
        <w:jc w:val="left"/>
      </w:pPr>
      <w:r>
        <w:rPr/>
        <w:t>徐智勇</w:t>
      </w:r>
    </w:p>
    <w:p>
      <w:pPr>
        <w:spacing w:line="240" w:lineRule="auto" w:before="10"/>
        <w:rPr>
          <w:rFonts w:ascii="宋体" w:hAnsi="宋体" w:cs="宋体" w:eastAsia="宋体" w:hint="default"/>
          <w:sz w:val="35"/>
          <w:szCs w:val="35"/>
        </w:rPr>
      </w:pPr>
    </w:p>
    <w:p>
      <w:pPr>
        <w:pStyle w:val="BodyText"/>
        <w:spacing w:line="240" w:lineRule="auto" w:before="0"/>
        <w:ind w:left="6652" w:right="279"/>
        <w:jc w:val="left"/>
      </w:pPr>
      <w:r>
        <w:rPr/>
        <w:t>二</w:t>
      </w:r>
      <w:r>
        <w:rPr>
          <w:rFonts w:ascii="Times New Roman" w:hAnsi="Times New Roman" w:cs="Times New Roman" w:eastAsia="Times New Roman" w:hint="default"/>
        </w:rPr>
        <w:t>O</w:t>
      </w:r>
      <w:r>
        <w:rPr/>
        <w:t>一三年四月二十三日</w:t>
      </w:r>
    </w:p>
    <w:sectPr>
      <w:pgSz w:w="11910" w:h="16840"/>
      <w:pgMar w:header="745" w:footer="979" w:top="1060" w:bottom="1160" w:left="102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995pt;margin-top:795.637939pt;width:6.5pt;height:11pt;mso-position-horizontal-relative:page;mso-position-vertical-relative:page;z-index:-6060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957947pt;width:13.1pt;height:11pt;mso-position-horizontal-relative:page;mso-position-vertical-relative:page;z-index:-6058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957947pt;width:13.1pt;height:11pt;mso-position-horizontal-relative:page;mso-position-vertical-relative:page;z-index:-6058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1.957947pt;width:17.5pt;height:11pt;mso-position-horizontal-relative:page;mso-position-vertical-relative:page;z-index:-6058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79980pt;margin-top:781.957947pt;width:17.4pt;height:11pt;mso-position-horizontal-relative:page;mso-position-vertical-relative:page;z-index:-605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2.119995pt;margin-top:781.957947pt;width:8.5pt;height:11pt;mso-position-horizontal-relative:page;mso-position-vertical-relative:page;z-index:-6060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957947pt;width:13.2pt;height:11pt;mso-position-horizontal-relative:page;mso-position-vertical-relative:page;z-index:-6060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957947pt;width:13.1pt;height:11pt;mso-position-horizontal-relative:page;mso-position-vertical-relative:page;z-index:-6060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957947pt;width:13.1pt;height:11pt;mso-position-horizontal-relative:page;mso-position-vertical-relative:page;z-index:-6059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957947pt;width:13.1pt;height:11pt;mso-position-horizontal-relative:page;mso-position-vertical-relative:page;z-index:-6059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957947pt;width:13.1pt;height:11pt;mso-position-horizontal-relative:page;mso-position-vertical-relative:page;z-index:-6059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957947pt;width:13.1pt;height:11pt;mso-position-horizontal-relative:page;mso-position-vertical-relative:page;z-index:-6059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998pt;margin-top:781.957947pt;width:13.1pt;height:11pt;mso-position-horizontal-relative:page;mso-position-vertical-relative:page;z-index:-6058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19995pt;margin-top:36.265648pt;width:213.45pt;height:11.5pt;mso-position-horizontal-relative:page;mso-position-vertical-relative:page;z-index:-6061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杭州新世纪信息技术股份有限公司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74"/>
      <w:ind w:left="292"/>
    </w:pPr>
    <w:rPr>
      <w:rFonts w:ascii="Microsoft JhengHei" w:hAnsi="Microsoft JhengHei" w:eastAsia="Microsoft JhengHei"/>
      <w:b/>
      <w:bCs/>
      <w:sz w:val="24"/>
      <w:szCs w:val="24"/>
    </w:rPr>
  </w:style>
  <w:style w:styleId="TOC2" w:type="paragraph">
    <w:name w:val="TOC 2"/>
    <w:basedOn w:val="Normal"/>
    <w:uiPriority w:val="1"/>
    <w:qFormat/>
    <w:pPr>
      <w:ind w:left="300"/>
    </w:pPr>
    <w:rPr>
      <w:rFonts w:ascii="Times New Roman" w:hAnsi="Times New Roman" w:eastAsia="Times New Roman"/>
      <w:b/>
      <w:bCs/>
      <w:sz w:val="24"/>
      <w:szCs w:val="24"/>
    </w:rPr>
  </w:style>
  <w:style w:styleId="BodyText" w:type="paragraph">
    <w:name w:val="Body Text"/>
    <w:basedOn w:val="Normal"/>
    <w:uiPriority w:val="1"/>
    <w:qFormat/>
    <w:pPr>
      <w:spacing w:before="36"/>
      <w:ind w:left="292"/>
    </w:pPr>
    <w:rPr>
      <w:rFonts w:ascii="宋体" w:hAnsi="宋体" w:eastAsia="宋体"/>
      <w:sz w:val="24"/>
      <w:szCs w:val="24"/>
    </w:rPr>
  </w:style>
  <w:style w:styleId="Heading1" w:type="paragraph">
    <w:name w:val="Heading 1"/>
    <w:basedOn w:val="Normal"/>
    <w:uiPriority w:val="1"/>
    <w:qFormat/>
    <w:pPr>
      <w:ind w:left="2393"/>
      <w:outlineLvl w:val="1"/>
    </w:pPr>
    <w:rPr>
      <w:rFonts w:ascii="Microsoft JhengHei" w:hAnsi="Microsoft JhengHei" w:eastAsia="Microsoft JhengHei"/>
      <w:b/>
      <w:bCs/>
      <w:sz w:val="36"/>
      <w:szCs w:val="36"/>
    </w:rPr>
  </w:style>
  <w:style w:styleId="Heading2" w:type="paragraph">
    <w:name w:val="Heading 2"/>
    <w:basedOn w:val="Normal"/>
    <w:uiPriority w:val="1"/>
    <w:qFormat/>
    <w:pPr>
      <w:ind w:left="2036"/>
      <w:outlineLvl w:val="2"/>
    </w:pPr>
    <w:rPr>
      <w:rFonts w:ascii="Microsoft JhengHei" w:hAnsi="Microsoft JhengHei" w:eastAsia="Microsoft JhengHei"/>
      <w:b/>
      <w:bCs/>
      <w:sz w:val="32"/>
      <w:szCs w:val="32"/>
    </w:rPr>
  </w:style>
  <w:style w:styleId="Heading3" w:type="paragraph">
    <w:name w:val="Heading 3"/>
    <w:basedOn w:val="Normal"/>
    <w:uiPriority w:val="1"/>
    <w:qFormat/>
    <w:pPr>
      <w:ind w:left="112"/>
      <w:outlineLvl w:val="3"/>
    </w:pPr>
    <w:rPr>
      <w:rFonts w:ascii="Microsoft JhengHei" w:hAnsi="Microsoft JhengHei" w:eastAsia="Microsoft JhengHei"/>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nci.com.cn/" TargetMode="External"/><Relationship Id="rId10" Type="http://schemas.openxmlformats.org/officeDocument/2006/relationships/hyperlink" Target="mailto:dongyf@nci.com.cn" TargetMode="External"/><Relationship Id="rId11" Type="http://schemas.openxmlformats.org/officeDocument/2006/relationships/hyperlink" Target="mailto:yujh@nci.com.cn" TargetMode="External"/><Relationship Id="rId12" Type="http://schemas.openxmlformats.org/officeDocument/2006/relationships/hyperlink" Target="mailto:jiangxy@nci.com.cn" TargetMode="External"/><Relationship Id="rId13" Type="http://schemas.openxmlformats.org/officeDocument/2006/relationships/hyperlink" Target="http://www.cninfo.com.cn/" TargetMode="Externa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hyperlink" Target="http://www.cninfo.co/" TargetMode="External"/><Relationship Id="rId17" Type="http://schemas.openxmlformats.org/officeDocument/2006/relationships/footer" Target="footer5.xml"/><Relationship Id="rId18" Type="http://schemas.openxmlformats.org/officeDocument/2006/relationships/image" Target="media/image2.png"/><Relationship Id="rId19" Type="http://schemas.openxmlformats.org/officeDocument/2006/relationships/footer" Target="footer6.xml"/><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hyperlink" Target="http://www.cninfo.com/" TargetMode="External"/><Relationship Id="rId23" Type="http://schemas.openxmlformats.org/officeDocument/2006/relationships/footer" Target="footer7.xml"/><Relationship Id="rId24" Type="http://schemas.openxmlformats.org/officeDocument/2006/relationships/footer" Target="footer8.xml"/><Relationship Id="rId25" Type="http://schemas.openxmlformats.org/officeDocument/2006/relationships/footer" Target="footer9.xml"/><Relationship Id="rId26" Type="http://schemas.openxmlformats.org/officeDocument/2006/relationships/footer" Target="footer10.xml"/><Relationship Id="rId27" Type="http://schemas.openxmlformats.org/officeDocument/2006/relationships/footer" Target="footer11.xml"/><Relationship Id="rId28" Type="http://schemas.openxmlformats.org/officeDocument/2006/relationships/footer" Target="footer12.xml"/><Relationship Id="rId29"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杭州新世纪信息技术股份有限公司</dc:creator>
  <dc:title>杭州新世纪信息技术股份有限公司2012年度报告全文</dc:title>
  <dcterms:created xsi:type="dcterms:W3CDTF">2020-05-04T00:39:36Z</dcterms:created>
  <dcterms:modified xsi:type="dcterms:W3CDTF">2020-05-04T00:39:36Z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2013-04-23T00:00:00Z</vt:filetime>
  </property>
  <property fmtid="{D5CDD505-2E9C-101B-9397-08002B2CF9AE}" pid="3" name="Creator">
    <vt:lpwstr>WPS Office 个人版</vt:lpwstr>
  </property>
  <property fmtid="{D5CDD505-2E9C-101B-9397-08002B2CF9AE}" pid="4" name="LastSaved">
    <vt:filetime>2013-04-23T00:00:00Z</vt:filetime>
  </property>
</Properties>
</file>