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spacing w:line="621" w:lineRule="exact" w:before="0"/>
        <w:ind w:left="1020" w:right="1041" w:firstLine="0"/>
        <w:jc w:val="center"/>
        <w:rPr>
          <w:rFonts w:ascii="宋体" w:hAnsi="宋体" w:cs="宋体" w:eastAsia="宋体" w:hint="default"/>
          <w:sz w:val="52"/>
          <w:szCs w:val="52"/>
        </w:rPr>
      </w:pPr>
      <w:r>
        <w:rPr>
          <w:rFonts w:ascii="宋体" w:hAnsi="宋体" w:cs="宋体" w:eastAsia="宋体" w:hint="default"/>
          <w:b/>
          <w:bCs/>
          <w:sz w:val="52"/>
          <w:szCs w:val="52"/>
        </w:rPr>
        <w:t>河南辉煌科技股份有限公司</w:t>
      </w:r>
      <w:r>
        <w:rPr>
          <w:rFonts w:ascii="宋体" w:hAnsi="宋体" w:cs="宋体" w:eastAsia="宋体" w:hint="default"/>
          <w:sz w:val="52"/>
          <w:szCs w:val="52"/>
        </w:rPr>
      </w:r>
    </w:p>
    <w:p>
      <w:pPr>
        <w:spacing w:before="415"/>
        <w:ind w:left="1021" w:right="1041" w:firstLine="0"/>
        <w:jc w:val="center"/>
        <w:rPr>
          <w:rFonts w:ascii="Book Antiqua" w:hAnsi="Book Antiqua" w:cs="Book Antiqua" w:eastAsia="Book Antiqua" w:hint="default"/>
          <w:sz w:val="30"/>
          <w:szCs w:val="30"/>
        </w:rPr>
      </w:pPr>
      <w:r>
        <w:rPr>
          <w:rFonts w:ascii="Book Antiqua"/>
          <w:b/>
          <w:sz w:val="30"/>
        </w:rPr>
        <w:t>HeNan Splendor Science&amp;Technology Co.,</w:t>
      </w:r>
      <w:r>
        <w:rPr>
          <w:rFonts w:ascii="Book Antiqua"/>
          <w:b/>
          <w:spacing w:val="-20"/>
          <w:sz w:val="30"/>
        </w:rPr>
        <w:t> </w:t>
      </w:r>
      <w:r>
        <w:rPr>
          <w:rFonts w:ascii="Book Antiqua"/>
          <w:b/>
          <w:sz w:val="30"/>
        </w:rPr>
        <w:t>Ltd.</w:t>
      </w:r>
      <w:r>
        <w:rPr>
          <w:rFonts w:ascii="Book Antiqua"/>
          <w:sz w:val="30"/>
        </w:rPr>
      </w: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5"/>
        <w:rPr>
          <w:rFonts w:ascii="Book Antiqua" w:hAnsi="Book Antiqua" w:cs="Book Antiqua" w:eastAsia="Book Antiqua" w:hint="default"/>
          <w:b/>
          <w:bCs/>
          <w:sz w:val="25"/>
          <w:szCs w:val="25"/>
        </w:rPr>
      </w:pPr>
    </w:p>
    <w:p>
      <w:pPr>
        <w:spacing w:line="1236" w:lineRule="exact"/>
        <w:ind w:left="2941" w:right="0" w:firstLine="0"/>
        <w:rPr>
          <w:rFonts w:ascii="Book Antiqua" w:hAnsi="Book Antiqua" w:cs="Book Antiqua" w:eastAsia="Book Antiqua" w:hint="default"/>
          <w:sz w:val="20"/>
          <w:szCs w:val="20"/>
        </w:rPr>
      </w:pPr>
      <w:r>
        <w:rPr>
          <w:rFonts w:ascii="Book Antiqua" w:hAnsi="Book Antiqua" w:cs="Book Antiqua" w:eastAsia="Book Antiqua" w:hint="default"/>
          <w:position w:val="-24"/>
          <w:sz w:val="20"/>
          <w:szCs w:val="20"/>
        </w:rPr>
        <w:drawing>
          <wp:inline distT="0" distB="0" distL="0" distR="0">
            <wp:extent cx="1750647" cy="784859"/>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750647" cy="784859"/>
                    </a:xfrm>
                    <a:prstGeom prst="rect">
                      <a:avLst/>
                    </a:prstGeom>
                  </pic:spPr>
                </pic:pic>
              </a:graphicData>
            </a:graphic>
          </wp:inline>
        </w:drawing>
      </w:r>
      <w:r>
        <w:rPr>
          <w:rFonts w:ascii="Book Antiqua" w:hAnsi="Book Antiqua" w:cs="Book Antiqua" w:eastAsia="Book Antiqua" w:hint="default"/>
          <w:position w:val="-24"/>
          <w:sz w:val="20"/>
          <w:szCs w:val="20"/>
        </w:rPr>
      </w: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0"/>
        <w:rPr>
          <w:rFonts w:ascii="Book Antiqua" w:hAnsi="Book Antiqua" w:cs="Book Antiqua" w:eastAsia="Book Antiqua" w:hint="default"/>
          <w:b/>
          <w:bCs/>
          <w:sz w:val="20"/>
          <w:szCs w:val="20"/>
        </w:rPr>
      </w:pPr>
    </w:p>
    <w:p>
      <w:pPr>
        <w:spacing w:line="240" w:lineRule="auto" w:before="7"/>
        <w:rPr>
          <w:rFonts w:ascii="Book Antiqua" w:hAnsi="Book Antiqua" w:cs="Book Antiqua" w:eastAsia="Book Antiqua" w:hint="default"/>
          <w:b/>
          <w:bCs/>
          <w:sz w:val="15"/>
          <w:szCs w:val="15"/>
        </w:rPr>
      </w:pPr>
    </w:p>
    <w:p>
      <w:pPr>
        <w:spacing w:line="621" w:lineRule="exact" w:before="0"/>
        <w:ind w:left="1021" w:right="1037" w:firstLine="0"/>
        <w:jc w:val="center"/>
        <w:rPr>
          <w:rFonts w:ascii="宋体" w:hAnsi="宋体" w:cs="宋体" w:eastAsia="宋体" w:hint="default"/>
          <w:sz w:val="52"/>
          <w:szCs w:val="52"/>
        </w:rPr>
      </w:pPr>
      <w:r>
        <w:rPr>
          <w:rFonts w:ascii="宋体" w:hAnsi="宋体" w:cs="宋体" w:eastAsia="宋体" w:hint="default"/>
          <w:b/>
          <w:bCs/>
          <w:sz w:val="52"/>
          <w:szCs w:val="52"/>
        </w:rPr>
        <w:t>2010</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3"/>
        <w:rPr>
          <w:rFonts w:ascii="宋体" w:hAnsi="宋体" w:cs="宋体" w:eastAsia="宋体" w:hint="default"/>
          <w:b/>
          <w:bCs/>
          <w:sz w:val="46"/>
          <w:szCs w:val="46"/>
        </w:rPr>
      </w:pPr>
    </w:p>
    <w:p>
      <w:pPr>
        <w:spacing w:line="304" w:lineRule="auto" w:before="0"/>
        <w:ind w:left="3030" w:right="2680" w:hanging="15"/>
        <w:jc w:val="left"/>
        <w:rPr>
          <w:rFonts w:ascii="宋体" w:hAnsi="宋体" w:cs="宋体" w:eastAsia="宋体" w:hint="default"/>
          <w:sz w:val="32"/>
          <w:szCs w:val="32"/>
        </w:rPr>
      </w:pPr>
      <w:r>
        <w:rPr>
          <w:rFonts w:ascii="宋体" w:hAnsi="宋体" w:cs="宋体" w:eastAsia="宋体" w:hint="default"/>
          <w:b/>
          <w:bCs/>
          <w:sz w:val="32"/>
          <w:szCs w:val="32"/>
        </w:rPr>
        <w:t>证券简称：辉煌科技</w:t>
      </w:r>
      <w:r>
        <w:rPr>
          <w:rFonts w:ascii="宋体" w:hAnsi="宋体" w:cs="宋体" w:eastAsia="宋体" w:hint="default"/>
          <w:b/>
          <w:bCs/>
          <w:w w:val="99"/>
          <w:sz w:val="32"/>
          <w:szCs w:val="32"/>
        </w:rPr>
        <w:t> </w:t>
      </w:r>
      <w:r>
        <w:rPr>
          <w:rFonts w:ascii="宋体" w:hAnsi="宋体" w:cs="宋体" w:eastAsia="宋体" w:hint="default"/>
          <w:b/>
          <w:bCs/>
          <w:sz w:val="32"/>
          <w:szCs w:val="32"/>
        </w:rPr>
        <w:t>证券代码：</w:t>
      </w:r>
      <w:r>
        <w:rPr>
          <w:rFonts w:ascii="宋体" w:hAnsi="宋体" w:cs="宋体" w:eastAsia="宋体" w:hint="default"/>
          <w:b/>
          <w:bCs/>
          <w:sz w:val="32"/>
          <w:szCs w:val="32"/>
        </w:rPr>
        <w:t>002296</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before="0"/>
        <w:ind w:left="1021" w:right="859" w:firstLine="0"/>
        <w:jc w:val="center"/>
        <w:rPr>
          <w:rFonts w:ascii="宋体" w:hAnsi="宋体" w:cs="宋体" w:eastAsia="宋体" w:hint="default"/>
          <w:sz w:val="32"/>
          <w:szCs w:val="32"/>
        </w:rPr>
      </w:pPr>
      <w:r>
        <w:rPr>
          <w:rFonts w:ascii="宋体" w:hAnsi="宋体" w:cs="宋体" w:eastAsia="宋体" w:hint="default"/>
          <w:b/>
          <w:bCs/>
          <w:sz w:val="32"/>
          <w:szCs w:val="32"/>
        </w:rPr>
        <w:t>2011</w:t>
      </w:r>
      <w:r>
        <w:rPr>
          <w:rFonts w:ascii="宋体" w:hAnsi="宋体" w:cs="宋体" w:eastAsia="宋体" w:hint="default"/>
          <w:b/>
          <w:bCs/>
          <w:sz w:val="32"/>
          <w:szCs w:val="32"/>
        </w:rPr>
        <w:t>年</w:t>
      </w:r>
      <w:r>
        <w:rPr>
          <w:rFonts w:ascii="宋体" w:hAnsi="宋体" w:cs="宋体" w:eastAsia="宋体" w:hint="default"/>
          <w:b/>
          <w:bCs/>
          <w:sz w:val="32"/>
          <w:szCs w:val="32"/>
        </w:rPr>
        <w:t>3</w:t>
      </w:r>
      <w:r>
        <w:rPr>
          <w:rFonts w:ascii="宋体" w:hAnsi="宋体" w:cs="宋体" w:eastAsia="宋体" w:hint="default"/>
          <w:b/>
          <w:bCs/>
          <w:sz w:val="32"/>
          <w:szCs w:val="32"/>
        </w:rPr>
        <w:t>月</w:t>
      </w:r>
      <w:r>
        <w:rPr>
          <w:rFonts w:ascii="宋体" w:hAnsi="宋体" w:cs="宋体" w:eastAsia="宋体" w:hint="default"/>
          <w:b/>
          <w:bCs/>
          <w:sz w:val="32"/>
          <w:szCs w:val="32"/>
        </w:rPr>
        <w:t>10</w:t>
      </w:r>
      <w:r>
        <w:rPr>
          <w:rFonts w:ascii="宋体" w:hAnsi="宋体" w:cs="宋体" w:eastAsia="宋体" w:hint="default"/>
          <w:b/>
          <w:bCs/>
          <w:sz w:val="32"/>
          <w:szCs w:val="32"/>
        </w:rPr>
        <w:t>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624" w:footer="1045" w:top="1240" w:bottom="1240" w:left="1660" w:right="164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spacing w:line="621" w:lineRule="exact" w:before="0"/>
        <w:ind w:left="0" w:right="99" w:firstLine="0"/>
        <w:jc w:val="center"/>
        <w:rPr>
          <w:rFonts w:ascii="宋体" w:hAnsi="宋体" w:cs="宋体" w:eastAsia="宋体" w:hint="default"/>
          <w:sz w:val="52"/>
          <w:szCs w:val="52"/>
        </w:rPr>
      </w:pPr>
      <w:r>
        <w:rPr>
          <w:rFonts w:ascii="宋体" w:hAnsi="宋体" w:cs="宋体" w:eastAsia="宋体" w:hint="default"/>
          <w:b/>
          <w:bCs/>
          <w:sz w:val="52"/>
          <w:szCs w:val="52"/>
        </w:rPr>
        <w:t>重要提示</w:t>
      </w:r>
      <w:r>
        <w:rPr>
          <w:rFonts w:ascii="宋体" w:hAnsi="宋体" w:cs="宋体" w:eastAsia="宋体" w:hint="default"/>
          <w:sz w:val="52"/>
          <w:szCs w:val="52"/>
        </w:rPr>
      </w:r>
    </w:p>
    <w:p>
      <w:pPr>
        <w:spacing w:line="343" w:lineRule="auto" w:before="375"/>
        <w:ind w:left="138" w:right="95" w:firstLine="602"/>
        <w:jc w:val="left"/>
        <w:rPr>
          <w:rFonts w:ascii="宋体" w:hAnsi="宋体" w:cs="宋体" w:eastAsia="宋体" w:hint="default"/>
          <w:sz w:val="30"/>
          <w:szCs w:val="30"/>
        </w:rPr>
      </w:pPr>
      <w:r>
        <w:rPr>
          <w:rFonts w:ascii="宋体" w:hAnsi="宋体" w:cs="宋体" w:eastAsia="宋体" w:hint="default"/>
          <w:b/>
          <w:bCs/>
          <w:spacing w:val="-4"/>
          <w:sz w:val="30"/>
          <w:szCs w:val="30"/>
        </w:rPr>
        <w:t>本公司董事会、监事会及董事、监事、高级管理人员保证本</w:t>
      </w:r>
      <w:r>
        <w:rPr>
          <w:rFonts w:ascii="宋体" w:hAnsi="宋体" w:cs="宋体" w:eastAsia="宋体" w:hint="default"/>
          <w:b/>
          <w:bCs/>
          <w:w w:val="99"/>
          <w:sz w:val="30"/>
          <w:szCs w:val="30"/>
        </w:rPr>
        <w:t> </w:t>
      </w:r>
      <w:r>
        <w:rPr>
          <w:rFonts w:ascii="宋体" w:hAnsi="宋体" w:cs="宋体" w:eastAsia="宋体" w:hint="default"/>
          <w:b/>
          <w:bCs/>
          <w:sz w:val="30"/>
          <w:szCs w:val="30"/>
        </w:rPr>
        <w:t>报告所载资料不存在任何虚假记载、误导性陈述或者重大遗漏，</w:t>
      </w:r>
      <w:r>
        <w:rPr>
          <w:rFonts w:ascii="宋体" w:hAnsi="宋体" w:cs="宋体" w:eastAsia="宋体" w:hint="default"/>
          <w:b/>
          <w:bCs/>
          <w:w w:val="99"/>
          <w:sz w:val="30"/>
          <w:szCs w:val="30"/>
        </w:rPr>
        <w:t> </w:t>
      </w:r>
      <w:r>
        <w:rPr>
          <w:rFonts w:ascii="宋体" w:hAnsi="宋体" w:cs="宋体" w:eastAsia="宋体" w:hint="default"/>
          <w:b/>
          <w:bCs/>
          <w:sz w:val="30"/>
          <w:szCs w:val="30"/>
        </w:rPr>
        <w:t>并对其内容的真实性、准确性和完整性承担个别及连带责任。</w:t>
      </w:r>
      <w:r>
        <w:rPr>
          <w:rFonts w:ascii="宋体" w:hAnsi="宋体" w:cs="宋体" w:eastAsia="宋体" w:hint="default"/>
          <w:sz w:val="30"/>
          <w:szCs w:val="30"/>
        </w:rPr>
      </w:r>
    </w:p>
    <w:p>
      <w:pPr>
        <w:spacing w:line="343" w:lineRule="auto" w:before="37"/>
        <w:ind w:left="138" w:right="95" w:firstLine="602"/>
        <w:jc w:val="left"/>
        <w:rPr>
          <w:rFonts w:ascii="宋体" w:hAnsi="宋体" w:cs="宋体" w:eastAsia="宋体" w:hint="default"/>
          <w:sz w:val="30"/>
          <w:szCs w:val="30"/>
        </w:rPr>
      </w:pPr>
      <w:r>
        <w:rPr>
          <w:rFonts w:ascii="宋体" w:hAnsi="宋体" w:cs="宋体" w:eastAsia="宋体" w:hint="default"/>
          <w:b/>
          <w:bCs/>
          <w:spacing w:val="-4"/>
          <w:w w:val="95"/>
          <w:sz w:val="30"/>
          <w:szCs w:val="30"/>
        </w:rPr>
        <w:t>没有董事、监事、高级管理人员声明对年度报告内容的真实</w:t>
      </w:r>
      <w:r>
        <w:rPr>
          <w:rFonts w:ascii="宋体" w:hAnsi="宋体" w:cs="宋体" w:eastAsia="宋体" w:hint="default"/>
          <w:b/>
          <w:bCs/>
          <w:w w:val="99"/>
          <w:sz w:val="30"/>
          <w:szCs w:val="30"/>
        </w:rPr>
        <w:t> </w:t>
      </w:r>
      <w:r>
        <w:rPr>
          <w:rFonts w:ascii="宋体" w:hAnsi="宋体" w:cs="宋体" w:eastAsia="宋体" w:hint="default"/>
          <w:b/>
          <w:bCs/>
          <w:sz w:val="30"/>
          <w:szCs w:val="30"/>
        </w:rPr>
        <w:t>性、准确性、完整性无法保证或存在异议。</w:t>
      </w:r>
      <w:r>
        <w:rPr>
          <w:rFonts w:ascii="宋体" w:hAnsi="宋体" w:cs="宋体" w:eastAsia="宋体" w:hint="default"/>
          <w:sz w:val="30"/>
          <w:szCs w:val="30"/>
        </w:rPr>
      </w:r>
    </w:p>
    <w:p>
      <w:pPr>
        <w:spacing w:line="340" w:lineRule="auto" w:before="37"/>
        <w:ind w:left="740" w:right="222" w:firstLine="0"/>
        <w:jc w:val="left"/>
        <w:rPr>
          <w:rFonts w:ascii="宋体" w:hAnsi="宋体" w:cs="宋体" w:eastAsia="宋体" w:hint="default"/>
          <w:sz w:val="30"/>
          <w:szCs w:val="30"/>
        </w:rPr>
      </w:pPr>
      <w:r>
        <w:rPr>
          <w:rFonts w:ascii="宋体" w:hAnsi="宋体" w:cs="宋体" w:eastAsia="宋体" w:hint="default"/>
          <w:b/>
          <w:bCs/>
          <w:sz w:val="30"/>
          <w:szCs w:val="30"/>
        </w:rPr>
        <w:t>公司全体董事亲自出席了本次审议年度报告的董事会。</w:t>
      </w:r>
      <w:r>
        <w:rPr>
          <w:rFonts w:ascii="宋体" w:hAnsi="宋体" w:cs="宋体" w:eastAsia="宋体" w:hint="default"/>
          <w:b/>
          <w:bCs/>
          <w:w w:val="99"/>
          <w:sz w:val="30"/>
          <w:szCs w:val="30"/>
        </w:rPr>
        <w:t> </w:t>
      </w:r>
      <w:r>
        <w:rPr>
          <w:rFonts w:ascii="宋体" w:hAnsi="宋体" w:cs="宋体" w:eastAsia="宋体" w:hint="default"/>
          <w:b/>
          <w:bCs/>
          <w:spacing w:val="7"/>
          <w:sz w:val="30"/>
          <w:szCs w:val="30"/>
        </w:rPr>
        <w:t>公司年度财务报告已经天健正信会计师事务所审计并被出</w:t>
      </w:r>
      <w:r>
        <w:rPr>
          <w:rFonts w:ascii="宋体" w:hAnsi="宋体" w:cs="宋体" w:eastAsia="宋体" w:hint="default"/>
          <w:spacing w:val="7"/>
          <w:sz w:val="30"/>
          <w:szCs w:val="30"/>
        </w:rPr>
      </w:r>
    </w:p>
    <w:p>
      <w:pPr>
        <w:spacing w:line="343" w:lineRule="auto" w:before="43"/>
        <w:ind w:left="740" w:right="230" w:hanging="603"/>
        <w:jc w:val="left"/>
        <w:rPr>
          <w:rFonts w:ascii="宋体" w:hAnsi="宋体" w:cs="宋体" w:eastAsia="宋体" w:hint="default"/>
          <w:sz w:val="30"/>
          <w:szCs w:val="30"/>
        </w:rPr>
      </w:pPr>
      <w:r>
        <w:rPr>
          <w:rFonts w:ascii="宋体" w:hAnsi="宋体" w:cs="宋体" w:eastAsia="宋体" w:hint="default"/>
          <w:b/>
          <w:bCs/>
          <w:sz w:val="30"/>
          <w:szCs w:val="30"/>
        </w:rPr>
        <w:t>具了标准无保留意见的审计报告。</w:t>
      </w:r>
      <w:r>
        <w:rPr>
          <w:rFonts w:ascii="宋体" w:hAnsi="宋体" w:cs="宋体" w:eastAsia="宋体" w:hint="default"/>
          <w:b/>
          <w:bCs/>
          <w:w w:val="99"/>
          <w:sz w:val="30"/>
          <w:szCs w:val="30"/>
        </w:rPr>
        <w:t> </w:t>
      </w:r>
      <w:r>
        <w:rPr>
          <w:rFonts w:ascii="宋体" w:hAnsi="宋体" w:cs="宋体" w:eastAsia="宋体" w:hint="default"/>
          <w:b/>
          <w:bCs/>
          <w:spacing w:val="-4"/>
          <w:w w:val="99"/>
          <w:sz w:val="30"/>
          <w:szCs w:val="30"/>
        </w:rPr>
        <w:t>公司负责人李海鹰、主管会计工作负责人李新建及会计机构</w:t>
      </w:r>
      <w:r>
        <w:rPr>
          <w:rFonts w:ascii="宋体" w:hAnsi="宋体" w:cs="宋体" w:eastAsia="宋体" w:hint="default"/>
          <w:spacing w:val="-4"/>
          <w:sz w:val="30"/>
          <w:szCs w:val="30"/>
        </w:rPr>
      </w:r>
    </w:p>
    <w:p>
      <w:pPr>
        <w:spacing w:line="343" w:lineRule="auto" w:before="37"/>
        <w:ind w:left="138" w:right="95" w:firstLine="0"/>
        <w:jc w:val="left"/>
        <w:rPr>
          <w:rFonts w:ascii="宋体" w:hAnsi="宋体" w:cs="宋体" w:eastAsia="宋体" w:hint="default"/>
          <w:sz w:val="30"/>
          <w:szCs w:val="30"/>
        </w:rPr>
      </w:pPr>
      <w:r>
        <w:rPr>
          <w:rFonts w:ascii="宋体" w:hAnsi="宋体" w:cs="宋体" w:eastAsia="宋体" w:hint="default"/>
          <w:b/>
          <w:bCs/>
          <w:spacing w:val="-4"/>
          <w:w w:val="95"/>
          <w:sz w:val="30"/>
          <w:szCs w:val="30"/>
        </w:rPr>
        <w:t>负责人（会计主管人员）郭艳巧声明：保证年度报告中财务报告</w:t>
      </w:r>
      <w:r>
        <w:rPr>
          <w:rFonts w:ascii="宋体" w:hAnsi="宋体" w:cs="宋体" w:eastAsia="宋体" w:hint="default"/>
          <w:b/>
          <w:bCs/>
          <w:spacing w:val="124"/>
          <w:w w:val="95"/>
          <w:sz w:val="30"/>
          <w:szCs w:val="30"/>
        </w:rPr>
        <w:t> </w:t>
      </w:r>
      <w:r>
        <w:rPr>
          <w:rFonts w:ascii="宋体" w:hAnsi="宋体" w:cs="宋体" w:eastAsia="宋体" w:hint="default"/>
          <w:b/>
          <w:bCs/>
          <w:spacing w:val="124"/>
          <w:w w:val="95"/>
          <w:sz w:val="30"/>
          <w:szCs w:val="30"/>
        </w:rPr>
      </w:r>
      <w:r>
        <w:rPr>
          <w:rFonts w:ascii="宋体" w:hAnsi="宋体" w:cs="宋体" w:eastAsia="宋体" w:hint="default"/>
          <w:b/>
          <w:bCs/>
          <w:sz w:val="30"/>
          <w:szCs w:val="30"/>
        </w:rPr>
        <w:t>的真实、完整。</w:t>
      </w:r>
      <w:r>
        <w:rPr>
          <w:rFonts w:ascii="宋体" w:hAnsi="宋体" w:cs="宋体" w:eastAsia="宋体" w:hint="default"/>
          <w:sz w:val="30"/>
          <w:szCs w:val="30"/>
        </w:rPr>
      </w:r>
    </w:p>
    <w:p>
      <w:pPr>
        <w:spacing w:after="0" w:line="343" w:lineRule="auto"/>
        <w:jc w:val="left"/>
        <w:rPr>
          <w:rFonts w:ascii="宋体" w:hAnsi="宋体" w:cs="宋体" w:eastAsia="宋体" w:hint="default"/>
          <w:sz w:val="30"/>
          <w:szCs w:val="30"/>
        </w:rPr>
        <w:sectPr>
          <w:pgSz w:w="11910" w:h="16840"/>
          <w:pgMar w:header="624" w:footer="1045" w:top="1240" w:bottom="1240" w:left="1660" w:right="1560"/>
        </w:sectPr>
      </w:pPr>
    </w:p>
    <w:p>
      <w:pPr>
        <w:spacing w:line="240" w:lineRule="auto" w:before="4"/>
        <w:rPr>
          <w:rFonts w:ascii="宋体" w:hAnsi="宋体" w:cs="宋体" w:eastAsia="宋体" w:hint="default"/>
          <w:b/>
          <w:bCs/>
          <w:sz w:val="25"/>
          <w:szCs w:val="25"/>
        </w:rPr>
      </w:pPr>
    </w:p>
    <w:p>
      <w:pPr>
        <w:spacing w:before="7"/>
        <w:ind w:left="1021" w:right="1039" w:firstLine="0"/>
        <w:jc w:val="center"/>
        <w:rPr>
          <w:rFonts w:ascii="宋体" w:hAnsi="宋体" w:cs="宋体" w:eastAsia="宋体" w:hint="default"/>
          <w:sz w:val="30"/>
          <w:szCs w:val="30"/>
        </w:rPr>
      </w:pPr>
      <w:r>
        <w:rPr>
          <w:rFonts w:ascii="宋体" w:hAnsi="宋体" w:cs="宋体" w:eastAsia="宋体" w:hint="default"/>
          <w:b/>
          <w:bCs/>
          <w:sz w:val="30"/>
          <w:szCs w:val="30"/>
        </w:rPr>
        <w:t>目</w:t>
      </w:r>
      <w:r>
        <w:rPr>
          <w:rFonts w:ascii="宋体" w:hAnsi="宋体" w:cs="宋体" w:eastAsia="宋体" w:hint="default"/>
          <w:b/>
          <w:bCs/>
          <w:spacing w:val="-1"/>
          <w:sz w:val="30"/>
          <w:szCs w:val="30"/>
        </w:rPr>
        <w:t> </w:t>
      </w:r>
      <w:r>
        <w:rPr>
          <w:rFonts w:ascii="宋体" w:hAnsi="宋体" w:cs="宋体" w:eastAsia="宋体" w:hint="default"/>
          <w:b/>
          <w:bCs/>
          <w:sz w:val="30"/>
          <w:szCs w:val="30"/>
        </w:rPr>
        <w:t>录</w:t>
      </w:r>
      <w:r>
        <w:rPr>
          <w:rFonts w:ascii="宋体" w:hAnsi="宋体" w:cs="宋体" w:eastAsia="宋体" w:hint="default"/>
          <w:sz w:val="30"/>
          <w:szCs w:val="30"/>
        </w:rPr>
      </w:r>
    </w:p>
    <w:sdt>
      <w:sdtPr>
        <w:docPartObj>
          <w:docPartGallery w:val="Table of Contents"/>
          <w:docPartUnique/>
        </w:docPartObj>
      </w:sdtPr>
      <w:sdtEndPr/>
      <w:sdtContent>
        <w:p>
          <w:pPr>
            <w:pStyle w:val="TOC1"/>
            <w:tabs>
              <w:tab w:pos="8437" w:val="right" w:leader="dot"/>
            </w:tabs>
            <w:spacing w:line="240" w:lineRule="auto" w:before="389"/>
            <w:ind w:right="0"/>
            <w:jc w:val="left"/>
            <w:rPr>
              <w:rFonts w:ascii="Calibri" w:hAnsi="Calibri" w:cs="Calibri" w:eastAsia="Calibri" w:hint="default"/>
              <w:b w:val="0"/>
              <w:bCs w:val="0"/>
            </w:rPr>
          </w:pPr>
          <w:r>
            <w:fldChar w:fldCharType="begin"/>
          </w:r>
          <w:r>
            <w:instrText>TOC \o "1-1" \h \z \u </w:instrText>
          </w:r>
          <w:r>
            <w:fldChar w:fldCharType="separate"/>
          </w:r>
          <w:hyperlink w:history="true" w:anchor="_TOC_250010">
            <w:r>
              <w:rPr/>
              <w:t>第一节</w:t>
            </w:r>
            <w:r>
              <w:rPr>
                <w:spacing w:val="-1"/>
              </w:rPr>
              <w:t> </w:t>
            </w:r>
            <w:r>
              <w:rPr/>
              <w:t>公司基本情况简介</w:t>
            </w:r>
            <w:r>
              <w:rPr>
                <w:rFonts w:ascii="Calibri" w:hAnsi="Calibri" w:cs="Calibri" w:eastAsia="Calibri" w:hint="default"/>
              </w:rPr>
              <w:tab/>
              <w:t>4</w:t>
            </w:r>
            <w:r>
              <w:rPr>
                <w:rFonts w:ascii="Calibri" w:hAnsi="Calibri" w:cs="Calibri" w:eastAsia="Calibri" w:hint="default"/>
                <w:b w:val="0"/>
                <w:bCs w:val="0"/>
              </w:rPr>
            </w:r>
          </w:hyperlink>
        </w:p>
        <w:p>
          <w:pPr>
            <w:pStyle w:val="TOC1"/>
            <w:tabs>
              <w:tab w:pos="8437" w:val="right" w:leader="dot"/>
            </w:tabs>
            <w:spacing w:line="240" w:lineRule="auto" w:before="113"/>
            <w:ind w:right="0"/>
            <w:jc w:val="left"/>
            <w:rPr>
              <w:rFonts w:ascii="Calibri" w:hAnsi="Calibri" w:cs="Calibri" w:eastAsia="Calibri" w:hint="default"/>
              <w:b w:val="0"/>
              <w:bCs w:val="0"/>
            </w:rPr>
          </w:pPr>
          <w:hyperlink w:history="true" w:anchor="_TOC_250009">
            <w:r>
              <w:rPr/>
              <w:t>第二节 会计数据和业务数据摘要</w:t>
            </w:r>
            <w:r>
              <w:rPr>
                <w:rFonts w:ascii="Calibri" w:hAnsi="Calibri" w:cs="Calibri" w:eastAsia="Calibri" w:hint="default"/>
              </w:rPr>
              <w:tab/>
              <w:t>6</w:t>
            </w:r>
            <w:r>
              <w:rPr>
                <w:rFonts w:ascii="Calibri" w:hAnsi="Calibri" w:cs="Calibri" w:eastAsia="Calibri" w:hint="default"/>
                <w:b w:val="0"/>
                <w:bCs w:val="0"/>
              </w:rPr>
            </w:r>
          </w:hyperlink>
        </w:p>
        <w:p>
          <w:pPr>
            <w:pStyle w:val="TOC1"/>
            <w:tabs>
              <w:tab w:pos="8437" w:val="right" w:leader="dot"/>
            </w:tabs>
            <w:spacing w:line="240" w:lineRule="auto"/>
            <w:ind w:right="0"/>
            <w:jc w:val="left"/>
            <w:rPr>
              <w:rFonts w:ascii="Calibri" w:hAnsi="Calibri" w:cs="Calibri" w:eastAsia="Calibri" w:hint="default"/>
              <w:b w:val="0"/>
              <w:bCs w:val="0"/>
            </w:rPr>
          </w:pPr>
          <w:hyperlink w:history="true" w:anchor="_TOC_250008">
            <w:r>
              <w:rPr/>
              <w:t>第三节 股本变动及股东情况</w:t>
            </w:r>
            <w:r>
              <w:rPr>
                <w:rFonts w:ascii="Calibri" w:hAnsi="Calibri" w:cs="Calibri" w:eastAsia="Calibri" w:hint="default"/>
              </w:rPr>
              <w:tab/>
              <w:t>8</w:t>
            </w:r>
            <w:r>
              <w:rPr>
                <w:rFonts w:ascii="Calibri" w:hAnsi="Calibri" w:cs="Calibri" w:eastAsia="Calibri" w:hint="default"/>
                <w:b w:val="0"/>
                <w:bCs w:val="0"/>
              </w:rPr>
            </w:r>
          </w:hyperlink>
        </w:p>
        <w:p>
          <w:pPr>
            <w:pStyle w:val="TOC1"/>
            <w:tabs>
              <w:tab w:pos="8436" w:val="right" w:leader="dot"/>
            </w:tabs>
            <w:spacing w:line="240" w:lineRule="auto"/>
            <w:ind w:right="0"/>
            <w:jc w:val="left"/>
            <w:rPr>
              <w:rFonts w:ascii="Calibri" w:hAnsi="Calibri" w:cs="Calibri" w:eastAsia="Calibri" w:hint="default"/>
              <w:b w:val="0"/>
              <w:bCs w:val="0"/>
            </w:rPr>
          </w:pPr>
          <w:hyperlink w:history="true" w:anchor="_TOC_250007">
            <w:r>
              <w:rPr/>
              <w:t>第四节</w:t>
            </w:r>
            <w:r>
              <w:rPr>
                <w:spacing w:val="-1"/>
              </w:rPr>
              <w:t> </w:t>
            </w:r>
            <w:r>
              <w:rPr/>
              <w:t>董事、监事、高级管理人员和员工情况</w:t>
            </w:r>
            <w:r>
              <w:rPr>
                <w:rFonts w:ascii="Calibri" w:hAnsi="Calibri" w:cs="Calibri" w:eastAsia="Calibri" w:hint="default"/>
              </w:rPr>
              <w:tab/>
              <w:t>11</w:t>
            </w:r>
            <w:r>
              <w:rPr>
                <w:rFonts w:ascii="Calibri" w:hAnsi="Calibri" w:cs="Calibri" w:eastAsia="Calibri" w:hint="default"/>
                <w:b w:val="0"/>
                <w:bCs w:val="0"/>
              </w:rPr>
            </w:r>
          </w:hyperlink>
        </w:p>
        <w:p>
          <w:pPr>
            <w:pStyle w:val="TOC1"/>
            <w:tabs>
              <w:tab w:pos="8436" w:val="right" w:leader="dot"/>
            </w:tabs>
            <w:spacing w:line="240" w:lineRule="auto" w:before="113"/>
            <w:ind w:right="0"/>
            <w:jc w:val="left"/>
            <w:rPr>
              <w:rFonts w:ascii="Calibri" w:hAnsi="Calibri" w:cs="Calibri" w:eastAsia="Calibri" w:hint="default"/>
              <w:b w:val="0"/>
              <w:bCs w:val="0"/>
            </w:rPr>
          </w:pPr>
          <w:hyperlink w:history="true" w:anchor="_TOC_250006">
            <w:r>
              <w:rPr/>
              <w:t>第五节</w:t>
            </w:r>
            <w:r>
              <w:rPr>
                <w:spacing w:val="-1"/>
              </w:rPr>
              <w:t> </w:t>
            </w:r>
            <w:r>
              <w:rPr/>
              <w:t>公司治理结构</w:t>
            </w:r>
            <w:r>
              <w:rPr>
                <w:rFonts w:ascii="Calibri" w:hAnsi="Calibri" w:cs="Calibri" w:eastAsia="Calibri" w:hint="default"/>
              </w:rPr>
              <w:tab/>
              <w:t>19</w:t>
            </w:r>
            <w:r>
              <w:rPr>
                <w:rFonts w:ascii="Calibri" w:hAnsi="Calibri" w:cs="Calibri" w:eastAsia="Calibri" w:hint="default"/>
                <w:b w:val="0"/>
                <w:bCs w:val="0"/>
              </w:rPr>
            </w:r>
          </w:hyperlink>
        </w:p>
        <w:p>
          <w:pPr>
            <w:pStyle w:val="TOC1"/>
            <w:tabs>
              <w:tab w:pos="8436" w:val="right" w:leader="dot"/>
            </w:tabs>
            <w:spacing w:line="240" w:lineRule="auto"/>
            <w:ind w:right="0"/>
            <w:jc w:val="left"/>
            <w:rPr>
              <w:rFonts w:ascii="Calibri" w:hAnsi="Calibri" w:cs="Calibri" w:eastAsia="Calibri" w:hint="default"/>
              <w:b w:val="0"/>
              <w:bCs w:val="0"/>
            </w:rPr>
          </w:pPr>
          <w:hyperlink w:history="true" w:anchor="_TOC_250005">
            <w:r>
              <w:rPr/>
              <w:t>第六节</w:t>
            </w:r>
            <w:r>
              <w:rPr>
                <w:spacing w:val="-1"/>
              </w:rPr>
              <w:t> </w:t>
            </w:r>
            <w:r>
              <w:rPr/>
              <w:t>股东大会情况简介</w:t>
            </w:r>
            <w:r>
              <w:rPr>
                <w:rFonts w:ascii="Calibri" w:hAnsi="Calibri" w:cs="Calibri" w:eastAsia="Calibri" w:hint="default"/>
              </w:rPr>
              <w:tab/>
              <w:t>27</w:t>
            </w:r>
            <w:r>
              <w:rPr>
                <w:rFonts w:ascii="Calibri" w:hAnsi="Calibri" w:cs="Calibri" w:eastAsia="Calibri" w:hint="default"/>
                <w:b w:val="0"/>
                <w:bCs w:val="0"/>
              </w:rPr>
            </w:r>
          </w:hyperlink>
        </w:p>
        <w:p>
          <w:pPr>
            <w:pStyle w:val="TOC1"/>
            <w:tabs>
              <w:tab w:pos="8436" w:val="right" w:leader="dot"/>
            </w:tabs>
            <w:spacing w:line="240" w:lineRule="auto"/>
            <w:ind w:right="0"/>
            <w:jc w:val="left"/>
            <w:rPr>
              <w:rFonts w:ascii="Calibri" w:hAnsi="Calibri" w:cs="Calibri" w:eastAsia="Calibri" w:hint="default"/>
              <w:b w:val="0"/>
              <w:bCs w:val="0"/>
            </w:rPr>
          </w:pPr>
          <w:hyperlink w:history="true" w:anchor="_TOC_250004">
            <w:r>
              <w:rPr/>
              <w:t>第七节</w:t>
            </w:r>
            <w:r>
              <w:rPr>
                <w:spacing w:val="-1"/>
              </w:rPr>
              <w:t> </w:t>
            </w:r>
            <w:r>
              <w:rPr/>
              <w:t>董事会报告</w:t>
            </w:r>
            <w:r>
              <w:rPr>
                <w:rFonts w:ascii="Calibri" w:hAnsi="Calibri" w:cs="Calibri" w:eastAsia="Calibri" w:hint="default"/>
              </w:rPr>
              <w:tab/>
              <w:t>29</w:t>
            </w:r>
            <w:r>
              <w:rPr>
                <w:rFonts w:ascii="Calibri" w:hAnsi="Calibri" w:cs="Calibri" w:eastAsia="Calibri" w:hint="default"/>
                <w:b w:val="0"/>
                <w:bCs w:val="0"/>
              </w:rPr>
            </w:r>
          </w:hyperlink>
        </w:p>
        <w:p>
          <w:pPr>
            <w:pStyle w:val="TOC1"/>
            <w:tabs>
              <w:tab w:pos="8436" w:val="right" w:leader="dot"/>
            </w:tabs>
            <w:spacing w:line="240" w:lineRule="auto" w:before="113"/>
            <w:ind w:right="0"/>
            <w:jc w:val="left"/>
            <w:rPr>
              <w:rFonts w:ascii="Calibri" w:hAnsi="Calibri" w:cs="Calibri" w:eastAsia="Calibri" w:hint="default"/>
              <w:b w:val="0"/>
              <w:bCs w:val="0"/>
            </w:rPr>
          </w:pPr>
          <w:hyperlink w:history="true" w:anchor="_TOC_250003">
            <w:r>
              <w:rPr/>
              <w:t>第八节</w:t>
            </w:r>
            <w:r>
              <w:rPr>
                <w:spacing w:val="-1"/>
              </w:rPr>
              <w:t> </w:t>
            </w:r>
            <w:r>
              <w:rPr/>
              <w:t>监事会报告</w:t>
            </w:r>
            <w:r>
              <w:rPr>
                <w:rFonts w:ascii="Calibri" w:hAnsi="Calibri" w:cs="Calibri" w:eastAsia="Calibri" w:hint="default"/>
              </w:rPr>
              <w:tab/>
              <w:t>54</w:t>
            </w:r>
            <w:r>
              <w:rPr>
                <w:rFonts w:ascii="Calibri" w:hAnsi="Calibri" w:cs="Calibri" w:eastAsia="Calibri" w:hint="default"/>
                <w:b w:val="0"/>
                <w:bCs w:val="0"/>
              </w:rPr>
            </w:r>
          </w:hyperlink>
        </w:p>
        <w:p>
          <w:pPr>
            <w:pStyle w:val="TOC1"/>
            <w:tabs>
              <w:tab w:pos="8436" w:val="right" w:leader="dot"/>
            </w:tabs>
            <w:spacing w:line="240" w:lineRule="auto"/>
            <w:ind w:right="0"/>
            <w:jc w:val="left"/>
            <w:rPr>
              <w:rFonts w:ascii="Calibri" w:hAnsi="Calibri" w:cs="Calibri" w:eastAsia="Calibri" w:hint="default"/>
              <w:b w:val="0"/>
              <w:bCs w:val="0"/>
            </w:rPr>
          </w:pPr>
          <w:hyperlink w:history="true" w:anchor="_TOC_250002">
            <w:r>
              <w:rPr/>
              <w:t>第九节</w:t>
            </w:r>
            <w:r>
              <w:rPr>
                <w:spacing w:val="-1"/>
              </w:rPr>
              <w:t> </w:t>
            </w:r>
            <w:r>
              <w:rPr/>
              <w:t>重要事项</w:t>
            </w:r>
            <w:r>
              <w:rPr>
                <w:rFonts w:ascii="Calibri" w:hAnsi="Calibri" w:cs="Calibri" w:eastAsia="Calibri" w:hint="default"/>
              </w:rPr>
              <w:tab/>
              <w:t>56</w:t>
            </w:r>
            <w:r>
              <w:rPr>
                <w:rFonts w:ascii="Calibri" w:hAnsi="Calibri" w:cs="Calibri" w:eastAsia="Calibri" w:hint="default"/>
                <w:b w:val="0"/>
                <w:bCs w:val="0"/>
              </w:rPr>
            </w:r>
          </w:hyperlink>
        </w:p>
        <w:p>
          <w:pPr>
            <w:pStyle w:val="TOC1"/>
            <w:tabs>
              <w:tab w:pos="8436" w:val="right" w:leader="dot"/>
            </w:tabs>
            <w:spacing w:line="240" w:lineRule="auto"/>
            <w:ind w:right="0"/>
            <w:jc w:val="left"/>
            <w:rPr>
              <w:rFonts w:ascii="Calibri" w:hAnsi="Calibri" w:cs="Calibri" w:eastAsia="Calibri" w:hint="default"/>
              <w:b w:val="0"/>
              <w:bCs w:val="0"/>
            </w:rPr>
          </w:pPr>
          <w:hyperlink w:history="true" w:anchor="_TOC_250001">
            <w:r>
              <w:rPr/>
              <w:t>第十节</w:t>
            </w:r>
            <w:r>
              <w:rPr>
                <w:spacing w:val="-1"/>
              </w:rPr>
              <w:t> </w:t>
            </w:r>
            <w:r>
              <w:rPr/>
              <w:t>财务报告</w:t>
            </w:r>
            <w:r>
              <w:rPr>
                <w:rFonts w:ascii="Calibri" w:hAnsi="Calibri" w:cs="Calibri" w:eastAsia="Calibri" w:hint="default"/>
              </w:rPr>
              <w:tab/>
              <w:t>67</w:t>
            </w:r>
            <w:r>
              <w:rPr>
                <w:rFonts w:ascii="Calibri" w:hAnsi="Calibri" w:cs="Calibri" w:eastAsia="Calibri" w:hint="default"/>
                <w:b w:val="0"/>
                <w:bCs w:val="0"/>
              </w:rPr>
            </w:r>
          </w:hyperlink>
        </w:p>
        <w:p>
          <w:pPr>
            <w:pStyle w:val="TOC1"/>
            <w:tabs>
              <w:tab w:pos="8436" w:val="right" w:leader="dot"/>
            </w:tabs>
            <w:spacing w:line="240" w:lineRule="auto" w:before="113"/>
            <w:ind w:right="0"/>
            <w:jc w:val="left"/>
            <w:rPr>
              <w:rFonts w:ascii="Calibri" w:hAnsi="Calibri" w:cs="Calibri" w:eastAsia="Calibri" w:hint="default"/>
              <w:b w:val="0"/>
              <w:bCs w:val="0"/>
            </w:rPr>
          </w:pPr>
          <w:hyperlink w:history="true" w:anchor="_TOC_250000">
            <w:r>
              <w:rPr/>
              <w:t>第十一节</w:t>
            </w:r>
            <w:r>
              <w:rPr>
                <w:spacing w:val="-1"/>
              </w:rPr>
              <w:t> </w:t>
            </w:r>
            <w:r>
              <w:rPr/>
              <w:t>备查文件目录</w:t>
            </w:r>
            <w:r>
              <w:rPr>
                <w:rFonts w:ascii="Calibri" w:hAnsi="Calibri" w:cs="Calibri" w:eastAsia="Calibri" w:hint="default"/>
              </w:rPr>
              <w:tab/>
              <w:t>77</w:t>
            </w:r>
            <w:r>
              <w:rPr>
                <w:rFonts w:ascii="Calibri" w:hAnsi="Calibri" w:cs="Calibri" w:eastAsia="Calibri" w:hint="default"/>
                <w:b w:val="0"/>
                <w:bCs w:val="0"/>
              </w:rPr>
            </w:r>
          </w:hyperlink>
        </w:p>
        <w:p>
          <w:pPr/>
          <w:r>
            <w:fldChar w:fldCharType="end"/>
          </w:r>
        </w:p>
      </w:sdtContent>
    </w:sdt>
    <w:p>
      <w:pPr>
        <w:spacing w:after="0"/>
        <w:sectPr>
          <w:pgSz w:w="11910" w:h="16840"/>
          <w:pgMar w:header="624" w:footer="1045" w:top="1240" w:bottom="1240" w:left="1660" w:right="1640"/>
        </w:sectPr>
      </w:pPr>
    </w:p>
    <w:p>
      <w:pPr>
        <w:pStyle w:val="Heading1"/>
        <w:spacing w:line="240" w:lineRule="auto" w:before="249"/>
        <w:ind w:left="3007" w:right="583"/>
        <w:jc w:val="left"/>
      </w:pPr>
      <w:bookmarkStart w:name="_TOC_250010" w:id="1"/>
      <w:r>
        <w:rPr/>
        <w:t>第一节</w:t>
      </w:r>
      <w:r>
        <w:rPr>
          <w:spacing w:val="1"/>
        </w:rPr>
        <w:t> </w:t>
      </w:r>
      <w:bookmarkEnd w:id="1"/>
      <w:r>
        <w:rPr/>
        <w:t>公司基本情况简介</w:t>
      </w:r>
    </w:p>
    <w:p>
      <w:pPr>
        <w:spacing w:line="240" w:lineRule="auto" w:before="0"/>
        <w:rPr>
          <w:rFonts w:ascii="黑体" w:hAnsi="黑体" w:cs="黑体" w:eastAsia="黑体" w:hint="default"/>
          <w:sz w:val="30"/>
          <w:szCs w:val="30"/>
        </w:rPr>
      </w:pPr>
    </w:p>
    <w:p>
      <w:pPr>
        <w:spacing w:line="240" w:lineRule="auto" w:before="1"/>
        <w:rPr>
          <w:rFonts w:ascii="黑体" w:hAnsi="黑体" w:cs="黑体" w:eastAsia="黑体" w:hint="default"/>
          <w:sz w:val="23"/>
          <w:szCs w:val="23"/>
        </w:rPr>
      </w:pPr>
    </w:p>
    <w:p>
      <w:pPr>
        <w:spacing w:line="357" w:lineRule="auto" w:before="0"/>
        <w:ind w:left="1137" w:right="583" w:hanging="560"/>
        <w:jc w:val="left"/>
        <w:rPr>
          <w:rFonts w:ascii="宋体" w:hAnsi="宋体" w:cs="宋体" w:eastAsia="宋体" w:hint="default"/>
          <w:sz w:val="28"/>
          <w:szCs w:val="28"/>
        </w:rPr>
      </w:pPr>
      <w:r>
        <w:rPr>
          <w:rFonts w:ascii="宋体" w:hAnsi="宋体" w:cs="宋体" w:eastAsia="宋体" w:hint="default"/>
          <w:sz w:val="28"/>
          <w:szCs w:val="28"/>
        </w:rPr>
        <w:t>一、公司法定中文名称：河南辉煌科技股份有限公司</w:t>
      </w:r>
      <w:r>
        <w:rPr>
          <w:rFonts w:ascii="宋体" w:hAnsi="宋体" w:cs="宋体" w:eastAsia="宋体" w:hint="default"/>
          <w:w w:val="100"/>
          <w:sz w:val="28"/>
          <w:szCs w:val="28"/>
        </w:rPr>
        <w:t> </w:t>
      </w:r>
      <w:r>
        <w:rPr>
          <w:rFonts w:ascii="宋体" w:hAnsi="宋体" w:cs="宋体" w:eastAsia="宋体" w:hint="default"/>
          <w:sz w:val="28"/>
          <w:szCs w:val="28"/>
        </w:rPr>
        <w:t>公司法定英文名称：</w:t>
      </w:r>
      <w:r>
        <w:rPr>
          <w:rFonts w:ascii="宋体" w:hAnsi="宋体" w:cs="宋体" w:eastAsia="宋体" w:hint="default"/>
          <w:sz w:val="24"/>
          <w:szCs w:val="24"/>
        </w:rPr>
        <w:t>HeNan</w:t>
      </w:r>
      <w:r>
        <w:rPr>
          <w:rFonts w:ascii="宋体" w:hAnsi="宋体" w:cs="宋体" w:eastAsia="宋体" w:hint="default"/>
          <w:spacing w:val="-29"/>
          <w:sz w:val="24"/>
          <w:szCs w:val="24"/>
        </w:rPr>
        <w:t> </w:t>
      </w:r>
      <w:r>
        <w:rPr>
          <w:rFonts w:ascii="宋体" w:hAnsi="宋体" w:cs="宋体" w:eastAsia="宋体" w:hint="default"/>
          <w:sz w:val="24"/>
          <w:szCs w:val="24"/>
        </w:rPr>
        <w:t>Splendor</w:t>
      </w:r>
      <w:r>
        <w:rPr>
          <w:rFonts w:ascii="宋体" w:hAnsi="宋体" w:cs="宋体" w:eastAsia="宋体" w:hint="default"/>
          <w:spacing w:val="-29"/>
          <w:sz w:val="24"/>
          <w:szCs w:val="24"/>
        </w:rPr>
        <w:t> </w:t>
      </w:r>
      <w:r>
        <w:rPr>
          <w:rFonts w:ascii="宋体" w:hAnsi="宋体" w:cs="宋体" w:eastAsia="宋体" w:hint="default"/>
          <w:sz w:val="24"/>
          <w:szCs w:val="24"/>
        </w:rPr>
        <w:t>Science</w:t>
      </w:r>
      <w:r>
        <w:rPr>
          <w:rFonts w:ascii="宋体" w:hAnsi="宋体" w:cs="宋体" w:eastAsia="宋体" w:hint="default"/>
          <w:spacing w:val="-29"/>
          <w:sz w:val="24"/>
          <w:szCs w:val="24"/>
        </w:rPr>
        <w:t> </w:t>
      </w:r>
      <w:r>
        <w:rPr>
          <w:rFonts w:ascii="宋体" w:hAnsi="宋体" w:cs="宋体" w:eastAsia="宋体" w:hint="default"/>
          <w:sz w:val="24"/>
          <w:szCs w:val="24"/>
        </w:rPr>
        <w:t>&amp;</w:t>
      </w:r>
      <w:r>
        <w:rPr>
          <w:rFonts w:ascii="宋体" w:hAnsi="宋体" w:cs="宋体" w:eastAsia="宋体" w:hint="default"/>
          <w:spacing w:val="-29"/>
          <w:sz w:val="24"/>
          <w:szCs w:val="24"/>
        </w:rPr>
        <w:t> </w:t>
      </w:r>
      <w:r>
        <w:rPr>
          <w:rFonts w:ascii="宋体" w:hAnsi="宋体" w:cs="宋体" w:eastAsia="宋体" w:hint="default"/>
          <w:sz w:val="24"/>
          <w:szCs w:val="24"/>
        </w:rPr>
        <w:t>Technology</w:t>
      </w:r>
      <w:r>
        <w:rPr>
          <w:rFonts w:ascii="宋体" w:hAnsi="宋体" w:cs="宋体" w:eastAsia="宋体" w:hint="default"/>
          <w:spacing w:val="-29"/>
          <w:sz w:val="24"/>
          <w:szCs w:val="24"/>
        </w:rPr>
        <w:t> </w:t>
      </w:r>
      <w:r>
        <w:rPr>
          <w:rFonts w:ascii="宋体" w:hAnsi="宋体" w:cs="宋体" w:eastAsia="宋体" w:hint="default"/>
          <w:sz w:val="24"/>
          <w:szCs w:val="24"/>
        </w:rPr>
        <w:t>Co.,</w:t>
      </w:r>
      <w:r>
        <w:rPr>
          <w:rFonts w:ascii="宋体" w:hAnsi="宋体" w:cs="宋体" w:eastAsia="宋体" w:hint="default"/>
          <w:spacing w:val="-29"/>
          <w:sz w:val="24"/>
          <w:szCs w:val="24"/>
        </w:rPr>
        <w:t> </w:t>
      </w:r>
      <w:r>
        <w:rPr>
          <w:rFonts w:ascii="宋体" w:hAnsi="宋体" w:cs="宋体" w:eastAsia="宋体" w:hint="default"/>
          <w:sz w:val="24"/>
          <w:szCs w:val="24"/>
        </w:rPr>
        <w:t>Ltd.</w:t>
      </w:r>
      <w:r>
        <w:rPr>
          <w:rFonts w:ascii="宋体" w:hAnsi="宋体" w:cs="宋体" w:eastAsia="宋体" w:hint="default"/>
          <w:sz w:val="24"/>
          <w:szCs w:val="24"/>
        </w:rPr>
        <w:t> </w:t>
      </w:r>
      <w:r>
        <w:rPr>
          <w:rFonts w:ascii="宋体" w:hAnsi="宋体" w:cs="宋体" w:eastAsia="宋体" w:hint="default"/>
          <w:sz w:val="28"/>
          <w:szCs w:val="28"/>
        </w:rPr>
        <w:t>英文缩写：</w:t>
      </w:r>
      <w:r>
        <w:rPr>
          <w:rFonts w:ascii="宋体" w:hAnsi="宋体" w:cs="宋体" w:eastAsia="宋体" w:hint="default"/>
          <w:sz w:val="28"/>
          <w:szCs w:val="28"/>
        </w:rPr>
        <w:t>HHKJ</w:t>
      </w:r>
    </w:p>
    <w:p>
      <w:pPr>
        <w:pStyle w:val="Heading3"/>
        <w:spacing w:line="357" w:lineRule="auto" w:before="41"/>
        <w:ind w:left="578" w:right="5261"/>
        <w:jc w:val="left"/>
      </w:pPr>
      <w:r>
        <w:rPr>
          <w:spacing w:val="-1"/>
        </w:rPr>
        <w:t>二、公司法定代表人：李海鹰</w:t>
      </w:r>
      <w:r>
        <w:rPr>
          <w:spacing w:val="-129"/>
        </w:rPr>
        <w:t> </w:t>
      </w:r>
      <w:r>
        <w:rPr>
          <w:spacing w:val="-129"/>
        </w:rPr>
      </w:r>
      <w:r>
        <w:rPr>
          <w:spacing w:val="-1"/>
        </w:rPr>
        <w:t>三、公司联系人和联系方式：</w:t>
      </w:r>
    </w:p>
    <w:p>
      <w:pPr>
        <w:spacing w:line="240" w:lineRule="auto" w:before="1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156"/>
        <w:gridCol w:w="4124"/>
        <w:gridCol w:w="3968"/>
      </w:tblGrid>
      <w:tr>
        <w:trPr>
          <w:trHeight w:val="283" w:hRule="exact"/>
        </w:trPr>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41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4124"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李新建</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韩瑞</w:t>
            </w:r>
          </w:p>
        </w:tc>
      </w:tr>
      <w:tr>
        <w:trPr>
          <w:trHeight w:val="283" w:hRule="exact"/>
        </w:trPr>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4124" w:type="dxa"/>
            <w:tcBorders>
              <w:top w:val="single" w:sz="4" w:space="0" w:color="000000"/>
              <w:left w:val="single" w:sz="13" w:space="0" w:color="DCDCDC"/>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281" w:hRule="exact"/>
        </w:trPr>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电话</w:t>
            </w:r>
          </w:p>
        </w:tc>
        <w:tc>
          <w:tcPr>
            <w:tcW w:w="41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0371-67980218</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 w:right="0"/>
              <w:jc w:val="left"/>
              <w:rPr>
                <w:rFonts w:ascii="Times New Roman" w:hAnsi="Times New Roman" w:cs="Times New Roman" w:eastAsia="Times New Roman" w:hint="default"/>
                <w:sz w:val="21"/>
                <w:szCs w:val="21"/>
              </w:rPr>
            </w:pPr>
            <w:r>
              <w:rPr>
                <w:rFonts w:ascii="Times New Roman"/>
                <w:sz w:val="21"/>
              </w:rPr>
              <w:t>0371-67371035</w:t>
            </w:r>
          </w:p>
        </w:tc>
      </w:tr>
      <w:tr>
        <w:trPr>
          <w:trHeight w:val="283" w:hRule="exact"/>
        </w:trPr>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传真</w:t>
            </w:r>
          </w:p>
        </w:tc>
        <w:tc>
          <w:tcPr>
            <w:tcW w:w="41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0371-67371035</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1" w:right="0"/>
              <w:jc w:val="left"/>
              <w:rPr>
                <w:rFonts w:ascii="Times New Roman" w:hAnsi="Times New Roman" w:cs="Times New Roman" w:eastAsia="Times New Roman" w:hint="default"/>
                <w:sz w:val="21"/>
                <w:szCs w:val="21"/>
              </w:rPr>
            </w:pPr>
            <w:r>
              <w:rPr>
                <w:rFonts w:ascii="Times New Roman"/>
                <w:sz w:val="21"/>
              </w:rPr>
              <w:t>0371-67371035</w:t>
            </w:r>
          </w:p>
        </w:tc>
      </w:tr>
      <w:tr>
        <w:trPr>
          <w:trHeight w:val="283" w:hRule="exact"/>
        </w:trPr>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41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hyperlink r:id="rId8">
              <w:r>
                <w:rPr>
                  <w:rFonts w:ascii="Times New Roman"/>
                  <w:sz w:val="21"/>
                </w:rPr>
                <w:t>hhlxjian@163.com</w:t>
              </w:r>
            </w:hyperlink>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hyperlink r:id="rId9">
              <w:r>
                <w:rPr>
                  <w:rFonts w:ascii="Times New Roman"/>
                  <w:sz w:val="21"/>
                </w:rPr>
                <w:t>hr9228@126.com</w:t>
              </w:r>
            </w:hyperlink>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before="14"/>
        <w:ind w:left="578" w:right="583"/>
        <w:jc w:val="left"/>
      </w:pPr>
      <w:r>
        <w:rPr/>
        <w:t>四、公司注册地址：郑州市高新技术产业开发区重阳街</w:t>
      </w:r>
      <w:r>
        <w:rPr>
          <w:spacing w:val="-73"/>
        </w:rPr>
        <w:t> </w:t>
      </w:r>
      <w:r>
        <w:rPr>
          <w:rFonts w:ascii="宋体" w:hAnsi="宋体" w:cs="宋体" w:eastAsia="宋体" w:hint="default"/>
        </w:rPr>
        <w:t>74</w:t>
      </w:r>
      <w:r>
        <w:rPr>
          <w:rFonts w:ascii="宋体" w:hAnsi="宋体" w:cs="宋体" w:eastAsia="宋体" w:hint="default"/>
          <w:spacing w:val="-71"/>
        </w:rPr>
        <w:t> </w:t>
      </w:r>
      <w:r>
        <w:rPr/>
        <w:t>号</w:t>
      </w:r>
    </w:p>
    <w:p>
      <w:pPr>
        <w:pStyle w:val="Heading3"/>
        <w:spacing w:line="357" w:lineRule="auto" w:before="178"/>
        <w:ind w:left="1137" w:right="1191"/>
        <w:jc w:val="left"/>
        <w:rPr>
          <w:rFonts w:ascii="宋体" w:hAnsi="宋体" w:cs="宋体" w:eastAsia="宋体" w:hint="default"/>
        </w:rPr>
      </w:pPr>
      <w:r>
        <w:rPr/>
        <w:t>公司办公地址：郑州市高新技术产业开发区科学大道</w:t>
      </w:r>
      <w:r>
        <w:rPr>
          <w:spacing w:val="-71"/>
        </w:rPr>
        <w:t> </w:t>
      </w:r>
      <w:r>
        <w:rPr>
          <w:rFonts w:ascii="宋体" w:hAnsi="宋体" w:cs="宋体" w:eastAsia="宋体" w:hint="default"/>
        </w:rPr>
        <w:t>74</w:t>
      </w:r>
      <w:r>
        <w:rPr>
          <w:rFonts w:ascii="宋体" w:hAnsi="宋体" w:cs="宋体" w:eastAsia="宋体" w:hint="default"/>
          <w:spacing w:val="-71"/>
        </w:rPr>
        <w:t> </w:t>
      </w:r>
      <w:r>
        <w:rPr/>
        <w:t>号</w:t>
      </w:r>
      <w:r>
        <w:rPr>
          <w:w w:val="100"/>
        </w:rPr>
        <w:t> </w:t>
      </w:r>
      <w:r>
        <w:rPr/>
        <w:t>邮政编码：</w:t>
      </w:r>
      <w:r>
        <w:rPr>
          <w:rFonts w:ascii="宋体" w:hAnsi="宋体" w:cs="宋体" w:eastAsia="宋体" w:hint="default"/>
        </w:rPr>
        <w:t>450001</w:t>
      </w:r>
    </w:p>
    <w:p>
      <w:pPr>
        <w:pStyle w:val="Heading3"/>
        <w:spacing w:line="357" w:lineRule="auto" w:before="41"/>
        <w:ind w:left="1137" w:right="583"/>
        <w:jc w:val="left"/>
        <w:rPr>
          <w:rFonts w:ascii="宋体" w:hAnsi="宋体" w:cs="宋体" w:eastAsia="宋体" w:hint="default"/>
        </w:rPr>
      </w:pPr>
      <w:r>
        <w:rPr>
          <w:spacing w:val="-2"/>
        </w:rPr>
        <w:t>公司国际互联网网址：</w:t>
      </w:r>
      <w:hyperlink r:id="rId10">
        <w:r>
          <w:rPr>
            <w:rFonts w:ascii="宋体" w:hAnsi="宋体" w:cs="宋体" w:eastAsia="宋体" w:hint="default"/>
            <w:spacing w:val="-2"/>
          </w:rPr>
          <w:t>www.hhkj.cn</w:t>
        </w:r>
      </w:hyperlink>
      <w:r>
        <w:rPr>
          <w:rFonts w:ascii="宋体" w:hAnsi="宋体" w:cs="宋体" w:eastAsia="宋体" w:hint="default"/>
          <w:spacing w:val="-108"/>
        </w:rPr>
        <w:t> </w:t>
      </w:r>
      <w:r>
        <w:rPr>
          <w:rFonts w:ascii="宋体" w:hAnsi="宋体" w:cs="宋体" w:eastAsia="宋体" w:hint="default"/>
          <w:spacing w:val="-108"/>
        </w:rPr>
      </w:r>
      <w:r>
        <w:rPr/>
        <w:t>公司电子信箱：</w:t>
      </w:r>
      <w:hyperlink r:id="rId11">
        <w:r>
          <w:rPr>
            <w:rFonts w:ascii="宋体" w:hAnsi="宋体" w:cs="宋体" w:eastAsia="宋体" w:hint="default"/>
          </w:rPr>
          <w:t>hhkj_cn@163.com</w:t>
        </w:r>
      </w:hyperlink>
    </w:p>
    <w:p>
      <w:pPr>
        <w:spacing w:line="350" w:lineRule="auto" w:before="41"/>
        <w:ind w:left="1137" w:right="583" w:hanging="560"/>
        <w:jc w:val="left"/>
        <w:rPr>
          <w:rFonts w:ascii="宋体" w:hAnsi="宋体" w:cs="宋体" w:eastAsia="宋体" w:hint="default"/>
          <w:sz w:val="28"/>
          <w:szCs w:val="28"/>
        </w:rPr>
      </w:pPr>
      <w:r>
        <w:rPr>
          <w:rFonts w:ascii="宋体" w:hAnsi="宋体" w:cs="宋体" w:eastAsia="宋体" w:hint="default"/>
          <w:spacing w:val="-15"/>
          <w:w w:val="100"/>
          <w:sz w:val="28"/>
          <w:szCs w:val="28"/>
        </w:rPr>
        <w:t>五、公司选定的信息披露报纸名称：《证券时报》、《中国证券报》</w:t>
      </w:r>
      <w:r>
        <w:rPr>
          <w:rFonts w:ascii="宋体" w:hAnsi="宋体" w:cs="宋体" w:eastAsia="宋体" w:hint="default"/>
          <w:w w:val="100"/>
          <w:sz w:val="28"/>
          <w:szCs w:val="28"/>
        </w:rPr>
        <w:t> </w:t>
      </w:r>
      <w:r>
        <w:rPr>
          <w:rFonts w:ascii="宋体" w:hAnsi="宋体" w:cs="宋体" w:eastAsia="宋体" w:hint="default"/>
          <w:spacing w:val="-3"/>
          <w:sz w:val="28"/>
          <w:szCs w:val="28"/>
        </w:rPr>
        <w:t>登载年度报告的中国证监会指定网站网址：</w:t>
      </w:r>
      <w:hyperlink r:id="rId12">
        <w:r>
          <w:rPr>
            <w:rFonts w:ascii="Times New Roman" w:hAnsi="Times New Roman" w:cs="Times New Roman" w:eastAsia="Times New Roman" w:hint="default"/>
            <w:spacing w:val="-3"/>
            <w:sz w:val="24"/>
            <w:szCs w:val="24"/>
          </w:rPr>
          <w:t>http://www.cninfo.com.cn</w:t>
        </w:r>
      </w:hyperlink>
      <w:r>
        <w:rPr>
          <w:rFonts w:ascii="Times New Roman" w:hAnsi="Times New Roman" w:cs="Times New Roman" w:eastAsia="Times New Roman" w:hint="default"/>
          <w:sz w:val="24"/>
          <w:szCs w:val="24"/>
        </w:rPr>
        <w:t> </w:t>
      </w:r>
      <w:r>
        <w:rPr>
          <w:rFonts w:ascii="宋体" w:hAnsi="宋体" w:cs="宋体" w:eastAsia="宋体" w:hint="default"/>
          <w:sz w:val="28"/>
          <w:szCs w:val="28"/>
        </w:rPr>
        <w:t>公司年度报告备置地点：公司证券事务办公室</w:t>
      </w:r>
    </w:p>
    <w:p>
      <w:pPr>
        <w:pStyle w:val="Heading3"/>
        <w:spacing w:line="355" w:lineRule="auto" w:before="49"/>
        <w:ind w:left="1137" w:right="1191" w:hanging="560"/>
        <w:jc w:val="left"/>
      </w:pPr>
      <w:r>
        <w:rPr>
          <w:spacing w:val="-1"/>
        </w:rPr>
        <w:t>六、公司股票上市交易所：深圳证券交易所</w:t>
      </w:r>
      <w:r>
        <w:rPr>
          <w:spacing w:val="-123"/>
        </w:rPr>
        <w:t> </w:t>
      </w:r>
      <w:r>
        <w:rPr>
          <w:spacing w:val="-123"/>
        </w:rPr>
      </w:r>
      <w:r>
        <w:rPr/>
        <w:t>股票简称：辉煌科技</w:t>
      </w:r>
    </w:p>
    <w:p>
      <w:pPr>
        <w:pStyle w:val="Heading3"/>
        <w:spacing w:line="357" w:lineRule="auto" w:before="44"/>
        <w:ind w:left="578" w:right="3524" w:firstLine="559"/>
        <w:jc w:val="left"/>
      </w:pPr>
      <w:r>
        <w:rPr/>
        <w:t>股票代码：</w:t>
      </w:r>
      <w:r>
        <w:rPr>
          <w:rFonts w:ascii="宋体" w:hAnsi="宋体" w:cs="宋体" w:eastAsia="宋体" w:hint="default"/>
        </w:rPr>
        <w:t>002296</w:t>
      </w:r>
      <w:r>
        <w:rPr>
          <w:rFonts w:ascii="宋体" w:hAnsi="宋体" w:cs="宋体" w:eastAsia="宋体" w:hint="default"/>
          <w:spacing w:val="-2"/>
          <w:w w:val="100"/>
        </w:rPr>
        <w:t> </w:t>
      </w:r>
      <w:r>
        <w:rPr/>
        <w:t>七、其他有关资料：</w:t>
      </w:r>
      <w:r>
        <w:rPr>
          <w:w w:val="100"/>
        </w:rPr>
        <w:t> </w:t>
      </w:r>
      <w:r>
        <w:rPr/>
        <w:t>公司首次注册登记日期：</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7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70"/>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w:t>
      </w:r>
    </w:p>
    <w:p>
      <w:pPr>
        <w:pStyle w:val="Heading3"/>
        <w:spacing w:line="240" w:lineRule="auto" w:before="5"/>
        <w:ind w:left="578" w:right="583"/>
        <w:jc w:val="left"/>
      </w:pPr>
      <w:r>
        <w:rPr/>
        <w:t>公司最近一次变更注册登记日期：</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71"/>
        </w:rPr>
        <w:t> </w:t>
      </w:r>
      <w:r>
        <w:rPr>
          <w:rFonts w:ascii="Times New Roman" w:hAnsi="Times New Roman" w:cs="Times New Roman" w:eastAsia="Times New Roman" w:hint="default"/>
        </w:rPr>
        <w:t>5 </w:t>
      </w:r>
      <w:r>
        <w:rPr/>
        <w:t>月</w:t>
      </w:r>
      <w:r>
        <w:rPr>
          <w:spacing w:val="-73"/>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w:t>
      </w:r>
    </w:p>
    <w:p>
      <w:pPr>
        <w:spacing w:after="0" w:line="240" w:lineRule="auto"/>
        <w:jc w:val="left"/>
        <w:sectPr>
          <w:pgSz w:w="11910" w:h="16840"/>
          <w:pgMar w:header="624" w:footer="1045" w:top="1240" w:bottom="1240" w:left="1220" w:right="1200"/>
        </w:sectPr>
      </w:pPr>
    </w:p>
    <w:p>
      <w:pPr>
        <w:spacing w:line="240" w:lineRule="auto" w:before="11"/>
        <w:rPr>
          <w:rFonts w:ascii="宋体" w:hAnsi="宋体" w:cs="宋体" w:eastAsia="宋体" w:hint="default"/>
          <w:sz w:val="18"/>
          <w:szCs w:val="18"/>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pStyle w:val="Heading3"/>
        <w:spacing w:line="333" w:lineRule="exact" w:before="0"/>
        <w:ind w:right="0"/>
        <w:jc w:val="left"/>
        <w:rPr>
          <w:rFonts w:ascii="Times New Roman" w:hAnsi="Times New Roman" w:cs="Times New Roman" w:eastAsia="Times New Roman" w:hint="default"/>
        </w:rPr>
      </w:pPr>
      <w:r>
        <w:rPr/>
        <w:t>公司企业法人营业执照注册号：</w:t>
      </w:r>
      <w:r>
        <w:rPr>
          <w:rFonts w:ascii="Times New Roman" w:hAnsi="Times New Roman" w:cs="Times New Roman" w:eastAsia="Times New Roman" w:hint="default"/>
        </w:rPr>
        <w:t>410100000015035</w:t>
      </w:r>
    </w:p>
    <w:p>
      <w:pPr>
        <w:pStyle w:val="Heading3"/>
        <w:spacing w:line="343" w:lineRule="auto" w:before="157"/>
        <w:ind w:right="178"/>
        <w:jc w:val="left"/>
      </w:pPr>
      <w:r>
        <w:rPr/>
        <w:t>税务登记号码：豫国税郑高字</w:t>
      </w:r>
      <w:r>
        <w:rPr>
          <w:spacing w:val="-73"/>
        </w:rPr>
        <w:t> </w:t>
      </w:r>
      <w:r>
        <w:rPr>
          <w:rFonts w:ascii="Times New Roman" w:hAnsi="Times New Roman" w:cs="Times New Roman" w:eastAsia="Times New Roman" w:hint="default"/>
        </w:rPr>
        <w:t>410102732482674</w:t>
      </w:r>
      <w:r>
        <w:rPr>
          <w:rFonts w:ascii="Times New Roman" w:hAnsi="Times New Roman" w:cs="Times New Roman" w:eastAsia="Times New Roman" w:hint="default"/>
          <w:spacing w:val="1"/>
        </w:rPr>
        <w:t> </w:t>
      </w:r>
      <w:r>
        <w:rPr/>
        <w:t>号</w:t>
      </w:r>
      <w:r>
        <w:rPr>
          <w:w w:val="100"/>
        </w:rPr>
        <w:t> </w:t>
      </w:r>
      <w:r>
        <w:rPr/>
        <w:t>组织机构代码：</w:t>
      </w:r>
      <w:r>
        <w:rPr>
          <w:rFonts w:ascii="Times New Roman" w:hAnsi="Times New Roman" w:cs="Times New Roman" w:eastAsia="Times New Roman" w:hint="default"/>
        </w:rPr>
        <w:t>73248267-4</w:t>
      </w:r>
      <w:r>
        <w:rPr>
          <w:rFonts w:ascii="Times New Roman" w:hAnsi="Times New Roman" w:cs="Times New Roman" w:eastAsia="Times New Roman" w:hint="default"/>
          <w:w w:val="100"/>
        </w:rPr>
        <w:t> </w:t>
      </w:r>
      <w:r>
        <w:rPr/>
        <w:t>公司聘请的会计师事务所：天健正信会计师事务所有限公司</w:t>
      </w:r>
      <w:r>
        <w:rPr>
          <w:w w:val="100"/>
        </w:rPr>
        <w:t> </w:t>
      </w:r>
      <w:r>
        <w:rPr/>
        <w:t>会计师事务所办公地址：北京市西城区月坛北街</w:t>
      </w:r>
      <w:r>
        <w:rPr>
          <w:spacing w:val="-74"/>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号恒华国际商务</w:t>
      </w:r>
    </w:p>
    <w:p>
      <w:pPr>
        <w:pStyle w:val="Heading3"/>
        <w:spacing w:line="240" w:lineRule="auto" w:before="24"/>
        <w:ind w:left="1021" w:right="1036"/>
        <w:jc w:val="center"/>
        <w:rPr>
          <w:rFonts w:ascii="Times New Roman" w:hAnsi="Times New Roman" w:cs="Times New Roman" w:eastAsia="Times New Roman" w:hint="default"/>
        </w:rPr>
      </w:pPr>
      <w:r>
        <w:rPr/>
        <w:t>中心</w:t>
      </w:r>
      <w:r>
        <w:rPr>
          <w:spacing w:val="-71"/>
        </w:rPr>
        <w:t> </w:t>
      </w:r>
      <w:r>
        <w:rPr>
          <w:rFonts w:ascii="Times New Roman" w:hAnsi="Times New Roman" w:cs="Times New Roman" w:eastAsia="Times New Roman" w:hint="default"/>
        </w:rPr>
        <w:t>4 </w:t>
      </w:r>
      <w:r>
        <w:rPr/>
        <w:t>层</w:t>
      </w:r>
      <w:r>
        <w:rPr>
          <w:spacing w:val="-73"/>
        </w:rPr>
        <w:t> </w:t>
      </w:r>
      <w:r>
        <w:rPr>
          <w:rFonts w:ascii="Times New Roman" w:hAnsi="Times New Roman" w:cs="Times New Roman" w:eastAsia="Times New Roman" w:hint="default"/>
        </w:rPr>
        <w:t>401</w:t>
      </w:r>
    </w:p>
    <w:p>
      <w:pPr>
        <w:spacing w:after="0" w:line="240" w:lineRule="auto"/>
        <w:jc w:val="center"/>
        <w:rPr>
          <w:rFonts w:ascii="Times New Roman" w:hAnsi="Times New Roman" w:cs="Times New Roman" w:eastAsia="Times New Roman" w:hint="default"/>
        </w:rPr>
        <w:sectPr>
          <w:headerReference w:type="default" r:id="rId13"/>
          <w:pgSz w:w="11910" w:h="16840"/>
          <w:pgMar w:header="624" w:footer="1045" w:top="980" w:bottom="1240" w:left="1660" w:right="1640"/>
        </w:sectPr>
      </w:pPr>
    </w:p>
    <w:p>
      <w:pPr>
        <w:spacing w:line="240" w:lineRule="auto" w:before="5"/>
        <w:rPr>
          <w:rFonts w:ascii="Times New Roman" w:hAnsi="Times New Roman" w:cs="Times New Roman" w:eastAsia="Times New Roman" w:hint="default"/>
          <w:sz w:val="21"/>
          <w:szCs w:val="21"/>
        </w:rPr>
      </w:pPr>
    </w:p>
    <w:p>
      <w:pPr>
        <w:spacing w:line="20" w:lineRule="exact"/>
        <w:ind w:left="2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1"/>
        <w:spacing w:line="337" w:lineRule="exact" w:before="0"/>
        <w:ind w:left="2298" w:right="0"/>
        <w:jc w:val="left"/>
      </w:pPr>
      <w:bookmarkStart w:name="_TOC_250009" w:id="2"/>
      <w:r>
        <w:rPr/>
        <w:t>第二节</w:t>
      </w:r>
      <w:r>
        <w:rPr>
          <w:spacing w:val="1"/>
        </w:rPr>
        <w:t> </w:t>
      </w:r>
      <w:bookmarkEnd w:id="2"/>
      <w:r>
        <w:rPr/>
        <w:t>会计数据和业务数据摘要</w:t>
      </w:r>
    </w:p>
    <w:p>
      <w:pPr>
        <w:spacing w:line="240" w:lineRule="auto" w:before="10"/>
        <w:rPr>
          <w:rFonts w:ascii="黑体" w:hAnsi="黑体" w:cs="黑体" w:eastAsia="黑体" w:hint="default"/>
          <w:sz w:val="27"/>
          <w:szCs w:val="27"/>
        </w:rPr>
      </w:pPr>
    </w:p>
    <w:p>
      <w:pPr>
        <w:pStyle w:val="Heading2"/>
        <w:spacing w:line="240" w:lineRule="auto" w:before="0"/>
        <w:ind w:left="318" w:right="0"/>
        <w:jc w:val="left"/>
        <w:rPr>
          <w:b w:val="0"/>
          <w:bCs w:val="0"/>
        </w:rPr>
      </w:pPr>
      <w:r>
        <w:rPr/>
        <w:t>一、主要会计数据</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36"/>
        <w:ind w:left="0" w:right="551"/>
        <w:jc w:val="right"/>
      </w:pPr>
      <w:r>
        <w:rPr>
          <w:spacing w:val="-1"/>
        </w:rPr>
        <w:t>单位：元</w:t>
      </w:r>
    </w:p>
    <w:p>
      <w:pPr>
        <w:spacing w:line="240" w:lineRule="auto" w:before="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41"/>
        <w:gridCol w:w="1639"/>
        <w:gridCol w:w="1700"/>
        <w:gridCol w:w="1342"/>
        <w:gridCol w:w="1700"/>
      </w:tblGrid>
      <w:tr>
        <w:trPr>
          <w:trHeight w:val="149" w:hRule="exact"/>
        </w:trPr>
        <w:tc>
          <w:tcPr>
            <w:tcW w:w="2341" w:type="dxa"/>
            <w:tcBorders>
              <w:top w:val="single" w:sz="4" w:space="0" w:color="000000"/>
              <w:left w:val="single" w:sz="4" w:space="0" w:color="000000"/>
              <w:bottom w:val="nil" w:sz="6" w:space="0" w:color="auto"/>
              <w:right w:val="single" w:sz="4" w:space="0" w:color="000000"/>
            </w:tcBorders>
            <w:shd w:val="clear" w:color="auto" w:fill="DCDCDC"/>
          </w:tcPr>
          <w:p>
            <w:pPr/>
          </w:p>
        </w:tc>
        <w:tc>
          <w:tcPr>
            <w:tcW w:w="16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7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341" w:type="dxa"/>
            <w:tcBorders>
              <w:top w:val="nil" w:sz="6" w:space="0" w:color="auto"/>
              <w:left w:val="single" w:sz="4" w:space="0" w:color="000000"/>
              <w:bottom w:val="nil" w:sz="6" w:space="0" w:color="auto"/>
              <w:right w:val="single" w:sz="4" w:space="0" w:color="000000"/>
            </w:tcBorders>
            <w:shd w:val="clear" w:color="auto" w:fill="DCDCDC"/>
          </w:tcPr>
          <w:p>
            <w:pPr/>
          </w:p>
        </w:tc>
        <w:tc>
          <w:tcPr>
            <w:tcW w:w="16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7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342" w:type="dxa"/>
            <w:vMerge/>
            <w:tcBorders>
              <w:left w:val="single" w:sz="4" w:space="0" w:color="000000"/>
              <w:right w:val="single" w:sz="4" w:space="0" w:color="000000"/>
            </w:tcBorders>
            <w:shd w:val="clear" w:color="auto" w:fill="DCDCDC"/>
          </w:tcPr>
          <w:p>
            <w:pPr/>
          </w:p>
        </w:tc>
        <w:tc>
          <w:tcPr>
            <w:tcW w:w="17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149" w:hRule="exact"/>
        </w:trPr>
        <w:tc>
          <w:tcPr>
            <w:tcW w:w="2341"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9" w:type="dxa"/>
            <w:tcBorders>
              <w:top w:val="nil" w:sz="6" w:space="0" w:color="auto"/>
              <w:left w:val="single" w:sz="4" w:space="0" w:color="000000"/>
              <w:bottom w:val="single" w:sz="4" w:space="0" w:color="000000"/>
              <w:right w:val="single" w:sz="4" w:space="0" w:color="000000"/>
            </w:tcBorders>
            <w:shd w:val="clear" w:color="auto" w:fill="DCDCDC"/>
          </w:tcPr>
          <w:p>
            <w:pPr/>
          </w:p>
        </w:tc>
        <w:tc>
          <w:tcPr>
            <w:tcW w:w="17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2" w:type="dxa"/>
            <w:vMerge/>
            <w:tcBorders>
              <w:left w:val="single" w:sz="4" w:space="0" w:color="000000"/>
              <w:bottom w:val="single" w:sz="4" w:space="0" w:color="000000"/>
              <w:right w:val="single" w:sz="4" w:space="0" w:color="000000"/>
            </w:tcBorders>
            <w:shd w:val="clear" w:color="auto" w:fill="DCDCDC"/>
          </w:tcPr>
          <w:p>
            <w:pPr/>
          </w:p>
        </w:tc>
        <w:tc>
          <w:tcPr>
            <w:tcW w:w="17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6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250,287,117.56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166,358,343.74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50.45%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133,574,575.05</w:t>
            </w:r>
          </w:p>
        </w:tc>
      </w:tr>
      <w:tr>
        <w:trPr>
          <w:trHeight w:val="281"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96,919,678.21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61,869,937.58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56.65%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41,639,580.19</w:t>
            </w:r>
          </w:p>
        </w:tc>
      </w:tr>
      <w:tr>
        <w:trPr>
          <w:trHeight w:val="492"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before="2"/>
              <w:ind w:left="847" w:right="113" w:hanging="73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净利润</w:t>
            </w:r>
          </w:p>
        </w:tc>
        <w:tc>
          <w:tcPr>
            <w:tcW w:w="16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85,718,282.45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54,380,447.46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8"/>
              <w:jc w:val="right"/>
              <w:rPr>
                <w:rFonts w:ascii="Times New Roman" w:hAnsi="Times New Roman" w:cs="Times New Roman" w:eastAsia="Times New Roman" w:hint="default"/>
                <w:sz w:val="21"/>
                <w:szCs w:val="21"/>
              </w:rPr>
            </w:pPr>
            <w:r>
              <w:rPr>
                <w:rFonts w:ascii="Times New Roman"/>
                <w:sz w:val="21"/>
              </w:rPr>
              <w:t>57.63%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43,590,534.18</w:t>
            </w:r>
          </w:p>
        </w:tc>
      </w:tr>
      <w:tr>
        <w:trPr>
          <w:trHeight w:val="730"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2" w:right="113"/>
              <w:jc w:val="center"/>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扣除非经常性损益的净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利润</w:t>
            </w:r>
          </w:p>
        </w:tc>
        <w:tc>
          <w:tcPr>
            <w:tcW w:w="16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82,650,816.65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44,993,086.46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83.70%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42,719,095.00</w:t>
            </w:r>
          </w:p>
        </w:tc>
      </w:tr>
      <w:tr>
        <w:trPr>
          <w:trHeight w:val="490"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量净额</w:t>
            </w:r>
          </w:p>
        </w:tc>
        <w:tc>
          <w:tcPr>
            <w:tcW w:w="16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19,335,363.85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36,126,328.32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1"/>
                <w:szCs w:val="21"/>
              </w:rPr>
            </w:pPr>
            <w:r>
              <w:rPr>
                <w:rFonts w:ascii="Times New Roman"/>
                <w:spacing w:val="-1"/>
                <w:sz w:val="21"/>
              </w:rPr>
              <w:t>-46.48%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20,378,339.48</w:t>
            </w:r>
          </w:p>
        </w:tc>
      </w:tr>
      <w:tr>
        <w:trPr>
          <w:trHeight w:val="149" w:hRule="exact"/>
        </w:trPr>
        <w:tc>
          <w:tcPr>
            <w:tcW w:w="2341" w:type="dxa"/>
            <w:tcBorders>
              <w:top w:val="single" w:sz="4" w:space="0" w:color="000000"/>
              <w:left w:val="single" w:sz="4" w:space="0" w:color="000000"/>
              <w:bottom w:val="nil" w:sz="6" w:space="0" w:color="auto"/>
              <w:right w:val="single" w:sz="4" w:space="0" w:color="000000"/>
            </w:tcBorders>
            <w:shd w:val="clear" w:color="auto" w:fill="DCDCDC"/>
          </w:tcPr>
          <w:p>
            <w:pPr/>
          </w:p>
        </w:tc>
        <w:tc>
          <w:tcPr>
            <w:tcW w:w="16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7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341" w:type="dxa"/>
            <w:tcBorders>
              <w:top w:val="nil" w:sz="6" w:space="0" w:color="auto"/>
              <w:left w:val="single" w:sz="4" w:space="0" w:color="000000"/>
              <w:bottom w:val="nil" w:sz="6" w:space="0" w:color="auto"/>
              <w:right w:val="single" w:sz="4" w:space="0" w:color="000000"/>
            </w:tcBorders>
            <w:shd w:val="clear" w:color="auto" w:fill="DCDCDC"/>
          </w:tcPr>
          <w:p>
            <w:pPr/>
          </w:p>
        </w:tc>
        <w:tc>
          <w:tcPr>
            <w:tcW w:w="16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3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3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342" w:type="dxa"/>
            <w:vMerge/>
            <w:tcBorders>
              <w:left w:val="single" w:sz="4" w:space="0" w:color="000000"/>
              <w:right w:val="single" w:sz="4" w:space="0" w:color="000000"/>
            </w:tcBorders>
            <w:shd w:val="clear" w:color="auto" w:fill="DCDCDC"/>
          </w:tcPr>
          <w:p>
            <w:pPr/>
          </w:p>
        </w:tc>
        <w:tc>
          <w:tcPr>
            <w:tcW w:w="17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3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9" w:hRule="exact"/>
        </w:trPr>
        <w:tc>
          <w:tcPr>
            <w:tcW w:w="2341"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9" w:type="dxa"/>
            <w:tcBorders>
              <w:top w:val="nil" w:sz="6" w:space="0" w:color="auto"/>
              <w:left w:val="single" w:sz="4" w:space="0" w:color="000000"/>
              <w:bottom w:val="single" w:sz="4" w:space="0" w:color="000000"/>
              <w:right w:val="single" w:sz="4" w:space="0" w:color="000000"/>
            </w:tcBorders>
            <w:shd w:val="clear" w:color="auto" w:fill="DCDCDC"/>
          </w:tcPr>
          <w:p>
            <w:pPr/>
          </w:p>
        </w:tc>
        <w:tc>
          <w:tcPr>
            <w:tcW w:w="17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2" w:type="dxa"/>
            <w:vMerge/>
            <w:tcBorders>
              <w:left w:val="single" w:sz="4" w:space="0" w:color="000000"/>
              <w:bottom w:val="single" w:sz="4" w:space="0" w:color="000000"/>
              <w:right w:val="single" w:sz="4" w:space="0" w:color="000000"/>
            </w:tcBorders>
            <w:shd w:val="clear" w:color="auto" w:fill="DCDCDC"/>
          </w:tcPr>
          <w:p>
            <w:pPr/>
          </w:p>
        </w:tc>
        <w:tc>
          <w:tcPr>
            <w:tcW w:w="17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746,689,768.50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709,645,156.61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5.22%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260,689,930.85</w:t>
            </w:r>
          </w:p>
        </w:tc>
      </w:tr>
      <w:tr>
        <w:trPr>
          <w:trHeight w:val="490"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38" w:right="113" w:hanging="526"/>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所有者权益</w:t>
            </w:r>
          </w:p>
        </w:tc>
        <w:tc>
          <w:tcPr>
            <w:tcW w:w="16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626,561,743.54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583,893,461.09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8"/>
              <w:jc w:val="right"/>
              <w:rPr>
                <w:rFonts w:ascii="Times New Roman" w:hAnsi="Times New Roman" w:cs="Times New Roman" w:eastAsia="Times New Roman" w:hint="default"/>
                <w:sz w:val="21"/>
                <w:szCs w:val="21"/>
              </w:rPr>
            </w:pPr>
            <w:r>
              <w:rPr>
                <w:rFonts w:ascii="Times New Roman"/>
                <w:sz w:val="21"/>
              </w:rPr>
              <w:t>7.31%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159,477,073.63</w:t>
            </w:r>
          </w:p>
        </w:tc>
      </w:tr>
      <w:tr>
        <w:trPr>
          <w:trHeight w:val="283"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3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104,550,000.00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61,500,000.00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70.00%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46,000,000.00</w:t>
            </w:r>
          </w:p>
        </w:tc>
      </w:tr>
    </w:tbl>
    <w:p>
      <w:pPr>
        <w:pStyle w:val="Heading2"/>
        <w:spacing w:line="240" w:lineRule="auto" w:before="71"/>
        <w:ind w:left="318" w:right="0"/>
        <w:jc w:val="left"/>
        <w:rPr>
          <w:b w:val="0"/>
          <w:bCs w:val="0"/>
        </w:rPr>
      </w:pPr>
      <w:r>
        <w:rPr/>
        <w:t>二、主要财务指标</w:t>
      </w:r>
      <w:r>
        <w:rPr>
          <w:b w:val="0"/>
          <w:bCs w:val="0"/>
        </w:rPr>
      </w:r>
    </w:p>
    <w:p>
      <w:pPr>
        <w:pStyle w:val="Heading2"/>
        <w:spacing w:line="240" w:lineRule="auto" w:before="178"/>
        <w:ind w:left="318" w:right="0"/>
        <w:jc w:val="left"/>
        <w:rPr>
          <w:b w:val="0"/>
          <w:bCs w:val="0"/>
        </w:rPr>
      </w:pPr>
      <w:r>
        <w:rPr/>
        <w:t>（一）主要财务指标</w:t>
      </w:r>
      <w:r>
        <w:rPr>
          <w:b w:val="0"/>
          <w:bCs w:val="0"/>
        </w:rPr>
      </w:r>
    </w:p>
    <w:p>
      <w:pPr>
        <w:spacing w:line="240" w:lineRule="auto" w:before="13"/>
        <w:rPr>
          <w:rFonts w:ascii="宋体" w:hAnsi="宋体" w:cs="宋体" w:eastAsia="宋体" w:hint="default"/>
          <w:b/>
          <w:bCs/>
          <w:sz w:val="11"/>
          <w:szCs w:val="11"/>
        </w:rPr>
      </w:pPr>
    </w:p>
    <w:p>
      <w:pPr>
        <w:pStyle w:val="BodyText"/>
        <w:spacing w:line="240" w:lineRule="auto" w:before="36"/>
        <w:ind w:left="0" w:right="551"/>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583"/>
        <w:gridCol w:w="278"/>
        <w:gridCol w:w="866"/>
        <w:gridCol w:w="1136"/>
        <w:gridCol w:w="2410"/>
        <w:gridCol w:w="169"/>
        <w:gridCol w:w="1247"/>
      </w:tblGrid>
      <w:tr>
        <w:trPr>
          <w:trHeight w:val="283" w:hRule="exact"/>
        </w:trPr>
        <w:tc>
          <w:tcPr>
            <w:tcW w:w="25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3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281" w:hRule="exact"/>
        </w:trPr>
        <w:tc>
          <w:tcPr>
            <w:tcW w:w="25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5"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14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520" w:right="0"/>
              <w:jc w:val="left"/>
              <w:rPr>
                <w:rFonts w:ascii="Times New Roman" w:hAnsi="Times New Roman" w:cs="Times New Roman" w:eastAsia="Times New Roman" w:hint="default"/>
                <w:sz w:val="21"/>
                <w:szCs w:val="21"/>
              </w:rPr>
            </w:pPr>
            <w:r>
              <w:rPr>
                <w:rFonts w:ascii="Times New Roman"/>
                <w:sz w:val="21"/>
              </w:rPr>
              <w:t>0.8199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0.6414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27.83%</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03" w:right="0"/>
              <w:jc w:val="left"/>
              <w:rPr>
                <w:rFonts w:ascii="Times New Roman" w:hAnsi="Times New Roman" w:cs="Times New Roman" w:eastAsia="Times New Roman" w:hint="default"/>
                <w:sz w:val="21"/>
                <w:szCs w:val="21"/>
              </w:rPr>
            </w:pPr>
            <w:r>
              <w:rPr>
                <w:rFonts w:ascii="Times New Roman"/>
                <w:sz w:val="21"/>
              </w:rPr>
              <w:t>0.9476</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5"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14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520" w:right="0"/>
              <w:jc w:val="left"/>
              <w:rPr>
                <w:rFonts w:ascii="Times New Roman" w:hAnsi="Times New Roman" w:cs="Times New Roman" w:eastAsia="Times New Roman" w:hint="default"/>
                <w:sz w:val="21"/>
                <w:szCs w:val="21"/>
              </w:rPr>
            </w:pPr>
            <w:r>
              <w:rPr>
                <w:rFonts w:ascii="Times New Roman"/>
                <w:sz w:val="21"/>
              </w:rPr>
              <w:t>0.8199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0.6414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27.83%</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3" w:right="0"/>
              <w:jc w:val="left"/>
              <w:rPr>
                <w:rFonts w:ascii="Times New Roman" w:hAnsi="Times New Roman" w:cs="Times New Roman" w:eastAsia="Times New Roman" w:hint="default"/>
                <w:sz w:val="21"/>
                <w:szCs w:val="21"/>
              </w:rPr>
            </w:pPr>
            <w:r>
              <w:rPr>
                <w:rFonts w:ascii="Times New Roman"/>
                <w:sz w:val="21"/>
              </w:rPr>
              <w:t>0.9476</w:t>
            </w:r>
          </w:p>
        </w:tc>
      </w:tr>
      <w:tr>
        <w:trPr>
          <w:trHeight w:val="554" w:hRule="exact"/>
        </w:trPr>
        <w:tc>
          <w:tcPr>
            <w:tcW w:w="25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w:t>
            </w:r>
          </w:p>
          <w:p>
            <w:pPr>
              <w:pStyle w:val="TableParagraph"/>
              <w:spacing w:line="290" w:lineRule="exact"/>
              <w:ind w:left="-5"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14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left="520" w:right="0"/>
              <w:jc w:val="left"/>
              <w:rPr>
                <w:rFonts w:ascii="Times New Roman" w:hAnsi="Times New Roman" w:cs="Times New Roman" w:eastAsia="Times New Roman" w:hint="default"/>
                <w:sz w:val="21"/>
                <w:szCs w:val="21"/>
              </w:rPr>
            </w:pPr>
            <w:r>
              <w:rPr>
                <w:rFonts w:ascii="Times New Roman"/>
                <w:sz w:val="21"/>
              </w:rPr>
              <w:t>0.7905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0.5307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48.95%</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03" w:right="0"/>
              <w:jc w:val="left"/>
              <w:rPr>
                <w:rFonts w:ascii="Times New Roman" w:hAnsi="Times New Roman" w:cs="Times New Roman" w:eastAsia="Times New Roman" w:hint="default"/>
                <w:sz w:val="21"/>
                <w:szCs w:val="21"/>
              </w:rPr>
            </w:pPr>
            <w:r>
              <w:rPr>
                <w:rFonts w:ascii="Times New Roman"/>
                <w:sz w:val="21"/>
              </w:rPr>
              <w:t>0.9287</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5"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加权平均净资产收益率（</w:t>
            </w:r>
            <w:r>
              <w:rPr>
                <w:rFonts w:ascii="Times New Roman" w:hAnsi="Times New Roman" w:cs="Times New Roman" w:eastAsia="Times New Roman" w:hint="default"/>
                <w:spacing w:val="-4"/>
                <w:sz w:val="21"/>
                <w:szCs w:val="21"/>
              </w:rPr>
              <w:t>%</w:t>
            </w:r>
          </w:p>
        </w:tc>
        <w:tc>
          <w:tcPr>
            <w:tcW w:w="278" w:type="dxa"/>
            <w:tcBorders>
              <w:top w:val="single" w:sz="4" w:space="0" w:color="000000"/>
              <w:left w:val="single" w:sz="13" w:space="0" w:color="DCDCDC"/>
              <w:bottom w:val="single" w:sz="4" w:space="0" w:color="000000"/>
              <w:right w:val="nil" w:sz="6" w:space="0" w:color="auto"/>
            </w:tcBorders>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14.42%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z w:val="21"/>
              </w:rPr>
              <w:t>19.48%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-5.06%</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4" w:right="0"/>
              <w:jc w:val="left"/>
              <w:rPr>
                <w:rFonts w:ascii="Times New Roman" w:hAnsi="Times New Roman" w:cs="Times New Roman" w:eastAsia="Times New Roman" w:hint="default"/>
                <w:sz w:val="21"/>
                <w:szCs w:val="21"/>
              </w:rPr>
            </w:pPr>
            <w:r>
              <w:rPr>
                <w:rFonts w:ascii="Times New Roman"/>
                <w:sz w:val="21"/>
              </w:rPr>
              <w:t>31.31%</w:t>
            </w:r>
          </w:p>
        </w:tc>
      </w:tr>
      <w:tr>
        <w:trPr>
          <w:trHeight w:val="554" w:hRule="exact"/>
        </w:trPr>
        <w:tc>
          <w:tcPr>
            <w:tcW w:w="25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5"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89" w:lineRule="exact"/>
              <w:ind w:left="-5"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4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left="451" w:right="0"/>
              <w:jc w:val="left"/>
              <w:rPr>
                <w:rFonts w:ascii="Times New Roman" w:hAnsi="Times New Roman" w:cs="Times New Roman" w:eastAsia="Times New Roman" w:hint="default"/>
                <w:sz w:val="21"/>
                <w:szCs w:val="21"/>
              </w:rPr>
            </w:pPr>
            <w:r>
              <w:rPr>
                <w:rFonts w:ascii="Times New Roman"/>
                <w:sz w:val="21"/>
              </w:rPr>
              <w:t>13.90%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z w:val="21"/>
              </w:rPr>
              <w:t>16.12%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-2.22%</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34" w:right="0"/>
              <w:jc w:val="left"/>
              <w:rPr>
                <w:rFonts w:ascii="Times New Roman" w:hAnsi="Times New Roman" w:cs="Times New Roman" w:eastAsia="Times New Roman" w:hint="default"/>
                <w:sz w:val="21"/>
                <w:szCs w:val="21"/>
              </w:rPr>
            </w:pPr>
            <w:r>
              <w:rPr>
                <w:rFonts w:ascii="Times New Roman"/>
                <w:sz w:val="21"/>
              </w:rPr>
              <w:t>30.69%</w:t>
            </w:r>
          </w:p>
        </w:tc>
      </w:tr>
      <w:tr>
        <w:trPr>
          <w:trHeight w:val="554" w:hRule="exact"/>
        </w:trPr>
        <w:tc>
          <w:tcPr>
            <w:tcW w:w="25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90" w:lineRule="exact"/>
              <w:ind w:left="-5"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14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left="732" w:right="0"/>
              <w:jc w:val="left"/>
              <w:rPr>
                <w:rFonts w:ascii="Times New Roman" w:hAnsi="Times New Roman" w:cs="Times New Roman" w:eastAsia="Times New Roman" w:hint="default"/>
                <w:sz w:val="21"/>
                <w:szCs w:val="21"/>
              </w:rPr>
            </w:pPr>
            <w:r>
              <w:rPr>
                <w:rFonts w:ascii="Times New Roman"/>
                <w:sz w:val="21"/>
              </w:rPr>
              <w:t>0.18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0.59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-69.49%</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0.44</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本年末比上年末增减（</w:t>
            </w:r>
          </w:p>
        </w:tc>
        <w:tc>
          <w:tcPr>
            <w:tcW w:w="169" w:type="dxa"/>
            <w:tcBorders>
              <w:top w:val="single" w:sz="4" w:space="0" w:color="000000"/>
              <w:left w:val="single" w:sz="4" w:space="0" w:color="000000"/>
              <w:bottom w:val="single" w:sz="4" w:space="0" w:color="000000"/>
              <w:right w:val="nil" w:sz="6" w:space="0" w:color="auto"/>
            </w:tcBorders>
            <w:shd w:val="clear" w:color="auto" w:fill="DCDCDC"/>
          </w:tcPr>
          <w:p>
            <w:pPr/>
          </w:p>
        </w:tc>
        <w:tc>
          <w:tcPr>
            <w:tcW w:w="1247"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57" w:lineRule="exact"/>
              <w:ind w:left="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4" w:hRule="exact"/>
        </w:trPr>
        <w:tc>
          <w:tcPr>
            <w:tcW w:w="25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5"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w:t>
            </w:r>
          </w:p>
          <w:p>
            <w:pPr>
              <w:pStyle w:val="TableParagraph"/>
              <w:spacing w:line="289" w:lineRule="exact"/>
              <w:ind w:left="-5" w:right="0"/>
              <w:jc w:val="left"/>
              <w:rPr>
                <w:rFonts w:ascii="宋体" w:hAnsi="宋体" w:cs="宋体" w:eastAsia="宋体" w:hint="default"/>
                <w:sz w:val="21"/>
                <w:szCs w:val="21"/>
              </w:rPr>
            </w:pP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14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left="732" w:right="0"/>
              <w:jc w:val="left"/>
              <w:rPr>
                <w:rFonts w:ascii="Times New Roman" w:hAnsi="Times New Roman" w:cs="Times New Roman" w:eastAsia="Times New Roman" w:hint="default"/>
                <w:sz w:val="21"/>
                <w:szCs w:val="21"/>
              </w:rPr>
            </w:pPr>
            <w:r>
              <w:rPr>
                <w:rFonts w:ascii="Times New Roman"/>
                <w:sz w:val="21"/>
              </w:rPr>
              <w:t>5.99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9.49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-36.88%</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3.47</w:t>
            </w:r>
          </w:p>
        </w:tc>
      </w:tr>
    </w:tbl>
    <w:p>
      <w:pPr>
        <w:spacing w:line="240" w:lineRule="auto" w:before="12"/>
        <w:rPr>
          <w:rFonts w:ascii="宋体" w:hAnsi="宋体" w:cs="宋体" w:eastAsia="宋体" w:hint="default"/>
          <w:sz w:val="13"/>
          <w:szCs w:val="13"/>
        </w:rPr>
      </w:pPr>
    </w:p>
    <w:p>
      <w:pPr>
        <w:pStyle w:val="Heading2"/>
        <w:spacing w:line="364" w:lineRule="exact" w:before="50"/>
        <w:ind w:left="318" w:right="0"/>
        <w:jc w:val="left"/>
        <w:rPr>
          <w:b w:val="0"/>
          <w:bCs w:val="0"/>
        </w:rPr>
      </w:pPr>
      <w:r>
        <w:rPr/>
        <w:pict>
          <v:shape style="position:absolute;margin-left:427.650177pt;margin-top:-50.979996pt;width:86.55pt;height:13.7pt;mso-position-horizontal-relative:page;mso-position-vertical-relative:paragraph;z-index:-683728" type="#_x0000_t202" filled="false" stroked="false">
            <v:textbox inset="0,0,0,0">
              <w:txbxContent>
                <w:p>
                  <w:pPr>
                    <w:pStyle w:val="BodyText"/>
                    <w:spacing w:line="241" w:lineRule="exact"/>
                    <w:ind w:left="0" w:right="0"/>
                    <w:jc w:val="left"/>
                  </w:pPr>
                  <w:r>
                    <w:rPr/>
                    <w:t>％）</w:t>
                  </w:r>
                </w:p>
              </w:txbxContent>
            </v:textbox>
            <w10:wrap type="none"/>
          </v:shape>
        </w:pict>
      </w:r>
      <w:r>
        <w:rPr>
          <w:spacing w:val="-9"/>
          <w:w w:val="99"/>
        </w:rPr>
        <w:t>（二）根据中国证监会《公开发行证券公司信息披露编报规则第九号》</w:t>
      </w:r>
      <w:r>
        <w:rPr>
          <w:spacing w:val="-114"/>
          <w:w w:val="99"/>
        </w:rPr>
        <w:t> </w:t>
      </w:r>
      <w:r>
        <w:rPr>
          <w:spacing w:val="-114"/>
          <w:w w:val="99"/>
        </w:rPr>
      </w:r>
      <w:r>
        <w:rPr/>
        <w:t>要求，净资产收益率及每股收益计算如下：</w:t>
      </w:r>
      <w:r>
        <w:rPr>
          <w:b w:val="0"/>
          <w:bCs w:val="0"/>
        </w:rPr>
      </w:r>
    </w:p>
    <w:p>
      <w:pPr>
        <w:pStyle w:val="Heading3"/>
        <w:spacing w:line="329" w:lineRule="exact" w:before="0"/>
        <w:ind w:left="0" w:right="551"/>
        <w:jc w:val="right"/>
      </w:pPr>
      <w:r>
        <w:rPr/>
        <w:t>单位：元</w:t>
      </w:r>
    </w:p>
    <w:p>
      <w:pPr>
        <w:spacing w:line="240" w:lineRule="auto" w:before="3"/>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4009"/>
        <w:gridCol w:w="1469"/>
        <w:gridCol w:w="1680"/>
        <w:gridCol w:w="1702"/>
      </w:tblGrid>
      <w:tr>
        <w:trPr>
          <w:trHeight w:val="415" w:hRule="exact"/>
        </w:trPr>
        <w:tc>
          <w:tcPr>
            <w:tcW w:w="400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23"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851" w:type="dxa"/>
            <w:gridSpan w:val="3"/>
            <w:tcBorders>
              <w:top w:val="single" w:sz="12" w:space="0" w:color="000000"/>
              <w:left w:val="single" w:sz="6" w:space="0" w:color="000000"/>
              <w:bottom w:val="single" w:sz="6" w:space="0" w:color="000000"/>
              <w:right w:val="nil" w:sz="6" w:space="0" w:color="auto"/>
            </w:tcBorders>
          </w:tcPr>
          <w:p>
            <w:pPr>
              <w:pStyle w:val="TableParagraph"/>
              <w:spacing w:line="259" w:lineRule="exact"/>
              <w:ind w:left="26"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p>
        </w:tc>
      </w:tr>
      <w:tr>
        <w:trPr>
          <w:trHeight w:val="408" w:hRule="exact"/>
        </w:trPr>
        <w:tc>
          <w:tcPr>
            <w:tcW w:w="4009" w:type="dxa"/>
            <w:vMerge/>
            <w:tcBorders>
              <w:left w:val="nil" w:sz="6" w:space="0" w:color="auto"/>
              <w:right w:val="single" w:sz="6" w:space="0" w:color="000000"/>
            </w:tcBorders>
          </w:tcPr>
          <w:p>
            <w:pPr/>
          </w:p>
        </w:tc>
        <w:tc>
          <w:tcPr>
            <w:tcW w:w="1469" w:type="dxa"/>
            <w:vMerge w:val="restart"/>
            <w:tcBorders>
              <w:top w:val="single" w:sz="6" w:space="0" w:color="000000"/>
              <w:left w:val="single" w:sz="6" w:space="0" w:color="000000"/>
              <w:right w:val="single" w:sz="6" w:space="0" w:color="000000"/>
            </w:tcBorders>
          </w:tcPr>
          <w:p>
            <w:pPr>
              <w:pStyle w:val="TableParagraph"/>
              <w:spacing w:line="272" w:lineRule="exact" w:before="63"/>
              <w:ind w:left="201" w:right="197"/>
              <w:jc w:val="left"/>
              <w:rPr>
                <w:rFonts w:ascii="宋体" w:hAnsi="宋体" w:cs="宋体" w:eastAsia="宋体" w:hint="default"/>
                <w:sz w:val="21"/>
                <w:szCs w:val="21"/>
              </w:rPr>
            </w:pPr>
            <w:r>
              <w:rPr>
                <w:rFonts w:ascii="宋体" w:hAnsi="宋体" w:cs="宋体" w:eastAsia="宋体" w:hint="default"/>
                <w:sz w:val="21"/>
                <w:szCs w:val="21"/>
              </w:rPr>
              <w:t>加权平均净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资产收益率</w:t>
            </w:r>
          </w:p>
        </w:tc>
        <w:tc>
          <w:tcPr>
            <w:tcW w:w="3382" w:type="dxa"/>
            <w:gridSpan w:val="2"/>
            <w:tcBorders>
              <w:top w:val="single" w:sz="6" w:space="0" w:color="000000"/>
              <w:left w:val="single" w:sz="6" w:space="0" w:color="000000"/>
              <w:bottom w:val="single" w:sz="6"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408" w:hRule="exact"/>
        </w:trPr>
        <w:tc>
          <w:tcPr>
            <w:tcW w:w="4009" w:type="dxa"/>
            <w:vMerge/>
            <w:tcBorders>
              <w:left w:val="nil" w:sz="6" w:space="0" w:color="auto"/>
              <w:bottom w:val="single" w:sz="6" w:space="0" w:color="000000"/>
              <w:right w:val="single" w:sz="6" w:space="0" w:color="000000"/>
            </w:tcBorders>
          </w:tcPr>
          <w:p>
            <w:pPr/>
          </w:p>
        </w:tc>
        <w:tc>
          <w:tcPr>
            <w:tcW w:w="1469" w:type="dxa"/>
            <w:vMerge/>
            <w:tcBorders>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62" w:hRule="exact"/>
        </w:trPr>
        <w:tc>
          <w:tcPr>
            <w:tcW w:w="400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403" w:right="0"/>
              <w:jc w:val="left"/>
              <w:rPr>
                <w:rFonts w:ascii="Times New Roman" w:hAnsi="Times New Roman" w:cs="Times New Roman" w:eastAsia="Times New Roman" w:hint="default"/>
                <w:sz w:val="21"/>
                <w:szCs w:val="21"/>
              </w:rPr>
            </w:pPr>
            <w:r>
              <w:rPr>
                <w:rFonts w:ascii="Times New Roman"/>
                <w:sz w:val="21"/>
              </w:rPr>
              <w:t>14.42%</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0.8199</w:t>
            </w:r>
          </w:p>
        </w:tc>
        <w:tc>
          <w:tcPr>
            <w:tcW w:w="17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0.8199</w:t>
            </w:r>
          </w:p>
        </w:tc>
      </w:tr>
    </w:tbl>
    <w:p>
      <w:pPr>
        <w:spacing w:after="0" w:line="240" w:lineRule="auto"/>
        <w:jc w:val="center"/>
        <w:rPr>
          <w:rFonts w:ascii="Times New Roman" w:hAnsi="Times New Roman" w:cs="Times New Roman" w:eastAsia="Times New Roman" w:hint="default"/>
          <w:sz w:val="21"/>
          <w:szCs w:val="21"/>
        </w:rPr>
        <w:sectPr>
          <w:pgSz w:w="11910" w:h="16840"/>
          <w:pgMar w:header="624" w:footer="1045" w:top="980" w:bottom="1240" w:left="1480" w:right="1240"/>
        </w:sectPr>
      </w:pPr>
    </w:p>
    <w:p>
      <w:pPr>
        <w:spacing w:line="240" w:lineRule="auto" w:before="4"/>
        <w:rPr>
          <w:rFonts w:ascii="宋体" w:hAnsi="宋体" w:cs="宋体" w:eastAsia="宋体" w:hint="default"/>
          <w:sz w:val="18"/>
          <w:szCs w:val="18"/>
        </w:rPr>
      </w:pPr>
    </w:p>
    <w:tbl>
      <w:tblPr>
        <w:tblW w:w="0" w:type="auto"/>
        <w:jc w:val="left"/>
        <w:tblInd w:w="261" w:type="dxa"/>
        <w:tblLayout w:type="fixed"/>
        <w:tblCellMar>
          <w:top w:w="0" w:type="dxa"/>
          <w:left w:w="0" w:type="dxa"/>
          <w:bottom w:w="0" w:type="dxa"/>
          <w:right w:w="0" w:type="dxa"/>
        </w:tblCellMar>
        <w:tblLook w:val="01E0"/>
      </w:tblPr>
      <w:tblGrid>
        <w:gridCol w:w="4009"/>
        <w:gridCol w:w="1469"/>
        <w:gridCol w:w="1680"/>
        <w:gridCol w:w="1702"/>
      </w:tblGrid>
      <w:tr>
        <w:trPr>
          <w:trHeight w:val="598" w:hRule="exact"/>
        </w:trPr>
        <w:tc>
          <w:tcPr>
            <w:tcW w:w="4009" w:type="dxa"/>
            <w:tcBorders>
              <w:top w:val="single" w:sz="12" w:space="0" w:color="000000"/>
              <w:left w:val="nil" w:sz="6" w:space="0" w:color="auto"/>
              <w:bottom w:val="single" w:sz="12" w:space="0" w:color="000000"/>
              <w:right w:val="single" w:sz="6" w:space="0" w:color="000000"/>
            </w:tcBorders>
          </w:tcPr>
          <w:p>
            <w:pPr>
              <w:pStyle w:val="TableParagraph"/>
              <w:spacing w:line="272" w:lineRule="exact" w:before="17"/>
              <w:ind w:left="122" w:right="84"/>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扣除非经常性损益后归属于公司普通股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股东的净利润</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8"/>
              <w:ind w:left="403" w:right="0"/>
              <w:jc w:val="left"/>
              <w:rPr>
                <w:rFonts w:ascii="Times New Roman" w:hAnsi="Times New Roman" w:cs="Times New Roman" w:eastAsia="Times New Roman" w:hint="default"/>
                <w:sz w:val="21"/>
                <w:szCs w:val="21"/>
              </w:rPr>
            </w:pPr>
            <w:r>
              <w:rPr>
                <w:rFonts w:ascii="Times New Roman"/>
                <w:sz w:val="21"/>
              </w:rPr>
              <w:t>13.90%</w:t>
            </w: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8"/>
              <w:ind w:left="542" w:right="0"/>
              <w:jc w:val="left"/>
              <w:rPr>
                <w:rFonts w:ascii="Times New Roman" w:hAnsi="Times New Roman" w:cs="Times New Roman" w:eastAsia="Times New Roman" w:hint="default"/>
                <w:sz w:val="21"/>
                <w:szCs w:val="21"/>
              </w:rPr>
            </w:pPr>
            <w:r>
              <w:rPr>
                <w:rFonts w:ascii="Times New Roman"/>
                <w:sz w:val="21"/>
              </w:rPr>
              <w:t>0.7905</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68"/>
              <w:ind w:left="554" w:right="0"/>
              <w:jc w:val="left"/>
              <w:rPr>
                <w:rFonts w:ascii="Times New Roman" w:hAnsi="Times New Roman" w:cs="Times New Roman" w:eastAsia="Times New Roman" w:hint="default"/>
                <w:sz w:val="21"/>
                <w:szCs w:val="21"/>
              </w:rPr>
            </w:pPr>
            <w:r>
              <w:rPr>
                <w:rFonts w:ascii="Times New Roman"/>
                <w:sz w:val="21"/>
              </w:rPr>
              <w:t>0.7905</w:t>
            </w:r>
          </w:p>
        </w:tc>
      </w:tr>
    </w:tbl>
    <w:p>
      <w:pPr>
        <w:spacing w:line="240" w:lineRule="auto" w:before="9"/>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4167"/>
        <w:gridCol w:w="1469"/>
        <w:gridCol w:w="1680"/>
        <w:gridCol w:w="1544"/>
      </w:tblGrid>
      <w:tr>
        <w:trPr>
          <w:trHeight w:val="415" w:hRule="exact"/>
        </w:trPr>
        <w:tc>
          <w:tcPr>
            <w:tcW w:w="416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3"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693" w:type="dxa"/>
            <w:gridSpan w:val="3"/>
            <w:tcBorders>
              <w:top w:val="single" w:sz="12" w:space="0" w:color="000000"/>
              <w:left w:val="single" w:sz="6" w:space="0" w:color="000000"/>
              <w:bottom w:val="single" w:sz="6" w:space="0" w:color="000000"/>
              <w:right w:val="nil" w:sz="6" w:space="0" w:color="auto"/>
            </w:tcBorders>
          </w:tcPr>
          <w:p>
            <w:pPr>
              <w:pStyle w:val="TableParagraph"/>
              <w:spacing w:line="257" w:lineRule="exact"/>
              <w:ind w:left="26" w:right="0"/>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p>
        </w:tc>
      </w:tr>
      <w:tr>
        <w:trPr>
          <w:trHeight w:val="406" w:hRule="exact"/>
        </w:trPr>
        <w:tc>
          <w:tcPr>
            <w:tcW w:w="4167" w:type="dxa"/>
            <w:vMerge/>
            <w:tcBorders>
              <w:left w:val="nil" w:sz="6" w:space="0" w:color="auto"/>
              <w:right w:val="single" w:sz="6" w:space="0" w:color="000000"/>
            </w:tcBorders>
          </w:tcPr>
          <w:p>
            <w:pPr/>
          </w:p>
        </w:tc>
        <w:tc>
          <w:tcPr>
            <w:tcW w:w="1469" w:type="dxa"/>
            <w:vMerge w:val="restart"/>
            <w:tcBorders>
              <w:top w:val="single" w:sz="6" w:space="0" w:color="000000"/>
              <w:left w:val="single" w:sz="6" w:space="0" w:color="000000"/>
              <w:right w:val="single" w:sz="6" w:space="0" w:color="000000"/>
            </w:tcBorders>
          </w:tcPr>
          <w:p>
            <w:pPr>
              <w:pStyle w:val="TableParagraph"/>
              <w:spacing w:line="240" w:lineRule="auto" w:before="33"/>
              <w:ind w:left="201" w:right="197"/>
              <w:jc w:val="left"/>
              <w:rPr>
                <w:rFonts w:ascii="宋体" w:hAnsi="宋体" w:cs="宋体" w:eastAsia="宋体" w:hint="default"/>
                <w:sz w:val="21"/>
                <w:szCs w:val="21"/>
              </w:rPr>
            </w:pPr>
            <w:r>
              <w:rPr>
                <w:rFonts w:ascii="宋体" w:hAnsi="宋体" w:cs="宋体" w:eastAsia="宋体" w:hint="default"/>
                <w:sz w:val="21"/>
                <w:szCs w:val="21"/>
              </w:rPr>
              <w:t>加权平均净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资产收益率</w:t>
            </w:r>
          </w:p>
        </w:tc>
        <w:tc>
          <w:tcPr>
            <w:tcW w:w="3224"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408" w:hRule="exact"/>
        </w:trPr>
        <w:tc>
          <w:tcPr>
            <w:tcW w:w="4167" w:type="dxa"/>
            <w:vMerge/>
            <w:tcBorders>
              <w:left w:val="nil" w:sz="6" w:space="0" w:color="auto"/>
              <w:bottom w:val="single" w:sz="6" w:space="0" w:color="000000"/>
              <w:right w:val="single" w:sz="6" w:space="0" w:color="000000"/>
            </w:tcBorders>
          </w:tcPr>
          <w:p>
            <w:pPr/>
          </w:p>
        </w:tc>
        <w:tc>
          <w:tcPr>
            <w:tcW w:w="1469" w:type="dxa"/>
            <w:vMerge/>
            <w:tcBorders>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544" w:type="dxa"/>
            <w:tcBorders>
              <w:top w:val="single" w:sz="6" w:space="0" w:color="000000"/>
              <w:left w:val="single" w:sz="6" w:space="0" w:color="000000"/>
              <w:bottom w:val="single" w:sz="6" w:space="0" w:color="000000"/>
              <w:right w:val="nil" w:sz="6" w:space="0" w:color="auto"/>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55" w:hRule="exact"/>
        </w:trPr>
        <w:tc>
          <w:tcPr>
            <w:tcW w:w="4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19.48%</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0.6414</w:t>
            </w:r>
          </w:p>
        </w:tc>
        <w:tc>
          <w:tcPr>
            <w:tcW w:w="15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0.6414</w:t>
            </w:r>
          </w:p>
        </w:tc>
      </w:tr>
      <w:tr>
        <w:trPr>
          <w:trHeight w:val="569" w:hRule="exact"/>
        </w:trPr>
        <w:tc>
          <w:tcPr>
            <w:tcW w:w="4167"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扣除非经常性损益后归属于公司普通股股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left="3" w:right="0"/>
              <w:jc w:val="center"/>
              <w:rPr>
                <w:rFonts w:ascii="Times New Roman" w:hAnsi="Times New Roman" w:cs="Times New Roman" w:eastAsia="Times New Roman" w:hint="default"/>
                <w:sz w:val="21"/>
                <w:szCs w:val="21"/>
              </w:rPr>
            </w:pPr>
            <w:r>
              <w:rPr>
                <w:rFonts w:ascii="Times New Roman"/>
                <w:sz w:val="21"/>
              </w:rPr>
              <w:t>16.12%</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0.5307</w:t>
            </w:r>
          </w:p>
        </w:tc>
        <w:tc>
          <w:tcPr>
            <w:tcW w:w="15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0.5307</w:t>
            </w:r>
          </w:p>
        </w:tc>
      </w:tr>
    </w:tbl>
    <w:p>
      <w:pPr>
        <w:spacing w:after="0" w:line="240" w:lineRule="auto"/>
        <w:jc w:val="center"/>
        <w:rPr>
          <w:rFonts w:ascii="Times New Roman" w:hAnsi="Times New Roman" w:cs="Times New Roman" w:eastAsia="Times New Roman" w:hint="default"/>
          <w:sz w:val="21"/>
          <w:szCs w:val="21"/>
        </w:rPr>
        <w:sectPr>
          <w:pgSz w:w="11910" w:h="16840"/>
          <w:pgMar w:header="624" w:footer="1045" w:top="980" w:bottom="1240" w:left="1400" w:right="1240"/>
        </w:sectPr>
      </w:pPr>
    </w:p>
    <w:p>
      <w:pPr>
        <w:pStyle w:val="Heading2"/>
        <w:spacing w:line="240" w:lineRule="auto" w:before="73"/>
        <w:ind w:left="398" w:right="0"/>
        <w:jc w:val="left"/>
        <w:rPr>
          <w:b w:val="0"/>
          <w:bCs w:val="0"/>
        </w:rPr>
      </w:pPr>
      <w:r>
        <w:rPr>
          <w:w w:val="95"/>
        </w:rPr>
        <w:t>（三）非经常性损益项目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14"/>
          <w:szCs w:val="14"/>
        </w:rPr>
      </w:pPr>
    </w:p>
    <w:p>
      <w:pPr>
        <w:pStyle w:val="BodyText"/>
        <w:spacing w:line="240" w:lineRule="auto"/>
        <w:ind w:left="398" w:right="0"/>
        <w:jc w:val="left"/>
      </w:pPr>
      <w:r>
        <w:rPr/>
        <w:t>单位：元</w:t>
      </w:r>
    </w:p>
    <w:p>
      <w:pPr>
        <w:spacing w:after="0" w:line="240" w:lineRule="auto"/>
        <w:jc w:val="left"/>
        <w:sectPr>
          <w:type w:val="continuous"/>
          <w:pgSz w:w="11910" w:h="16840"/>
          <w:pgMar w:top="1240" w:bottom="1240" w:left="1400" w:right="1240"/>
          <w:cols w:num="2" w:equalWidth="0">
            <w:col w:w="3490" w:space="3983"/>
            <w:col w:w="17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289"/>
        <w:gridCol w:w="2600"/>
      </w:tblGrid>
      <w:tr>
        <w:trPr>
          <w:trHeight w:val="281" w:hRule="exact"/>
        </w:trPr>
        <w:tc>
          <w:tcPr>
            <w:tcW w:w="62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4" w:hRule="exact"/>
        </w:trPr>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353.62</w:t>
            </w:r>
          </w:p>
        </w:tc>
      </w:tr>
      <w:tr>
        <w:trPr>
          <w:trHeight w:val="554" w:hRule="exact"/>
        </w:trPr>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计入当期损益的政府补助，但与公司正常经营业务密切相关，符合国</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家政策规定、按照一定标准定额或定量持续享受的政府补助除外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4,670,000.00</w:t>
            </w:r>
          </w:p>
        </w:tc>
      </w:tr>
      <w:tr>
        <w:trPr>
          <w:trHeight w:val="283" w:hRule="exact"/>
        </w:trPr>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-1,061,570.32</w:t>
            </w:r>
          </w:p>
        </w:tc>
      </w:tr>
      <w:tr>
        <w:trPr>
          <w:trHeight w:val="281" w:hRule="exact"/>
        </w:trPr>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-541,317.50</w:t>
            </w:r>
          </w:p>
        </w:tc>
      </w:tr>
      <w:tr>
        <w:trPr>
          <w:trHeight w:val="283" w:hRule="exact"/>
        </w:trPr>
        <w:tc>
          <w:tcPr>
            <w:tcW w:w="62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3,067,465.80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240" w:bottom="1240" w:left="1400" w:right="1240"/>
        </w:sectPr>
      </w:pPr>
    </w:p>
    <w:p>
      <w:pPr>
        <w:spacing w:line="240" w:lineRule="auto" w:before="11"/>
        <w:rPr>
          <w:rFonts w:ascii="宋体" w:hAnsi="宋体" w:cs="宋体" w:eastAsia="宋体" w:hint="default"/>
          <w:sz w:val="18"/>
          <w:szCs w:val="18"/>
        </w:rPr>
      </w:pPr>
    </w:p>
    <w:p>
      <w:pPr>
        <w:spacing w:line="20" w:lineRule="exact"/>
        <w:ind w:left="102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8"/>
          <w:szCs w:val="8"/>
        </w:rPr>
      </w:pPr>
    </w:p>
    <w:p>
      <w:pPr>
        <w:pStyle w:val="Heading1"/>
        <w:spacing w:line="240" w:lineRule="auto"/>
        <w:ind w:left="3338" w:right="1060"/>
        <w:jc w:val="left"/>
      </w:pPr>
      <w:bookmarkStart w:name="_TOC_250008" w:id="3"/>
      <w:r>
        <w:rPr/>
        <w:t>第三节</w:t>
      </w:r>
      <w:r>
        <w:rPr>
          <w:spacing w:val="1"/>
        </w:rPr>
        <w:t> </w:t>
      </w:r>
      <w:bookmarkEnd w:id="3"/>
      <w:r>
        <w:rPr/>
        <w:t>股本变动及股东情况</w:t>
      </w:r>
    </w:p>
    <w:p>
      <w:pPr>
        <w:spacing w:line="240" w:lineRule="auto" w:before="9"/>
        <w:rPr>
          <w:rFonts w:ascii="黑体" w:hAnsi="黑体" w:cs="黑体" w:eastAsia="黑体" w:hint="default"/>
          <w:sz w:val="19"/>
          <w:szCs w:val="19"/>
        </w:rPr>
      </w:pPr>
    </w:p>
    <w:p>
      <w:pPr>
        <w:spacing w:after="0" w:line="240" w:lineRule="auto"/>
        <w:rPr>
          <w:rFonts w:ascii="黑体" w:hAnsi="黑体" w:cs="黑体" w:eastAsia="黑体" w:hint="default"/>
          <w:sz w:val="19"/>
          <w:szCs w:val="19"/>
        </w:rPr>
        <w:sectPr>
          <w:pgSz w:w="11910" w:h="16840"/>
          <w:pgMar w:header="624" w:footer="1045" w:top="980" w:bottom="1240" w:left="740" w:right="720"/>
        </w:sectPr>
      </w:pPr>
    </w:p>
    <w:p>
      <w:pPr>
        <w:pStyle w:val="Heading2"/>
        <w:spacing w:line="240" w:lineRule="auto" w:before="14"/>
        <w:ind w:left="1058" w:right="0"/>
        <w:jc w:val="left"/>
        <w:rPr>
          <w:b w:val="0"/>
          <w:bCs w:val="0"/>
        </w:rPr>
      </w:pPr>
      <w:r>
        <w:rPr/>
        <w:t>一、股本变动情况</w:t>
      </w:r>
      <w:r>
        <w:rPr>
          <w:b w:val="0"/>
          <w:bCs w:val="0"/>
        </w:rPr>
      </w:r>
    </w:p>
    <w:p>
      <w:pPr>
        <w:pStyle w:val="Heading2"/>
        <w:spacing w:line="240" w:lineRule="auto" w:before="135"/>
        <w:ind w:left="1058" w:right="0"/>
        <w:jc w:val="left"/>
        <w:rPr>
          <w:b w:val="0"/>
          <w:bCs w:val="0"/>
        </w:rPr>
      </w:pPr>
      <w:r>
        <w:rPr>
          <w:w w:val="95"/>
        </w:rPr>
        <w:t>（一）股份变动情况表</w:t>
      </w:r>
      <w:r>
        <w:rPr>
          <w:b w:val="0"/>
          <w:bCs w:val="0"/>
        </w:rPr>
      </w:r>
    </w:p>
    <w:p>
      <w:pPr>
        <w:spacing w:line="240" w:lineRule="auto" w:before="0"/>
        <w:rPr>
          <w:rFonts w:ascii="宋体" w:hAnsi="宋体" w:cs="宋体" w:eastAsia="宋体" w:hint="default"/>
          <w:b/>
          <w:bCs/>
          <w:sz w:val="28"/>
          <w:szCs w:val="28"/>
        </w:rPr>
      </w:pPr>
      <w:r>
        <w:rPr/>
        <w:br w:type="column"/>
      </w:r>
      <w:r>
        <w:rPr>
          <w:rFonts w:ascii="宋体"/>
          <w:b/>
          <w:sz w:val="28"/>
        </w:rPr>
      </w:r>
    </w:p>
    <w:p>
      <w:pPr>
        <w:spacing w:line="240" w:lineRule="auto" w:before="5"/>
        <w:rPr>
          <w:rFonts w:ascii="宋体" w:hAnsi="宋体" w:cs="宋体" w:eastAsia="宋体" w:hint="default"/>
          <w:b/>
          <w:bCs/>
          <w:sz w:val="40"/>
          <w:szCs w:val="40"/>
        </w:rPr>
      </w:pPr>
    </w:p>
    <w:p>
      <w:pPr>
        <w:pStyle w:val="Heading3"/>
        <w:spacing w:line="240" w:lineRule="auto" w:before="0"/>
        <w:ind w:left="1058" w:right="0"/>
        <w:jc w:val="left"/>
      </w:pPr>
      <w:r>
        <w:rPr/>
        <w:t>单位：股</w:t>
      </w:r>
    </w:p>
    <w:p>
      <w:pPr>
        <w:spacing w:after="0" w:line="240" w:lineRule="auto"/>
        <w:jc w:val="left"/>
        <w:sectPr>
          <w:type w:val="continuous"/>
          <w:pgSz w:w="11910" w:h="16840"/>
          <w:pgMar w:top="1240" w:bottom="1240" w:left="740" w:right="720"/>
          <w:cols w:num="2" w:equalWidth="0">
            <w:col w:w="3869" w:space="3323"/>
            <w:col w:w="3258"/>
          </w:cols>
        </w:sectPr>
      </w:pPr>
    </w:p>
    <w:p>
      <w:pPr>
        <w:spacing w:line="240" w:lineRule="auto" w:before="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926"/>
        <w:gridCol w:w="1069"/>
        <w:gridCol w:w="809"/>
        <w:gridCol w:w="722"/>
        <w:gridCol w:w="566"/>
        <w:gridCol w:w="1136"/>
        <w:gridCol w:w="991"/>
        <w:gridCol w:w="1136"/>
        <w:gridCol w:w="1133"/>
        <w:gridCol w:w="737"/>
      </w:tblGrid>
      <w:tr>
        <w:trPr>
          <w:trHeight w:val="288" w:hRule="exact"/>
        </w:trPr>
        <w:tc>
          <w:tcPr>
            <w:tcW w:w="192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7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2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7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 w:hRule="exact"/>
        </w:trPr>
        <w:tc>
          <w:tcPr>
            <w:tcW w:w="1926" w:type="dxa"/>
            <w:vMerge w:val="restart"/>
            <w:tcBorders>
              <w:top w:val="nil" w:sz="6" w:space="0" w:color="auto"/>
              <w:left w:val="single" w:sz="4" w:space="0" w:color="000000"/>
              <w:right w:val="single" w:sz="4" w:space="0" w:color="000000"/>
            </w:tcBorders>
            <w:shd w:val="clear" w:color="auto" w:fill="DCDCDC"/>
          </w:tcPr>
          <w:p>
            <w:pPr/>
          </w:p>
        </w:tc>
        <w:tc>
          <w:tcPr>
            <w:tcW w:w="1069" w:type="dxa"/>
            <w:tcBorders>
              <w:top w:val="single" w:sz="4" w:space="0" w:color="000000"/>
              <w:left w:val="single" w:sz="4" w:space="0" w:color="000000"/>
              <w:bottom w:val="nil" w:sz="6" w:space="0" w:color="auto"/>
              <w:right w:val="single" w:sz="4" w:space="0" w:color="000000"/>
            </w:tcBorders>
            <w:shd w:val="clear" w:color="auto" w:fill="DCDCDC"/>
          </w:tcPr>
          <w:p>
            <w:pPr/>
          </w:p>
        </w:tc>
        <w:tc>
          <w:tcPr>
            <w:tcW w:w="809" w:type="dxa"/>
            <w:tcBorders>
              <w:top w:val="single" w:sz="4" w:space="0" w:color="000000"/>
              <w:left w:val="single" w:sz="4" w:space="0" w:color="000000"/>
              <w:bottom w:val="nil" w:sz="6" w:space="0" w:color="auto"/>
              <w:right w:val="single" w:sz="4" w:space="0" w:color="000000"/>
            </w:tcBorders>
            <w:shd w:val="clear" w:color="auto" w:fill="DCDCDC"/>
          </w:tcPr>
          <w:p>
            <w:pPr/>
          </w:p>
        </w:tc>
        <w:tc>
          <w:tcPr>
            <w:tcW w:w="722"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ind w:left="14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6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6"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91"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3" w:type="dxa"/>
            <w:tcBorders>
              <w:top w:val="single" w:sz="4" w:space="0" w:color="000000"/>
              <w:left w:val="single" w:sz="4" w:space="0" w:color="000000"/>
              <w:bottom w:val="nil" w:sz="6" w:space="0" w:color="auto"/>
              <w:right w:val="single" w:sz="4" w:space="0" w:color="000000"/>
            </w:tcBorders>
            <w:shd w:val="clear" w:color="auto" w:fill="DCDCDC"/>
          </w:tcPr>
          <w:p>
            <w:pPr/>
          </w:p>
        </w:tc>
        <w:tc>
          <w:tcPr>
            <w:tcW w:w="73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5" w:hRule="exact"/>
        </w:trPr>
        <w:tc>
          <w:tcPr>
            <w:tcW w:w="1926" w:type="dxa"/>
            <w:vMerge/>
            <w:tcBorders>
              <w:left w:val="single" w:sz="4" w:space="0" w:color="000000"/>
              <w:bottom w:val="nil" w:sz="6" w:space="0" w:color="auto"/>
              <w:right w:val="single" w:sz="4" w:space="0" w:color="000000"/>
            </w:tcBorders>
            <w:shd w:val="clear" w:color="auto" w:fill="DCDCDC"/>
          </w:tcPr>
          <w:p>
            <w:pPr/>
          </w:p>
        </w:tc>
        <w:tc>
          <w:tcPr>
            <w:tcW w:w="1069"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09"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22" w:type="dxa"/>
            <w:vMerge/>
            <w:tcBorders>
              <w:left w:val="single" w:sz="4" w:space="0" w:color="000000"/>
              <w:right w:val="single" w:sz="4" w:space="0" w:color="000000"/>
            </w:tcBorders>
            <w:shd w:val="clear" w:color="auto" w:fill="DCDCDC"/>
          </w:tcPr>
          <w:p>
            <w:pPr/>
          </w:p>
        </w:tc>
        <w:tc>
          <w:tcPr>
            <w:tcW w:w="566" w:type="dxa"/>
            <w:vMerge w:val="restart"/>
            <w:tcBorders>
              <w:top w:val="nil" w:sz="6" w:space="0" w:color="auto"/>
              <w:left w:val="single" w:sz="22" w:space="0" w:color="DCDCDC"/>
              <w:right w:val="single" w:sz="23" w:space="0" w:color="DCDCDC"/>
            </w:tcBorders>
          </w:tcPr>
          <w:p>
            <w:pPr>
              <w:pStyle w:val="TableParagraph"/>
              <w:tabs>
                <w:tab w:pos="509" w:val="left" w:leader="none"/>
              </w:tabs>
              <w:spacing w:line="241" w:lineRule="exact"/>
              <w:ind w:left="-2" w:right="-1"/>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8"/>
                <w:w w:val="100"/>
                <w:sz w:val="21"/>
                <w:szCs w:val="21"/>
                <w:shd w:fill="DCDCDC" w:color="auto" w:val="clear"/>
              </w:rPr>
              <w:t> </w:t>
            </w:r>
            <w:r>
              <w:rPr>
                <w:rFonts w:ascii="宋体" w:hAnsi="宋体" w:cs="宋体" w:eastAsia="宋体" w:hint="default"/>
                <w:sz w:val="21"/>
                <w:szCs w:val="21"/>
                <w:shd w:fill="DCDCDC" w:color="auto" w:val="clear"/>
              </w:rPr>
              <w:t>送股</w:t>
              <w:tab/>
            </w:r>
            <w:r>
              <w:rPr>
                <w:rFonts w:ascii="宋体" w:hAnsi="宋体" w:cs="宋体" w:eastAsia="宋体" w:hint="default"/>
                <w:sz w:val="21"/>
                <w:szCs w:val="21"/>
              </w:rPr>
            </w:r>
          </w:p>
        </w:tc>
        <w:tc>
          <w:tcPr>
            <w:tcW w:w="1136" w:type="dxa"/>
            <w:vMerge/>
            <w:tcBorders>
              <w:left w:val="single" w:sz="4" w:space="0" w:color="000000"/>
              <w:right w:val="single" w:sz="4" w:space="0" w:color="000000"/>
            </w:tcBorders>
            <w:shd w:val="clear" w:color="auto" w:fill="DCDCDC"/>
          </w:tcPr>
          <w:p>
            <w:pP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6"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3"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37"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56" w:hRule="exact"/>
        </w:trPr>
        <w:tc>
          <w:tcPr>
            <w:tcW w:w="1926" w:type="dxa"/>
            <w:vMerge w:val="restart"/>
            <w:tcBorders>
              <w:top w:val="nil" w:sz="6" w:space="0" w:color="auto"/>
              <w:left w:val="single" w:sz="4" w:space="0" w:color="000000"/>
              <w:right w:val="single" w:sz="4" w:space="0" w:color="000000"/>
            </w:tcBorders>
            <w:shd w:val="clear" w:color="auto" w:fill="DCDCDC"/>
          </w:tcPr>
          <w:p>
            <w:pPr/>
          </w:p>
        </w:tc>
        <w:tc>
          <w:tcPr>
            <w:tcW w:w="1069" w:type="dxa"/>
            <w:vMerge/>
            <w:tcBorders>
              <w:left w:val="single" w:sz="4" w:space="0" w:color="000000"/>
              <w:bottom w:val="nil" w:sz="6" w:space="0" w:color="auto"/>
              <w:right w:val="single" w:sz="4" w:space="0" w:color="000000"/>
            </w:tcBorders>
            <w:shd w:val="clear" w:color="auto" w:fill="DCDCDC"/>
          </w:tcPr>
          <w:p>
            <w:pPr/>
          </w:p>
        </w:tc>
        <w:tc>
          <w:tcPr>
            <w:tcW w:w="809" w:type="dxa"/>
            <w:vMerge/>
            <w:tcBorders>
              <w:left w:val="single" w:sz="4" w:space="0" w:color="000000"/>
              <w:bottom w:val="nil" w:sz="6" w:space="0" w:color="auto"/>
              <w:right w:val="single" w:sz="4" w:space="0" w:color="000000"/>
            </w:tcBorders>
            <w:shd w:val="clear" w:color="auto" w:fill="DCDCDC"/>
          </w:tcPr>
          <w:p>
            <w:pPr/>
          </w:p>
        </w:tc>
        <w:tc>
          <w:tcPr>
            <w:tcW w:w="722" w:type="dxa"/>
            <w:vMerge/>
            <w:tcBorders>
              <w:left w:val="single" w:sz="4" w:space="0" w:color="000000"/>
              <w:right w:val="single" w:sz="4" w:space="0" w:color="000000"/>
            </w:tcBorders>
            <w:shd w:val="clear" w:color="auto" w:fill="DCDCDC"/>
          </w:tcPr>
          <w:p>
            <w:pPr/>
          </w:p>
        </w:tc>
        <w:tc>
          <w:tcPr>
            <w:tcW w:w="566" w:type="dxa"/>
            <w:vMerge/>
            <w:tcBorders>
              <w:left w:val="single" w:sz="22" w:space="0" w:color="DCDCDC"/>
              <w:bottom w:val="nil" w:sz="6" w:space="0" w:color="auto"/>
              <w:right w:val="single" w:sz="23" w:space="0" w:color="DCDCDC"/>
            </w:tcBorders>
          </w:tcPr>
          <w:p>
            <w:pPr/>
          </w:p>
        </w:tc>
        <w:tc>
          <w:tcPr>
            <w:tcW w:w="1136" w:type="dxa"/>
            <w:vMerge/>
            <w:tcBorders>
              <w:left w:val="single" w:sz="4" w:space="0" w:color="000000"/>
              <w:right w:val="single" w:sz="4" w:space="0" w:color="000000"/>
            </w:tcBorders>
            <w:shd w:val="clear" w:color="auto" w:fill="DCDCDC"/>
          </w:tcPr>
          <w:p>
            <w:pPr/>
          </w:p>
        </w:tc>
        <w:tc>
          <w:tcPr>
            <w:tcW w:w="991" w:type="dxa"/>
            <w:vMerge/>
            <w:tcBorders>
              <w:left w:val="single" w:sz="4" w:space="0" w:color="000000"/>
              <w:bottom w:val="nil" w:sz="6" w:space="0" w:color="auto"/>
              <w:right w:val="single" w:sz="4" w:space="0" w:color="000000"/>
            </w:tcBorders>
            <w:shd w:val="clear" w:color="auto" w:fill="DCDCDC"/>
          </w:tcPr>
          <w:p>
            <w:pPr/>
          </w:p>
        </w:tc>
        <w:tc>
          <w:tcPr>
            <w:tcW w:w="1136" w:type="dxa"/>
            <w:vMerge/>
            <w:tcBorders>
              <w:left w:val="single" w:sz="4" w:space="0" w:color="000000"/>
              <w:bottom w:val="nil" w:sz="6" w:space="0" w:color="auto"/>
              <w:right w:val="single" w:sz="4" w:space="0" w:color="000000"/>
            </w:tcBorders>
            <w:shd w:val="clear" w:color="auto" w:fill="DCDCDC"/>
          </w:tcPr>
          <w:p>
            <w:pPr/>
          </w:p>
        </w:tc>
        <w:tc>
          <w:tcPr>
            <w:tcW w:w="1133" w:type="dxa"/>
            <w:vMerge/>
            <w:tcBorders>
              <w:left w:val="single" w:sz="4" w:space="0" w:color="000000"/>
              <w:bottom w:val="nil" w:sz="6" w:space="0" w:color="auto"/>
              <w:right w:val="single" w:sz="4" w:space="0" w:color="000000"/>
            </w:tcBorders>
            <w:shd w:val="clear" w:color="auto" w:fill="DCDCDC"/>
          </w:tcPr>
          <w:p>
            <w:pPr/>
          </w:p>
        </w:tc>
        <w:tc>
          <w:tcPr>
            <w:tcW w:w="737" w:type="dxa"/>
            <w:vMerge/>
            <w:tcBorders>
              <w:left w:val="single" w:sz="4" w:space="0" w:color="000000"/>
              <w:bottom w:val="nil" w:sz="6" w:space="0" w:color="auto"/>
              <w:right w:val="single" w:sz="4" w:space="0" w:color="000000"/>
            </w:tcBorders>
            <w:shd w:val="clear" w:color="auto" w:fill="DCDCDC"/>
          </w:tcPr>
          <w:p>
            <w:pPr/>
          </w:p>
        </w:tc>
      </w:tr>
      <w:tr>
        <w:trPr>
          <w:trHeight w:val="142" w:hRule="exact"/>
        </w:trPr>
        <w:tc>
          <w:tcPr>
            <w:tcW w:w="1926" w:type="dxa"/>
            <w:vMerge/>
            <w:tcBorders>
              <w:left w:val="single" w:sz="4" w:space="0" w:color="000000"/>
              <w:bottom w:val="single" w:sz="4" w:space="0" w:color="000000"/>
              <w:right w:val="single" w:sz="4" w:space="0" w:color="000000"/>
            </w:tcBorders>
            <w:shd w:val="clear" w:color="auto" w:fill="DCDCDC"/>
          </w:tcPr>
          <w:p>
            <w:pPr/>
          </w:p>
        </w:tc>
        <w:tc>
          <w:tcPr>
            <w:tcW w:w="1069" w:type="dxa"/>
            <w:tcBorders>
              <w:top w:val="nil" w:sz="6" w:space="0" w:color="auto"/>
              <w:left w:val="single" w:sz="4" w:space="0" w:color="000000"/>
              <w:bottom w:val="single" w:sz="4" w:space="0" w:color="000000"/>
              <w:right w:val="single" w:sz="4" w:space="0" w:color="000000"/>
            </w:tcBorders>
            <w:shd w:val="clear" w:color="auto" w:fill="DCDCDC"/>
          </w:tcPr>
          <w:p>
            <w:pPr/>
          </w:p>
        </w:tc>
        <w:tc>
          <w:tcPr>
            <w:tcW w:w="809" w:type="dxa"/>
            <w:tcBorders>
              <w:top w:val="nil" w:sz="6" w:space="0" w:color="auto"/>
              <w:left w:val="single" w:sz="4" w:space="0" w:color="000000"/>
              <w:bottom w:val="single" w:sz="4" w:space="0" w:color="000000"/>
              <w:right w:val="single" w:sz="4" w:space="0" w:color="000000"/>
            </w:tcBorders>
            <w:shd w:val="clear" w:color="auto" w:fill="DCDCDC"/>
          </w:tcPr>
          <w:p>
            <w:pPr/>
          </w:p>
        </w:tc>
        <w:tc>
          <w:tcPr>
            <w:tcW w:w="722" w:type="dxa"/>
            <w:vMerge/>
            <w:tcBorders>
              <w:left w:val="single" w:sz="4" w:space="0" w:color="000000"/>
              <w:bottom w:val="single" w:sz="4" w:space="0" w:color="000000"/>
              <w:right w:val="single" w:sz="4" w:space="0" w:color="000000"/>
            </w:tcBorders>
            <w:shd w:val="clear" w:color="auto" w:fill="DCDCDC"/>
          </w:tcPr>
          <w:p>
            <w:pPr/>
          </w:p>
        </w:tc>
        <w:tc>
          <w:tcPr>
            <w:tcW w:w="5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6" w:type="dxa"/>
            <w:vMerge/>
            <w:tcBorders>
              <w:left w:val="single" w:sz="4" w:space="0" w:color="000000"/>
              <w:bottom w:val="single" w:sz="4" w:space="0" w:color="000000"/>
              <w:right w:val="single" w:sz="4" w:space="0" w:color="000000"/>
            </w:tcBorders>
            <w:shd w:val="clear" w:color="auto" w:fill="DCDCDC"/>
          </w:tcPr>
          <w:p>
            <w:pPr/>
          </w:p>
        </w:tc>
        <w:tc>
          <w:tcPr>
            <w:tcW w:w="991"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3" w:type="dxa"/>
            <w:tcBorders>
              <w:top w:val="nil" w:sz="6" w:space="0" w:color="auto"/>
              <w:left w:val="single" w:sz="4" w:space="0" w:color="000000"/>
              <w:bottom w:val="single" w:sz="4" w:space="0" w:color="000000"/>
              <w:right w:val="single" w:sz="4" w:space="0" w:color="000000"/>
            </w:tcBorders>
            <w:shd w:val="clear" w:color="auto" w:fill="DCDCDC"/>
          </w:tcPr>
          <w:p>
            <w:pPr/>
          </w:p>
        </w:tc>
        <w:tc>
          <w:tcPr>
            <w:tcW w:w="73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46,000,000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74.80%</w:t>
            </w: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32,200,000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-4,760,000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27,440,000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73,440,000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70.24%</w:t>
            </w:r>
          </w:p>
        </w:tc>
      </w:tr>
      <w:tr>
        <w:trPr>
          <w:trHeight w:val="281"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46,000,000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74.80%</w:t>
            </w: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32,200,000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-8,840,000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23,360,000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69,360,000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66.34%</w:t>
            </w:r>
          </w:p>
        </w:tc>
      </w:tr>
      <w:tr>
        <w:trPr>
          <w:trHeight w:val="555"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0" w:right="0"/>
              <w:jc w:val="left"/>
              <w:rPr>
                <w:rFonts w:ascii="宋体" w:hAnsi="宋体" w:cs="宋体" w:eastAsia="宋体" w:hint="default"/>
                <w:sz w:val="21"/>
                <w:szCs w:val="21"/>
              </w:rPr>
            </w:pPr>
            <w:r>
              <w:rPr>
                <w:rFonts w:ascii="宋体" w:hAnsi="宋体" w:cs="宋体" w:eastAsia="宋体" w:hint="default"/>
                <w:sz w:val="21"/>
                <w:szCs w:val="21"/>
              </w:rPr>
              <w:t>其中：境内非国有法</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9"/>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46,000,000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74.80%</w:t>
            </w: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32,200,000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-8,840,000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23,360,000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69,360,000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66.34%</w:t>
            </w:r>
          </w:p>
        </w:tc>
      </w:tr>
      <w:tr>
        <w:trPr>
          <w:trHeight w:val="283"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9"/>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69" w:type="dxa"/>
            <w:tcBorders>
              <w:top w:val="single" w:sz="4" w:space="0" w:color="000000"/>
              <w:left w:val="single" w:sz="13"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4,080,000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4,080,000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4,080,000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3.90%</w:t>
            </w:r>
          </w:p>
        </w:tc>
      </w:tr>
      <w:tr>
        <w:trPr>
          <w:trHeight w:val="281"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15,500,000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25.20%</w:t>
            </w: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10,850,000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4,760,000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15,610,000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31,110,000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29.76%</w:t>
            </w:r>
          </w:p>
        </w:tc>
      </w:tr>
      <w:tr>
        <w:trPr>
          <w:trHeight w:val="283"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6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15,500,000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25.20%</w:t>
            </w: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10,850,000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4,760,000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15,610,000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31,110,000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29.76%</w:t>
            </w:r>
          </w:p>
        </w:tc>
      </w:tr>
      <w:tr>
        <w:trPr>
          <w:trHeight w:val="283"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4"/>
                <w:w w:val="100"/>
                <w:sz w:val="21"/>
                <w:szCs w:val="21"/>
              </w:rPr>
              <w:t>、</w:t>
            </w:r>
            <w:r>
              <w:rPr>
                <w:rFonts w:ascii="宋体" w:hAnsi="宋体" w:cs="宋体" w:eastAsia="宋体" w:hint="default"/>
                <w:w w:val="100"/>
                <w:sz w:val="21"/>
                <w:szCs w:val="21"/>
              </w:rPr>
              <w:t>境</w:t>
            </w:r>
            <w:r>
              <w:rPr>
                <w:rFonts w:ascii="宋体" w:hAnsi="宋体" w:cs="宋体" w:eastAsia="宋体" w:hint="default"/>
                <w:spacing w:val="-3"/>
                <w:w w:val="100"/>
                <w:sz w:val="21"/>
                <w:szCs w:val="21"/>
              </w:rPr>
              <w:t>内</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的</w:t>
            </w:r>
            <w:r>
              <w:rPr>
                <w:rFonts w:ascii="宋体" w:hAnsi="宋体" w:cs="宋体" w:eastAsia="宋体" w:hint="default"/>
                <w:spacing w:val="-3"/>
                <w:w w:val="100"/>
                <w:sz w:val="21"/>
                <w:szCs w:val="21"/>
              </w:rPr>
              <w:t>外</w:t>
            </w:r>
            <w:r>
              <w:rPr>
                <w:rFonts w:ascii="宋体" w:hAnsi="宋体" w:cs="宋体" w:eastAsia="宋体" w:hint="default"/>
                <w:w w:val="100"/>
                <w:sz w:val="21"/>
                <w:szCs w:val="21"/>
              </w:rPr>
              <w:t>资股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4"/>
                <w:w w:val="100"/>
                <w:sz w:val="21"/>
                <w:szCs w:val="21"/>
              </w:rPr>
              <w:t>、</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的</w:t>
            </w:r>
            <w:r>
              <w:rPr>
                <w:rFonts w:ascii="宋体" w:hAnsi="宋体" w:cs="宋体" w:eastAsia="宋体" w:hint="default"/>
                <w:spacing w:val="-3"/>
                <w:w w:val="100"/>
                <w:sz w:val="21"/>
                <w:szCs w:val="21"/>
              </w:rPr>
              <w:t>外</w:t>
            </w:r>
            <w:r>
              <w:rPr>
                <w:rFonts w:ascii="宋体" w:hAnsi="宋体" w:cs="宋体" w:eastAsia="宋体" w:hint="default"/>
                <w:w w:val="100"/>
                <w:sz w:val="21"/>
                <w:szCs w:val="21"/>
              </w:rPr>
              <w:t>资股</w:t>
            </w:r>
          </w:p>
        </w:tc>
        <w:tc>
          <w:tcPr>
            <w:tcW w:w="1069" w:type="dxa"/>
            <w:tcBorders>
              <w:top w:val="single" w:sz="4" w:space="0" w:color="000000"/>
              <w:left w:val="single" w:sz="13"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69" w:type="dxa"/>
            <w:tcBorders>
              <w:top w:val="single" w:sz="4" w:space="0" w:color="000000"/>
              <w:left w:val="single" w:sz="13" w:space="0" w:color="DCDCDC"/>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10" w:hRule="exact"/>
        </w:trPr>
        <w:tc>
          <w:tcPr>
            <w:tcW w:w="1926"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9" w:type="dxa"/>
            <w:vMerge w:val="restart"/>
            <w:tcBorders>
              <w:top w:val="single" w:sz="4" w:space="0" w:color="000000"/>
              <w:left w:val="single" w:sz="13" w:space="0" w:color="DCDCDC"/>
              <w:right w:val="single" w:sz="4" w:space="0" w:color="000000"/>
            </w:tcBorders>
          </w:tcPr>
          <w:p>
            <w:pPr>
              <w:pStyle w:val="TableParagraph"/>
              <w:spacing w:line="240" w:lineRule="auto" w:before="116"/>
              <w:ind w:left="76" w:right="0"/>
              <w:jc w:val="left"/>
              <w:rPr>
                <w:rFonts w:ascii="Times New Roman" w:hAnsi="Times New Roman" w:cs="Times New Roman" w:eastAsia="Times New Roman" w:hint="default"/>
                <w:sz w:val="21"/>
                <w:szCs w:val="21"/>
              </w:rPr>
            </w:pPr>
            <w:r>
              <w:rPr>
                <w:rFonts w:ascii="Times New Roman"/>
                <w:sz w:val="21"/>
              </w:rPr>
              <w:t>61,500,000</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before="116"/>
              <w:ind w:left="21" w:right="0"/>
              <w:jc w:val="left"/>
              <w:rPr>
                <w:rFonts w:ascii="Times New Roman" w:hAnsi="Times New Roman" w:cs="Times New Roman" w:eastAsia="Times New Roman" w:hint="default"/>
                <w:sz w:val="21"/>
                <w:szCs w:val="21"/>
              </w:rPr>
            </w:pPr>
            <w:r>
              <w:rPr>
                <w:rFonts w:ascii="Times New Roman"/>
                <w:sz w:val="21"/>
              </w:rPr>
              <w:t>100.00%</w:t>
            </w:r>
          </w:p>
        </w:tc>
        <w:tc>
          <w:tcPr>
            <w:tcW w:w="722"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16"/>
              <w:ind w:left="156" w:right="0"/>
              <w:jc w:val="left"/>
              <w:rPr>
                <w:rFonts w:ascii="Times New Roman" w:hAnsi="Times New Roman" w:cs="Times New Roman" w:eastAsia="Times New Roman" w:hint="default"/>
                <w:sz w:val="21"/>
                <w:szCs w:val="21"/>
              </w:rPr>
            </w:pPr>
            <w:r>
              <w:rPr>
                <w:rFonts w:ascii="Times New Roman"/>
                <w:sz w:val="21"/>
              </w:rPr>
              <w:t>43,050,000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w w:val="100"/>
                <w:sz w:val="21"/>
              </w:rPr>
              <w:t>0</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16"/>
              <w:ind w:left="153" w:right="0"/>
              <w:jc w:val="left"/>
              <w:rPr>
                <w:rFonts w:ascii="Times New Roman" w:hAnsi="Times New Roman" w:cs="Times New Roman" w:eastAsia="Times New Roman" w:hint="default"/>
                <w:sz w:val="21"/>
                <w:szCs w:val="21"/>
              </w:rPr>
            </w:pPr>
            <w:r>
              <w:rPr>
                <w:rFonts w:ascii="Times New Roman"/>
                <w:sz w:val="21"/>
              </w:rPr>
              <w:t>43,050,000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16"/>
              <w:ind w:left="47" w:right="0"/>
              <w:jc w:val="left"/>
              <w:rPr>
                <w:rFonts w:ascii="Times New Roman" w:hAnsi="Times New Roman" w:cs="Times New Roman" w:eastAsia="Times New Roman" w:hint="default"/>
                <w:sz w:val="21"/>
                <w:szCs w:val="21"/>
              </w:rPr>
            </w:pPr>
            <w:r>
              <w:rPr>
                <w:rFonts w:ascii="Times New Roman"/>
                <w:sz w:val="21"/>
              </w:rPr>
              <w:t>104,550,000</w:t>
            </w:r>
          </w:p>
        </w:tc>
        <w:tc>
          <w:tcPr>
            <w:tcW w:w="737"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384" w:hRule="exact"/>
        </w:trPr>
        <w:tc>
          <w:tcPr>
            <w:tcW w:w="192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69" w:type="dxa"/>
            <w:vMerge/>
            <w:tcBorders>
              <w:left w:val="single" w:sz="13" w:space="0" w:color="DCDCDC"/>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bl>
    <w:p>
      <w:pPr>
        <w:pStyle w:val="Heading2"/>
        <w:spacing w:line="319" w:lineRule="exact" w:before="0"/>
        <w:ind w:left="1058" w:right="1060"/>
        <w:jc w:val="left"/>
        <w:rPr>
          <w:b w:val="0"/>
          <w:bCs w:val="0"/>
        </w:rPr>
      </w:pPr>
      <w:r>
        <w:rPr/>
        <w:t>（二）限售股份变动情况表</w:t>
      </w:r>
      <w:r>
        <w:rPr>
          <w:b w:val="0"/>
          <w:bCs w:val="0"/>
        </w:rPr>
      </w:r>
    </w:p>
    <w:p>
      <w:pPr>
        <w:pStyle w:val="Heading3"/>
        <w:spacing w:line="364" w:lineRule="exact" w:before="0"/>
        <w:ind w:left="0" w:right="1071"/>
        <w:jc w:val="right"/>
      </w:pPr>
      <w:r>
        <w:rPr/>
        <w:t>单位：股</w:t>
      </w:r>
    </w:p>
    <w:p>
      <w:pPr>
        <w:spacing w:line="240" w:lineRule="auto" w:before="3"/>
        <w:rPr>
          <w:rFonts w:ascii="宋体" w:hAnsi="宋体" w:cs="宋体" w:eastAsia="宋体" w:hint="default"/>
          <w:sz w:val="3"/>
          <w:szCs w:val="3"/>
        </w:rPr>
      </w:pPr>
    </w:p>
    <w:tbl>
      <w:tblPr>
        <w:tblW w:w="0" w:type="auto"/>
        <w:jc w:val="left"/>
        <w:tblInd w:w="1053" w:type="dxa"/>
        <w:tblLayout w:type="fixed"/>
        <w:tblCellMar>
          <w:top w:w="0" w:type="dxa"/>
          <w:left w:w="0" w:type="dxa"/>
          <w:bottom w:w="0" w:type="dxa"/>
          <w:right w:w="0" w:type="dxa"/>
        </w:tblCellMar>
        <w:tblLook w:val="01E0"/>
      </w:tblPr>
      <w:tblGrid>
        <w:gridCol w:w="994"/>
        <w:gridCol w:w="1133"/>
        <w:gridCol w:w="1277"/>
        <w:gridCol w:w="1133"/>
        <w:gridCol w:w="1277"/>
        <w:gridCol w:w="1275"/>
        <w:gridCol w:w="1985"/>
      </w:tblGrid>
      <w:tr>
        <w:trPr>
          <w:trHeight w:val="554" w:hRule="exact"/>
        </w:trPr>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6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12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right="353"/>
              <w:jc w:val="right"/>
              <w:rPr>
                <w:rFonts w:ascii="宋体" w:hAnsi="宋体" w:cs="宋体" w:eastAsia="宋体" w:hint="default"/>
                <w:sz w:val="21"/>
                <w:szCs w:val="21"/>
              </w:rPr>
            </w:pPr>
            <w:r>
              <w:rPr>
                <w:rFonts w:ascii="宋体" w:hAnsi="宋体" w:cs="宋体" w:eastAsia="宋体" w:hint="default"/>
                <w:spacing w:val="-1"/>
                <w:sz w:val="21"/>
                <w:szCs w:val="21"/>
              </w:rPr>
              <w:t>解除限售日期</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2"/>
                <w:sz w:val="21"/>
              </w:rPr>
              <w:t>11,200,000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7,840,000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19,040,000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3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李劲松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6,400,000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4,480,000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10,880,000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10,200,000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胡江平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5,400,000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3,780,000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9,180,000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苗卫东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2,940,000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7,140,000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李力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4,200,000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2,940,000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7,140,000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刘锐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2,380,000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5,780,000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李翀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3,200,000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1,360,000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2,240,000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4,080,000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宋丹斌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3,400,000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3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4" w:hRule="exact"/>
        </w:trPr>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21"/>
                <w:szCs w:val="21"/>
              </w:rPr>
            </w:pPr>
            <w:r>
              <w:rPr>
                <w:rFonts w:ascii="Times New Roman"/>
                <w:spacing w:val="-1"/>
                <w:sz w:val="21"/>
              </w:rPr>
              <w:t>46,000,000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4,760,000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32,200,000</w:t>
            </w:r>
          </w:p>
        </w:tc>
        <w:tc>
          <w:tcPr>
            <w:tcW w:w="1277" w:type="dxa"/>
            <w:tcBorders>
              <w:top w:val="single" w:sz="4" w:space="0" w:color="000000"/>
              <w:left w:val="single" w:sz="4" w:space="0" w:color="000000"/>
              <w:bottom w:val="single" w:sz="4" w:space="0" w:color="000000"/>
              <w:right w:val="single" w:sz="9" w:space="0" w:color="DCDCDC"/>
            </w:tcBorders>
          </w:tcPr>
          <w:p>
            <w:pPr>
              <w:pStyle w:val="TableParagraph"/>
              <w:spacing w:line="240" w:lineRule="auto" w:before="11"/>
              <w:ind w:right="15"/>
              <w:jc w:val="right"/>
              <w:rPr>
                <w:rFonts w:ascii="Times New Roman" w:hAnsi="Times New Roman" w:cs="Times New Roman" w:eastAsia="Times New Roman" w:hint="default"/>
                <w:sz w:val="21"/>
                <w:szCs w:val="21"/>
              </w:rPr>
            </w:pPr>
            <w:r>
              <w:rPr>
                <w:rFonts w:ascii="Times New Roman"/>
                <w:spacing w:val="-1"/>
                <w:sz w:val="21"/>
              </w:rPr>
              <w:t>73,440,000</w:t>
            </w:r>
          </w:p>
        </w:tc>
        <w:tc>
          <w:tcPr>
            <w:tcW w:w="12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line="328" w:lineRule="auto" w:before="14"/>
        <w:ind w:left="1758" w:right="1060" w:hanging="701"/>
        <w:jc w:val="left"/>
        <w:rPr>
          <w:rFonts w:ascii="宋体" w:hAnsi="宋体" w:cs="宋体" w:eastAsia="宋体" w:hint="default"/>
          <w:sz w:val="28"/>
          <w:szCs w:val="28"/>
        </w:rPr>
      </w:pPr>
      <w:r>
        <w:rPr>
          <w:rFonts w:ascii="宋体" w:hAnsi="宋体" w:cs="宋体" w:eastAsia="宋体" w:hint="default"/>
          <w:b/>
          <w:bCs/>
          <w:sz w:val="28"/>
          <w:szCs w:val="28"/>
        </w:rPr>
        <w:t>二、股票发行与上市情况</w:t>
      </w:r>
      <w:r>
        <w:rPr>
          <w:rFonts w:ascii="宋体" w:hAnsi="宋体" w:cs="宋体" w:eastAsia="宋体" w:hint="default"/>
          <w:b/>
          <w:bCs/>
          <w:w w:val="99"/>
          <w:sz w:val="28"/>
          <w:szCs w:val="28"/>
        </w:rPr>
        <w:t> </w:t>
      </w:r>
      <w:r>
        <w:rPr>
          <w:rFonts w:ascii="宋体" w:hAnsi="宋体" w:cs="宋体" w:eastAsia="宋体" w:hint="default"/>
          <w:sz w:val="28"/>
          <w:szCs w:val="28"/>
        </w:rPr>
        <w:t>经中国证券监督管理委员会“证监许可［</w:t>
      </w:r>
      <w:r>
        <w:rPr>
          <w:rFonts w:ascii="Times New Roman" w:hAnsi="Times New Roman" w:cs="Times New Roman" w:eastAsia="Times New Roman" w:hint="default"/>
          <w:sz w:val="28"/>
          <w:szCs w:val="28"/>
        </w:rPr>
        <w:t>2009</w:t>
      </w:r>
      <w:r>
        <w:rPr>
          <w:rFonts w:ascii="宋体" w:hAnsi="宋体" w:cs="宋体" w:eastAsia="宋体" w:hint="default"/>
          <w:sz w:val="28"/>
          <w:szCs w:val="28"/>
        </w:rPr>
        <w:t>］</w:t>
      </w:r>
      <w:r>
        <w:rPr>
          <w:rFonts w:ascii="Times New Roman" w:hAnsi="Times New Roman" w:cs="Times New Roman" w:eastAsia="Times New Roman" w:hint="default"/>
          <w:sz w:val="28"/>
          <w:szCs w:val="28"/>
        </w:rPr>
        <w:t>860 </w:t>
      </w:r>
      <w:r>
        <w:rPr>
          <w:rFonts w:ascii="Times New Roman" w:hAnsi="Times New Roman" w:cs="Times New Roman" w:eastAsia="Times New Roman" w:hint="default"/>
          <w:spacing w:val="48"/>
          <w:sz w:val="28"/>
          <w:szCs w:val="28"/>
        </w:rPr>
        <w:t> </w:t>
      </w:r>
      <w:r>
        <w:rPr>
          <w:rFonts w:ascii="宋体" w:hAnsi="宋体" w:cs="宋体" w:eastAsia="宋体" w:hint="default"/>
          <w:sz w:val="28"/>
          <w:szCs w:val="28"/>
        </w:rPr>
        <w:t>号”文核</w:t>
      </w:r>
    </w:p>
    <w:p>
      <w:pPr>
        <w:pStyle w:val="Heading3"/>
        <w:spacing w:line="384" w:lineRule="exact" w:before="0"/>
        <w:ind w:left="1058" w:right="0"/>
        <w:jc w:val="left"/>
        <w:rPr>
          <w:rFonts w:ascii="Times New Roman" w:hAnsi="Times New Roman" w:cs="Times New Roman" w:eastAsia="Times New Roman" w:hint="default"/>
        </w:rPr>
      </w:pPr>
      <w:r>
        <w:rPr>
          <w:spacing w:val="-12"/>
        </w:rPr>
        <w:t>准，公司于</w:t>
      </w:r>
      <w:r>
        <w:rPr>
          <w:spacing w:val="-7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73"/>
        </w:rPr>
        <w:t> </w:t>
      </w:r>
      <w:r>
        <w:rPr>
          <w:rFonts w:ascii="Times New Roman" w:hAnsi="Times New Roman" w:cs="Times New Roman" w:eastAsia="Times New Roman" w:hint="default"/>
        </w:rPr>
        <w:t>9 </w:t>
      </w:r>
      <w:r>
        <w:rPr/>
        <w:t>月</w:t>
      </w:r>
      <w:r>
        <w:rPr>
          <w:spacing w:val="-71"/>
        </w:rPr>
        <w:t> </w:t>
      </w:r>
      <w:r>
        <w:rPr>
          <w:rFonts w:ascii="Times New Roman" w:hAnsi="Times New Roman" w:cs="Times New Roman" w:eastAsia="Times New Roman" w:hint="default"/>
        </w:rPr>
        <w:t>15 </w:t>
      </w:r>
      <w:r>
        <w:rPr/>
        <w:t>日首次公开发行人民币普通股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)1,550</w:t>
      </w:r>
    </w:p>
    <w:p>
      <w:pPr>
        <w:spacing w:after="0" w:line="384" w:lineRule="exact"/>
        <w:jc w:val="left"/>
        <w:rPr>
          <w:rFonts w:ascii="Times New Roman" w:hAnsi="Times New Roman" w:cs="Times New Roman" w:eastAsia="Times New Roman" w:hint="default"/>
        </w:rPr>
        <w:sectPr>
          <w:type w:val="continuous"/>
          <w:pgSz w:w="11910" w:h="16840"/>
          <w:pgMar w:top="1240" w:bottom="1240" w:left="740" w:right="720"/>
        </w:sectPr>
      </w:pPr>
    </w:p>
    <w:p>
      <w:pPr>
        <w:pStyle w:val="Heading3"/>
        <w:spacing w:line="240" w:lineRule="auto" w:before="73"/>
        <w:ind w:left="558" w:right="565"/>
        <w:jc w:val="left"/>
      </w:pPr>
      <w:r>
        <w:rPr/>
        <w:t>万股，发行价格为</w:t>
      </w:r>
      <w:r>
        <w:rPr>
          <w:spacing w:val="-72"/>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pStyle w:val="Heading3"/>
        <w:spacing w:line="309" w:lineRule="auto" w:before="114"/>
        <w:ind w:left="558" w:right="565" w:firstLine="559"/>
        <w:jc w:val="left"/>
        <w:rPr>
          <w:rFonts w:ascii="Times New Roman" w:hAnsi="Times New Roman" w:cs="Times New Roman" w:eastAsia="Times New Roman" w:hint="default"/>
        </w:rPr>
      </w:pPr>
      <w:r>
        <w:rPr/>
        <w:t>经深圳证券交易所深证上［</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97</w:t>
      </w:r>
      <w:r>
        <w:rPr>
          <w:rFonts w:ascii="Times New Roman" w:hAnsi="Times New Roman" w:cs="Times New Roman" w:eastAsia="Times New Roman" w:hint="default"/>
          <w:spacing w:val="42"/>
        </w:rPr>
        <w:t> </w:t>
      </w:r>
      <w:r>
        <w:rPr/>
        <w:t>号批准，公司首次公开发</w:t>
      </w:r>
      <w:r>
        <w:rPr>
          <w:w w:val="100"/>
        </w:rPr>
        <w:t> </w:t>
      </w:r>
      <w:r>
        <w:rPr/>
        <w:t>行的人民币普通股（</w:t>
      </w:r>
      <w:r>
        <w:rPr>
          <w:rFonts w:ascii="Times New Roman" w:hAnsi="Times New Roman" w:cs="Times New Roman" w:eastAsia="Times New Roman" w:hint="default"/>
        </w:rPr>
        <w:t>A </w:t>
      </w:r>
      <w:r>
        <w:rPr/>
        <w:t>股）网上定价发行的 </w:t>
      </w:r>
      <w:r>
        <w:rPr>
          <w:rFonts w:ascii="Times New Roman" w:hAnsi="Times New Roman" w:cs="Times New Roman" w:eastAsia="Times New Roman" w:hint="default"/>
        </w:rPr>
        <w:t>1,240 </w:t>
      </w:r>
      <w:r>
        <w:rPr/>
        <w:t>万股于 </w:t>
      </w:r>
      <w:r>
        <w:rPr>
          <w:rFonts w:ascii="Times New Roman" w:hAnsi="Times New Roman" w:cs="Times New Roman" w:eastAsia="Times New Roman" w:hint="default"/>
        </w:rPr>
        <w:t>2009 </w:t>
      </w:r>
      <w:r>
        <w:rPr/>
        <w:t>年</w:t>
      </w:r>
      <w:r>
        <w:rPr>
          <w:spacing w:val="-19"/>
        </w:rPr>
        <w:t> </w:t>
      </w:r>
      <w:r>
        <w:rPr>
          <w:rFonts w:ascii="Times New Roman" w:hAnsi="Times New Roman" w:cs="Times New Roman" w:eastAsia="Times New Roman" w:hint="default"/>
        </w:rPr>
        <w:t>9</w:t>
      </w:r>
    </w:p>
    <w:p>
      <w:pPr>
        <w:pStyle w:val="Heading3"/>
        <w:spacing w:line="240" w:lineRule="auto" w:before="21"/>
        <w:ind w:left="558" w:right="0"/>
        <w:jc w:val="left"/>
      </w:pP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日在深圳证券交易所中小企业板挂牌交易，网下配售</w:t>
      </w:r>
      <w:r>
        <w:rPr>
          <w:spacing w:val="-57"/>
        </w:rPr>
        <w:t> </w:t>
      </w:r>
      <w:r>
        <w:rPr>
          <w:rFonts w:ascii="Times New Roman" w:hAnsi="Times New Roman" w:cs="Times New Roman" w:eastAsia="Times New Roman" w:hint="default"/>
        </w:rPr>
        <w:t>310</w:t>
      </w:r>
      <w:r>
        <w:rPr>
          <w:rFonts w:ascii="Times New Roman" w:hAnsi="Times New Roman" w:cs="Times New Roman" w:eastAsia="Times New Roman" w:hint="default"/>
          <w:spacing w:val="13"/>
        </w:rPr>
        <w:t> </w:t>
      </w:r>
      <w:r>
        <w:rPr>
          <w:spacing w:val="-3"/>
        </w:rPr>
        <w:t>万股</w:t>
      </w:r>
      <w:r>
        <w:rPr/>
      </w:r>
    </w:p>
    <w:p>
      <w:pPr>
        <w:pStyle w:val="Heading3"/>
        <w:spacing w:line="240" w:lineRule="auto" w:before="114"/>
        <w:ind w:left="558" w:right="565"/>
        <w:jc w:val="left"/>
      </w:pPr>
      <w:r>
        <w:rPr/>
        <w:t>于</w:t>
      </w:r>
      <w:r>
        <w:rPr>
          <w:spacing w:val="-71"/>
        </w:rPr>
        <w:t> </w:t>
      </w:r>
      <w:r>
        <w:rPr>
          <w:rFonts w:ascii="Times New Roman" w:hAnsi="Times New Roman" w:cs="Times New Roman" w:eastAsia="Times New Roman" w:hint="default"/>
        </w:rPr>
        <w:t>2009 </w:t>
      </w:r>
      <w:r>
        <w:rPr/>
        <w:t>年</w:t>
      </w:r>
      <w:r>
        <w:rPr>
          <w:spacing w:val="-71"/>
        </w:rPr>
        <w:t> </w:t>
      </w:r>
      <w:r>
        <w:rPr>
          <w:rFonts w:ascii="Times New Roman" w:hAnsi="Times New Roman" w:cs="Times New Roman" w:eastAsia="Times New Roman" w:hint="default"/>
        </w:rPr>
        <w:t>12 </w:t>
      </w:r>
      <w:r>
        <w:rPr/>
        <w:t>月</w:t>
      </w:r>
      <w:r>
        <w:rPr>
          <w:spacing w:val="-73"/>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日上市流通。</w:t>
      </w:r>
    </w:p>
    <w:p>
      <w:pPr>
        <w:pStyle w:val="Heading3"/>
        <w:spacing w:line="240" w:lineRule="auto" w:before="63"/>
        <w:ind w:left="1117" w:right="0"/>
        <w:jc w:val="left"/>
      </w:pPr>
      <w:r>
        <w:rPr>
          <w:rFonts w:ascii="宋体" w:hAnsi="宋体" w:cs="宋体" w:eastAsia="宋体" w:hint="default"/>
        </w:rPr>
        <w:t>2010</w:t>
      </w:r>
      <w:r>
        <w:rPr>
          <w:rFonts w:ascii="宋体" w:hAnsi="宋体" w:cs="宋体" w:eastAsia="宋体" w:hint="default"/>
          <w:spacing w:val="-70"/>
        </w:rPr>
        <w:t> </w:t>
      </w:r>
      <w:r>
        <w:rPr/>
        <w:t>年</w:t>
      </w:r>
      <w:r>
        <w:rPr>
          <w:spacing w:val="-70"/>
        </w:rPr>
        <w:t> </w:t>
      </w:r>
      <w:r>
        <w:rPr>
          <w:rFonts w:ascii="宋体" w:hAnsi="宋体" w:cs="宋体" w:eastAsia="宋体" w:hint="default"/>
        </w:rPr>
        <w:t>4</w:t>
      </w:r>
      <w:r>
        <w:rPr>
          <w:rFonts w:ascii="宋体" w:hAnsi="宋体" w:cs="宋体" w:eastAsia="宋体" w:hint="default"/>
          <w:spacing w:val="-69"/>
        </w:rPr>
        <w:t> </w:t>
      </w:r>
      <w:r>
        <w:rPr/>
        <w:t>月</w:t>
      </w:r>
      <w:r>
        <w:rPr>
          <w:spacing w:val="-72"/>
        </w:rPr>
        <w:t> </w:t>
      </w:r>
      <w:r>
        <w:rPr>
          <w:rFonts w:ascii="宋体" w:hAnsi="宋体" w:cs="宋体" w:eastAsia="宋体" w:hint="default"/>
        </w:rPr>
        <w:t>1</w:t>
      </w:r>
      <w:r>
        <w:rPr>
          <w:rFonts w:ascii="宋体" w:hAnsi="宋体" w:cs="宋体" w:eastAsia="宋体" w:hint="default"/>
          <w:spacing w:val="-69"/>
        </w:rPr>
        <w:t> </w:t>
      </w:r>
      <w:r>
        <w:rPr>
          <w:spacing w:val="-4"/>
        </w:rPr>
        <w:t>日，公司实施了</w:t>
      </w:r>
      <w:r>
        <w:rPr>
          <w:spacing w:val="-72"/>
        </w:rPr>
        <w:t> </w:t>
      </w:r>
      <w:r>
        <w:rPr>
          <w:rFonts w:ascii="宋体" w:hAnsi="宋体" w:cs="宋体" w:eastAsia="宋体" w:hint="default"/>
        </w:rPr>
        <w:t>2009</w:t>
      </w:r>
      <w:r>
        <w:rPr>
          <w:rFonts w:ascii="宋体" w:hAnsi="宋体" w:cs="宋体" w:eastAsia="宋体" w:hint="default"/>
          <w:spacing w:val="-68"/>
        </w:rPr>
        <w:t> </w:t>
      </w:r>
      <w:r>
        <w:rPr/>
        <w:t>年度利润分配及资本公积金</w:t>
      </w:r>
    </w:p>
    <w:p>
      <w:pPr>
        <w:pStyle w:val="Heading3"/>
        <w:spacing w:line="240" w:lineRule="auto" w:before="72"/>
        <w:ind w:left="558" w:right="0"/>
        <w:jc w:val="left"/>
      </w:pPr>
      <w:r>
        <w:rPr/>
        <w:t>转增股本方案，向全体股东每</w:t>
      </w:r>
      <w:r>
        <w:rPr>
          <w:spacing w:val="-60"/>
        </w:rPr>
        <w:t> </w:t>
      </w:r>
      <w:r>
        <w:rPr>
          <w:rFonts w:ascii="宋体" w:hAnsi="宋体" w:cs="宋体" w:eastAsia="宋体" w:hint="default"/>
        </w:rPr>
        <w:t>10</w:t>
      </w:r>
      <w:r>
        <w:rPr>
          <w:rFonts w:ascii="宋体" w:hAnsi="宋体" w:cs="宋体" w:eastAsia="宋体" w:hint="default"/>
          <w:spacing w:val="-57"/>
        </w:rPr>
        <w:t> </w:t>
      </w:r>
      <w:r>
        <w:rPr/>
        <w:t>股转增</w:t>
      </w:r>
      <w:r>
        <w:rPr>
          <w:spacing w:val="-60"/>
        </w:rPr>
        <w:t> </w:t>
      </w:r>
      <w:r>
        <w:rPr>
          <w:rFonts w:ascii="宋体" w:hAnsi="宋体" w:cs="宋体" w:eastAsia="宋体" w:hint="default"/>
        </w:rPr>
        <w:t>7</w:t>
      </w:r>
      <w:r>
        <w:rPr>
          <w:rFonts w:ascii="宋体" w:hAnsi="宋体" w:cs="宋体" w:eastAsia="宋体" w:hint="default"/>
          <w:spacing w:val="-57"/>
        </w:rPr>
        <w:t> </w:t>
      </w:r>
      <w:r>
        <w:rPr/>
        <w:t>股，本次转增后公司总股</w:t>
      </w:r>
    </w:p>
    <w:p>
      <w:pPr>
        <w:pStyle w:val="Heading3"/>
        <w:spacing w:line="319" w:lineRule="auto" w:before="75"/>
        <w:ind w:left="1117" w:right="5798" w:hanging="560"/>
        <w:jc w:val="left"/>
      </w:pPr>
      <w:r>
        <w:rPr/>
        <w:t>本为</w:t>
      </w:r>
      <w:r>
        <w:rPr>
          <w:spacing w:val="-71"/>
        </w:rPr>
        <w:t> </w:t>
      </w:r>
      <w:r>
        <w:rPr>
          <w:rFonts w:ascii="宋体" w:hAnsi="宋体" w:cs="宋体" w:eastAsia="宋体" w:hint="default"/>
        </w:rPr>
        <w:t>10,455</w:t>
      </w:r>
      <w:r>
        <w:rPr>
          <w:rFonts w:ascii="宋体" w:hAnsi="宋体" w:cs="宋体" w:eastAsia="宋体" w:hint="default"/>
          <w:spacing w:val="-72"/>
        </w:rPr>
        <w:t> </w:t>
      </w:r>
      <w:r>
        <w:rPr/>
        <w:t>万股。</w:t>
      </w:r>
      <w:r>
        <w:rPr>
          <w:w w:val="100"/>
        </w:rPr>
        <w:t> </w:t>
      </w:r>
      <w:r>
        <w:rPr>
          <w:spacing w:val="-1"/>
        </w:rPr>
        <w:t>公司无内部职工股。</w:t>
      </w:r>
    </w:p>
    <w:p>
      <w:pPr>
        <w:pStyle w:val="Heading2"/>
        <w:spacing w:line="240" w:lineRule="auto" w:before="41"/>
        <w:ind w:left="558" w:right="565"/>
        <w:jc w:val="left"/>
        <w:rPr>
          <w:b w:val="0"/>
          <w:bCs w:val="0"/>
        </w:rPr>
      </w:pPr>
      <w:r>
        <w:rPr/>
        <w:t>三、股东和实际控制人情况介绍</w:t>
      </w:r>
      <w:r>
        <w:rPr>
          <w:b w:val="0"/>
          <w:bCs w:val="0"/>
        </w:rPr>
      </w:r>
    </w:p>
    <w:p>
      <w:pPr>
        <w:pStyle w:val="Heading2"/>
        <w:spacing w:line="240" w:lineRule="auto" w:before="135"/>
        <w:ind w:left="558" w:right="565"/>
        <w:jc w:val="left"/>
        <w:rPr>
          <w:b w:val="0"/>
          <w:bCs w:val="0"/>
        </w:rPr>
      </w:pPr>
      <w:r>
        <w:rPr/>
        <w:t>（一）股东数量和持股情况</w:t>
      </w:r>
      <w:r>
        <w:rPr>
          <w:b w:val="0"/>
          <w:bCs w:val="0"/>
        </w:rPr>
      </w:r>
    </w:p>
    <w:p>
      <w:pPr>
        <w:pStyle w:val="BodyText"/>
        <w:spacing w:line="240" w:lineRule="auto" w:before="25"/>
        <w:ind w:left="0" w:right="571"/>
        <w:jc w:val="right"/>
      </w:pPr>
      <w:r>
        <w:rPr>
          <w:spacing w:val="-1"/>
        </w:rPr>
        <w:t>单位：股</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34"/>
        <w:gridCol w:w="1307"/>
        <w:gridCol w:w="1298"/>
        <w:gridCol w:w="1301"/>
        <w:gridCol w:w="521"/>
        <w:gridCol w:w="1299"/>
        <w:gridCol w:w="1154"/>
      </w:tblGrid>
      <w:tr>
        <w:trPr>
          <w:trHeight w:val="283"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735"/>
              <w:jc w:val="right"/>
              <w:rPr>
                <w:rFonts w:ascii="宋体" w:hAnsi="宋体" w:cs="宋体" w:eastAsia="宋体" w:hint="default"/>
                <w:sz w:val="21"/>
                <w:szCs w:val="21"/>
              </w:rPr>
            </w:pPr>
            <w:r>
              <w:rPr>
                <w:rFonts w:ascii="宋体" w:hAnsi="宋体" w:cs="宋体" w:eastAsia="宋体" w:hint="default"/>
                <w:spacing w:val="-1"/>
                <w:sz w:val="21"/>
                <w:szCs w:val="21"/>
              </w:rPr>
              <w:t>股东总数</w:t>
            </w:r>
          </w:p>
        </w:tc>
        <w:tc>
          <w:tcPr>
            <w:tcW w:w="6881" w:type="dxa"/>
            <w:gridSpan w:val="6"/>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4,091</w:t>
            </w:r>
          </w:p>
        </w:tc>
      </w:tr>
      <w:tr>
        <w:trPr>
          <w:trHeight w:val="283" w:hRule="exact"/>
        </w:trPr>
        <w:tc>
          <w:tcPr>
            <w:tcW w:w="9215"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142" w:hRule="exact"/>
        </w:trPr>
        <w:tc>
          <w:tcPr>
            <w:tcW w:w="233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9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154"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45"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271" w:hRule="exact"/>
        </w:trPr>
        <w:tc>
          <w:tcPr>
            <w:tcW w:w="23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735"/>
              <w:jc w:val="right"/>
              <w:rPr>
                <w:rFonts w:ascii="宋体" w:hAnsi="宋体" w:cs="宋体" w:eastAsia="宋体" w:hint="default"/>
                <w:sz w:val="21"/>
                <w:szCs w:val="21"/>
              </w:rPr>
            </w:pPr>
            <w:r>
              <w:rPr>
                <w:rFonts w:ascii="宋体" w:hAnsi="宋体" w:cs="宋体" w:eastAsia="宋体" w:hint="default"/>
                <w:spacing w:val="-1"/>
                <w:sz w:val="21"/>
                <w:szCs w:val="21"/>
              </w:rPr>
              <w:t>股东名称</w:t>
            </w:r>
          </w:p>
        </w:tc>
        <w:tc>
          <w:tcPr>
            <w:tcW w:w="13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股东性质</w:t>
            </w:r>
          </w:p>
        </w:tc>
        <w:tc>
          <w:tcPr>
            <w:tcW w:w="12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26"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0" w:type="dxa"/>
            <w:gridSpan w:val="2"/>
            <w:vMerge/>
            <w:tcBorders>
              <w:left w:val="single" w:sz="4" w:space="0" w:color="000000"/>
              <w:right w:val="single" w:sz="4" w:space="0" w:color="000000"/>
            </w:tcBorders>
            <w:shd w:val="clear" w:color="auto" w:fill="DCDCDC"/>
          </w:tcPr>
          <w:p>
            <w:pPr/>
          </w:p>
        </w:tc>
        <w:tc>
          <w:tcPr>
            <w:tcW w:w="1154" w:type="dxa"/>
            <w:vMerge/>
            <w:tcBorders>
              <w:left w:val="single" w:sz="4" w:space="0" w:color="000000"/>
              <w:right w:val="single" w:sz="4" w:space="0" w:color="000000"/>
            </w:tcBorders>
            <w:shd w:val="clear" w:color="auto" w:fill="DCDCDC"/>
          </w:tcPr>
          <w:p>
            <w:pPr/>
          </w:p>
        </w:tc>
      </w:tr>
      <w:tr>
        <w:trPr>
          <w:trHeight w:val="142" w:hRule="exact"/>
        </w:trPr>
        <w:tc>
          <w:tcPr>
            <w:tcW w:w="233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98"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gridSpan w:val="2"/>
            <w:vMerge/>
            <w:tcBorders>
              <w:left w:val="single" w:sz="4" w:space="0" w:color="000000"/>
              <w:bottom w:val="single" w:sz="4" w:space="0" w:color="000000"/>
              <w:right w:val="single" w:sz="4" w:space="0" w:color="000000"/>
            </w:tcBorders>
            <w:shd w:val="clear" w:color="auto" w:fill="DCDCDC"/>
          </w:tcPr>
          <w:p>
            <w:pPr/>
          </w:p>
        </w:tc>
        <w:tc>
          <w:tcPr>
            <w:tcW w:w="1154" w:type="dxa"/>
            <w:vMerge/>
            <w:tcBorders>
              <w:left w:val="single" w:sz="4" w:space="0" w:color="000000"/>
              <w:bottom w:val="single" w:sz="4" w:space="0" w:color="000000"/>
              <w:right w:val="single" w:sz="4" w:space="0" w:color="000000"/>
            </w:tcBorders>
            <w:shd w:val="clear" w:color="auto" w:fill="DCDCDC"/>
          </w:tcPr>
          <w:p>
            <w:pPr/>
          </w:p>
        </w:tc>
      </w:tr>
      <w:tr>
        <w:trPr>
          <w:trHeight w:val="281"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18.21%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19,040,000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0" w:right="0"/>
              <w:jc w:val="left"/>
              <w:rPr>
                <w:rFonts w:ascii="Times New Roman" w:hAnsi="Times New Roman" w:cs="Times New Roman" w:eastAsia="Times New Roman" w:hint="default"/>
                <w:sz w:val="21"/>
                <w:szCs w:val="21"/>
              </w:rPr>
            </w:pPr>
            <w:r>
              <w:rPr>
                <w:rFonts w:ascii="Times New Roman"/>
                <w:sz w:val="21"/>
              </w:rPr>
              <w:t>19,040,000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李劲松</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4"/>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10.41%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10,880,000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40" w:right="0"/>
              <w:jc w:val="left"/>
              <w:rPr>
                <w:rFonts w:ascii="Times New Roman" w:hAnsi="Times New Roman" w:cs="Times New Roman" w:eastAsia="Times New Roman" w:hint="default"/>
                <w:sz w:val="21"/>
                <w:szCs w:val="21"/>
              </w:rPr>
            </w:pPr>
            <w:r>
              <w:rPr>
                <w:rFonts w:ascii="Times New Roman"/>
                <w:sz w:val="21"/>
              </w:rPr>
              <w:t>10,880,000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9.76%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10,200,000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40" w:right="0"/>
              <w:jc w:val="left"/>
              <w:rPr>
                <w:rFonts w:ascii="Times New Roman" w:hAnsi="Times New Roman" w:cs="Times New Roman" w:eastAsia="Times New Roman" w:hint="default"/>
                <w:sz w:val="21"/>
                <w:szCs w:val="21"/>
              </w:rPr>
            </w:pPr>
            <w:r>
              <w:rPr>
                <w:rFonts w:ascii="Times New Roman"/>
                <w:sz w:val="21"/>
              </w:rPr>
              <w:t>10,200,000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胡江平</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8.78%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9,180,000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5" w:right="0"/>
              <w:jc w:val="left"/>
              <w:rPr>
                <w:rFonts w:ascii="Times New Roman" w:hAnsi="Times New Roman" w:cs="Times New Roman" w:eastAsia="Times New Roman" w:hint="default"/>
                <w:sz w:val="21"/>
                <w:szCs w:val="21"/>
              </w:rPr>
            </w:pPr>
            <w:r>
              <w:rPr>
                <w:rFonts w:ascii="Times New Roman"/>
                <w:sz w:val="21"/>
              </w:rPr>
              <w:t>9,180,000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苗卫东</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6.83%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7,140,000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45" w:right="0"/>
              <w:jc w:val="left"/>
              <w:rPr>
                <w:rFonts w:ascii="Times New Roman" w:hAnsi="Times New Roman" w:cs="Times New Roman" w:eastAsia="Times New Roman" w:hint="default"/>
                <w:sz w:val="21"/>
                <w:szCs w:val="21"/>
              </w:rPr>
            </w:pPr>
            <w:r>
              <w:rPr>
                <w:rFonts w:ascii="Times New Roman"/>
                <w:sz w:val="21"/>
              </w:rPr>
              <w:t>7,140,000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李力</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6.83%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7,140,000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45" w:right="0"/>
              <w:jc w:val="left"/>
              <w:rPr>
                <w:rFonts w:ascii="Times New Roman" w:hAnsi="Times New Roman" w:cs="Times New Roman" w:eastAsia="Times New Roman" w:hint="default"/>
                <w:sz w:val="21"/>
                <w:szCs w:val="21"/>
              </w:rPr>
            </w:pPr>
            <w:r>
              <w:rPr>
                <w:rFonts w:ascii="Times New Roman"/>
                <w:sz w:val="21"/>
              </w:rPr>
              <w:t>7,140,000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刘锐</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5.53%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5,780,000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5" w:right="0"/>
              <w:jc w:val="left"/>
              <w:rPr>
                <w:rFonts w:ascii="Times New Roman" w:hAnsi="Times New Roman" w:cs="Times New Roman" w:eastAsia="Times New Roman" w:hint="default"/>
                <w:sz w:val="21"/>
                <w:szCs w:val="21"/>
              </w:rPr>
            </w:pPr>
            <w:r>
              <w:rPr>
                <w:rFonts w:ascii="Times New Roman"/>
                <w:sz w:val="21"/>
              </w:rPr>
              <w:t>5,780,000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李翀</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4.61%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4,815,500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45" w:right="0"/>
              <w:jc w:val="left"/>
              <w:rPr>
                <w:rFonts w:ascii="Times New Roman" w:hAnsi="Times New Roman" w:cs="Times New Roman" w:eastAsia="Times New Roman" w:hint="default"/>
                <w:sz w:val="21"/>
                <w:szCs w:val="21"/>
              </w:rPr>
            </w:pPr>
            <w:r>
              <w:rPr>
                <w:rFonts w:ascii="Times New Roman"/>
                <w:sz w:val="21"/>
              </w:rPr>
              <w:t>4,080,000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826"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中国工商银行－汇添富</w:t>
            </w:r>
          </w:p>
          <w:p>
            <w:pPr>
              <w:pStyle w:val="TableParagraph"/>
              <w:spacing w:line="272" w:lineRule="exact" w:before="27"/>
              <w:ind w:left="21" w:right="198"/>
              <w:jc w:val="left"/>
              <w:rPr>
                <w:rFonts w:ascii="宋体" w:hAnsi="宋体" w:cs="宋体" w:eastAsia="宋体" w:hint="default"/>
                <w:sz w:val="21"/>
                <w:szCs w:val="21"/>
              </w:rPr>
            </w:pPr>
            <w:r>
              <w:rPr>
                <w:rFonts w:ascii="宋体" w:hAnsi="宋体" w:cs="宋体" w:eastAsia="宋体" w:hint="default"/>
                <w:spacing w:val="-2"/>
                <w:sz w:val="21"/>
                <w:szCs w:val="21"/>
              </w:rPr>
              <w:t>均衡增长股票型证券投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资基金</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 w:right="23"/>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3,405,228</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宋丹斌</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4"/>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3.22%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3,370,000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215"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81"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45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557"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中国工商银行－汇添富均衡增长股票</w:t>
            </w:r>
          </w:p>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3,405,228</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宋丹斌</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3,370,000</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5"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中国工商银行－中银收益混合型证券投</w:t>
            </w:r>
          </w:p>
          <w:p>
            <w:pPr>
              <w:pStyle w:val="TableParagraph"/>
              <w:spacing w:line="275" w:lineRule="exact"/>
              <w:ind w:left="21"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2,925,216</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交通银行－中海优质成长证券投资基金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2,395,836</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中国工商银行－中银持续增长股票型证</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1,743,617</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招商银行股份有限公司－中银蓝筹精选</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灵活配置混合型证券投资基金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1,234,715</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新华人寿保险股份有限公司－分红－个</w:t>
            </w:r>
          </w:p>
          <w:p>
            <w:pPr>
              <w:pStyle w:val="TableParagraph"/>
              <w:spacing w:line="290" w:lineRule="exact"/>
              <w:ind w:left="21" w:right="0"/>
              <w:jc w:val="left"/>
              <w:rPr>
                <w:rFonts w:ascii="宋体" w:hAnsi="宋体" w:cs="宋体" w:eastAsia="宋体" w:hint="default"/>
                <w:sz w:val="21"/>
                <w:szCs w:val="21"/>
              </w:rPr>
            </w:pPr>
            <w:r>
              <w:rPr>
                <w:rFonts w:ascii="宋体" w:hAnsi="宋体" w:cs="宋体" w:eastAsia="宋体" w:hint="default"/>
                <w:sz w:val="21"/>
                <w:szCs w:val="21"/>
              </w:rPr>
              <w:t>人分红</w:t>
            </w:r>
            <w:r>
              <w:rPr>
                <w:rFonts w:ascii="Times New Roman" w:hAnsi="Times New Roman" w:cs="Times New Roman" w:eastAsia="Times New Roman" w:hint="default"/>
                <w:sz w:val="21"/>
                <w:szCs w:val="21"/>
              </w:rPr>
              <w:t>-018L-FH002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深</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1,221,687</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李翀</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735,500</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1" w:lineRule="exact"/>
        <w:jc w:val="left"/>
        <w:rPr>
          <w:rFonts w:ascii="宋体" w:hAnsi="宋体" w:cs="宋体" w:eastAsia="宋体" w:hint="default"/>
          <w:sz w:val="21"/>
          <w:szCs w:val="21"/>
        </w:rPr>
        <w:sectPr>
          <w:headerReference w:type="default" r:id="rId14"/>
          <w:pgSz w:w="11910" w:h="16840"/>
          <w:pgMar w:header="624" w:footer="1045" w:top="1240" w:bottom="1240" w:left="124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36"/>
        <w:ind w:left="0" w:right="103"/>
        <w:jc w:val="right"/>
      </w:pPr>
      <w:r>
        <w:rPr/>
        <w:pict>
          <v:shape style="position:absolute;margin-left:67.103996pt;margin-top:-53.516312pt;width:461.5pt;height:71.1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0"/>
                    <w:gridCol w:w="1301"/>
                    <w:gridCol w:w="3120"/>
                    <w:gridCol w:w="2453"/>
                  </w:tblGrid>
                  <w:tr>
                    <w:trPr>
                      <w:trHeight w:val="566" w:hRule="exact"/>
                    </w:trPr>
                    <w:tc>
                      <w:tcPr>
                        <w:tcW w:w="3641" w:type="dxa"/>
                        <w:gridSpan w:val="2"/>
                        <w:tcBorders>
                          <w:top w:val="single" w:sz="6" w:space="0" w:color="000000"/>
                          <w:left w:val="single" w:sz="4" w:space="0" w:color="000000"/>
                          <w:bottom w:val="single" w:sz="4" w:space="0" w:color="000000"/>
                          <w:right w:val="single" w:sz="4" w:space="0" w:color="000000"/>
                        </w:tcBorders>
                      </w:tcPr>
                      <w:p>
                        <w:pPr>
                          <w:pStyle w:val="TableParagraph"/>
                          <w:spacing w:line="274" w:lineRule="exact" w:before="1"/>
                          <w:ind w:left="21" w:right="35"/>
                          <w:jc w:val="left"/>
                          <w:rPr>
                            <w:rFonts w:ascii="宋体" w:hAnsi="宋体" w:cs="宋体" w:eastAsia="宋体" w:hint="default"/>
                            <w:sz w:val="21"/>
                            <w:szCs w:val="21"/>
                          </w:rPr>
                        </w:pPr>
                        <w:r>
                          <w:rPr>
                            <w:rFonts w:ascii="宋体" w:hAnsi="宋体" w:cs="宋体" w:eastAsia="宋体" w:hint="default"/>
                            <w:spacing w:val="-2"/>
                            <w:sz w:val="21"/>
                            <w:szCs w:val="21"/>
                          </w:rPr>
                          <w:t>中国工商银行－南方优选价值股票型证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券投资基金</w:t>
                        </w:r>
                      </w:p>
                    </w:tc>
                    <w:tc>
                      <w:tcPr>
                        <w:tcW w:w="31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640,596</w:t>
                        </w:r>
                      </w:p>
                    </w:tc>
                    <w:tc>
                      <w:tcPr>
                        <w:tcW w:w="245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7"/>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汉盛证券投资基金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583,649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致行动的说明</w:t>
                        </w:r>
                      </w:p>
                    </w:tc>
                    <w:tc>
                      <w:tcPr>
                        <w:tcW w:w="6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公司前十名股东之间不存在关联关系，也不属于一致行动人；公司未知前</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十名无限售条件股东之间是否存在关联关系，也未知是否属于一致行动人</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326" w:lineRule="auto" w:before="14"/>
        <w:ind w:left="558" w:right="0" w:firstLine="0"/>
        <w:jc w:val="left"/>
        <w:rPr>
          <w:rFonts w:ascii="宋体" w:hAnsi="宋体" w:cs="宋体" w:eastAsia="宋体" w:hint="default"/>
          <w:sz w:val="28"/>
          <w:szCs w:val="28"/>
        </w:rPr>
      </w:pPr>
      <w:r>
        <w:rPr>
          <w:rFonts w:ascii="宋体" w:hAnsi="宋体" w:cs="宋体" w:eastAsia="宋体" w:hint="default"/>
          <w:b/>
          <w:bCs/>
          <w:sz w:val="28"/>
          <w:szCs w:val="28"/>
        </w:rPr>
        <w:t>（二）控股股东和实际控制人情况</w:t>
      </w:r>
      <w:r>
        <w:rPr>
          <w:rFonts w:ascii="宋体" w:hAnsi="宋体" w:cs="宋体" w:eastAsia="宋体" w:hint="default"/>
          <w:b/>
          <w:bCs/>
          <w:w w:val="99"/>
          <w:sz w:val="28"/>
          <w:szCs w:val="28"/>
        </w:rPr>
        <w:t> </w:t>
      </w:r>
      <w:r>
        <w:rPr>
          <w:rFonts w:ascii="宋体" w:hAnsi="宋体" w:cs="宋体" w:eastAsia="宋体" w:hint="default"/>
          <w:spacing w:val="-1"/>
          <w:sz w:val="28"/>
          <w:szCs w:val="28"/>
        </w:rPr>
        <w:t>1</w:t>
      </w:r>
      <w:r>
        <w:rPr>
          <w:rFonts w:ascii="宋体" w:hAnsi="宋体" w:cs="宋体" w:eastAsia="宋体" w:hint="default"/>
          <w:spacing w:val="-1"/>
          <w:sz w:val="28"/>
          <w:szCs w:val="28"/>
        </w:rPr>
        <w:t>、报告期内公司控股股东和实际控制人无变更。</w:t>
      </w:r>
    </w:p>
    <w:p>
      <w:pPr>
        <w:pStyle w:val="Heading3"/>
        <w:spacing w:line="328" w:lineRule="auto" w:before="32"/>
        <w:ind w:left="1117" w:right="0" w:hanging="560"/>
        <w:jc w:val="left"/>
      </w:pPr>
      <w:r>
        <w:rPr>
          <w:rFonts w:ascii="宋体" w:hAnsi="宋体" w:cs="宋体" w:eastAsia="宋体" w:hint="default"/>
        </w:rPr>
        <w:t>2</w:t>
      </w:r>
      <w:r>
        <w:rPr/>
        <w:t>、控股股东和实际控制人具体情况</w:t>
      </w:r>
      <w:r>
        <w:rPr>
          <w:w w:val="100"/>
        </w:rPr>
        <w:t> </w:t>
      </w:r>
      <w:r>
        <w:rPr>
          <w:spacing w:val="-5"/>
        </w:rPr>
        <w:t>公司控股股东为李海鹰，其所持有的公司股份无质押、冻结或托</w:t>
      </w:r>
    </w:p>
    <w:p>
      <w:pPr>
        <w:pStyle w:val="Heading3"/>
        <w:spacing w:line="328" w:lineRule="auto"/>
        <w:ind w:left="558" w:right="631"/>
        <w:jc w:val="both"/>
      </w:pPr>
      <w:r>
        <w:rPr/>
        <w:t>管等情况。李海鹰，中国国籍，无境外永久居留权，</w:t>
      </w:r>
      <w:r>
        <w:rPr>
          <w:rFonts w:ascii="宋体" w:hAnsi="宋体" w:cs="宋体" w:eastAsia="宋体" w:hint="default"/>
        </w:rPr>
        <w:t>2001</w:t>
      </w:r>
      <w:r>
        <w:rPr>
          <w:rFonts w:ascii="宋体" w:hAnsi="宋体" w:cs="宋体" w:eastAsia="宋体" w:hint="default"/>
          <w:spacing w:val="-75"/>
        </w:rPr>
        <w:t> </w:t>
      </w:r>
      <w:r>
        <w:rPr/>
        <w:t>年</w:t>
      </w:r>
      <w:r>
        <w:rPr>
          <w:spacing w:val="-76"/>
        </w:rPr>
        <w:t> </w:t>
      </w:r>
      <w:r>
        <w:rPr>
          <w:rFonts w:ascii="宋体" w:hAnsi="宋体" w:cs="宋体" w:eastAsia="宋体" w:hint="default"/>
        </w:rPr>
        <w:t>10</w:t>
      </w:r>
      <w:r>
        <w:rPr>
          <w:rFonts w:ascii="宋体" w:hAnsi="宋体" w:cs="宋体" w:eastAsia="宋体" w:hint="default"/>
          <w:spacing w:val="-76"/>
        </w:rPr>
        <w:t> </w:t>
      </w:r>
      <w:r>
        <w:rPr>
          <w:spacing w:val="-3"/>
        </w:rPr>
        <w:t>月至</w:t>
      </w:r>
      <w:r>
        <w:rPr>
          <w:spacing w:val="-3"/>
          <w:w w:val="100"/>
        </w:rPr>
        <w:t> </w:t>
      </w:r>
      <w:r>
        <w:rPr>
          <w:rFonts w:ascii="宋体" w:hAnsi="宋体" w:cs="宋体" w:eastAsia="宋体" w:hint="default"/>
        </w:rPr>
        <w:t>2004</w:t>
      </w:r>
      <w:r>
        <w:rPr>
          <w:rFonts w:ascii="宋体" w:hAnsi="宋体" w:cs="宋体" w:eastAsia="宋体" w:hint="default"/>
          <w:spacing w:val="-62"/>
        </w:rPr>
        <w:t> </w:t>
      </w:r>
      <w:r>
        <w:rPr/>
        <w:t>年</w:t>
      </w:r>
      <w:r>
        <w:rPr>
          <w:spacing w:val="-66"/>
        </w:rPr>
        <w:t> </w:t>
      </w:r>
      <w:r>
        <w:rPr>
          <w:rFonts w:ascii="宋体" w:hAnsi="宋体" w:cs="宋体" w:eastAsia="宋体" w:hint="default"/>
        </w:rPr>
        <w:t>2</w:t>
      </w:r>
      <w:r>
        <w:rPr>
          <w:rFonts w:ascii="宋体" w:hAnsi="宋体" w:cs="宋体" w:eastAsia="宋体" w:hint="default"/>
          <w:spacing w:val="-64"/>
        </w:rPr>
        <w:t> </w:t>
      </w:r>
      <w:r>
        <w:rPr/>
        <w:t>月任本公司董事长兼总经理；</w:t>
      </w:r>
      <w:r>
        <w:rPr>
          <w:rFonts w:ascii="宋体" w:hAnsi="宋体" w:cs="宋体" w:eastAsia="宋体" w:hint="default"/>
        </w:rPr>
        <w:t>2004</w:t>
      </w:r>
      <w:r>
        <w:rPr>
          <w:rFonts w:ascii="宋体" w:hAnsi="宋体" w:cs="宋体" w:eastAsia="宋体" w:hint="default"/>
          <w:spacing w:val="-64"/>
        </w:rPr>
        <w:t> </w:t>
      </w:r>
      <w:r>
        <w:rPr/>
        <w:t>年</w:t>
      </w:r>
      <w:r>
        <w:rPr>
          <w:spacing w:val="-66"/>
        </w:rPr>
        <w:t> </w:t>
      </w:r>
      <w:r>
        <w:rPr>
          <w:rFonts w:ascii="宋体" w:hAnsi="宋体" w:cs="宋体" w:eastAsia="宋体" w:hint="default"/>
        </w:rPr>
        <w:t>2</w:t>
      </w:r>
      <w:r>
        <w:rPr>
          <w:rFonts w:ascii="宋体" w:hAnsi="宋体" w:cs="宋体" w:eastAsia="宋体" w:hint="default"/>
          <w:spacing w:val="-62"/>
        </w:rPr>
        <w:t> </w:t>
      </w:r>
      <w:r>
        <w:rPr/>
        <w:t>月至今担任本公司</w:t>
      </w:r>
      <w:r>
        <w:rPr>
          <w:w w:val="100"/>
        </w:rPr>
        <w:t> </w:t>
      </w:r>
      <w:r>
        <w:rPr/>
        <w:t>董事长。</w:t>
      </w:r>
    </w:p>
    <w:p>
      <w:pPr>
        <w:pStyle w:val="Heading3"/>
        <w:spacing w:line="328" w:lineRule="auto"/>
        <w:ind w:left="558" w:right="633" w:firstLine="559"/>
        <w:jc w:val="both"/>
      </w:pPr>
      <w:r>
        <w:rPr>
          <w:spacing w:val="-5"/>
        </w:rPr>
        <w:t>公司股权分散，不存在实际控制人；也不存在多人共同拥有公司</w:t>
      </w:r>
      <w:r>
        <w:rPr>
          <w:w w:val="100"/>
        </w:rPr>
        <w:t> </w:t>
      </w:r>
      <w:r>
        <w:rPr>
          <w:spacing w:val="-4"/>
        </w:rPr>
        <w:t>控制权的情形；发行人全体股东之间或部分股东之间不存在一致行动</w:t>
      </w:r>
      <w:r>
        <w:rPr>
          <w:spacing w:val="-115"/>
        </w:rPr>
        <w:t> </w:t>
      </w:r>
      <w:r>
        <w:rPr>
          <w:spacing w:val="-115"/>
        </w:rPr>
      </w:r>
      <w:r>
        <w:rPr/>
        <w:t>协议；不存在公司股东单独或共同控制公司的风险。</w:t>
      </w:r>
    </w:p>
    <w:p>
      <w:pPr>
        <w:pStyle w:val="Heading3"/>
        <w:spacing w:line="240" w:lineRule="auto"/>
        <w:ind w:left="1117" w:right="0"/>
        <w:jc w:val="left"/>
      </w:pPr>
      <w:r>
        <w:rPr/>
        <w:t>公司与实际控制人之间的产权及控制关系的方框图如下：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line="420" w:lineRule="exact"/>
        <w:ind w:left="1877" w:right="0" w:firstLine="0"/>
        <w:rPr>
          <w:rFonts w:ascii="宋体" w:hAnsi="宋体" w:cs="宋体" w:eastAsia="宋体" w:hint="default"/>
          <w:sz w:val="20"/>
          <w:szCs w:val="20"/>
        </w:rPr>
      </w:pPr>
      <w:r>
        <w:rPr>
          <w:rFonts w:ascii="宋体"/>
          <w:position w:val="-7"/>
          <w:sz w:val="20"/>
        </w:rPr>
        <w:pict>
          <v:shape style="width:35.4pt;height:20.25pt;mso-position-horizontal-relative:char;mso-position-vertical-relative:line" type="#_x0000_t202" filled="false" stroked="true" strokeweight=".75pt" strokecolor="#000000">
            <w10:anchorlock/>
            <v:textbox inset="0,0,0,0">
              <w:txbxContent>
                <w:p>
                  <w:pPr>
                    <w:pStyle w:val="BodyText"/>
                    <w:spacing w:line="240" w:lineRule="auto" w:before="39"/>
                    <w:ind w:left="31" w:right="0"/>
                    <w:jc w:val="left"/>
                  </w:pPr>
                  <w:r>
                    <w:rPr/>
                    <w:t>李海鹰</w:t>
                  </w:r>
                </w:p>
              </w:txbxContent>
            </v:textbox>
          </v:shape>
        </w:pict>
      </w:r>
      <w:r>
        <w:rPr>
          <w:rFonts w:ascii="宋体"/>
          <w:position w:val="-7"/>
          <w:sz w:val="20"/>
        </w:rPr>
      </w:r>
      <w:r>
        <w:rPr>
          <w:rFonts w:ascii="Times New Roman"/>
          <w:spacing w:val="125"/>
          <w:position w:val="-7"/>
          <w:sz w:val="20"/>
        </w:rPr>
        <w:t> </w:t>
      </w:r>
      <w:r>
        <w:rPr>
          <w:rFonts w:ascii="宋体"/>
          <w:spacing w:val="125"/>
          <w:position w:val="-7"/>
          <w:sz w:val="20"/>
        </w:rPr>
        <w:pict>
          <v:shape style="width:35.4pt;height:20.25pt;mso-position-horizontal-relative:char;mso-position-vertical-relative:line" type="#_x0000_t202" filled="false" stroked="true" strokeweight=".75pt" strokecolor="#000000">
            <w10:anchorlock/>
            <v:textbox inset="0,0,0,0">
              <w:txbxContent>
                <w:p>
                  <w:pPr>
                    <w:pStyle w:val="BodyText"/>
                    <w:spacing w:line="240" w:lineRule="auto" w:before="39"/>
                    <w:ind w:left="32" w:right="0"/>
                    <w:jc w:val="left"/>
                  </w:pPr>
                  <w:r>
                    <w:rPr/>
                    <w:t>李劲松</w:t>
                  </w:r>
                </w:p>
              </w:txbxContent>
            </v:textbox>
          </v:shape>
        </w:pict>
      </w:r>
      <w:r>
        <w:rPr>
          <w:rFonts w:ascii="宋体"/>
          <w:spacing w:val="125"/>
          <w:position w:val="-7"/>
          <w:sz w:val="20"/>
        </w:rPr>
      </w:r>
      <w:r>
        <w:rPr>
          <w:rFonts w:ascii="Times New Roman"/>
          <w:spacing w:val="137"/>
          <w:position w:val="-7"/>
          <w:sz w:val="20"/>
        </w:rPr>
        <w:t> </w:t>
      </w:r>
      <w:r>
        <w:rPr>
          <w:rFonts w:ascii="宋体"/>
          <w:spacing w:val="137"/>
          <w:position w:val="-7"/>
          <w:sz w:val="20"/>
        </w:rPr>
        <w:pict>
          <v:shape style="width:35.4pt;height:20.25pt;mso-position-horizontal-relative:char;mso-position-vertical-relative:line" type="#_x0000_t202" filled="false" stroked="true" strokeweight=".75pt" strokecolor="#000000">
            <w10:anchorlock/>
            <v:textbox inset="0,0,0,0">
              <w:txbxContent>
                <w:p>
                  <w:pPr>
                    <w:pStyle w:val="BodyText"/>
                    <w:spacing w:line="240" w:lineRule="auto" w:before="39"/>
                    <w:ind w:left="32" w:right="0"/>
                    <w:jc w:val="left"/>
                  </w:pPr>
                  <w:r>
                    <w:rPr/>
                    <w:t>谢春生</w:t>
                  </w:r>
                </w:p>
              </w:txbxContent>
            </v:textbox>
          </v:shape>
        </w:pict>
      </w:r>
      <w:r>
        <w:rPr>
          <w:rFonts w:ascii="宋体"/>
          <w:spacing w:val="137"/>
          <w:position w:val="-7"/>
          <w:sz w:val="20"/>
        </w:rPr>
      </w:r>
      <w:r>
        <w:rPr>
          <w:rFonts w:ascii="Times New Roman"/>
          <w:spacing w:val="122"/>
          <w:position w:val="-7"/>
          <w:sz w:val="20"/>
        </w:rPr>
        <w:t> </w:t>
      </w:r>
      <w:r>
        <w:rPr>
          <w:rFonts w:ascii="宋体"/>
          <w:spacing w:val="122"/>
          <w:position w:val="-7"/>
          <w:sz w:val="20"/>
        </w:rPr>
        <w:pict>
          <v:shape style="width:35.4pt;height:20.25pt;mso-position-horizontal-relative:char;mso-position-vertical-relative:line" type="#_x0000_t202" filled="false" stroked="true" strokeweight=".75pt" strokecolor="#000000">
            <w10:anchorlock/>
            <v:textbox inset="0,0,0,0">
              <w:txbxContent>
                <w:p>
                  <w:pPr>
                    <w:pStyle w:val="BodyText"/>
                    <w:spacing w:line="240" w:lineRule="auto" w:before="39"/>
                    <w:ind w:left="33" w:right="0"/>
                    <w:jc w:val="left"/>
                  </w:pPr>
                  <w:r>
                    <w:rPr/>
                    <w:t>胡江平</w:t>
                  </w:r>
                </w:p>
              </w:txbxContent>
            </v:textbox>
          </v:shape>
        </w:pict>
      </w:r>
      <w:r>
        <w:rPr>
          <w:rFonts w:ascii="宋体"/>
          <w:spacing w:val="122"/>
          <w:position w:val="-7"/>
          <w:sz w:val="20"/>
        </w:rPr>
      </w:r>
      <w:r>
        <w:rPr>
          <w:rFonts w:ascii="Times New Roman"/>
          <w:spacing w:val="137"/>
          <w:position w:val="-7"/>
          <w:sz w:val="20"/>
        </w:rPr>
        <w:t> </w:t>
      </w:r>
      <w:r>
        <w:rPr>
          <w:rFonts w:ascii="宋体"/>
          <w:spacing w:val="137"/>
          <w:position w:val="-7"/>
          <w:sz w:val="20"/>
        </w:rPr>
        <w:pict>
          <v:shape style="width:35.4pt;height:20.25pt;mso-position-horizontal-relative:char;mso-position-vertical-relative:line" type="#_x0000_t202" filled="false" stroked="true" strokeweight=".75pt" strokecolor="#000000">
            <w10:anchorlock/>
            <v:textbox inset="0,0,0,0">
              <w:txbxContent>
                <w:p>
                  <w:pPr>
                    <w:pStyle w:val="BodyText"/>
                    <w:spacing w:line="240" w:lineRule="auto" w:before="39"/>
                    <w:ind w:left="33" w:right="0"/>
                    <w:jc w:val="left"/>
                  </w:pPr>
                  <w:r>
                    <w:rPr/>
                    <w:t>苗卫东</w:t>
                  </w:r>
                </w:p>
              </w:txbxContent>
            </v:textbox>
          </v:shape>
        </w:pict>
      </w:r>
      <w:r>
        <w:rPr>
          <w:rFonts w:ascii="宋体"/>
          <w:spacing w:val="137"/>
          <w:position w:val="-7"/>
          <w:sz w:val="20"/>
        </w:rPr>
      </w:r>
      <w:r>
        <w:rPr>
          <w:rFonts w:ascii="Times New Roman"/>
          <w:spacing w:val="125"/>
          <w:position w:val="-7"/>
          <w:sz w:val="20"/>
        </w:rPr>
        <w:t> </w:t>
      </w:r>
      <w:r>
        <w:rPr>
          <w:rFonts w:ascii="宋体"/>
          <w:spacing w:val="125"/>
          <w:position w:val="-7"/>
          <w:sz w:val="20"/>
        </w:rPr>
        <w:pict>
          <v:shape style="width:26.85pt;height:20.25pt;mso-position-horizontal-relative:char;mso-position-vertical-relative:line" type="#_x0000_t202" filled="false" stroked="true" strokeweight=".75pt" strokecolor="#000000">
            <w10:anchorlock/>
            <v:textbox inset="0,0,0,0">
              <w:txbxContent>
                <w:p>
                  <w:pPr>
                    <w:pStyle w:val="BodyText"/>
                    <w:spacing w:line="240" w:lineRule="auto" w:before="39"/>
                    <w:ind w:left="52" w:right="0"/>
                    <w:jc w:val="left"/>
                  </w:pPr>
                  <w:r>
                    <w:rPr/>
                    <w:t>李力</w:t>
                  </w:r>
                </w:p>
              </w:txbxContent>
            </v:textbox>
          </v:shape>
        </w:pict>
      </w:r>
      <w:r>
        <w:rPr>
          <w:rFonts w:ascii="宋体"/>
          <w:spacing w:val="125"/>
          <w:position w:val="-7"/>
          <w:sz w:val="20"/>
        </w:rPr>
      </w:r>
      <w:r>
        <w:rPr>
          <w:rFonts w:ascii="Times New Roman"/>
          <w:spacing w:val="125"/>
          <w:position w:val="-7"/>
          <w:sz w:val="20"/>
        </w:rPr>
        <w:t> </w:t>
      </w:r>
      <w:r>
        <w:rPr>
          <w:rFonts w:ascii="宋体"/>
          <w:spacing w:val="125"/>
          <w:position w:val="-6"/>
          <w:sz w:val="20"/>
        </w:rPr>
        <w:pict>
          <v:shape style="width:30pt;height:20.25pt;mso-position-horizontal-relative:char;mso-position-vertical-relative:line" type="#_x0000_t202" filled="false" stroked="true" strokeweight=".75pt" strokecolor="#000000">
            <w10:anchorlock/>
            <v:textbox inset="0,0,0,0">
              <w:txbxContent>
                <w:p>
                  <w:pPr>
                    <w:pStyle w:val="BodyText"/>
                    <w:spacing w:line="240" w:lineRule="auto" w:before="39"/>
                    <w:ind w:left="84" w:right="0"/>
                    <w:jc w:val="left"/>
                  </w:pPr>
                  <w:r>
                    <w:rPr/>
                    <w:t>刘锐</w:t>
                  </w:r>
                </w:p>
              </w:txbxContent>
            </v:textbox>
          </v:shape>
        </w:pict>
      </w:r>
      <w:r>
        <w:rPr>
          <w:rFonts w:ascii="宋体"/>
          <w:spacing w:val="125"/>
          <w:position w:val="-6"/>
          <w:sz w:val="20"/>
        </w:rPr>
      </w:r>
    </w:p>
    <w:p>
      <w:pPr>
        <w:spacing w:after="0" w:line="420" w:lineRule="exact"/>
        <w:rPr>
          <w:rFonts w:ascii="宋体" w:hAnsi="宋体" w:cs="宋体" w:eastAsia="宋体" w:hint="default"/>
          <w:sz w:val="20"/>
          <w:szCs w:val="20"/>
        </w:rPr>
        <w:sectPr>
          <w:headerReference w:type="default" r:id="rId15"/>
          <w:pgSz w:w="11910" w:h="16840"/>
          <w:pgMar w:header="624" w:footer="1045" w:top="980" w:bottom="1240" w:left="1240" w:right="1160"/>
        </w:sectPr>
      </w:pPr>
    </w:p>
    <w:p>
      <w:pPr>
        <w:pStyle w:val="BodyText"/>
        <w:spacing w:line="240" w:lineRule="auto" w:before="137"/>
        <w:ind w:left="0" w:right="0"/>
        <w:jc w:val="right"/>
        <w:rPr>
          <w:rFonts w:ascii="Times New Roman" w:hAnsi="Times New Roman" w:cs="Times New Roman" w:eastAsia="Times New Roman" w:hint="default"/>
        </w:rPr>
      </w:pPr>
      <w:r>
        <w:rPr/>
        <w:pict>
          <v:group style="position:absolute;margin-left:216pt;margin-top:-.497252pt;width:6pt;height:31.25pt;mso-position-horizontal-relative:page;mso-position-vertical-relative:paragraph;z-index:-683416" coordorigin="4320,-10" coordsize="120,625">
            <v:group style="position:absolute;left:4320;top:-10;width:120;height:625" coordorigin="4320,-10" coordsize="120,625">
              <v:shape style="position:absolute;left:4320;top:-10;width:120;height:625" coordorigin="4320,-10" coordsize="120,625" path="m4370,495l4320,495,4380,615,4425,525,4374,525,4370,521,4370,495xe" filled="true" fillcolor="#000000" stroked="false">
                <v:path arrowok="t"/>
                <v:fill type="solid"/>
              </v:shape>
              <v:shape style="position:absolute;left:4320;top:-10;width:120;height:625" coordorigin="4320,-10" coordsize="120,625" path="m4386,-10l4374,-10,4370,-6,4370,521,4374,525,4386,525,4390,521,4390,-6,4386,-10xe" filled="true" fillcolor="#000000" stroked="false">
                <v:path arrowok="t"/>
                <v:fill type="solid"/>
              </v:shape>
              <v:shape style="position:absolute;left:4320;top:-10;width:120;height:625" coordorigin="4320,-10" coordsize="120,625" path="m4440,495l4390,495,4390,521,4386,525,4425,525,4440,495xe" filled="true" fillcolor="#000000" stroked="false">
                <v:path arrowok="t"/>
                <v:fill type="solid"/>
              </v:shape>
            </v:group>
            <v:group style="position:absolute;left:4320;top:-10;width:120;height:625" coordorigin="4320,-10" coordsize="120,625">
              <v:shape style="position:absolute;left:4320;top:-10;width:120;height:625" coordorigin="4320,-10" coordsize="120,625" path="m4370,495l4320,495,4380,615,4425,525,4374,525,4370,521,4370,495xe" filled="true" fillcolor="#000000" stroked="false">
                <v:path arrowok="t"/>
                <v:fill type="solid"/>
              </v:shape>
              <v:shape style="position:absolute;left:4320;top:-10;width:120;height:625" coordorigin="4320,-10" coordsize="120,625" path="m4386,-10l4374,-10,4370,-6,4370,521,4374,525,4386,525,4390,521,4390,-6,4386,-10xe" filled="true" fillcolor="#000000" stroked="false">
                <v:path arrowok="t"/>
                <v:fill type="solid"/>
              </v:shape>
              <v:shape style="position:absolute;left:4320;top:-10;width:120;height:625" coordorigin="4320,-10" coordsize="120,625" path="m4440,495l4390,495,4390,521,4386,525,4425,525,4440,495xe" filled="true" fillcolor="#000000" stroked="false">
                <v:path arrowok="t"/>
                <v:fill type="solid"/>
              </v:shape>
            </v:group>
            <w10:wrap type="none"/>
          </v:group>
        </w:pict>
      </w:r>
      <w:r>
        <w:rPr/>
        <w:pict>
          <v:group style="position:absolute;margin-left:171.600006pt;margin-top:-.497252pt;width:6pt;height:31.25pt;mso-position-horizontal-relative:page;mso-position-vertical-relative:paragraph;z-index:-683344" coordorigin="3432,-10" coordsize="120,625">
            <v:group style="position:absolute;left:3432;top:-10;width:120;height:625" coordorigin="3432,-10" coordsize="120,625">
              <v:shape style="position:absolute;left:3432;top:-10;width:120;height:625" coordorigin="3432,-10" coordsize="120,625" path="m3482,495l3432,495,3492,615,3537,525,3486,525,3482,521,3482,495xe" filled="true" fillcolor="#000000" stroked="false">
                <v:path arrowok="t"/>
                <v:fill type="solid"/>
              </v:shape>
              <v:shape style="position:absolute;left:3432;top:-10;width:120;height:625" coordorigin="3432,-10" coordsize="120,625" path="m3498,-10l3486,-10,3482,-6,3482,521,3486,525,3498,525,3502,521,3502,-6,3498,-10xe" filled="true" fillcolor="#000000" stroked="false">
                <v:path arrowok="t"/>
                <v:fill type="solid"/>
              </v:shape>
              <v:shape style="position:absolute;left:3432;top:-10;width:120;height:625" coordorigin="3432,-10" coordsize="120,625" path="m3552,495l3502,495,3502,521,3498,525,3537,525,3552,495xe" filled="true" fillcolor="#000000" stroked="false">
                <v:path arrowok="t"/>
                <v:fill type="solid"/>
              </v:shape>
            </v:group>
            <v:group style="position:absolute;left:3432;top:-10;width:120;height:625" coordorigin="3432,-10" coordsize="120,625">
              <v:shape style="position:absolute;left:3432;top:-10;width:120;height:625" coordorigin="3432,-10" coordsize="120,625" path="m3482,495l3432,495,3492,615,3537,525,3486,525,3482,521,3482,495xe" filled="true" fillcolor="#000000" stroked="false">
                <v:path arrowok="t"/>
                <v:fill type="solid"/>
              </v:shape>
              <v:shape style="position:absolute;left:3432;top:-10;width:120;height:625" coordorigin="3432,-10" coordsize="120,625" path="m3498,-10l3486,-10,3482,-6,3482,521,3486,525,3498,525,3502,521,3502,-6,3498,-10xe" filled="true" fillcolor="#000000" stroked="false">
                <v:path arrowok="t"/>
                <v:fill type="solid"/>
              </v:shape>
              <v:shape style="position:absolute;left:3432;top:-10;width:120;height:625" coordorigin="3432,-10" coordsize="120,625" path="m3552,495l3502,495,3502,521,3498,525,3537,525,3552,495xe" filled="true" fillcolor="#000000" stroked="false">
                <v:path arrowok="t"/>
                <v:fill type="solid"/>
              </v:shape>
            </v:group>
            <w10:wrap type="none"/>
          </v:group>
        </w:pict>
      </w:r>
      <w:r>
        <w:rPr>
          <w:rFonts w:ascii="Times New Roman"/>
        </w:rPr>
        <w:t>18.21%</w:t>
      </w:r>
    </w:p>
    <w:p>
      <w:pPr>
        <w:pStyle w:val="BodyText"/>
        <w:spacing w:line="240" w:lineRule="auto" w:before="137"/>
        <w:ind w:left="197" w:right="-16"/>
        <w:jc w:val="left"/>
        <w:rPr>
          <w:rFonts w:ascii="Times New Roman" w:hAnsi="Times New Roman" w:cs="Times New Roman" w:eastAsia="Times New Roman" w:hint="default"/>
        </w:rPr>
      </w:pPr>
      <w:r>
        <w:rPr/>
        <w:br w:type="column"/>
      </w:r>
      <w:r>
        <w:rPr>
          <w:rFonts w:ascii="Times New Roman"/>
        </w:rPr>
        <w:t>10.41%</w:t>
      </w:r>
    </w:p>
    <w:p>
      <w:pPr>
        <w:pStyle w:val="BodyText"/>
        <w:spacing w:line="240" w:lineRule="auto" w:before="137"/>
        <w:ind w:left="208" w:right="-17"/>
        <w:jc w:val="left"/>
        <w:rPr>
          <w:rFonts w:ascii="Times New Roman" w:hAnsi="Times New Roman" w:cs="Times New Roman" w:eastAsia="Times New Roman" w:hint="default"/>
        </w:rPr>
      </w:pPr>
      <w:r>
        <w:rPr/>
        <w:br w:type="column"/>
      </w:r>
      <w:r>
        <w:rPr>
          <w:rFonts w:ascii="Times New Roman"/>
        </w:rPr>
        <w:t>9.76%</w:t>
      </w:r>
    </w:p>
    <w:p>
      <w:pPr>
        <w:pStyle w:val="BodyText"/>
        <w:spacing w:line="240" w:lineRule="auto" w:before="137"/>
        <w:ind w:left="300" w:right="-17"/>
        <w:jc w:val="left"/>
        <w:rPr>
          <w:rFonts w:ascii="Times New Roman" w:hAnsi="Times New Roman" w:cs="Times New Roman" w:eastAsia="Times New Roman" w:hint="default"/>
        </w:rPr>
      </w:pPr>
      <w:r>
        <w:rPr/>
        <w:br w:type="column"/>
      </w:r>
      <w:r>
        <w:rPr>
          <w:rFonts w:ascii="Times New Roman"/>
        </w:rPr>
        <w:t>8.78%</w:t>
      </w:r>
    </w:p>
    <w:p>
      <w:pPr>
        <w:pStyle w:val="BodyText"/>
        <w:spacing w:line="240" w:lineRule="auto" w:before="137"/>
        <w:ind w:left="314" w:right="-17"/>
        <w:jc w:val="left"/>
        <w:rPr>
          <w:rFonts w:ascii="Times New Roman" w:hAnsi="Times New Roman" w:cs="Times New Roman" w:eastAsia="Times New Roman" w:hint="default"/>
        </w:rPr>
      </w:pPr>
      <w:r>
        <w:rPr/>
        <w:br w:type="column"/>
      </w:r>
      <w:r>
        <w:rPr>
          <w:rFonts w:ascii="Times New Roman"/>
        </w:rPr>
        <w:t>6.83%</w:t>
      </w:r>
    </w:p>
    <w:p>
      <w:pPr>
        <w:pStyle w:val="BodyText"/>
        <w:spacing w:line="240" w:lineRule="auto" w:before="103"/>
        <w:ind w:left="223" w:right="-17"/>
        <w:jc w:val="left"/>
        <w:rPr>
          <w:rFonts w:ascii="Times New Roman" w:hAnsi="Times New Roman" w:cs="Times New Roman" w:eastAsia="Times New Roman" w:hint="default"/>
        </w:rPr>
      </w:pPr>
      <w:r>
        <w:rPr/>
        <w:br w:type="column"/>
      </w:r>
      <w:r>
        <w:rPr>
          <w:rFonts w:ascii="Times New Roman"/>
        </w:rPr>
        <w:t>6.83%</w:t>
      </w:r>
    </w:p>
    <w:p>
      <w:pPr>
        <w:pStyle w:val="BodyText"/>
        <w:spacing w:line="240" w:lineRule="auto" w:before="122"/>
        <w:ind w:left="134" w:right="0"/>
        <w:jc w:val="left"/>
        <w:rPr>
          <w:rFonts w:ascii="Times New Roman" w:hAnsi="Times New Roman" w:cs="Times New Roman" w:eastAsia="Times New Roman" w:hint="default"/>
        </w:rPr>
      </w:pPr>
      <w:r>
        <w:rPr/>
        <w:br w:type="column"/>
      </w:r>
      <w:r>
        <w:rPr>
          <w:rFonts w:ascii="Times New Roman"/>
        </w:rPr>
        <w:t>5.53%</w:t>
      </w:r>
    </w:p>
    <w:p>
      <w:pPr>
        <w:spacing w:after="0" w:line="240" w:lineRule="auto"/>
        <w:jc w:val="left"/>
        <w:rPr>
          <w:rFonts w:ascii="Times New Roman" w:hAnsi="Times New Roman" w:cs="Times New Roman" w:eastAsia="Times New Roman" w:hint="default"/>
        </w:rPr>
        <w:sectPr>
          <w:type w:val="continuous"/>
          <w:pgSz w:w="11910" w:h="16840"/>
          <w:pgMar w:top="1240" w:bottom="1240" w:left="1240" w:right="1160"/>
          <w:cols w:num="7" w:equalWidth="0">
            <w:col w:w="2942" w:space="40"/>
            <w:col w:w="849" w:space="40"/>
            <w:col w:w="755" w:space="40"/>
            <w:col w:w="846" w:space="40"/>
            <w:col w:w="861" w:space="40"/>
            <w:col w:w="769" w:space="40"/>
            <w:col w:w="2248"/>
          </w:cols>
        </w:sectPr>
      </w:pPr>
    </w:p>
    <w:p>
      <w:pPr>
        <w:spacing w:line="240" w:lineRule="auto" w:before="7"/>
        <w:rPr>
          <w:rFonts w:ascii="Times New Roman" w:hAnsi="Times New Roman" w:cs="Times New Roman" w:eastAsia="Times New Roman" w:hint="default"/>
          <w:sz w:val="20"/>
          <w:szCs w:val="20"/>
        </w:rPr>
      </w:pPr>
    </w:p>
    <w:p>
      <w:pPr>
        <w:spacing w:line="750" w:lineRule="exact"/>
        <w:ind w:left="198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shape style="width:283.5pt;height:37.5pt;mso-position-horizontal-relative:char;mso-position-vertical-relative:line" type="#_x0000_t202" filled="false" stroked="true" strokeweight=".75pt" strokecolor="#000000">
            <w10:anchorlock/>
            <v:textbox inset="0,0,0,0">
              <w:txbxContent>
                <w:p>
                  <w:pPr>
                    <w:spacing w:before="22"/>
                    <w:ind w:left="1021" w:right="0" w:firstLine="0"/>
                    <w:jc w:val="left"/>
                    <w:rPr>
                      <w:rFonts w:ascii="宋体" w:hAnsi="宋体" w:cs="宋体" w:eastAsia="宋体" w:hint="default"/>
                      <w:sz w:val="30"/>
                      <w:szCs w:val="30"/>
                    </w:rPr>
                  </w:pPr>
                  <w:r>
                    <w:rPr>
                      <w:rFonts w:ascii="宋体" w:hAnsi="宋体" w:cs="宋体" w:eastAsia="宋体" w:hint="default"/>
                      <w:b/>
                      <w:bCs/>
                      <w:sz w:val="30"/>
                      <w:szCs w:val="30"/>
                    </w:rPr>
                    <w:t>河南辉煌科技股份有限公司</w:t>
                  </w:r>
                  <w:r>
                    <w:rPr>
                      <w:rFonts w:ascii="宋体" w:hAnsi="宋体" w:cs="宋体" w:eastAsia="宋体" w:hint="default"/>
                      <w:sz w:val="30"/>
                      <w:szCs w:val="30"/>
                    </w:rPr>
                  </w:r>
                </w:p>
              </w:txbxContent>
            </v:textbox>
          </v:shape>
        </w:pict>
      </w:r>
      <w:r>
        <w:rPr>
          <w:rFonts w:ascii="Times New Roman" w:hAnsi="Times New Roman" w:cs="Times New Roman" w:eastAsia="Times New Roman" w:hint="default"/>
          <w:position w:val="-14"/>
          <w:sz w:val="20"/>
          <w:szCs w:val="20"/>
        </w:rPr>
      </w:r>
    </w:p>
    <w:p>
      <w:pPr>
        <w:spacing w:line="240" w:lineRule="auto" w:before="10"/>
        <w:rPr>
          <w:rFonts w:ascii="Times New Roman" w:hAnsi="Times New Roman" w:cs="Times New Roman" w:eastAsia="Times New Roman" w:hint="default"/>
          <w:sz w:val="20"/>
          <w:szCs w:val="20"/>
        </w:rPr>
      </w:pPr>
    </w:p>
    <w:p>
      <w:pPr>
        <w:pStyle w:val="Heading3"/>
        <w:spacing w:line="240" w:lineRule="auto" w:before="14"/>
        <w:ind w:left="558" w:right="0"/>
        <w:jc w:val="left"/>
      </w:pPr>
      <w:r>
        <w:rPr/>
        <w:pict>
          <v:group style="position:absolute;margin-left:426pt;margin-top:-80.738441pt;width:6pt;height:31.25pt;mso-position-horizontal-relative:page;mso-position-vertical-relative:paragraph;z-index:-683488" coordorigin="8520,-1615" coordsize="120,625">
            <v:shape style="position:absolute;left:8520;top:-1615;width:120;height:625" coordorigin="8520,-1615" coordsize="120,625" path="m8570,-1110l8520,-1110,8580,-990,8625,-1080,8574,-1080,8570,-1084,8570,-1110xe" filled="true" fillcolor="#000000" stroked="false">
              <v:path arrowok="t"/>
              <v:fill type="solid"/>
            </v:shape>
            <v:shape style="position:absolute;left:8520;top:-1615;width:120;height:625" coordorigin="8520,-1615" coordsize="120,625" path="m8586,-1615l8574,-1615,8570,-1610,8570,-1084,8574,-1080,8586,-1080,8590,-1084,8590,-1610,8586,-1615xe" filled="true" fillcolor="#000000" stroked="false">
              <v:path arrowok="t"/>
              <v:fill type="solid"/>
            </v:shape>
            <v:shape style="position:absolute;left:8520;top:-1615;width:120;height:625" coordorigin="8520,-1615" coordsize="120,625" path="m8640,-1110l8590,-1110,8590,-1084,8586,-1080,8625,-1080,8640,-1110xe" filled="true" fillcolor="#000000" stroked="false">
              <v:path arrowok="t"/>
              <v:fill type="solid"/>
            </v:shape>
            <w10:wrap type="none"/>
          </v:group>
        </w:pict>
      </w:r>
      <w:r>
        <w:rPr/>
        <w:pict>
          <v:group style="position:absolute;margin-left:390pt;margin-top:-80.738441pt;width:6pt;height:31.25pt;mso-position-horizontal-relative:page;mso-position-vertical-relative:paragraph;z-index:-683464" coordorigin="7800,-1615" coordsize="120,625">
            <v:shape style="position:absolute;left:7800;top:-1615;width:120;height:625" coordorigin="7800,-1615" coordsize="120,625" path="m7850,-1110l7800,-1110,7860,-990,7905,-1080,7854,-1080,7850,-1084,7850,-1110xe" filled="true" fillcolor="#000000" stroked="false">
              <v:path arrowok="t"/>
              <v:fill type="solid"/>
            </v:shape>
            <v:shape style="position:absolute;left:7800;top:-1615;width:120;height:625" coordorigin="7800,-1615" coordsize="120,625" path="m7866,-1615l7854,-1615,7850,-1610,7850,-1084,7854,-1080,7866,-1080,7870,-1084,7870,-1610,7866,-1615xe" filled="true" fillcolor="#000000" stroked="false">
              <v:path arrowok="t"/>
              <v:fill type="solid"/>
            </v:shape>
            <v:shape style="position:absolute;left:7800;top:-1615;width:120;height:625" coordorigin="7800,-1615" coordsize="120,625" path="m7920,-1110l7870,-1110,7870,-1084,7866,-1080,7905,-1080,7920,-1110xe" filled="true" fillcolor="#000000" stroked="false">
              <v:path arrowok="t"/>
              <v:fill type="solid"/>
            </v:shape>
            <w10:wrap type="none"/>
          </v:group>
        </w:pict>
      </w:r>
      <w:r>
        <w:rPr/>
        <w:pict>
          <v:group style="position:absolute;margin-left:350.25pt;margin-top:-80.738441pt;width:6pt;height:31.25pt;mso-position-horizontal-relative:page;mso-position-vertical-relative:paragraph;z-index:-683440" coordorigin="7005,-1615" coordsize="120,625">
            <v:group style="position:absolute;left:7005;top:-1615;width:120;height:625" coordorigin="7005,-1615" coordsize="120,625">
              <v:shape style="position:absolute;left:7005;top:-1615;width:120;height:625" coordorigin="7005,-1615" coordsize="120,625" path="m7055,-1110l7005,-1110,7065,-990,7110,-1080,7059,-1080,7055,-1084,7055,-1110xe" filled="true" fillcolor="#000000" stroked="false">
                <v:path arrowok="t"/>
                <v:fill type="solid"/>
              </v:shape>
              <v:shape style="position:absolute;left:7005;top:-1615;width:120;height:625" coordorigin="7005,-1615" coordsize="120,625" path="m7071,-1615l7059,-1615,7055,-1610,7055,-1084,7059,-1080,7071,-1080,7075,-1084,7075,-1610,7071,-1615xe" filled="true" fillcolor="#000000" stroked="false">
                <v:path arrowok="t"/>
                <v:fill type="solid"/>
              </v:shape>
              <v:shape style="position:absolute;left:7005;top:-1615;width:120;height:625" coordorigin="7005,-1615" coordsize="120,625" path="m7125,-1110l7075,-1110,7075,-1084,7071,-1080,7110,-1080,7125,-1110xe" filled="true" fillcolor="#000000" stroked="false">
                <v:path arrowok="t"/>
                <v:fill type="solid"/>
              </v:shape>
            </v:group>
            <v:group style="position:absolute;left:7005;top:-1615;width:120;height:625" coordorigin="7005,-1615" coordsize="120,625">
              <v:shape style="position:absolute;left:7005;top:-1615;width:120;height:625" coordorigin="7005,-1615" coordsize="120,625" path="m7055,-1110l7005,-1110,7065,-990,7110,-1080,7059,-1080,7055,-1084,7055,-1110xe" filled="true" fillcolor="#000000" stroked="false">
                <v:path arrowok="t"/>
                <v:fill type="solid"/>
              </v:shape>
              <v:shape style="position:absolute;left:7005;top:-1615;width:120;height:625" coordorigin="7005,-1615" coordsize="120,625" path="m7071,-1615l7059,-1615,7055,-1610,7055,-1084,7059,-1080,7071,-1080,7075,-1084,7075,-1610,7071,-1615xe" filled="true" fillcolor="#000000" stroked="false">
                <v:path arrowok="t"/>
                <v:fill type="solid"/>
              </v:shape>
              <v:shape style="position:absolute;left:7005;top:-1615;width:120;height:625" coordorigin="7005,-1615" coordsize="120,625" path="m7125,-1110l7075,-1110,7075,-1084,7071,-1080,7110,-1080,7125,-1110xe" filled="true" fillcolor="#000000" stroked="false">
                <v:path arrowok="t"/>
                <v:fill type="solid"/>
              </v:shape>
            </v:group>
            <w10:wrap type="none"/>
          </v:group>
        </w:pict>
      </w:r>
      <w:r>
        <w:rPr/>
        <w:pict>
          <v:group style="position:absolute;margin-left:305.25pt;margin-top:-80.738441pt;width:6pt;height:31.25pt;mso-position-horizontal-relative:page;mso-position-vertical-relative:paragraph;z-index:-683392" coordorigin="6105,-1615" coordsize="120,625">
            <v:group style="position:absolute;left:6105;top:-1615;width:120;height:625" coordorigin="6105,-1615" coordsize="120,625">
              <v:shape style="position:absolute;left:6105;top:-1615;width:120;height:625" coordorigin="6105,-1615" coordsize="120,625" path="m6155,-1110l6105,-1110,6165,-990,6210,-1080,6159,-1080,6155,-1084,6155,-1110xe" filled="true" fillcolor="#000000" stroked="false">
                <v:path arrowok="t"/>
                <v:fill type="solid"/>
              </v:shape>
              <v:shape style="position:absolute;left:6105;top:-1615;width:120;height:625" coordorigin="6105,-1615" coordsize="120,625" path="m6171,-1615l6159,-1615,6155,-1610,6155,-1084,6159,-1080,6171,-1080,6175,-1084,6175,-1610,6171,-1615xe" filled="true" fillcolor="#000000" stroked="false">
                <v:path arrowok="t"/>
                <v:fill type="solid"/>
              </v:shape>
              <v:shape style="position:absolute;left:6105;top:-1615;width:120;height:625" coordorigin="6105,-1615" coordsize="120,625" path="m6225,-1110l6175,-1110,6175,-1084,6171,-1080,6210,-1080,6225,-1110xe" filled="true" fillcolor="#000000" stroked="false">
                <v:path arrowok="t"/>
                <v:fill type="solid"/>
              </v:shape>
            </v:group>
            <v:group style="position:absolute;left:6105;top:-1615;width:120;height:625" coordorigin="6105,-1615" coordsize="120,625">
              <v:shape style="position:absolute;left:6105;top:-1615;width:120;height:625" coordorigin="6105,-1615" coordsize="120,625" path="m6155,-1110l6105,-1110,6165,-990,6210,-1080,6159,-1080,6155,-1084,6155,-1110xe" filled="true" fillcolor="#000000" stroked="false">
                <v:path arrowok="t"/>
                <v:fill type="solid"/>
              </v:shape>
              <v:shape style="position:absolute;left:6105;top:-1615;width:120;height:625" coordorigin="6105,-1615" coordsize="120,625" path="m6171,-1615l6159,-1615,6155,-1610,6155,-1084,6159,-1080,6171,-1080,6175,-1084,6175,-1610,6171,-1615xe" filled="true" fillcolor="#000000" stroked="false">
                <v:path arrowok="t"/>
                <v:fill type="solid"/>
              </v:shape>
              <v:shape style="position:absolute;left:6105;top:-1615;width:120;height:625" coordorigin="6105,-1615" coordsize="120,625" path="m6225,-1110l6175,-1110,6175,-1084,6171,-1080,6210,-1080,6225,-1110xe" filled="true" fillcolor="#000000" stroked="false">
                <v:path arrowok="t"/>
                <v:fill type="solid"/>
              </v:shape>
            </v:group>
            <w10:wrap type="none"/>
          </v:group>
        </w:pict>
      </w:r>
      <w:r>
        <w:rPr/>
        <w:pict>
          <v:group style="position:absolute;margin-left:261pt;margin-top:-80.738441pt;width:6pt;height:31.25pt;mso-position-horizontal-relative:page;mso-position-vertical-relative:paragraph;z-index:-683368" coordorigin="5220,-1615" coordsize="120,625">
            <v:group style="position:absolute;left:5220;top:-1615;width:120;height:625" coordorigin="5220,-1615" coordsize="120,625">
              <v:shape style="position:absolute;left:5220;top:-1615;width:120;height:625" coordorigin="5220,-1615" coordsize="120,625" path="m5270,-1110l5220,-1110,5280,-990,5325,-1080,5274,-1080,5270,-1084,5270,-1110xe" filled="true" fillcolor="#000000" stroked="false">
                <v:path arrowok="t"/>
                <v:fill type="solid"/>
              </v:shape>
              <v:shape style="position:absolute;left:5220;top:-1615;width:120;height:625" coordorigin="5220,-1615" coordsize="120,625" path="m5286,-1615l5274,-1615,5270,-1610,5270,-1084,5274,-1080,5286,-1080,5290,-1084,5290,-1610,5286,-1615xe" filled="true" fillcolor="#000000" stroked="false">
                <v:path arrowok="t"/>
                <v:fill type="solid"/>
              </v:shape>
              <v:shape style="position:absolute;left:5220;top:-1615;width:120;height:625" coordorigin="5220,-1615" coordsize="120,625" path="m5340,-1110l5290,-1110,5290,-1084,5286,-1080,5325,-1080,5340,-1110xe" filled="true" fillcolor="#000000" stroked="false">
                <v:path arrowok="t"/>
                <v:fill type="solid"/>
              </v:shape>
            </v:group>
            <v:group style="position:absolute;left:5220;top:-1615;width:120;height:625" coordorigin="5220,-1615" coordsize="120,625">
              <v:shape style="position:absolute;left:5220;top:-1615;width:120;height:625" coordorigin="5220,-1615" coordsize="120,625" path="m5270,-1110l5220,-1110,5280,-990,5325,-1080,5274,-1080,5270,-1084,5270,-1110xe" filled="true" fillcolor="#000000" stroked="false">
                <v:path arrowok="t"/>
                <v:fill type="solid"/>
              </v:shape>
              <v:shape style="position:absolute;left:5220;top:-1615;width:120;height:625" coordorigin="5220,-1615" coordsize="120,625" path="m5286,-1615l5274,-1615,5270,-1610,5270,-1084,5274,-1080,5286,-1080,5290,-1084,5290,-1610,5286,-1615xe" filled="true" fillcolor="#000000" stroked="false">
                <v:path arrowok="t"/>
                <v:fill type="solid"/>
              </v:shape>
              <v:shape style="position:absolute;left:5220;top:-1615;width:120;height:625" coordorigin="5220,-1615" coordsize="120,625" path="m5340,-1110l5290,-1110,5290,-1084,5286,-1080,5325,-1080,5340,-1110xe" filled="true" fillcolor="#000000" stroked="false">
                <v:path arrowok="t"/>
                <v:fill type="solid"/>
              </v:shape>
            </v:group>
            <w10:wrap type="none"/>
          </v:group>
        </w:pict>
      </w:r>
      <w:r>
        <w:rPr>
          <w:rFonts w:ascii="宋体" w:hAnsi="宋体" w:cs="宋体" w:eastAsia="宋体" w:hint="default"/>
        </w:rPr>
        <w:t>3</w:t>
      </w:r>
      <w:r>
        <w:rPr/>
        <w:t>、报告期内，公司未有其他持股在</w:t>
      </w:r>
      <w:r>
        <w:rPr>
          <w:spacing w:val="-73"/>
        </w:rPr>
        <w:t> </w:t>
      </w:r>
      <w:r>
        <w:rPr>
          <w:rFonts w:ascii="宋体" w:hAnsi="宋体" w:cs="宋体" w:eastAsia="宋体" w:hint="default"/>
        </w:rPr>
        <w:t>10%</w:t>
      </w:r>
      <w:r>
        <w:rPr/>
        <w:t>以上（含</w:t>
      </w:r>
      <w:r>
        <w:rPr>
          <w:spacing w:val="-74"/>
        </w:rPr>
        <w:t> </w:t>
      </w:r>
      <w:r>
        <w:rPr>
          <w:rFonts w:ascii="宋体" w:hAnsi="宋体" w:cs="宋体" w:eastAsia="宋体" w:hint="default"/>
        </w:rPr>
        <w:t>10%</w:t>
      </w:r>
      <w:r>
        <w:rPr/>
        <w:t>）的法人股东。</w:t>
      </w:r>
    </w:p>
    <w:p>
      <w:pPr>
        <w:spacing w:after="0" w:line="240" w:lineRule="auto"/>
        <w:jc w:val="left"/>
        <w:sectPr>
          <w:type w:val="continuous"/>
          <w:pgSz w:w="11910" w:h="16840"/>
          <w:pgMar w:top="1240" w:bottom="1240" w:left="1240" w:right="1160"/>
        </w:sectPr>
      </w:pPr>
    </w:p>
    <w:p>
      <w:pPr>
        <w:spacing w:line="240" w:lineRule="auto" w:before="11"/>
        <w:rPr>
          <w:rFonts w:ascii="宋体" w:hAnsi="宋体" w:cs="宋体" w:eastAsia="宋体" w:hint="default"/>
          <w:sz w:val="18"/>
          <w:szCs w:val="18"/>
        </w:rPr>
      </w:pPr>
    </w:p>
    <w:p>
      <w:pPr>
        <w:spacing w:line="20" w:lineRule="exact"/>
        <w:ind w:left="12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8"/>
          <w:szCs w:val="8"/>
        </w:rPr>
      </w:pPr>
    </w:p>
    <w:p>
      <w:pPr>
        <w:pStyle w:val="Heading1"/>
        <w:spacing w:line="240" w:lineRule="auto"/>
        <w:ind w:left="2318" w:right="1942"/>
        <w:jc w:val="left"/>
      </w:pPr>
      <w:bookmarkStart w:name="_TOC_250007" w:id="4"/>
      <w:r>
        <w:rPr/>
        <w:t>第四节</w:t>
      </w:r>
      <w:r>
        <w:rPr>
          <w:spacing w:val="1"/>
        </w:rPr>
        <w:t> </w:t>
      </w:r>
      <w:bookmarkEnd w:id="4"/>
      <w:r>
        <w:rPr/>
        <w:t>董事、监事、高级管理人员和员工情况</w:t>
      </w:r>
    </w:p>
    <w:p>
      <w:pPr>
        <w:spacing w:line="240" w:lineRule="auto" w:before="10"/>
        <w:rPr>
          <w:rFonts w:ascii="黑体" w:hAnsi="黑体" w:cs="黑体" w:eastAsia="黑体" w:hint="default"/>
          <w:sz w:val="20"/>
          <w:szCs w:val="20"/>
        </w:rPr>
      </w:pPr>
    </w:p>
    <w:p>
      <w:pPr>
        <w:pStyle w:val="Heading2"/>
        <w:spacing w:line="240" w:lineRule="auto" w:before="0"/>
        <w:ind w:left="1238" w:right="1942"/>
        <w:jc w:val="left"/>
        <w:rPr>
          <w:b w:val="0"/>
          <w:bCs w:val="0"/>
        </w:rPr>
      </w:pPr>
      <w:r>
        <w:rPr/>
        <w:t>一、董事、监事、高级管理人员情况</w:t>
      </w:r>
      <w:r>
        <w:rPr>
          <w:b w:val="0"/>
          <w:bCs w:val="0"/>
        </w:rPr>
      </w:r>
    </w:p>
    <w:p>
      <w:pPr>
        <w:pStyle w:val="Heading2"/>
        <w:spacing w:line="240" w:lineRule="auto" w:before="135"/>
        <w:ind w:left="1238" w:right="1942"/>
        <w:jc w:val="left"/>
        <w:rPr>
          <w:b w:val="0"/>
          <w:bCs w:val="0"/>
        </w:rPr>
      </w:pPr>
      <w:r>
        <w:rPr/>
        <w:t>（一）董事、监事和高级管理人员持股变动及报酬情况</w:t>
      </w:r>
      <w:r>
        <w:rPr>
          <w:b w:val="0"/>
          <w:bCs w:val="0"/>
        </w:rPr>
      </w:r>
    </w:p>
    <w:p>
      <w:pPr>
        <w:spacing w:line="240" w:lineRule="auto" w:before="7"/>
        <w:rPr>
          <w:rFonts w:ascii="宋体" w:hAnsi="宋体" w:cs="宋体" w:eastAsia="宋体" w:hint="default"/>
          <w:b/>
          <w:bCs/>
          <w:sz w:val="4"/>
          <w:szCs w:val="4"/>
        </w:rPr>
      </w:pPr>
    </w:p>
    <w:tbl>
      <w:tblPr>
        <w:tblW w:w="0" w:type="auto"/>
        <w:jc w:val="left"/>
        <w:tblInd w:w="119" w:type="dxa"/>
        <w:tblLayout w:type="fixed"/>
        <w:tblCellMar>
          <w:top w:w="0" w:type="dxa"/>
          <w:left w:w="0" w:type="dxa"/>
          <w:bottom w:w="0" w:type="dxa"/>
          <w:right w:w="0" w:type="dxa"/>
        </w:tblCellMar>
        <w:tblLook w:val="01E0"/>
      </w:tblPr>
      <w:tblGrid>
        <w:gridCol w:w="711"/>
        <w:gridCol w:w="850"/>
        <w:gridCol w:w="425"/>
        <w:gridCol w:w="425"/>
        <w:gridCol w:w="1561"/>
        <w:gridCol w:w="1702"/>
        <w:gridCol w:w="989"/>
        <w:gridCol w:w="991"/>
        <w:gridCol w:w="997"/>
        <w:gridCol w:w="1085"/>
        <w:gridCol w:w="806"/>
      </w:tblGrid>
      <w:tr>
        <w:trPr>
          <w:trHeight w:val="1176" w:hRule="exact"/>
        </w:trPr>
        <w:tc>
          <w:tcPr>
            <w:tcW w:w="7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b/>
                <w:bCs/>
                <w:w w:val="95"/>
                <w:sz w:val="18"/>
                <w:szCs w:val="18"/>
              </w:rPr>
              <w:t>年初持股数</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b/>
                <w:bCs/>
                <w:w w:val="95"/>
                <w:sz w:val="18"/>
                <w:szCs w:val="18"/>
              </w:rPr>
              <w:t>年末持股数</w:t>
            </w:r>
            <w:r>
              <w:rPr>
                <w:rFonts w:ascii="宋体" w:hAnsi="宋体" w:cs="宋体" w:eastAsia="宋体" w:hint="default"/>
                <w:sz w:val="18"/>
                <w:szCs w:val="18"/>
              </w:rPr>
            </w:r>
          </w:p>
        </w:tc>
        <w:tc>
          <w:tcPr>
            <w:tcW w:w="9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c>
          <w:tcPr>
            <w:tcW w:w="10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12"/>
              <w:ind w:left="24" w:right="22"/>
              <w:jc w:val="center"/>
              <w:rPr>
                <w:rFonts w:ascii="宋体" w:hAnsi="宋体" w:cs="宋体" w:eastAsia="宋体" w:hint="default"/>
                <w:sz w:val="18"/>
                <w:szCs w:val="18"/>
              </w:rPr>
            </w:pPr>
            <w:r>
              <w:rPr>
                <w:rFonts w:ascii="宋体" w:hAnsi="宋体" w:cs="宋体" w:eastAsia="宋体" w:hint="default"/>
                <w:b/>
                <w:bCs/>
                <w:sz w:val="18"/>
                <w:szCs w:val="18"/>
              </w:rPr>
              <w:t>报告期内从</w:t>
            </w:r>
            <w:r>
              <w:rPr>
                <w:rFonts w:ascii="宋体" w:hAnsi="宋体" w:cs="宋体" w:eastAsia="宋体" w:hint="default"/>
                <w:b/>
                <w:bCs/>
                <w:w w:val="99"/>
                <w:sz w:val="18"/>
                <w:szCs w:val="18"/>
              </w:rPr>
              <w:t> </w:t>
            </w:r>
            <w:r>
              <w:rPr>
                <w:rFonts w:ascii="宋体" w:hAnsi="宋体" w:cs="宋体" w:eastAsia="宋体" w:hint="default"/>
                <w:b/>
                <w:bCs/>
                <w:sz w:val="18"/>
                <w:szCs w:val="18"/>
              </w:rPr>
              <w:t>公司领取的</w:t>
            </w:r>
            <w:r>
              <w:rPr>
                <w:rFonts w:ascii="宋体" w:hAnsi="宋体" w:cs="宋体" w:eastAsia="宋体" w:hint="default"/>
                <w:b/>
                <w:bCs/>
                <w:w w:val="99"/>
                <w:sz w:val="18"/>
                <w:szCs w:val="18"/>
              </w:rPr>
              <w:t> </w:t>
            </w:r>
            <w:r>
              <w:rPr>
                <w:rFonts w:ascii="宋体" w:hAnsi="宋体" w:cs="宋体" w:eastAsia="宋体" w:hint="default"/>
                <w:b/>
                <w:bCs/>
                <w:spacing w:val="-10"/>
                <w:sz w:val="18"/>
                <w:szCs w:val="18"/>
              </w:rPr>
              <w:t>报酬总额（万</w:t>
            </w:r>
            <w:r>
              <w:rPr>
                <w:rFonts w:ascii="宋体" w:hAnsi="宋体" w:cs="宋体" w:eastAsia="宋体" w:hint="default"/>
                <w:b/>
                <w:bCs/>
                <w:w w:val="99"/>
                <w:sz w:val="18"/>
                <w:szCs w:val="18"/>
              </w:rPr>
              <w:t> </w:t>
            </w:r>
            <w:r>
              <w:rPr>
                <w:rFonts w:ascii="宋体" w:hAnsi="宋体" w:cs="宋体" w:eastAsia="宋体" w:hint="default"/>
                <w:b/>
                <w:bCs/>
                <w:spacing w:val="-15"/>
                <w:w w:val="99"/>
                <w:sz w:val="18"/>
                <w:szCs w:val="18"/>
              </w:rPr>
              <w:t>元）（税前）</w:t>
            </w:r>
            <w:r>
              <w:rPr>
                <w:rFonts w:ascii="宋体" w:hAnsi="宋体" w:cs="宋体" w:eastAsia="宋体" w:hint="default"/>
                <w:spacing w:val="-15"/>
                <w:sz w:val="18"/>
                <w:szCs w:val="18"/>
              </w:rPr>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是否在股</w:t>
            </w:r>
            <w:r>
              <w:rPr>
                <w:rFonts w:ascii="宋体" w:hAnsi="宋体" w:cs="宋体" w:eastAsia="宋体" w:hint="default"/>
                <w:sz w:val="18"/>
                <w:szCs w:val="18"/>
              </w:rPr>
            </w:r>
          </w:p>
          <w:p>
            <w:pPr>
              <w:pStyle w:val="TableParagraph"/>
              <w:spacing w:line="237" w:lineRule="auto"/>
              <w:ind w:left="36" w:right="36"/>
              <w:jc w:val="center"/>
              <w:rPr>
                <w:rFonts w:ascii="宋体" w:hAnsi="宋体" w:cs="宋体" w:eastAsia="宋体" w:hint="default"/>
                <w:sz w:val="18"/>
                <w:szCs w:val="18"/>
              </w:rPr>
            </w:pPr>
            <w:r>
              <w:rPr>
                <w:rFonts w:ascii="宋体" w:hAnsi="宋体" w:cs="宋体" w:eastAsia="宋体" w:hint="default"/>
                <w:b/>
                <w:bCs/>
                <w:sz w:val="18"/>
                <w:szCs w:val="18"/>
              </w:rPr>
              <w:t>东单位或</w:t>
            </w:r>
            <w:r>
              <w:rPr>
                <w:rFonts w:ascii="宋体" w:hAnsi="宋体" w:cs="宋体" w:eastAsia="宋体" w:hint="default"/>
                <w:b/>
                <w:bCs/>
                <w:w w:val="99"/>
                <w:sz w:val="18"/>
                <w:szCs w:val="18"/>
              </w:rPr>
              <w:t> </w:t>
            </w:r>
            <w:r>
              <w:rPr>
                <w:rFonts w:ascii="宋体" w:hAnsi="宋体" w:cs="宋体" w:eastAsia="宋体" w:hint="default"/>
                <w:b/>
                <w:bCs/>
                <w:sz w:val="18"/>
                <w:szCs w:val="18"/>
              </w:rPr>
              <w:t>其他关联</w:t>
            </w:r>
            <w:r>
              <w:rPr>
                <w:rFonts w:ascii="宋体" w:hAnsi="宋体" w:cs="宋体" w:eastAsia="宋体" w:hint="default"/>
                <w:b/>
                <w:bCs/>
                <w:w w:val="99"/>
                <w:sz w:val="18"/>
                <w:szCs w:val="18"/>
              </w:rPr>
              <w:t> </w:t>
            </w:r>
            <w:r>
              <w:rPr>
                <w:rFonts w:ascii="宋体" w:hAnsi="宋体" w:cs="宋体" w:eastAsia="宋体" w:hint="default"/>
                <w:b/>
                <w:bCs/>
                <w:sz w:val="18"/>
                <w:szCs w:val="18"/>
              </w:rPr>
              <w:t>单位领取</w:t>
            </w:r>
            <w:r>
              <w:rPr>
                <w:rFonts w:ascii="宋体" w:hAnsi="宋体" w:cs="宋体" w:eastAsia="宋体" w:hint="default"/>
                <w:b/>
                <w:bCs/>
                <w:w w:val="99"/>
                <w:sz w:val="18"/>
                <w:szCs w:val="18"/>
              </w:rPr>
              <w:t> </w:t>
            </w:r>
            <w:r>
              <w:rPr>
                <w:rFonts w:ascii="宋体" w:hAnsi="宋体" w:cs="宋体" w:eastAsia="宋体" w:hint="default"/>
                <w:b/>
                <w:bCs/>
                <w:sz w:val="18"/>
                <w:szCs w:val="18"/>
              </w:rPr>
              <w:t>薪酬</w:t>
            </w:r>
            <w:r>
              <w:rPr>
                <w:rFonts w:ascii="宋体" w:hAnsi="宋体" w:cs="宋体" w:eastAsia="宋体" w:hint="default"/>
                <w:sz w:val="18"/>
                <w:szCs w:val="18"/>
              </w:rPr>
            </w:r>
          </w:p>
        </w:tc>
      </w:tr>
      <w:tr>
        <w:trPr>
          <w:trHeight w:val="24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11,200,000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19,040,000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8"/>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14.16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李劲松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Times New Roman" w:hAnsi="Times New Roman" w:cs="Times New Roman" w:eastAsia="Times New Roman" w:hint="default"/>
                <w:sz w:val="18"/>
                <w:szCs w:val="18"/>
              </w:rPr>
            </w:pPr>
            <w:r>
              <w:rPr>
                <w:rFonts w:ascii="Times New Roman"/>
                <w:sz w:val="18"/>
              </w:rPr>
              <w:t>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6,400,000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10,880,000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Times New Roman"/>
                <w:sz w:val="18"/>
              </w:rPr>
              <w:t>11.56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10,200,000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18.80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郑予君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18"/>
                <w:sz w:val="18"/>
                <w:szCs w:val="18"/>
              </w:rPr>
              <w:t>董事、总</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6.71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唐涛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0.42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谭宪才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Times New Roman" w:hAnsi="Times New Roman" w:cs="Times New Roman" w:eastAsia="Times New Roman" w:hint="default"/>
                <w:sz w:val="18"/>
                <w:szCs w:val="18"/>
              </w:rPr>
            </w:pPr>
            <w:r>
              <w:rPr>
                <w:rFonts w:ascii="Times New Roman"/>
                <w:sz w:val="18"/>
              </w:rPr>
              <w:t>46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0.42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蒋承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32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0.42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Times New Roman" w:hAnsi="Times New Roman" w:cs="Times New Roman" w:eastAsia="Times New Roman" w:hint="default"/>
                <w:sz w:val="18"/>
                <w:szCs w:val="18"/>
              </w:rPr>
            </w:pPr>
            <w:r>
              <w:rPr>
                <w:rFonts w:ascii="Times New Roman"/>
                <w:sz w:val="18"/>
              </w:rPr>
              <w:t>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4,200,000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7,140,000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10.34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苗卫东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4,200,000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7,140,000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Times New Roman"/>
                <w:sz w:val="18"/>
              </w:rPr>
              <w:t>11.56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刘锐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Times New Roman" w:hAnsi="Times New Roman" w:cs="Times New Roman" w:eastAsia="Times New Roman" w:hint="default"/>
                <w:sz w:val="18"/>
                <w:szCs w:val="18"/>
              </w:rPr>
            </w:pPr>
            <w:r>
              <w:rPr>
                <w:rFonts w:ascii="Times New Roman"/>
                <w:sz w:val="18"/>
              </w:rPr>
              <w:t>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3,400,000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5,780,000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10.36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4,815,500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公积金转</w:t>
            </w:r>
          </w:p>
          <w:p>
            <w:pPr>
              <w:pStyle w:val="TableParagraph"/>
              <w:spacing w:line="240" w:lineRule="auto"/>
              <w:ind w:left="24" w:right="62"/>
              <w:jc w:val="left"/>
              <w:rPr>
                <w:rFonts w:ascii="宋体" w:hAnsi="宋体" w:cs="宋体" w:eastAsia="宋体" w:hint="default"/>
                <w:sz w:val="18"/>
                <w:szCs w:val="18"/>
              </w:rPr>
            </w:pPr>
            <w:r>
              <w:rPr>
                <w:rFonts w:ascii="宋体" w:hAnsi="宋体" w:cs="宋体" w:eastAsia="宋体" w:hint="default"/>
                <w:sz w:val="18"/>
                <w:szCs w:val="18"/>
              </w:rPr>
              <w:t>股，二级市 场卖出</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黄继军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41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10.91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郝恩元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35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5.44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胡江平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Times New Roman" w:hAnsi="Times New Roman" w:cs="Times New Roman" w:eastAsia="Times New Roman" w:hint="default"/>
                <w:sz w:val="18"/>
                <w:szCs w:val="18"/>
              </w:rPr>
            </w:pPr>
            <w:r>
              <w:rPr>
                <w:rFonts w:ascii="Times New Roman"/>
                <w:sz w:val="18"/>
              </w:rPr>
              <w:t>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5,400,000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9,180,000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16.20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李新建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18"/>
                <w:sz w:val="18"/>
                <w:szCs w:val="18"/>
              </w:rPr>
              <w:t>董事会秘</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2" w:lineRule="exact" w:before="24"/>
              <w:ind w:left="21" w:right="0"/>
              <w:jc w:val="left"/>
              <w:rPr>
                <w:rFonts w:ascii="宋体" w:hAnsi="宋体" w:cs="宋体" w:eastAsia="宋体" w:hint="default"/>
                <w:sz w:val="18"/>
                <w:szCs w:val="18"/>
              </w:rPr>
            </w:pPr>
            <w:r>
              <w:rPr>
                <w:rFonts w:ascii="宋体" w:hAnsi="宋体" w:cs="宋体" w:eastAsia="宋体" w:hint="default"/>
                <w:spacing w:val="18"/>
                <w:sz w:val="18"/>
                <w:szCs w:val="18"/>
              </w:rPr>
              <w:t>书、财务</w:t>
            </w:r>
            <w:r>
              <w:rPr>
                <w:rFonts w:ascii="宋体" w:hAnsi="宋体" w:cs="宋体" w:eastAsia="宋体" w:hint="default"/>
                <w:spacing w:val="-66"/>
                <w:sz w:val="18"/>
                <w:szCs w:val="18"/>
              </w:rPr>
              <w:t> </w:t>
            </w:r>
            <w:r>
              <w:rPr>
                <w:rFonts w:ascii="宋体" w:hAnsi="宋体" w:cs="宋体" w:eastAsia="宋体" w:hint="default"/>
                <w:sz w:val="18"/>
                <w:szCs w:val="18"/>
              </w:rPr>
              <w:t>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杜旭升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36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13.53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于辉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Times New Roman" w:hAnsi="Times New Roman" w:cs="Times New Roman" w:eastAsia="Times New Roman" w:hint="default"/>
                <w:sz w:val="18"/>
                <w:szCs w:val="18"/>
              </w:rPr>
            </w:pPr>
            <w:r>
              <w:rPr>
                <w:rFonts w:ascii="Times New Roman"/>
                <w:sz w:val="18"/>
              </w:rPr>
              <w:t>37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13.44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孟焰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18"/>
                <w:sz w:val="18"/>
                <w:szCs w:val="18"/>
              </w:rPr>
              <w:t>独立董事</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（历任）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魏春洪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18"/>
                <w:sz w:val="18"/>
                <w:szCs w:val="18"/>
              </w:rPr>
              <w:t>独立董事</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（历任）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7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168"/>
              <w:jc w:val="righ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44,000,000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74,175,500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170.81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Heading2"/>
        <w:spacing w:line="328" w:lineRule="auto" w:before="14"/>
        <w:ind w:left="1238" w:right="1942"/>
        <w:jc w:val="left"/>
        <w:rPr>
          <w:b w:val="0"/>
          <w:bCs w:val="0"/>
        </w:rPr>
      </w:pPr>
      <w:r>
        <w:rPr/>
        <w:t>（二）现任董事、监事、高级管理人员最近</w:t>
      </w:r>
      <w:r>
        <w:rPr>
          <w:spacing w:val="-73"/>
        </w:rPr>
        <w:t> </w:t>
      </w:r>
      <w:r>
        <w:rPr>
          <w:rFonts w:ascii="宋体" w:hAnsi="宋体" w:cs="宋体" w:eastAsia="宋体" w:hint="default"/>
        </w:rPr>
        <w:t>5</w:t>
      </w:r>
      <w:r>
        <w:rPr>
          <w:rFonts w:ascii="宋体" w:hAnsi="宋体" w:cs="宋体" w:eastAsia="宋体" w:hint="default"/>
          <w:spacing w:val="-73"/>
        </w:rPr>
        <w:t> </w:t>
      </w:r>
      <w:r>
        <w:rPr/>
        <w:t>年主要工作经历</w:t>
      </w:r>
      <w:r>
        <w:rPr>
          <w:w w:val="99"/>
        </w:rPr>
        <w:t> </w:t>
      </w:r>
      <w:r>
        <w:rPr>
          <w:rFonts w:ascii="宋体" w:hAnsi="宋体" w:cs="宋体" w:eastAsia="宋体" w:hint="default"/>
        </w:rPr>
        <w:t>1</w:t>
      </w:r>
      <w:r>
        <w:rPr/>
        <w:t>、董事会成员</w:t>
      </w:r>
      <w:r>
        <w:rPr>
          <w:b w:val="0"/>
          <w:bCs w:val="0"/>
        </w:rPr>
      </w:r>
    </w:p>
    <w:p>
      <w:pPr>
        <w:spacing w:line="297" w:lineRule="auto" w:before="29"/>
        <w:ind w:left="1797" w:right="0" w:hanging="560"/>
        <w:jc w:val="left"/>
        <w:rPr>
          <w:rFonts w:ascii="宋体" w:hAnsi="宋体" w:cs="宋体" w:eastAsia="宋体" w:hint="default"/>
          <w:sz w:val="28"/>
          <w:szCs w:val="28"/>
        </w:rPr>
      </w:pPr>
      <w:r>
        <w:rPr>
          <w:rFonts w:ascii="宋体" w:hAnsi="宋体" w:cs="宋体" w:eastAsia="宋体" w:hint="default"/>
          <w:b/>
          <w:bCs/>
          <w:sz w:val="28"/>
          <w:szCs w:val="28"/>
        </w:rPr>
        <w:t>（</w:t>
      </w:r>
      <w:r>
        <w:rPr>
          <w:rFonts w:ascii="Book Antiqua" w:hAnsi="Book Antiqua" w:cs="Book Antiqua" w:eastAsia="Book Antiqua" w:hint="default"/>
          <w:b/>
          <w:bCs/>
          <w:sz w:val="28"/>
          <w:szCs w:val="28"/>
        </w:rPr>
        <w:t>1</w:t>
      </w:r>
      <w:r>
        <w:rPr>
          <w:rFonts w:ascii="宋体" w:hAnsi="宋体" w:cs="宋体" w:eastAsia="宋体" w:hint="default"/>
          <w:b/>
          <w:bCs/>
          <w:sz w:val="28"/>
          <w:szCs w:val="28"/>
        </w:rPr>
        <w:t>）李海鹰先生，现任公司董事长</w:t>
      </w:r>
      <w:r>
        <w:rPr>
          <w:rFonts w:ascii="宋体" w:hAnsi="宋体" w:cs="宋体" w:eastAsia="宋体" w:hint="default"/>
          <w:b/>
          <w:bCs/>
          <w:w w:val="99"/>
          <w:sz w:val="28"/>
          <w:szCs w:val="28"/>
        </w:rPr>
        <w:t> </w:t>
      </w:r>
      <w:r>
        <w:rPr>
          <w:rFonts w:ascii="宋体" w:hAnsi="宋体" w:cs="宋体" w:eastAsia="宋体" w:hint="default"/>
          <w:spacing w:val="-5"/>
          <w:sz w:val="28"/>
          <w:szCs w:val="28"/>
        </w:rPr>
        <w:t>毕业于哈尔滨工业大学电气工程系信息处理显示与识别专业，本</w:t>
      </w:r>
    </w:p>
    <w:p>
      <w:pPr>
        <w:pStyle w:val="Heading3"/>
        <w:spacing w:line="326" w:lineRule="auto" w:before="68"/>
        <w:ind w:left="1238" w:right="1232"/>
        <w:jc w:val="both"/>
      </w:pPr>
      <w:r>
        <w:rPr/>
        <w:t>科学历，工程师。</w:t>
      </w:r>
      <w:r>
        <w:rPr>
          <w:rFonts w:ascii="宋体" w:hAnsi="宋体" w:cs="宋体" w:eastAsia="宋体" w:hint="default"/>
        </w:rPr>
        <w:t>2001</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6"/>
        </w:rPr>
        <w:t> </w:t>
      </w:r>
      <w:r>
        <w:rPr/>
        <w:t>月至</w:t>
      </w:r>
      <w:r>
        <w:rPr>
          <w:spacing w:val="-55"/>
        </w:rPr>
        <w:t> </w:t>
      </w:r>
      <w:r>
        <w:rPr>
          <w:rFonts w:ascii="宋体" w:hAnsi="宋体" w:cs="宋体" w:eastAsia="宋体" w:hint="default"/>
        </w:rPr>
        <w:t>2004</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4"/>
        </w:rPr>
        <w:t> </w:t>
      </w:r>
      <w:r>
        <w:rPr/>
        <w:t>月任本公司董事长兼总</w:t>
      </w:r>
      <w:r>
        <w:rPr>
          <w:w w:val="100"/>
        </w:rPr>
        <w:t> </w:t>
      </w:r>
      <w:r>
        <w:rPr/>
        <w:t>经理；</w:t>
      </w:r>
      <w:r>
        <w:rPr>
          <w:rFonts w:ascii="宋体" w:hAnsi="宋体" w:cs="宋体" w:eastAsia="宋体" w:hint="default"/>
        </w:rPr>
        <w:t>2004 </w:t>
      </w:r>
      <w:r>
        <w:rPr/>
        <w:t>年 </w:t>
      </w:r>
      <w:r>
        <w:rPr>
          <w:rFonts w:ascii="宋体" w:hAnsi="宋体" w:cs="宋体" w:eastAsia="宋体" w:hint="default"/>
        </w:rPr>
        <w:t>2</w:t>
      </w:r>
      <w:r>
        <w:rPr>
          <w:rFonts w:ascii="宋体" w:hAnsi="宋体" w:cs="宋体" w:eastAsia="宋体" w:hint="default"/>
          <w:spacing w:val="-98"/>
        </w:rPr>
        <w:t> </w:t>
      </w:r>
      <w:r>
        <w:rPr/>
        <w:t>月至今担任本公司董事长。曾荣获郑州市人民政府</w:t>
      </w:r>
      <w:r>
        <w:rPr>
          <w:w w:val="100"/>
        </w:rPr>
        <w:t> </w:t>
      </w:r>
      <w:r>
        <w:rPr/>
        <w:t>颁发的 </w:t>
      </w:r>
      <w:r>
        <w:rPr>
          <w:rFonts w:ascii="宋体" w:hAnsi="宋体" w:cs="宋体" w:eastAsia="宋体" w:hint="default"/>
        </w:rPr>
        <w:t>2003</w:t>
      </w:r>
      <w:r>
        <w:rPr>
          <w:rFonts w:ascii="宋体" w:hAnsi="宋体" w:cs="宋体" w:eastAsia="宋体" w:hint="default"/>
          <w:spacing w:val="-98"/>
        </w:rPr>
        <w:t> </w:t>
      </w:r>
      <w:r>
        <w:rPr/>
        <w:t>年度郑州市优秀企业厂长（董事长、经理）称号，并获</w:t>
      </w:r>
    </w:p>
    <w:p>
      <w:pPr>
        <w:pStyle w:val="Heading3"/>
        <w:spacing w:line="240" w:lineRule="auto" w:before="34"/>
        <w:ind w:left="1238" w:right="0"/>
        <w:jc w:val="both"/>
      </w:pPr>
      <w:r>
        <w:rPr/>
        <w:t>得</w:t>
      </w:r>
      <w:r>
        <w:rPr>
          <w:spacing w:val="-66"/>
        </w:rPr>
        <w:t> </w:t>
      </w:r>
      <w:r>
        <w:rPr>
          <w:rFonts w:ascii="宋体" w:hAnsi="宋体" w:cs="宋体" w:eastAsia="宋体" w:hint="default"/>
        </w:rPr>
        <w:t>2005</w:t>
      </w:r>
      <w:r>
        <w:rPr>
          <w:rFonts w:ascii="宋体" w:hAnsi="宋体" w:cs="宋体" w:eastAsia="宋体" w:hint="default"/>
          <w:spacing w:val="-64"/>
        </w:rPr>
        <w:t> </w:t>
      </w:r>
      <w:r>
        <w:rPr>
          <w:spacing w:val="-3"/>
        </w:rPr>
        <w:t>年郑州市“五一”劳动奖章。</w:t>
      </w:r>
      <w:r>
        <w:rPr>
          <w:rFonts w:ascii="宋体" w:hAnsi="宋体" w:cs="宋体" w:eastAsia="宋体" w:hint="default"/>
          <w:spacing w:val="-3"/>
        </w:rPr>
        <w:t>2009</w:t>
      </w:r>
      <w:r>
        <w:rPr>
          <w:rFonts w:ascii="宋体" w:hAnsi="宋体" w:cs="宋体" w:eastAsia="宋体" w:hint="default"/>
          <w:spacing w:val="-64"/>
        </w:rPr>
        <w:t> </w:t>
      </w:r>
      <w:r>
        <w:rPr/>
        <w:t>年</w:t>
      </w:r>
      <w:r>
        <w:rPr>
          <w:spacing w:val="-66"/>
        </w:rPr>
        <w:t> </w:t>
      </w:r>
      <w:r>
        <w:rPr>
          <w:rFonts w:ascii="宋体" w:hAnsi="宋体" w:cs="宋体" w:eastAsia="宋体" w:hint="default"/>
        </w:rPr>
        <w:t>4</w:t>
      </w:r>
      <w:r>
        <w:rPr>
          <w:rFonts w:ascii="宋体" w:hAnsi="宋体" w:cs="宋体" w:eastAsia="宋体" w:hint="default"/>
          <w:spacing w:val="-67"/>
        </w:rPr>
        <w:t> </w:t>
      </w:r>
      <w:r>
        <w:rPr/>
        <w:t>月被中共郑州市委宣</w:t>
      </w:r>
    </w:p>
    <w:p>
      <w:pPr>
        <w:spacing w:after="0" w:line="240" w:lineRule="auto"/>
        <w:jc w:val="both"/>
        <w:sectPr>
          <w:pgSz w:w="11910" w:h="16840"/>
          <w:pgMar w:header="624" w:footer="1045" w:top="980" w:bottom="1240" w:left="560" w:right="560"/>
        </w:sectPr>
      </w:pPr>
    </w:p>
    <w:p>
      <w:pPr>
        <w:pStyle w:val="Heading3"/>
        <w:spacing w:line="328" w:lineRule="auto" w:before="73"/>
        <w:ind w:right="194"/>
        <w:jc w:val="both"/>
      </w:pPr>
      <w:r>
        <w:rPr>
          <w:spacing w:val="-8"/>
          <w:w w:val="100"/>
        </w:rPr>
        <w:t>传部等三单位评为“跨越式发展优秀人物”。最近</w:t>
      </w:r>
      <w:r>
        <w:rPr>
          <w:w w:val="100"/>
        </w:rPr>
        <w:t> </w:t>
      </w:r>
      <w:r>
        <w:rPr>
          <w:rFonts w:ascii="宋体" w:hAnsi="宋体" w:cs="宋体" w:eastAsia="宋体" w:hint="default"/>
          <w:w w:val="100"/>
        </w:rPr>
        <w:t>5</w:t>
      </w:r>
      <w:r>
        <w:rPr>
          <w:rFonts w:ascii="宋体" w:hAnsi="宋体" w:cs="宋体" w:eastAsia="宋体" w:hint="default"/>
          <w:spacing w:val="-69"/>
          <w:w w:val="100"/>
        </w:rPr>
        <w:t> </w:t>
      </w:r>
      <w:r>
        <w:rPr>
          <w:spacing w:val="-2"/>
          <w:w w:val="100"/>
        </w:rPr>
        <w:t>年无在其他单位</w:t>
      </w:r>
      <w:r>
        <w:rPr>
          <w:w w:val="100"/>
        </w:rPr>
        <w:t> </w:t>
      </w:r>
      <w:r>
        <w:rPr/>
        <w:t>担任董事、监事、高级管理人员的情况。</w:t>
      </w:r>
    </w:p>
    <w:p>
      <w:pPr>
        <w:spacing w:line="297" w:lineRule="auto" w:before="29"/>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w:t>
      </w:r>
      <w:r>
        <w:rPr>
          <w:rFonts w:ascii="Book Antiqua" w:hAnsi="Book Antiqua" w:cs="Book Antiqua" w:eastAsia="Book Antiqua" w:hint="default"/>
          <w:b/>
          <w:bCs/>
          <w:sz w:val="28"/>
          <w:szCs w:val="28"/>
        </w:rPr>
        <w:t>2</w:t>
      </w:r>
      <w:r>
        <w:rPr>
          <w:rFonts w:ascii="宋体" w:hAnsi="宋体" w:cs="宋体" w:eastAsia="宋体" w:hint="default"/>
          <w:b/>
          <w:bCs/>
          <w:sz w:val="28"/>
          <w:szCs w:val="28"/>
        </w:rPr>
        <w:t>）李劲松先生，现任公司董事、市场巡视员</w:t>
      </w:r>
      <w:r>
        <w:rPr>
          <w:rFonts w:ascii="宋体" w:hAnsi="宋体" w:cs="宋体" w:eastAsia="宋体" w:hint="default"/>
          <w:b/>
          <w:bCs/>
          <w:w w:val="99"/>
          <w:sz w:val="28"/>
          <w:szCs w:val="28"/>
        </w:rPr>
        <w:t> </w:t>
      </w:r>
      <w:r>
        <w:rPr>
          <w:rFonts w:ascii="宋体" w:hAnsi="宋体" w:cs="宋体" w:eastAsia="宋体" w:hint="default"/>
          <w:spacing w:val="-5"/>
          <w:sz w:val="28"/>
          <w:szCs w:val="28"/>
        </w:rPr>
        <w:t>毕业于哈尔滨工业大学动力工程系流体传动及控制专业，本科学</w:t>
      </w:r>
    </w:p>
    <w:p>
      <w:pPr>
        <w:pStyle w:val="Heading3"/>
        <w:spacing w:line="240" w:lineRule="auto" w:before="68"/>
        <w:ind w:right="98"/>
        <w:jc w:val="left"/>
        <w:rPr>
          <w:rFonts w:ascii="宋体" w:hAnsi="宋体" w:cs="宋体" w:eastAsia="宋体" w:hint="default"/>
        </w:rPr>
      </w:pPr>
      <w:r>
        <w:rPr>
          <w:w w:val="100"/>
        </w:rPr>
        <w:t>历</w:t>
      </w:r>
      <w:r>
        <w:rPr>
          <w:spacing w:val="-140"/>
          <w:w w:val="100"/>
        </w:rPr>
        <w:t>，</w:t>
      </w:r>
      <w:r>
        <w:rPr>
          <w:spacing w:val="-3"/>
          <w:w w:val="100"/>
        </w:rPr>
        <w:t>工</w:t>
      </w:r>
      <w:r>
        <w:rPr>
          <w:w w:val="100"/>
        </w:rPr>
        <w:t>程</w:t>
      </w:r>
      <w:r>
        <w:rPr>
          <w:spacing w:val="-3"/>
          <w:w w:val="100"/>
        </w:rPr>
        <w:t>师</w:t>
      </w:r>
      <w:r>
        <w:rPr>
          <w:spacing w:val="-139"/>
          <w:w w:val="100"/>
        </w:rPr>
        <w:t>。</w:t>
      </w:r>
      <w:r>
        <w:rPr>
          <w:rFonts w:ascii="宋体" w:hAnsi="宋体" w:cs="宋体" w:eastAsia="宋体" w:hint="default"/>
          <w:spacing w:val="-2"/>
          <w:w w:val="100"/>
        </w:rPr>
        <w:t>200</w:t>
      </w:r>
      <w:r>
        <w:rPr>
          <w:rFonts w:ascii="宋体" w:hAnsi="宋体" w:cs="宋体" w:eastAsia="宋体" w:hint="default"/>
          <w:w w:val="100"/>
        </w:rPr>
        <w:t>1</w:t>
      </w:r>
      <w:r>
        <w:rPr>
          <w:rFonts w:ascii="宋体" w:hAnsi="宋体" w:cs="宋体" w:eastAsia="宋体" w:hint="default"/>
          <w:spacing w:val="-91"/>
        </w:rPr>
        <w:t> </w:t>
      </w:r>
      <w:r>
        <w:rPr>
          <w:w w:val="100"/>
        </w:rPr>
        <w:t>年</w:t>
      </w:r>
      <w:r>
        <w:rPr>
          <w:spacing w:val="-95"/>
        </w:rPr>
        <w:t> </w:t>
      </w:r>
      <w:r>
        <w:rPr>
          <w:rFonts w:ascii="宋体" w:hAnsi="宋体" w:cs="宋体" w:eastAsia="宋体" w:hint="default"/>
          <w:spacing w:val="-2"/>
          <w:w w:val="100"/>
        </w:rPr>
        <w:t>1</w:t>
      </w:r>
      <w:r>
        <w:rPr>
          <w:rFonts w:ascii="宋体" w:hAnsi="宋体" w:cs="宋体" w:eastAsia="宋体" w:hint="default"/>
          <w:w w:val="100"/>
        </w:rPr>
        <w:t>0</w:t>
      </w:r>
      <w:r>
        <w:rPr>
          <w:rFonts w:ascii="宋体" w:hAnsi="宋体" w:cs="宋体" w:eastAsia="宋体" w:hint="default"/>
          <w:spacing w:val="-91"/>
        </w:rPr>
        <w:t> </w:t>
      </w:r>
      <w:r>
        <w:rPr>
          <w:w w:val="100"/>
        </w:rPr>
        <w:t>月至</w:t>
      </w:r>
      <w:r>
        <w:rPr>
          <w:spacing w:val="-95"/>
        </w:rPr>
        <w:t> </w:t>
      </w:r>
      <w:r>
        <w:rPr>
          <w:rFonts w:ascii="宋体" w:hAnsi="宋体" w:cs="宋体" w:eastAsia="宋体" w:hint="default"/>
          <w:spacing w:val="-2"/>
          <w:w w:val="100"/>
        </w:rPr>
        <w:t>2</w:t>
      </w:r>
      <w:r>
        <w:rPr>
          <w:rFonts w:ascii="宋体" w:hAnsi="宋体" w:cs="宋体" w:eastAsia="宋体" w:hint="default"/>
          <w:w w:val="100"/>
        </w:rPr>
        <w:t>0</w:t>
      </w:r>
      <w:r>
        <w:rPr>
          <w:rFonts w:ascii="宋体" w:hAnsi="宋体" w:cs="宋体" w:eastAsia="宋体" w:hint="default"/>
          <w:spacing w:val="-1"/>
          <w:w w:val="100"/>
        </w:rPr>
        <w:t>0</w:t>
      </w:r>
      <w:r>
        <w:rPr>
          <w:rFonts w:ascii="宋体" w:hAnsi="宋体" w:cs="宋体" w:eastAsia="宋体" w:hint="default"/>
          <w:w w:val="100"/>
        </w:rPr>
        <w:t>6</w:t>
      </w:r>
      <w:r>
        <w:rPr>
          <w:rFonts w:ascii="宋体" w:hAnsi="宋体" w:cs="宋体" w:eastAsia="宋体" w:hint="default"/>
          <w:spacing w:val="-94"/>
        </w:rPr>
        <w:t> </w:t>
      </w:r>
      <w:r>
        <w:rPr>
          <w:w w:val="100"/>
        </w:rPr>
        <w:t>年</w:t>
      </w:r>
      <w:r>
        <w:rPr>
          <w:spacing w:val="-95"/>
        </w:rPr>
        <w:t> </w:t>
      </w:r>
      <w:r>
        <w:rPr>
          <w:rFonts w:ascii="宋体" w:hAnsi="宋体" w:cs="宋体" w:eastAsia="宋体" w:hint="default"/>
          <w:w w:val="100"/>
        </w:rPr>
        <w:t>1</w:t>
      </w:r>
      <w:r>
        <w:rPr>
          <w:rFonts w:ascii="宋体" w:hAnsi="宋体" w:cs="宋体" w:eastAsia="宋体" w:hint="default"/>
          <w:spacing w:val="-91"/>
        </w:rPr>
        <w:t> </w:t>
      </w:r>
      <w:r>
        <w:rPr>
          <w:spacing w:val="-3"/>
          <w:w w:val="100"/>
        </w:rPr>
        <w:t>月</w:t>
      </w:r>
      <w:r>
        <w:rPr>
          <w:w w:val="100"/>
        </w:rPr>
        <w:t>任公司</w:t>
      </w:r>
      <w:r>
        <w:rPr>
          <w:spacing w:val="-3"/>
          <w:w w:val="100"/>
        </w:rPr>
        <w:t>董</w:t>
      </w:r>
      <w:r>
        <w:rPr>
          <w:w w:val="100"/>
        </w:rPr>
        <w:t>事兼</w:t>
      </w:r>
      <w:r>
        <w:rPr>
          <w:spacing w:val="-3"/>
          <w:w w:val="100"/>
        </w:rPr>
        <w:t>副总</w:t>
      </w:r>
      <w:r>
        <w:rPr>
          <w:w w:val="100"/>
        </w:rPr>
        <w:t>经理</w:t>
      </w:r>
      <w:r>
        <w:rPr>
          <w:spacing w:val="-1"/>
          <w:w w:val="100"/>
        </w:rPr>
        <w:t>；</w:t>
      </w:r>
      <w:r>
        <w:rPr>
          <w:rFonts w:ascii="宋体" w:hAnsi="宋体" w:cs="宋体" w:eastAsia="宋体" w:hint="default"/>
          <w:w w:val="100"/>
        </w:rPr>
        <w:t>2</w:t>
      </w:r>
      <w:r>
        <w:rPr>
          <w:rFonts w:ascii="宋体" w:hAnsi="宋体" w:cs="宋体" w:eastAsia="宋体" w:hint="default"/>
          <w:spacing w:val="-2"/>
          <w:w w:val="100"/>
        </w:rPr>
        <w:t>00</w:t>
      </w:r>
      <w:r>
        <w:rPr>
          <w:rFonts w:ascii="宋体" w:hAnsi="宋体" w:cs="宋体" w:eastAsia="宋体" w:hint="default"/>
          <w:w w:val="100"/>
        </w:rPr>
        <w:t>6</w:t>
      </w:r>
    </w:p>
    <w:p>
      <w:pPr>
        <w:pStyle w:val="Heading3"/>
        <w:spacing w:line="326" w:lineRule="auto" w:before="132"/>
        <w:ind w:right="192"/>
        <w:jc w:val="both"/>
      </w:pPr>
      <w:r>
        <w:rPr/>
        <w:t>年</w:t>
      </w:r>
      <w:r>
        <w:rPr>
          <w:spacing w:val="-48"/>
        </w:rPr>
        <w:t> </w:t>
      </w:r>
      <w:r>
        <w:rPr>
          <w:rFonts w:ascii="宋体" w:hAnsi="宋体" w:cs="宋体" w:eastAsia="宋体" w:hint="default"/>
        </w:rPr>
        <w:t>1</w:t>
      </w:r>
      <w:r>
        <w:rPr>
          <w:rFonts w:ascii="宋体" w:hAnsi="宋体" w:cs="宋体" w:eastAsia="宋体" w:hint="default"/>
          <w:spacing w:val="-47"/>
        </w:rPr>
        <w:t> </w:t>
      </w:r>
      <w:r>
        <w:rPr/>
        <w:t>月至今任本公司董事兼市场巡视员；</w:t>
      </w:r>
      <w:r>
        <w:rPr>
          <w:rFonts w:ascii="宋体" w:hAnsi="宋体" w:cs="宋体" w:eastAsia="宋体" w:hint="default"/>
        </w:rPr>
        <w:t>2010</w:t>
      </w:r>
      <w:r>
        <w:rPr>
          <w:rFonts w:ascii="宋体" w:hAnsi="宋体" w:cs="宋体" w:eastAsia="宋体" w:hint="default"/>
          <w:spacing w:val="-46"/>
        </w:rPr>
        <w:t> </w:t>
      </w:r>
      <w:r>
        <w:rPr/>
        <w:t>年</w:t>
      </w:r>
      <w:r>
        <w:rPr>
          <w:spacing w:val="-48"/>
        </w:rPr>
        <w:t> </w:t>
      </w:r>
      <w:r>
        <w:rPr>
          <w:rFonts w:ascii="宋体" w:hAnsi="宋体" w:cs="宋体" w:eastAsia="宋体" w:hint="default"/>
        </w:rPr>
        <w:t>8</w:t>
      </w:r>
      <w:r>
        <w:rPr>
          <w:rFonts w:ascii="宋体" w:hAnsi="宋体" w:cs="宋体" w:eastAsia="宋体" w:hint="default"/>
          <w:spacing w:val="-49"/>
        </w:rPr>
        <w:t> </w:t>
      </w:r>
      <w:r>
        <w:rPr/>
        <w:t>月至今兼任北京</w:t>
      </w:r>
      <w:r>
        <w:rPr>
          <w:w w:val="100"/>
        </w:rPr>
        <w:t> </w:t>
      </w:r>
      <w:r>
        <w:rPr/>
        <w:t>全路通号科技有限公司执行董事。</w:t>
      </w:r>
    </w:p>
    <w:p>
      <w:pPr>
        <w:spacing w:line="297" w:lineRule="auto" w:before="34"/>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w:t>
      </w:r>
      <w:r>
        <w:rPr>
          <w:rFonts w:ascii="Book Antiqua" w:hAnsi="Book Antiqua" w:cs="Book Antiqua" w:eastAsia="Book Antiqua" w:hint="default"/>
          <w:b/>
          <w:bCs/>
          <w:sz w:val="28"/>
          <w:szCs w:val="28"/>
        </w:rPr>
        <w:t>3</w:t>
      </w:r>
      <w:r>
        <w:rPr>
          <w:rFonts w:ascii="宋体" w:hAnsi="宋体" w:cs="宋体" w:eastAsia="宋体" w:hint="default"/>
          <w:b/>
          <w:bCs/>
          <w:sz w:val="28"/>
          <w:szCs w:val="28"/>
        </w:rPr>
        <w:t>）谢春生先生，现任公司董事</w:t>
      </w:r>
      <w:r>
        <w:rPr>
          <w:rFonts w:ascii="宋体" w:hAnsi="宋体" w:cs="宋体" w:eastAsia="宋体" w:hint="default"/>
          <w:b/>
          <w:bCs/>
          <w:w w:val="99"/>
          <w:sz w:val="28"/>
          <w:szCs w:val="28"/>
        </w:rPr>
        <w:t> </w:t>
      </w:r>
      <w:r>
        <w:rPr>
          <w:rFonts w:ascii="宋体" w:hAnsi="宋体" w:cs="宋体" w:eastAsia="宋体" w:hint="default"/>
          <w:spacing w:val="-5"/>
          <w:sz w:val="28"/>
          <w:szCs w:val="28"/>
        </w:rPr>
        <w:t>毕业于重庆大学计算机系计算机软件专业，本科学历，高级工程</w:t>
      </w:r>
    </w:p>
    <w:p>
      <w:pPr>
        <w:pStyle w:val="Heading3"/>
        <w:spacing w:line="240" w:lineRule="auto" w:before="66"/>
        <w:ind w:right="98"/>
        <w:jc w:val="left"/>
        <w:rPr>
          <w:rFonts w:ascii="宋体" w:hAnsi="宋体" w:cs="宋体" w:eastAsia="宋体" w:hint="default"/>
        </w:rPr>
      </w:pPr>
      <w:r>
        <w:rPr/>
        <w:t>师。</w:t>
      </w:r>
      <w:r>
        <w:rPr>
          <w:rFonts w:ascii="宋体" w:hAnsi="宋体" w:cs="宋体" w:eastAsia="宋体" w:hint="default"/>
        </w:rPr>
        <w:t>2001</w:t>
      </w:r>
      <w:r>
        <w:rPr>
          <w:rFonts w:ascii="宋体" w:hAnsi="宋体" w:cs="宋体" w:eastAsia="宋体" w:hint="default"/>
          <w:spacing w:val="-58"/>
        </w:rPr>
        <w:t> </w:t>
      </w:r>
      <w:r>
        <w:rPr/>
        <w:t>年</w:t>
      </w:r>
      <w:r>
        <w:rPr>
          <w:spacing w:val="-60"/>
        </w:rPr>
        <w:t> </w:t>
      </w:r>
      <w:r>
        <w:rPr>
          <w:rFonts w:ascii="宋体" w:hAnsi="宋体" w:cs="宋体" w:eastAsia="宋体" w:hint="default"/>
        </w:rPr>
        <w:t>10</w:t>
      </w:r>
      <w:r>
        <w:rPr>
          <w:rFonts w:ascii="宋体" w:hAnsi="宋体" w:cs="宋体" w:eastAsia="宋体" w:hint="default"/>
          <w:spacing w:val="-59"/>
        </w:rPr>
        <w:t> </w:t>
      </w:r>
      <w:r>
        <w:rPr/>
        <w:t>月至</w:t>
      </w:r>
      <w:r>
        <w:rPr>
          <w:spacing w:val="-57"/>
        </w:rPr>
        <w:t> </w:t>
      </w:r>
      <w:r>
        <w:rPr>
          <w:rFonts w:ascii="宋体" w:hAnsi="宋体" w:cs="宋体" w:eastAsia="宋体" w:hint="default"/>
        </w:rPr>
        <w:t>2004</w:t>
      </w:r>
      <w:r>
        <w:rPr>
          <w:rFonts w:ascii="宋体" w:hAnsi="宋体" w:cs="宋体" w:eastAsia="宋体" w:hint="default"/>
          <w:spacing w:val="-58"/>
        </w:rPr>
        <w:t> </w:t>
      </w:r>
      <w:r>
        <w:rPr/>
        <w:t>年</w:t>
      </w:r>
      <w:r>
        <w:rPr>
          <w:spacing w:val="-60"/>
        </w:rPr>
        <w:t> </w:t>
      </w:r>
      <w:r>
        <w:rPr>
          <w:rFonts w:ascii="宋体" w:hAnsi="宋体" w:cs="宋体" w:eastAsia="宋体" w:hint="default"/>
        </w:rPr>
        <w:t>2</w:t>
      </w:r>
      <w:r>
        <w:rPr>
          <w:rFonts w:ascii="宋体" w:hAnsi="宋体" w:cs="宋体" w:eastAsia="宋体" w:hint="default"/>
          <w:spacing w:val="-56"/>
        </w:rPr>
        <w:t> </w:t>
      </w:r>
      <w:r>
        <w:rPr/>
        <w:t>月任公司董事兼副总经理；</w:t>
      </w:r>
      <w:r>
        <w:rPr>
          <w:rFonts w:ascii="宋体" w:hAnsi="宋体" w:cs="宋体" w:eastAsia="宋体" w:hint="default"/>
        </w:rPr>
        <w:t>2004</w:t>
      </w:r>
      <w:r>
        <w:rPr>
          <w:rFonts w:ascii="宋体" w:hAnsi="宋体" w:cs="宋体" w:eastAsia="宋体" w:hint="default"/>
          <w:spacing w:val="-58"/>
        </w:rPr>
        <w:t> </w:t>
      </w:r>
      <w:r>
        <w:rPr/>
        <w:t>年</w:t>
      </w:r>
      <w:r>
        <w:rPr>
          <w:spacing w:val="-57"/>
        </w:rPr>
        <w:t> </w:t>
      </w:r>
      <w:r>
        <w:rPr>
          <w:rFonts w:ascii="宋体" w:hAnsi="宋体" w:cs="宋体" w:eastAsia="宋体" w:hint="default"/>
        </w:rPr>
        <w:t>2</w:t>
      </w:r>
    </w:p>
    <w:p>
      <w:pPr>
        <w:pStyle w:val="Heading3"/>
        <w:spacing w:line="326" w:lineRule="auto" w:before="135"/>
        <w:ind w:right="191"/>
        <w:jc w:val="both"/>
      </w:pPr>
      <w:r>
        <w:rPr/>
        <w:t>月至</w:t>
      </w:r>
      <w:r>
        <w:rPr>
          <w:spacing w:val="-69"/>
        </w:rPr>
        <w:t> </w:t>
      </w:r>
      <w:r>
        <w:rPr>
          <w:rFonts w:ascii="宋体" w:hAnsi="宋体" w:cs="宋体" w:eastAsia="宋体" w:hint="default"/>
        </w:rPr>
        <w:t>2004</w:t>
      </w:r>
      <w:r>
        <w:rPr>
          <w:rFonts w:ascii="宋体" w:hAnsi="宋体" w:cs="宋体" w:eastAsia="宋体" w:hint="default"/>
          <w:spacing w:val="-67"/>
        </w:rPr>
        <w:t> </w:t>
      </w:r>
      <w:r>
        <w:rPr/>
        <w:t>年</w:t>
      </w:r>
      <w:r>
        <w:rPr>
          <w:spacing w:val="-71"/>
        </w:rPr>
        <w:t> </w:t>
      </w:r>
      <w:r>
        <w:rPr>
          <w:rFonts w:ascii="宋体" w:hAnsi="宋体" w:cs="宋体" w:eastAsia="宋体" w:hint="default"/>
        </w:rPr>
        <w:t>4</w:t>
      </w:r>
      <w:r>
        <w:rPr>
          <w:rFonts w:ascii="宋体" w:hAnsi="宋体" w:cs="宋体" w:eastAsia="宋体" w:hint="default"/>
          <w:spacing w:val="-68"/>
        </w:rPr>
        <w:t> </w:t>
      </w:r>
      <w:r>
        <w:rPr>
          <w:spacing w:val="-3"/>
        </w:rPr>
        <w:t>月任公司董事兼总经理；</w:t>
      </w:r>
      <w:r>
        <w:rPr>
          <w:rFonts w:ascii="宋体" w:hAnsi="宋体" w:cs="宋体" w:eastAsia="宋体" w:hint="default"/>
          <w:spacing w:val="-3"/>
        </w:rPr>
        <w:t>2004</w:t>
      </w:r>
      <w:r>
        <w:rPr>
          <w:rFonts w:ascii="宋体" w:hAnsi="宋体" w:cs="宋体" w:eastAsia="宋体" w:hint="default"/>
          <w:spacing w:val="-67"/>
        </w:rPr>
        <w:t> </w:t>
      </w:r>
      <w:r>
        <w:rPr/>
        <w:t>年</w:t>
      </w:r>
      <w:r>
        <w:rPr>
          <w:spacing w:val="-71"/>
        </w:rPr>
        <w:t> </w:t>
      </w:r>
      <w:r>
        <w:rPr>
          <w:rFonts w:ascii="宋体" w:hAnsi="宋体" w:cs="宋体" w:eastAsia="宋体" w:hint="default"/>
        </w:rPr>
        <w:t>4</w:t>
      </w:r>
      <w:r>
        <w:rPr>
          <w:rFonts w:ascii="宋体" w:hAnsi="宋体" w:cs="宋体" w:eastAsia="宋体" w:hint="default"/>
          <w:spacing w:val="-68"/>
        </w:rPr>
        <w:t> </w:t>
      </w:r>
      <w:r>
        <w:rPr/>
        <w:t>月至</w:t>
      </w:r>
      <w:r>
        <w:rPr>
          <w:spacing w:val="-71"/>
        </w:rPr>
        <w:t> </w:t>
      </w:r>
      <w:r>
        <w:rPr>
          <w:rFonts w:ascii="宋体" w:hAnsi="宋体" w:cs="宋体" w:eastAsia="宋体" w:hint="default"/>
        </w:rPr>
        <w:t>2010</w:t>
      </w:r>
      <w:r>
        <w:rPr>
          <w:rFonts w:ascii="宋体" w:hAnsi="宋体" w:cs="宋体" w:eastAsia="宋体" w:hint="default"/>
          <w:spacing w:val="-67"/>
        </w:rPr>
        <w:t> </w:t>
      </w:r>
      <w:r>
        <w:rPr/>
        <w:t>年</w:t>
      </w:r>
      <w:r>
        <w:rPr>
          <w:spacing w:val="-71"/>
        </w:rPr>
        <w:t> </w:t>
      </w:r>
      <w:r>
        <w:rPr>
          <w:rFonts w:ascii="宋体" w:hAnsi="宋体" w:cs="宋体" w:eastAsia="宋体" w:hint="default"/>
        </w:rPr>
        <w:t>12</w:t>
      </w:r>
      <w:r>
        <w:rPr>
          <w:rFonts w:ascii="宋体" w:hAnsi="宋体" w:cs="宋体" w:eastAsia="宋体" w:hint="default"/>
          <w:spacing w:val="-70"/>
        </w:rPr>
        <w:t> </w:t>
      </w:r>
      <w:r>
        <w:rPr/>
        <w:t>月</w:t>
      </w:r>
      <w:r>
        <w:rPr>
          <w:w w:val="100"/>
        </w:rPr>
        <w:t> </w:t>
      </w:r>
      <w:r>
        <w:rPr>
          <w:spacing w:val="-6"/>
        </w:rPr>
        <w:t>任公司总经理；</w:t>
      </w:r>
      <w:r>
        <w:rPr>
          <w:rFonts w:ascii="宋体" w:hAnsi="宋体" w:cs="宋体" w:eastAsia="宋体" w:hint="default"/>
          <w:spacing w:val="-6"/>
        </w:rPr>
        <w:t>2010</w:t>
      </w:r>
      <w:r>
        <w:rPr>
          <w:rFonts w:ascii="宋体" w:hAnsi="宋体" w:cs="宋体" w:eastAsia="宋体" w:hint="default"/>
          <w:spacing w:val="-63"/>
        </w:rPr>
        <w:t> </w:t>
      </w:r>
      <w:r>
        <w:rPr/>
        <w:t>年</w:t>
      </w:r>
      <w:r>
        <w:rPr>
          <w:spacing w:val="-66"/>
        </w:rPr>
        <w:t> </w:t>
      </w:r>
      <w:r>
        <w:rPr>
          <w:rFonts w:ascii="宋体" w:hAnsi="宋体" w:cs="宋体" w:eastAsia="宋体" w:hint="default"/>
        </w:rPr>
        <w:t>12</w:t>
      </w:r>
      <w:r>
        <w:rPr>
          <w:rFonts w:ascii="宋体" w:hAnsi="宋体" w:cs="宋体" w:eastAsia="宋体" w:hint="default"/>
          <w:spacing w:val="-65"/>
        </w:rPr>
        <w:t> </w:t>
      </w:r>
      <w:r>
        <w:rPr>
          <w:spacing w:val="-5"/>
        </w:rPr>
        <w:t>月至今任公司董事。</w:t>
      </w:r>
      <w:r>
        <w:rPr>
          <w:rFonts w:ascii="宋体" w:hAnsi="宋体" w:cs="宋体" w:eastAsia="宋体" w:hint="default"/>
          <w:spacing w:val="-5"/>
        </w:rPr>
        <w:t>2006</w:t>
      </w:r>
      <w:r>
        <w:rPr>
          <w:rFonts w:ascii="宋体" w:hAnsi="宋体" w:cs="宋体" w:eastAsia="宋体" w:hint="default"/>
          <w:spacing w:val="-63"/>
        </w:rPr>
        <w:t> </w:t>
      </w:r>
      <w:r>
        <w:rPr/>
        <w:t>年</w:t>
      </w:r>
      <w:r>
        <w:rPr>
          <w:spacing w:val="-68"/>
        </w:rPr>
        <w:t> </w:t>
      </w:r>
      <w:r>
        <w:rPr>
          <w:rFonts w:ascii="宋体" w:hAnsi="宋体" w:cs="宋体" w:eastAsia="宋体" w:hint="default"/>
        </w:rPr>
        <w:t>5</w:t>
      </w:r>
      <w:r>
        <w:rPr>
          <w:rFonts w:ascii="宋体" w:hAnsi="宋体" w:cs="宋体" w:eastAsia="宋体" w:hint="default"/>
          <w:spacing w:val="-67"/>
        </w:rPr>
        <w:t> </w:t>
      </w:r>
      <w:r>
        <w:rPr/>
        <w:t>月至今兼任</w:t>
      </w:r>
      <w:r>
        <w:rPr>
          <w:w w:val="100"/>
        </w:rPr>
        <w:t> </w:t>
      </w:r>
      <w:r>
        <w:rPr/>
        <w:t>河南辉煌软件有限公司执行董事。</w:t>
      </w:r>
    </w:p>
    <w:p>
      <w:pPr>
        <w:spacing w:line="297" w:lineRule="auto" w:before="34"/>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w:t>
      </w:r>
      <w:r>
        <w:rPr>
          <w:rFonts w:ascii="Book Antiqua" w:hAnsi="Book Antiqua" w:cs="Book Antiqua" w:eastAsia="Book Antiqua" w:hint="default"/>
          <w:b/>
          <w:bCs/>
          <w:sz w:val="28"/>
          <w:szCs w:val="28"/>
        </w:rPr>
        <w:t>4</w:t>
      </w:r>
      <w:r>
        <w:rPr>
          <w:rFonts w:ascii="宋体" w:hAnsi="宋体" w:cs="宋体" w:eastAsia="宋体" w:hint="default"/>
          <w:b/>
          <w:bCs/>
          <w:sz w:val="28"/>
          <w:szCs w:val="28"/>
        </w:rPr>
        <w:t>）郑予君先生，现任公司董事、总经理</w:t>
      </w:r>
      <w:r>
        <w:rPr>
          <w:rFonts w:ascii="宋体" w:hAnsi="宋体" w:cs="宋体" w:eastAsia="宋体" w:hint="default"/>
          <w:b/>
          <w:bCs/>
          <w:w w:val="99"/>
          <w:sz w:val="28"/>
          <w:szCs w:val="28"/>
        </w:rPr>
        <w:t> </w:t>
      </w:r>
      <w:r>
        <w:rPr>
          <w:rFonts w:ascii="宋体" w:hAnsi="宋体" w:cs="宋体" w:eastAsia="宋体" w:hint="default"/>
          <w:spacing w:val="-1"/>
          <w:sz w:val="28"/>
          <w:szCs w:val="28"/>
        </w:rPr>
        <w:t>在职研究生学历，北京交通大学电子与工程领域工程硕士学位，</w:t>
      </w:r>
    </w:p>
    <w:p>
      <w:pPr>
        <w:pStyle w:val="Heading3"/>
        <w:spacing w:line="328" w:lineRule="auto" w:before="65"/>
        <w:ind w:right="189"/>
        <w:jc w:val="both"/>
      </w:pPr>
      <w:r>
        <w:rPr/>
        <w:t>高级政工师职称，</w:t>
      </w:r>
      <w:r>
        <w:rPr>
          <w:rFonts w:ascii="宋体" w:hAnsi="宋体" w:cs="宋体" w:eastAsia="宋体" w:hint="default"/>
        </w:rPr>
        <w:t>2005</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月至</w:t>
      </w:r>
      <w:r>
        <w:rPr>
          <w:spacing w:val="-56"/>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月担任中国铁通集团公</w:t>
      </w:r>
      <w:r>
        <w:rPr>
          <w:w w:val="100"/>
        </w:rPr>
        <w:t> </w:t>
      </w:r>
      <w:r>
        <w:rPr>
          <w:spacing w:val="-4"/>
        </w:rPr>
        <w:t>司党委委员、董事、副总经理并兼任中国铁通工程建设有限责任公司</w:t>
      </w:r>
      <w:r>
        <w:rPr>
          <w:spacing w:val="-115"/>
        </w:rPr>
        <w:t> </w:t>
      </w:r>
      <w:r>
        <w:rPr>
          <w:spacing w:val="-115"/>
        </w:rPr>
      </w:r>
      <w:r>
        <w:rPr/>
        <w:t>董事长。</w:t>
      </w:r>
      <w:r>
        <w:rPr>
          <w:rFonts w:ascii="宋体" w:hAnsi="宋体" w:cs="宋体" w:eastAsia="宋体" w:hint="default"/>
        </w:rPr>
        <w:t>2010</w:t>
      </w:r>
      <w:r>
        <w:rPr>
          <w:rFonts w:ascii="宋体" w:hAnsi="宋体" w:cs="宋体" w:eastAsia="宋体" w:hint="default"/>
          <w:spacing w:val="-69"/>
        </w:rPr>
        <w:t> </w:t>
      </w:r>
      <w:r>
        <w:rPr/>
        <w:t>年</w:t>
      </w:r>
      <w:r>
        <w:rPr>
          <w:spacing w:val="-73"/>
        </w:rPr>
        <w:t> </w:t>
      </w:r>
      <w:r>
        <w:rPr>
          <w:rFonts w:ascii="宋体" w:hAnsi="宋体" w:cs="宋体" w:eastAsia="宋体" w:hint="default"/>
        </w:rPr>
        <w:t>12</w:t>
      </w:r>
      <w:r>
        <w:rPr>
          <w:rFonts w:ascii="宋体" w:hAnsi="宋体" w:cs="宋体" w:eastAsia="宋体" w:hint="default"/>
          <w:spacing w:val="-72"/>
        </w:rPr>
        <w:t> </w:t>
      </w:r>
      <w:r>
        <w:rPr/>
        <w:t>月至今担任本公司董事兼总经理。</w:t>
      </w:r>
    </w:p>
    <w:p>
      <w:pPr>
        <w:spacing w:line="328" w:lineRule="auto" w:before="29"/>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w:t>
      </w:r>
      <w:r>
        <w:rPr>
          <w:rFonts w:ascii="宋体" w:hAnsi="宋体" w:cs="宋体" w:eastAsia="宋体" w:hint="default"/>
          <w:b/>
          <w:bCs/>
          <w:sz w:val="28"/>
          <w:szCs w:val="28"/>
        </w:rPr>
        <w:t>5</w:t>
      </w:r>
      <w:r>
        <w:rPr>
          <w:rFonts w:ascii="宋体" w:hAnsi="宋体" w:cs="宋体" w:eastAsia="宋体" w:hint="default"/>
          <w:b/>
          <w:bCs/>
          <w:sz w:val="28"/>
          <w:szCs w:val="28"/>
        </w:rPr>
        <w:t>）唐涛先生，现任公司独立董事</w:t>
      </w:r>
      <w:r>
        <w:rPr>
          <w:rFonts w:ascii="宋体" w:hAnsi="宋体" w:cs="宋体" w:eastAsia="宋体" w:hint="default"/>
          <w:b/>
          <w:bCs/>
          <w:w w:val="99"/>
          <w:sz w:val="28"/>
          <w:szCs w:val="28"/>
        </w:rPr>
        <w:t> </w:t>
      </w:r>
      <w:r>
        <w:rPr>
          <w:rFonts w:ascii="宋体" w:hAnsi="宋体" w:cs="宋体" w:eastAsia="宋体" w:hint="default"/>
          <w:spacing w:val="-5"/>
          <w:sz w:val="28"/>
          <w:szCs w:val="28"/>
        </w:rPr>
        <w:t>工学博士，北京交通大学教授、博士生导师，北京交通大学轨道</w:t>
      </w:r>
    </w:p>
    <w:p>
      <w:pPr>
        <w:pStyle w:val="Heading3"/>
        <w:spacing w:line="326" w:lineRule="auto"/>
        <w:ind w:right="98"/>
        <w:jc w:val="left"/>
      </w:pPr>
      <w:r>
        <w:rPr/>
        <w:t>交通控制与安全国家重点实验室主任，国家“</w:t>
      </w:r>
      <w:r>
        <w:rPr>
          <w:rFonts w:ascii="宋体" w:hAnsi="宋体" w:cs="宋体" w:eastAsia="宋体" w:hint="default"/>
        </w:rPr>
        <w:t>863</w:t>
      </w:r>
      <w:r>
        <w:rPr/>
        <w:t>”计划现代交通技</w:t>
      </w:r>
      <w:r>
        <w:rPr>
          <w:spacing w:val="-90"/>
        </w:rPr>
        <w:t> </w:t>
      </w:r>
      <w:r>
        <w:rPr>
          <w:spacing w:val="-90"/>
        </w:rPr>
      </w:r>
      <w:r>
        <w:rPr/>
        <w:t>术领域专家组组长，</w:t>
      </w:r>
      <w:r>
        <w:rPr>
          <w:rFonts w:ascii="宋体" w:hAnsi="宋体" w:cs="宋体" w:eastAsia="宋体" w:hint="default"/>
        </w:rPr>
        <w:t>IEEE</w:t>
      </w:r>
      <w:r>
        <w:rPr>
          <w:rFonts w:ascii="宋体" w:hAnsi="宋体" w:cs="宋体" w:eastAsia="宋体" w:hint="default"/>
          <w:spacing w:val="-5"/>
        </w:rPr>
        <w:t> </w:t>
      </w:r>
      <w:r>
        <w:rPr>
          <w:rFonts w:ascii="宋体" w:hAnsi="宋体" w:cs="宋体" w:eastAsia="宋体" w:hint="default"/>
        </w:rPr>
        <w:t>SMC</w:t>
      </w:r>
      <w:r>
        <w:rPr>
          <w:rFonts w:ascii="宋体" w:hAnsi="宋体" w:cs="宋体" w:eastAsia="宋体" w:hint="default"/>
          <w:spacing w:val="-73"/>
        </w:rPr>
        <w:t> </w:t>
      </w:r>
      <w:r>
        <w:rPr/>
        <w:t>学会成员。北京交通大学“</w:t>
      </w:r>
      <w:r>
        <w:rPr>
          <w:rFonts w:ascii="宋体" w:hAnsi="宋体" w:cs="宋体" w:eastAsia="宋体" w:hint="default"/>
        </w:rPr>
        <w:t>211</w:t>
      </w:r>
      <w:r>
        <w:rPr>
          <w:rFonts w:ascii="宋体" w:hAnsi="宋体" w:cs="宋体" w:eastAsia="宋体" w:hint="default"/>
          <w:spacing w:val="-72"/>
        </w:rPr>
        <w:t> </w:t>
      </w:r>
      <w:r>
        <w:rPr/>
        <w:t>工程”</w:t>
      </w:r>
      <w:r>
        <w:rPr>
          <w:w w:val="100"/>
        </w:rPr>
        <w:t> </w:t>
      </w:r>
      <w:r>
        <w:rPr>
          <w:spacing w:val="-4"/>
        </w:rPr>
        <w:t>重点建设项目之一“交通信息工程与控制”负责人，国家级重点学科</w:t>
      </w:r>
      <w:r>
        <w:rPr>
          <w:spacing w:val="-113"/>
        </w:rPr>
        <w:t> </w:t>
      </w:r>
      <w:r>
        <w:rPr>
          <w:spacing w:val="-113"/>
        </w:rPr>
      </w:r>
      <w:r>
        <w:rPr>
          <w:spacing w:val="-4"/>
        </w:rPr>
        <w:t>“交通信息工程及控制”学科带头人，铁道部重点实验室“铁路运输</w:t>
      </w:r>
      <w:r>
        <w:rPr>
          <w:spacing w:val="-113"/>
        </w:rPr>
        <w:t> </w:t>
      </w:r>
      <w:r>
        <w:rPr>
          <w:spacing w:val="-113"/>
        </w:rPr>
      </w:r>
      <w:r>
        <w:rPr>
          <w:spacing w:val="-4"/>
        </w:rPr>
        <w:t>自动化与控制实验室”主任，北京市开放实验室“城市轨道交通自动</w:t>
      </w:r>
      <w:r>
        <w:rPr>
          <w:spacing w:val="-113"/>
        </w:rPr>
        <w:t> </w:t>
      </w:r>
      <w:r>
        <w:rPr>
          <w:spacing w:val="-113"/>
        </w:rPr>
      </w:r>
      <w:r>
        <w:rPr>
          <w:spacing w:val="-4"/>
        </w:rPr>
        <w:t>化与控制实验室”主任。中国自动学会教育专业委员会委员、中国铁</w:t>
      </w:r>
      <w:r>
        <w:rPr>
          <w:spacing w:val="-113"/>
        </w:rPr>
        <w:t> </w:t>
      </w:r>
      <w:r>
        <w:rPr>
          <w:spacing w:val="-113"/>
        </w:rPr>
      </w:r>
      <w:r>
        <w:rPr>
          <w:spacing w:val="-1"/>
        </w:rPr>
        <w:t>道学会自动化委员会委员、国家发改委地铁设备国产化专家组成员、</w:t>
      </w:r>
      <w:r>
        <w:rPr>
          <w:spacing w:val="-116"/>
        </w:rPr>
        <w:t> </w:t>
      </w:r>
      <w:r>
        <w:rPr>
          <w:spacing w:val="-116"/>
        </w:rPr>
      </w:r>
      <w:r>
        <w:rPr>
          <w:spacing w:val="-4"/>
        </w:rPr>
        <w:t>北京市城市轨道交通建设专家委员会成员。主要研究方向为高速列车</w:t>
      </w:r>
    </w:p>
    <w:p>
      <w:pPr>
        <w:spacing w:after="0" w:line="326" w:lineRule="auto"/>
        <w:jc w:val="left"/>
        <w:sectPr>
          <w:headerReference w:type="default" r:id="rId16"/>
          <w:pgSz w:w="11910" w:h="16840"/>
          <w:pgMar w:header="624" w:footer="1045" w:top="1240" w:bottom="1240" w:left="1660" w:right="1600"/>
        </w:sectPr>
      </w:pPr>
    </w:p>
    <w:p>
      <w:pPr>
        <w:pStyle w:val="Heading3"/>
        <w:spacing w:line="240" w:lineRule="auto" w:before="73"/>
        <w:ind w:right="0"/>
        <w:jc w:val="both"/>
        <w:rPr>
          <w:rFonts w:ascii="宋体" w:hAnsi="宋体" w:cs="宋体" w:eastAsia="宋体" w:hint="default"/>
        </w:rPr>
      </w:pPr>
      <w:r>
        <w:rPr/>
        <w:t>运行控制系统、城市轨道交通列车控制、智能控制理论。</w:t>
      </w:r>
      <w:r>
        <w:rPr>
          <w:rFonts w:ascii="宋体" w:hAnsi="宋体" w:cs="宋体" w:eastAsia="宋体" w:hint="default"/>
        </w:rPr>
        <w:t>2000 </w:t>
      </w:r>
      <w:r>
        <w:rPr/>
        <w:t>年</w:t>
      </w:r>
      <w:r>
        <w:rPr>
          <w:spacing w:val="49"/>
        </w:rPr>
        <w:t> </w:t>
      </w:r>
      <w:r>
        <w:rPr>
          <w:rFonts w:ascii="宋体" w:hAnsi="宋体" w:cs="宋体" w:eastAsia="宋体" w:hint="default"/>
        </w:rPr>
        <w:t>1</w:t>
      </w:r>
    </w:p>
    <w:p>
      <w:pPr>
        <w:pStyle w:val="Heading3"/>
        <w:spacing w:line="326" w:lineRule="auto" w:before="135"/>
        <w:ind w:right="251"/>
        <w:jc w:val="both"/>
      </w:pPr>
      <w:r>
        <w:rPr/>
        <w:t>月至</w:t>
      </w:r>
      <w:r>
        <w:rPr>
          <w:spacing w:val="-74"/>
        </w:rPr>
        <w:t> </w:t>
      </w:r>
      <w:r>
        <w:rPr>
          <w:rFonts w:ascii="宋体" w:hAnsi="宋体" w:cs="宋体" w:eastAsia="宋体" w:hint="default"/>
        </w:rPr>
        <w:t>2008</w:t>
      </w:r>
      <w:r>
        <w:rPr>
          <w:rFonts w:ascii="宋体" w:hAnsi="宋体" w:cs="宋体" w:eastAsia="宋体" w:hint="default"/>
          <w:spacing w:val="-73"/>
        </w:rPr>
        <w:t> </w:t>
      </w:r>
      <w:r>
        <w:rPr/>
        <w:t>年</w:t>
      </w:r>
      <w:r>
        <w:rPr>
          <w:spacing w:val="-76"/>
        </w:rPr>
        <w:t> </w:t>
      </w:r>
      <w:r>
        <w:rPr>
          <w:rFonts w:ascii="宋体" w:hAnsi="宋体" w:cs="宋体" w:eastAsia="宋体" w:hint="default"/>
        </w:rPr>
        <w:t>5</w:t>
      </w:r>
      <w:r>
        <w:rPr>
          <w:rFonts w:ascii="宋体" w:hAnsi="宋体" w:cs="宋体" w:eastAsia="宋体" w:hint="default"/>
          <w:spacing w:val="-73"/>
        </w:rPr>
        <w:t> </w:t>
      </w:r>
      <w:r>
        <w:rPr/>
        <w:t>月任北京交通大学铁路自动化专业教授；</w:t>
      </w:r>
      <w:r>
        <w:rPr>
          <w:rFonts w:ascii="宋体" w:hAnsi="宋体" w:cs="宋体" w:eastAsia="宋体" w:hint="default"/>
        </w:rPr>
        <w:t>2008</w:t>
      </w:r>
      <w:r>
        <w:rPr>
          <w:rFonts w:ascii="宋体" w:hAnsi="宋体" w:cs="宋体" w:eastAsia="宋体" w:hint="default"/>
          <w:spacing w:val="-73"/>
        </w:rPr>
        <w:t> </w:t>
      </w:r>
      <w:r>
        <w:rPr/>
        <w:t>年</w:t>
      </w:r>
      <w:r>
        <w:rPr>
          <w:spacing w:val="-74"/>
        </w:rPr>
        <w:t> </w:t>
      </w:r>
      <w:r>
        <w:rPr>
          <w:rFonts w:ascii="宋体" w:hAnsi="宋体" w:cs="宋体" w:eastAsia="宋体" w:hint="default"/>
        </w:rPr>
        <w:t>6</w:t>
      </w:r>
      <w:r>
        <w:rPr>
          <w:rFonts w:ascii="宋体" w:hAnsi="宋体" w:cs="宋体" w:eastAsia="宋体" w:hint="default"/>
          <w:spacing w:val="-75"/>
        </w:rPr>
        <w:t> </w:t>
      </w:r>
      <w:r>
        <w:rPr/>
        <w:t>月</w:t>
      </w:r>
      <w:r>
        <w:rPr>
          <w:w w:val="100"/>
        </w:rPr>
        <w:t> </w:t>
      </w:r>
      <w:r>
        <w:rPr>
          <w:spacing w:val="-4"/>
        </w:rPr>
        <w:t>至今任北京交通大学轨道交通控制与安全国家重点实验室主任；</w:t>
      </w:r>
      <w:r>
        <w:rPr>
          <w:rFonts w:ascii="宋体" w:hAnsi="宋体" w:cs="宋体" w:eastAsia="宋体" w:hint="default"/>
          <w:spacing w:val="-4"/>
        </w:rPr>
        <w:t>2009</w:t>
      </w:r>
      <w:r>
        <w:rPr>
          <w:rFonts w:ascii="宋体" w:hAnsi="宋体" w:cs="宋体" w:eastAsia="宋体" w:hint="default"/>
          <w:spacing w:val="-108"/>
        </w:rPr>
        <w:t> </w:t>
      </w:r>
      <w:r>
        <w:rPr>
          <w:rFonts w:ascii="宋体" w:hAnsi="宋体" w:cs="宋体" w:eastAsia="宋体" w:hint="default"/>
          <w:spacing w:val="-108"/>
        </w:rPr>
      </w:r>
      <w:r>
        <w:rPr/>
        <w:t>年至今任北京交控科技有限公司董事长。</w:t>
      </w:r>
      <w:r>
        <w:rPr>
          <w:rFonts w:ascii="宋体" w:hAnsi="宋体" w:cs="宋体" w:eastAsia="宋体" w:hint="default"/>
        </w:rPr>
        <w:t>2010</w:t>
      </w:r>
      <w:r>
        <w:rPr>
          <w:rFonts w:ascii="宋体" w:hAnsi="宋体" w:cs="宋体" w:eastAsia="宋体" w:hint="default"/>
          <w:spacing w:val="-78"/>
        </w:rPr>
        <w:t> </w:t>
      </w:r>
      <w:r>
        <w:rPr/>
        <w:t>年</w:t>
      </w:r>
      <w:r>
        <w:rPr>
          <w:spacing w:val="-80"/>
        </w:rPr>
        <w:t> </w:t>
      </w:r>
      <w:r>
        <w:rPr>
          <w:rFonts w:ascii="宋体" w:hAnsi="宋体" w:cs="宋体" w:eastAsia="宋体" w:hint="default"/>
        </w:rPr>
        <w:t>12</w:t>
      </w:r>
      <w:r>
        <w:rPr>
          <w:rFonts w:ascii="宋体" w:hAnsi="宋体" w:cs="宋体" w:eastAsia="宋体" w:hint="default"/>
          <w:spacing w:val="-79"/>
        </w:rPr>
        <w:t> </w:t>
      </w:r>
      <w:r>
        <w:rPr/>
        <w:t>月至今担任本公</w:t>
      </w:r>
      <w:r>
        <w:rPr>
          <w:w w:val="100"/>
        </w:rPr>
        <w:t> </w:t>
      </w:r>
      <w:r>
        <w:rPr/>
        <w:t>司独立董事。</w:t>
      </w:r>
    </w:p>
    <w:p>
      <w:pPr>
        <w:pStyle w:val="Heading2"/>
        <w:spacing w:line="240" w:lineRule="auto" w:before="32"/>
        <w:ind w:right="0"/>
        <w:jc w:val="both"/>
        <w:rPr>
          <w:b w:val="0"/>
          <w:bCs w:val="0"/>
        </w:rPr>
      </w:pPr>
      <w:r>
        <w:rPr/>
        <w:t>（</w:t>
      </w:r>
      <w:r>
        <w:rPr>
          <w:rFonts w:ascii="Book Antiqua" w:hAnsi="Book Antiqua" w:cs="Book Antiqua" w:eastAsia="Book Antiqua" w:hint="default"/>
        </w:rPr>
        <w:t>6</w:t>
      </w:r>
      <w:r>
        <w:rPr/>
        <w:t>）谭宪才先生，现任本公司独立董事</w:t>
      </w:r>
      <w:r>
        <w:rPr>
          <w:b w:val="0"/>
          <w:bCs w:val="0"/>
        </w:rPr>
      </w:r>
    </w:p>
    <w:p>
      <w:pPr>
        <w:pStyle w:val="Heading3"/>
        <w:spacing w:line="328" w:lineRule="auto" w:before="98"/>
        <w:ind w:right="248" w:firstLine="559"/>
        <w:jc w:val="both"/>
        <w:rPr>
          <w:rFonts w:ascii="宋体" w:hAnsi="宋体" w:cs="宋体" w:eastAsia="宋体" w:hint="default"/>
        </w:rPr>
      </w:pPr>
      <w:r>
        <w:rPr/>
        <w:t>中国注册会计师。</w:t>
      </w:r>
      <w:r>
        <w:rPr>
          <w:rFonts w:ascii="宋体" w:hAnsi="宋体" w:cs="宋体" w:eastAsia="宋体" w:hint="default"/>
        </w:rPr>
        <w:t>1982 </w:t>
      </w:r>
      <w:r>
        <w:rPr/>
        <w:t>年湖南商学院会计专业毕业，</w:t>
      </w:r>
      <w:r>
        <w:rPr>
          <w:rFonts w:ascii="宋体" w:hAnsi="宋体" w:cs="宋体" w:eastAsia="宋体" w:hint="default"/>
        </w:rPr>
        <w:t>2007</w:t>
      </w:r>
      <w:r>
        <w:rPr>
          <w:rFonts w:ascii="宋体" w:hAnsi="宋体" w:cs="宋体" w:eastAsia="宋体" w:hint="default"/>
          <w:spacing w:val="-91"/>
        </w:rPr>
        <w:t> </w:t>
      </w:r>
      <w:r>
        <w:rPr/>
        <w:t>年清</w:t>
      </w:r>
      <w:r>
        <w:rPr>
          <w:w w:val="100"/>
        </w:rPr>
        <w:t> </w:t>
      </w:r>
      <w:r>
        <w:rPr>
          <w:spacing w:val="-4"/>
        </w:rPr>
        <w:t>华大学高级管理人员工商管理专业毕业，获硕士学位，全国会计领军</w:t>
      </w:r>
      <w:r>
        <w:rPr>
          <w:spacing w:val="-116"/>
        </w:rPr>
        <w:t> </w:t>
      </w:r>
      <w:r>
        <w:rPr>
          <w:spacing w:val="-116"/>
        </w:rPr>
      </w:r>
      <w:r>
        <w:rPr>
          <w:spacing w:val="-8"/>
          <w:w w:val="100"/>
        </w:rPr>
        <w:t>人才主任会计师班第二期学院，</w:t>
      </w:r>
      <w:r>
        <w:rPr>
          <w:rFonts w:ascii="宋体" w:hAnsi="宋体" w:cs="宋体" w:eastAsia="宋体" w:hint="default"/>
          <w:spacing w:val="-8"/>
          <w:w w:val="100"/>
        </w:rPr>
        <w:t>2005</w:t>
      </w:r>
      <w:r>
        <w:rPr>
          <w:rFonts w:ascii="宋体" w:hAnsi="宋体" w:cs="宋体" w:eastAsia="宋体" w:hint="default"/>
          <w:spacing w:val="-63"/>
          <w:w w:val="100"/>
        </w:rPr>
        <w:t> </w:t>
      </w:r>
      <w:r>
        <w:rPr>
          <w:spacing w:val="-11"/>
          <w:w w:val="100"/>
        </w:rPr>
        <w:t>年全国优秀会计工作者。从</w:t>
      </w:r>
      <w:r>
        <w:rPr>
          <w:spacing w:val="-61"/>
          <w:w w:val="100"/>
        </w:rPr>
        <w:t> </w:t>
      </w:r>
      <w:r>
        <w:rPr>
          <w:rFonts w:ascii="宋体" w:hAnsi="宋体" w:cs="宋体" w:eastAsia="宋体" w:hint="default"/>
          <w:spacing w:val="-1"/>
          <w:w w:val="100"/>
        </w:rPr>
        <w:t>1993</w:t>
      </w:r>
    </w:p>
    <w:p>
      <w:pPr>
        <w:pStyle w:val="Heading3"/>
        <w:spacing w:line="240" w:lineRule="auto"/>
        <w:ind w:right="0"/>
        <w:jc w:val="both"/>
        <w:rPr>
          <w:rFonts w:ascii="宋体" w:hAnsi="宋体" w:cs="宋体" w:eastAsia="宋体" w:hint="default"/>
        </w:rPr>
      </w:pPr>
      <w:r>
        <w:rPr/>
        <w:t>年至 </w:t>
      </w:r>
      <w:r>
        <w:rPr>
          <w:rFonts w:ascii="宋体" w:hAnsi="宋体" w:cs="宋体" w:eastAsia="宋体" w:hint="default"/>
        </w:rPr>
        <w:t>2009</w:t>
      </w:r>
      <w:r>
        <w:rPr>
          <w:rFonts w:ascii="宋体" w:hAnsi="宋体" w:cs="宋体" w:eastAsia="宋体" w:hint="default"/>
          <w:spacing w:val="-99"/>
        </w:rPr>
        <w:t> </w:t>
      </w:r>
      <w:r>
        <w:rPr/>
        <w:t>年担任湖南天华会计师事务所董事长、主任会计师，</w:t>
      </w:r>
      <w:r>
        <w:rPr>
          <w:rFonts w:ascii="宋体" w:hAnsi="宋体" w:cs="宋体" w:eastAsia="宋体" w:hint="default"/>
        </w:rPr>
        <w:t>2001</w:t>
      </w:r>
    </w:p>
    <w:p>
      <w:pPr>
        <w:pStyle w:val="Heading3"/>
        <w:spacing w:line="326" w:lineRule="auto" w:before="135"/>
        <w:ind w:right="167"/>
        <w:jc w:val="both"/>
      </w:pPr>
      <w:r>
        <w:rPr/>
        <w:t>年</w:t>
      </w:r>
      <w:r>
        <w:rPr>
          <w:spacing w:val="-75"/>
        </w:rPr>
        <w:t> </w:t>
      </w:r>
      <w:r>
        <w:rPr>
          <w:rFonts w:ascii="宋体" w:hAnsi="宋体" w:cs="宋体" w:eastAsia="宋体" w:hint="default"/>
        </w:rPr>
        <w:t>8</w:t>
      </w:r>
      <w:r>
        <w:rPr>
          <w:rFonts w:ascii="宋体" w:hAnsi="宋体" w:cs="宋体" w:eastAsia="宋体" w:hint="default"/>
          <w:spacing w:val="-74"/>
        </w:rPr>
        <w:t> </w:t>
      </w:r>
      <w:r>
        <w:rPr/>
        <w:t>月</w:t>
      </w:r>
      <w:r>
        <w:rPr>
          <w:rFonts w:ascii="宋体" w:hAnsi="宋体" w:cs="宋体" w:eastAsia="宋体" w:hint="default"/>
        </w:rPr>
        <w:t>-2007</w:t>
      </w:r>
      <w:r>
        <w:rPr>
          <w:rFonts w:ascii="宋体" w:hAnsi="宋体" w:cs="宋体" w:eastAsia="宋体" w:hint="default"/>
          <w:spacing w:val="-73"/>
        </w:rPr>
        <w:t> </w:t>
      </w:r>
      <w:r>
        <w:rPr/>
        <w:t>年</w:t>
      </w:r>
      <w:r>
        <w:rPr>
          <w:spacing w:val="-77"/>
        </w:rPr>
        <w:t> </w:t>
      </w:r>
      <w:r>
        <w:rPr>
          <w:rFonts w:ascii="宋体" w:hAnsi="宋体" w:cs="宋体" w:eastAsia="宋体" w:hint="default"/>
        </w:rPr>
        <w:t>8</w:t>
      </w:r>
      <w:r>
        <w:rPr>
          <w:rFonts w:ascii="宋体" w:hAnsi="宋体" w:cs="宋体" w:eastAsia="宋体" w:hint="default"/>
          <w:spacing w:val="-73"/>
        </w:rPr>
        <w:t> </w:t>
      </w:r>
      <w:r>
        <w:rPr/>
        <w:t>月，担任株洲时代新材料科技股份有限公司独立董</w:t>
      </w:r>
      <w:r>
        <w:rPr>
          <w:w w:val="100"/>
        </w:rPr>
        <w:t> </w:t>
      </w:r>
      <w:r>
        <w:rPr>
          <w:spacing w:val="-3"/>
        </w:rPr>
        <w:t>事；</w:t>
      </w:r>
      <w:r>
        <w:rPr>
          <w:rFonts w:ascii="宋体" w:hAnsi="宋体" w:cs="宋体" w:eastAsia="宋体" w:hint="default"/>
          <w:spacing w:val="-3"/>
        </w:rPr>
        <w:t>2007</w:t>
      </w:r>
      <w:r>
        <w:rPr>
          <w:rFonts w:ascii="宋体" w:hAnsi="宋体" w:cs="宋体" w:eastAsia="宋体" w:hint="default"/>
          <w:spacing w:val="-70"/>
        </w:rPr>
        <w:t> </w:t>
      </w:r>
      <w:r>
        <w:rPr/>
        <w:t>年</w:t>
      </w:r>
      <w:r>
        <w:rPr>
          <w:spacing w:val="-74"/>
        </w:rPr>
        <w:t> </w:t>
      </w:r>
      <w:r>
        <w:rPr>
          <w:rFonts w:ascii="宋体" w:hAnsi="宋体" w:cs="宋体" w:eastAsia="宋体" w:hint="default"/>
        </w:rPr>
        <w:t>11</w:t>
      </w:r>
      <w:r>
        <w:rPr>
          <w:rFonts w:ascii="宋体" w:hAnsi="宋体" w:cs="宋体" w:eastAsia="宋体" w:hint="default"/>
          <w:spacing w:val="-73"/>
        </w:rPr>
        <w:t> </w:t>
      </w:r>
      <w:r>
        <w:rPr/>
        <w:t>月至今，担任深圳易方数码科技股份有限公司独立董</w:t>
      </w:r>
      <w:r>
        <w:rPr>
          <w:w w:val="100"/>
        </w:rPr>
        <w:t> </w:t>
      </w:r>
      <w:r>
        <w:rPr/>
        <w:t>事；</w:t>
      </w:r>
      <w:r>
        <w:rPr>
          <w:rFonts w:ascii="宋体" w:hAnsi="宋体" w:cs="宋体" w:eastAsia="宋体" w:hint="default"/>
        </w:rPr>
        <w:t>2009</w:t>
      </w:r>
      <w:r>
        <w:rPr>
          <w:rFonts w:ascii="宋体" w:hAnsi="宋体" w:cs="宋体" w:eastAsia="宋体" w:hint="default"/>
          <w:spacing w:val="-62"/>
        </w:rPr>
        <w:t> </w:t>
      </w:r>
      <w:r>
        <w:rPr/>
        <w:t>年</w:t>
      </w:r>
      <w:r>
        <w:rPr>
          <w:spacing w:val="-66"/>
        </w:rPr>
        <w:t> </w:t>
      </w:r>
      <w:r>
        <w:rPr>
          <w:rFonts w:ascii="宋体" w:hAnsi="宋体" w:cs="宋体" w:eastAsia="宋体" w:hint="default"/>
        </w:rPr>
        <w:t>1</w:t>
      </w:r>
      <w:r>
        <w:rPr>
          <w:rFonts w:ascii="宋体" w:hAnsi="宋体" w:cs="宋体" w:eastAsia="宋体" w:hint="default"/>
          <w:spacing w:val="-62"/>
        </w:rPr>
        <w:t> </w:t>
      </w:r>
      <w:r>
        <w:rPr/>
        <w:t>月</w:t>
      </w:r>
      <w:r>
        <w:rPr>
          <w:rFonts w:ascii="宋体" w:hAnsi="宋体" w:cs="宋体" w:eastAsia="宋体" w:hint="default"/>
        </w:rPr>
        <w:t>-2009</w:t>
      </w:r>
      <w:r>
        <w:rPr>
          <w:rFonts w:ascii="宋体" w:hAnsi="宋体" w:cs="宋体" w:eastAsia="宋体" w:hint="default"/>
          <w:spacing w:val="-64"/>
        </w:rPr>
        <w:t> </w:t>
      </w:r>
      <w:r>
        <w:rPr/>
        <w:t>年</w:t>
      </w:r>
      <w:r>
        <w:rPr>
          <w:spacing w:val="-63"/>
        </w:rPr>
        <w:t> </w:t>
      </w:r>
      <w:r>
        <w:rPr>
          <w:rFonts w:ascii="宋体" w:hAnsi="宋体" w:cs="宋体" w:eastAsia="宋体" w:hint="default"/>
        </w:rPr>
        <w:t>10</w:t>
      </w:r>
      <w:r>
        <w:rPr>
          <w:rFonts w:ascii="宋体" w:hAnsi="宋体" w:cs="宋体" w:eastAsia="宋体" w:hint="default"/>
          <w:spacing w:val="-64"/>
        </w:rPr>
        <w:t> </w:t>
      </w:r>
      <w:r>
        <w:rPr/>
        <w:t>月，担任北京大公天华会计师事务所董</w:t>
      </w:r>
      <w:r>
        <w:rPr>
          <w:w w:val="100"/>
        </w:rPr>
        <w:t> </w:t>
      </w:r>
      <w:r>
        <w:rPr/>
        <w:t>事长。</w:t>
      </w:r>
      <w:r>
        <w:rPr>
          <w:rFonts w:ascii="宋体" w:hAnsi="宋体" w:cs="宋体" w:eastAsia="宋体" w:hint="default"/>
        </w:rPr>
        <w:t>2009</w:t>
      </w:r>
      <w:r>
        <w:rPr>
          <w:rFonts w:ascii="宋体" w:hAnsi="宋体" w:cs="宋体" w:eastAsia="宋体" w:hint="default"/>
          <w:spacing w:val="-73"/>
        </w:rPr>
        <w:t> </w:t>
      </w:r>
      <w:r>
        <w:rPr/>
        <w:t>年</w:t>
      </w:r>
      <w:r>
        <w:rPr>
          <w:spacing w:val="-73"/>
        </w:rPr>
        <w:t> </w:t>
      </w:r>
      <w:r>
        <w:rPr>
          <w:rFonts w:ascii="宋体" w:hAnsi="宋体" w:cs="宋体" w:eastAsia="宋体" w:hint="default"/>
        </w:rPr>
        <w:t>10</w:t>
      </w:r>
      <w:r>
        <w:rPr>
          <w:rFonts w:ascii="宋体" w:hAnsi="宋体" w:cs="宋体" w:eastAsia="宋体" w:hint="default"/>
          <w:spacing w:val="-71"/>
        </w:rPr>
        <w:t> </w:t>
      </w:r>
      <w:r>
        <w:rPr/>
        <w:t>月至今担任天职国际会计师事务所合伙人、董事、</w:t>
      </w:r>
      <w:r>
        <w:rPr>
          <w:w w:val="100"/>
        </w:rPr>
        <w:t> </w:t>
      </w:r>
      <w:r>
        <w:rPr>
          <w:spacing w:val="-4"/>
        </w:rPr>
        <w:t>总经理。目前担任财政部企业内部控制标准委员会咨询专家，中国注</w:t>
      </w:r>
      <w:r>
        <w:rPr>
          <w:spacing w:val="-113"/>
        </w:rPr>
        <w:t> </w:t>
      </w:r>
      <w:r>
        <w:rPr>
          <w:spacing w:val="-113"/>
        </w:rPr>
      </w:r>
      <w:r>
        <w:rPr>
          <w:spacing w:val="-4"/>
        </w:rPr>
        <w:t>册会计师协会会计师事务所内部治理指导委员会会员，中国注册会计</w:t>
      </w:r>
      <w:r>
        <w:rPr>
          <w:spacing w:val="-115"/>
        </w:rPr>
        <w:t> </w:t>
      </w:r>
      <w:r>
        <w:rPr>
          <w:spacing w:val="-115"/>
        </w:rPr>
      </w:r>
      <w:r>
        <w:rPr>
          <w:spacing w:val="-1"/>
        </w:rPr>
        <w:t>师协会理事、维权委员会委员，全国工商联执委，湖南省政协委员，</w:t>
      </w:r>
      <w:r>
        <w:rPr>
          <w:spacing w:val="-116"/>
        </w:rPr>
        <w:t> </w:t>
      </w:r>
      <w:r>
        <w:rPr>
          <w:spacing w:val="-116"/>
        </w:rPr>
      </w:r>
      <w:r>
        <w:rPr>
          <w:spacing w:val="-4"/>
        </w:rPr>
        <w:t>湖南省注册会计师协会副会长，湖南省注协、评协党委副书记。</w:t>
      </w:r>
      <w:r>
        <w:rPr>
          <w:rFonts w:ascii="宋体" w:hAnsi="宋体" w:cs="宋体" w:eastAsia="宋体" w:hint="default"/>
          <w:spacing w:val="-4"/>
        </w:rPr>
        <w:t>2010</w:t>
      </w:r>
      <w:r>
        <w:rPr>
          <w:rFonts w:ascii="宋体" w:hAnsi="宋体" w:cs="宋体" w:eastAsia="宋体" w:hint="default"/>
          <w:spacing w:val="-106"/>
        </w:rPr>
        <w:t> </w:t>
      </w:r>
      <w:r>
        <w:rPr>
          <w:rFonts w:ascii="宋体" w:hAnsi="宋体" w:cs="宋体" w:eastAsia="宋体" w:hint="default"/>
          <w:spacing w:val="-106"/>
        </w:rPr>
      </w:r>
      <w:r>
        <w:rPr/>
        <w:t>年</w:t>
      </w:r>
      <w:r>
        <w:rPr>
          <w:spacing w:val="-69"/>
        </w:rPr>
        <w:t> </w:t>
      </w:r>
      <w:r>
        <w:rPr>
          <w:rFonts w:ascii="宋体" w:hAnsi="宋体" w:cs="宋体" w:eastAsia="宋体" w:hint="default"/>
        </w:rPr>
        <w:t>12</w:t>
      </w:r>
      <w:r>
        <w:rPr>
          <w:rFonts w:ascii="宋体" w:hAnsi="宋体" w:cs="宋体" w:eastAsia="宋体" w:hint="default"/>
          <w:spacing w:val="-70"/>
        </w:rPr>
        <w:t> </w:t>
      </w:r>
      <w:r>
        <w:rPr/>
        <w:t>月至今担任本公司独立董事。</w:t>
      </w:r>
    </w:p>
    <w:p>
      <w:pPr>
        <w:spacing w:line="297" w:lineRule="auto" w:before="34"/>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w:t>
      </w:r>
      <w:r>
        <w:rPr>
          <w:rFonts w:ascii="Book Antiqua" w:hAnsi="Book Antiqua" w:cs="Book Antiqua" w:eastAsia="Book Antiqua" w:hint="default"/>
          <w:b/>
          <w:bCs/>
          <w:sz w:val="28"/>
          <w:szCs w:val="28"/>
        </w:rPr>
        <w:t>6</w:t>
      </w:r>
      <w:r>
        <w:rPr>
          <w:rFonts w:ascii="宋体" w:hAnsi="宋体" w:cs="宋体" w:eastAsia="宋体" w:hint="default"/>
          <w:b/>
          <w:bCs/>
          <w:sz w:val="28"/>
          <w:szCs w:val="28"/>
        </w:rPr>
        <w:t>）蒋承先生，现任本公司独立董事</w:t>
      </w:r>
      <w:r>
        <w:rPr>
          <w:rFonts w:ascii="宋体" w:hAnsi="宋体" w:cs="宋体" w:eastAsia="宋体" w:hint="default"/>
          <w:b/>
          <w:bCs/>
          <w:w w:val="99"/>
          <w:sz w:val="28"/>
          <w:szCs w:val="28"/>
        </w:rPr>
        <w:t> </w:t>
      </w:r>
      <w:r>
        <w:rPr>
          <w:rFonts w:ascii="宋体" w:hAnsi="宋体" w:cs="宋体" w:eastAsia="宋体" w:hint="default"/>
          <w:spacing w:val="5"/>
          <w:sz w:val="28"/>
          <w:szCs w:val="28"/>
        </w:rPr>
        <w:t>光华管理学院博士后研究员，曾任第三、五届“中国经济学年</w:t>
      </w:r>
    </w:p>
    <w:p>
      <w:pPr>
        <w:pStyle w:val="Heading3"/>
        <w:spacing w:line="326" w:lineRule="auto" w:before="65"/>
        <w:ind w:right="106"/>
        <w:jc w:val="left"/>
      </w:pPr>
      <w:r>
        <w:rPr>
          <w:spacing w:val="-17"/>
          <w:w w:val="100"/>
        </w:rPr>
        <w:t>会”分会场主席，《经济学季刊》（国内经济学顶级学术刊物）审稿人，</w:t>
      </w:r>
      <w:r>
        <w:rPr>
          <w:spacing w:val="-135"/>
          <w:w w:val="100"/>
        </w:rPr>
        <w:t> </w:t>
      </w:r>
      <w:r>
        <w:rPr>
          <w:spacing w:val="-135"/>
          <w:w w:val="100"/>
        </w:rPr>
      </w:r>
      <w:r>
        <w:rPr>
          <w:spacing w:val="-4"/>
          <w:w w:val="100"/>
        </w:rPr>
        <w:t>北京大学中国经济研究中心研究生会学术部部长、《研究生学刊》主</w:t>
      </w:r>
      <w:r>
        <w:rPr>
          <w:w w:val="100"/>
        </w:rPr>
        <w:t> </w:t>
      </w:r>
      <w:r>
        <w:rPr>
          <w:spacing w:val="-4"/>
        </w:rPr>
        <w:t>编，北京大学中国经济研究中心研究生会主席，北京大学博士生学术</w:t>
      </w:r>
      <w:r>
        <w:rPr>
          <w:spacing w:val="-113"/>
        </w:rPr>
        <w:t> </w:t>
      </w:r>
      <w:r>
        <w:rPr>
          <w:spacing w:val="-113"/>
        </w:rPr>
      </w:r>
      <w:r>
        <w:rPr/>
        <w:t>联谊会理事长，北京大学研究生会副主席，安徽省天长市市长助理，</w:t>
      </w:r>
      <w:r>
        <w:rPr>
          <w:w w:val="100"/>
        </w:rPr>
        <w:t> </w:t>
      </w:r>
      <w:r>
        <w:rPr/>
        <w:t>中央财经大学中国经济与管理研究院兼职教师讲授金融学、投资学、</w:t>
      </w:r>
      <w:r>
        <w:rPr>
          <w:w w:val="100"/>
        </w:rPr>
        <w:t> </w:t>
      </w:r>
      <w:r>
        <w:rPr>
          <w:spacing w:val="-4"/>
        </w:rPr>
        <w:t>宏观经济学课程，北京大学光华管理学院博士后联合会秘书长，北京</w:t>
      </w:r>
      <w:r>
        <w:rPr>
          <w:spacing w:val="-110"/>
        </w:rPr>
        <w:t> </w:t>
      </w:r>
      <w:r>
        <w:rPr>
          <w:spacing w:val="-110"/>
        </w:rPr>
      </w:r>
      <w:r>
        <w:rPr>
          <w:spacing w:val="-4"/>
        </w:rPr>
        <w:t>大学经济学院交通能源金融与经济研究所研究员，曾负责多个省级高</w:t>
      </w:r>
    </w:p>
    <w:p>
      <w:pPr>
        <w:spacing w:after="0" w:line="326" w:lineRule="auto"/>
        <w:jc w:val="left"/>
        <w:sectPr>
          <w:pgSz w:w="11910" w:h="16840"/>
          <w:pgMar w:header="624" w:footer="1045" w:top="1240" w:bottom="1240" w:left="1660" w:right="1540"/>
        </w:sectPr>
      </w:pPr>
    </w:p>
    <w:p>
      <w:pPr>
        <w:pStyle w:val="Heading3"/>
        <w:spacing w:line="328" w:lineRule="auto" w:before="73"/>
        <w:ind w:right="254"/>
        <w:jc w:val="both"/>
      </w:pPr>
      <w:r>
        <w:rPr>
          <w:spacing w:val="-4"/>
        </w:rPr>
        <w:t>速公路企业的投融资和兼并购项目咨询。最近五年无在其他单位担任</w:t>
      </w:r>
      <w:r>
        <w:rPr>
          <w:spacing w:val="-113"/>
        </w:rPr>
        <w:t> </w:t>
      </w:r>
      <w:r>
        <w:rPr>
          <w:spacing w:val="-113"/>
        </w:rPr>
      </w:r>
      <w:r>
        <w:rPr/>
        <w:t>董事、监事、高级管理人员的情况。</w:t>
      </w:r>
    </w:p>
    <w:p>
      <w:pPr>
        <w:pStyle w:val="Heading2"/>
        <w:spacing w:line="240" w:lineRule="auto"/>
        <w:ind w:right="0"/>
        <w:jc w:val="both"/>
        <w:rPr>
          <w:b w:val="0"/>
          <w:bCs w:val="0"/>
        </w:rPr>
      </w:pPr>
      <w:r>
        <w:rPr>
          <w:rFonts w:ascii="宋体" w:hAnsi="宋体" w:cs="宋体" w:eastAsia="宋体" w:hint="default"/>
        </w:rPr>
        <w:t>2</w:t>
      </w:r>
      <w:r>
        <w:rPr/>
        <w:t>、监事会成员</w:t>
      </w:r>
      <w:r>
        <w:rPr>
          <w:b w:val="0"/>
          <w:bCs w:val="0"/>
        </w:rPr>
      </w:r>
    </w:p>
    <w:p>
      <w:pPr>
        <w:spacing w:line="300" w:lineRule="auto" w:before="132"/>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w:t>
      </w:r>
      <w:r>
        <w:rPr>
          <w:rFonts w:ascii="Book Antiqua" w:hAnsi="Book Antiqua" w:cs="Book Antiqua" w:eastAsia="Book Antiqua" w:hint="default"/>
          <w:b/>
          <w:bCs/>
          <w:sz w:val="28"/>
          <w:szCs w:val="28"/>
        </w:rPr>
        <w:t>1</w:t>
      </w:r>
      <w:r>
        <w:rPr>
          <w:rFonts w:ascii="宋体" w:hAnsi="宋体" w:cs="宋体" w:eastAsia="宋体" w:hint="default"/>
          <w:b/>
          <w:bCs/>
          <w:sz w:val="28"/>
          <w:szCs w:val="28"/>
        </w:rPr>
        <w:t>）李力先生，现任本公司监事会主席、北京分公司经理</w:t>
      </w:r>
      <w:r>
        <w:rPr>
          <w:rFonts w:ascii="宋体" w:hAnsi="宋体" w:cs="宋体" w:eastAsia="宋体" w:hint="default"/>
          <w:b/>
          <w:bCs/>
          <w:w w:val="99"/>
          <w:sz w:val="28"/>
          <w:szCs w:val="28"/>
        </w:rPr>
        <w:t> </w:t>
      </w:r>
      <w:r>
        <w:rPr>
          <w:rFonts w:ascii="宋体" w:hAnsi="宋体" w:cs="宋体" w:eastAsia="宋体" w:hint="default"/>
          <w:spacing w:val="-5"/>
          <w:sz w:val="28"/>
          <w:szCs w:val="28"/>
        </w:rPr>
        <w:t>毕业于哈尔滨工业大学电气工程系信息处理显示与识别专业，本</w:t>
      </w:r>
    </w:p>
    <w:p>
      <w:pPr>
        <w:pStyle w:val="Heading3"/>
        <w:spacing w:line="240" w:lineRule="auto" w:before="62"/>
        <w:ind w:right="0"/>
        <w:jc w:val="both"/>
        <w:rPr>
          <w:rFonts w:ascii="宋体" w:hAnsi="宋体" w:cs="宋体" w:eastAsia="宋体" w:hint="default"/>
        </w:rPr>
      </w:pPr>
      <w:r>
        <w:rPr>
          <w:spacing w:val="-15"/>
        </w:rPr>
        <w:t>科学历，助理工程师。</w:t>
      </w:r>
      <w:r>
        <w:rPr>
          <w:rFonts w:ascii="宋体" w:hAnsi="宋体" w:cs="宋体" w:eastAsia="宋体" w:hint="default"/>
          <w:spacing w:val="-15"/>
        </w:rPr>
        <w:t>2001</w:t>
      </w:r>
      <w:r>
        <w:rPr>
          <w:rFonts w:ascii="宋体" w:hAnsi="宋体" w:cs="宋体" w:eastAsia="宋体" w:hint="default"/>
          <w:spacing w:val="-66"/>
        </w:rPr>
        <w:t> </w:t>
      </w:r>
      <w:r>
        <w:rPr/>
        <w:t>年</w:t>
      </w:r>
      <w:r>
        <w:rPr>
          <w:spacing w:val="-71"/>
        </w:rPr>
        <w:t> </w:t>
      </w:r>
      <w:r>
        <w:rPr>
          <w:rFonts w:ascii="宋体" w:hAnsi="宋体" w:cs="宋体" w:eastAsia="宋体" w:hint="default"/>
        </w:rPr>
        <w:t>10</w:t>
      </w:r>
      <w:r>
        <w:rPr>
          <w:rFonts w:ascii="宋体" w:hAnsi="宋体" w:cs="宋体" w:eastAsia="宋体" w:hint="default"/>
          <w:spacing w:val="-68"/>
        </w:rPr>
        <w:t> </w:t>
      </w:r>
      <w:r>
        <w:rPr/>
        <w:t>月至</w:t>
      </w:r>
      <w:r>
        <w:rPr>
          <w:spacing w:val="-71"/>
        </w:rPr>
        <w:t> </w:t>
      </w:r>
      <w:r>
        <w:rPr>
          <w:rFonts w:ascii="宋体" w:hAnsi="宋体" w:cs="宋体" w:eastAsia="宋体" w:hint="default"/>
        </w:rPr>
        <w:t>2004</w:t>
      </w:r>
      <w:r>
        <w:rPr>
          <w:rFonts w:ascii="宋体" w:hAnsi="宋体" w:cs="宋体" w:eastAsia="宋体" w:hint="default"/>
          <w:spacing w:val="-66"/>
        </w:rPr>
        <w:t> </w:t>
      </w:r>
      <w:r>
        <w:rPr/>
        <w:t>年</w:t>
      </w:r>
      <w:r>
        <w:rPr>
          <w:spacing w:val="-71"/>
        </w:rPr>
        <w:t> </w:t>
      </w:r>
      <w:r>
        <w:rPr>
          <w:rFonts w:ascii="宋体" w:hAnsi="宋体" w:cs="宋体" w:eastAsia="宋体" w:hint="default"/>
        </w:rPr>
        <w:t>10</w:t>
      </w:r>
      <w:r>
        <w:rPr>
          <w:rFonts w:ascii="宋体" w:hAnsi="宋体" w:cs="宋体" w:eastAsia="宋体" w:hint="default"/>
          <w:spacing w:val="-70"/>
        </w:rPr>
        <w:t> </w:t>
      </w:r>
      <w:r>
        <w:rPr>
          <w:spacing w:val="-10"/>
        </w:rPr>
        <w:t>月任公司监事；</w:t>
      </w:r>
      <w:r>
        <w:rPr>
          <w:rFonts w:ascii="宋体" w:hAnsi="宋体" w:cs="宋体" w:eastAsia="宋体" w:hint="default"/>
          <w:spacing w:val="-10"/>
        </w:rPr>
        <w:t>2004</w:t>
      </w:r>
    </w:p>
    <w:p>
      <w:pPr>
        <w:pStyle w:val="Heading3"/>
        <w:spacing w:line="328" w:lineRule="auto" w:before="132"/>
        <w:ind w:right="252"/>
        <w:jc w:val="both"/>
      </w:pPr>
      <w:r>
        <w:rPr/>
        <w:t>年</w:t>
      </w:r>
      <w:r>
        <w:rPr>
          <w:spacing w:val="-75"/>
        </w:rPr>
        <w:t> </w:t>
      </w:r>
      <w:r>
        <w:rPr>
          <w:rFonts w:ascii="宋体" w:hAnsi="宋体" w:cs="宋体" w:eastAsia="宋体" w:hint="default"/>
        </w:rPr>
        <w:t>10</w:t>
      </w:r>
      <w:r>
        <w:rPr>
          <w:rFonts w:ascii="宋体" w:hAnsi="宋体" w:cs="宋体" w:eastAsia="宋体" w:hint="default"/>
          <w:spacing w:val="-76"/>
        </w:rPr>
        <w:t> </w:t>
      </w:r>
      <w:r>
        <w:rPr/>
        <w:t>月至今任公司监事会主席；</w:t>
      </w:r>
      <w:r>
        <w:rPr>
          <w:rFonts w:ascii="宋体" w:hAnsi="宋体" w:cs="宋体" w:eastAsia="宋体" w:hint="default"/>
        </w:rPr>
        <w:t>2002</w:t>
      </w:r>
      <w:r>
        <w:rPr>
          <w:rFonts w:ascii="宋体" w:hAnsi="宋体" w:cs="宋体" w:eastAsia="宋体" w:hint="default"/>
          <w:spacing w:val="-75"/>
        </w:rPr>
        <w:t> </w:t>
      </w:r>
      <w:r>
        <w:rPr/>
        <w:t>年</w:t>
      </w:r>
      <w:r>
        <w:rPr>
          <w:spacing w:val="-75"/>
        </w:rPr>
        <w:t> </w:t>
      </w:r>
      <w:r>
        <w:rPr>
          <w:rFonts w:ascii="宋体" w:hAnsi="宋体" w:cs="宋体" w:eastAsia="宋体" w:hint="default"/>
        </w:rPr>
        <w:t>3</w:t>
      </w:r>
      <w:r>
        <w:rPr>
          <w:rFonts w:ascii="宋体" w:hAnsi="宋体" w:cs="宋体" w:eastAsia="宋体" w:hint="default"/>
          <w:spacing w:val="-74"/>
        </w:rPr>
        <w:t> </w:t>
      </w:r>
      <w:r>
        <w:rPr/>
        <w:t>月至今兼任本公司北京分</w:t>
      </w:r>
      <w:r>
        <w:rPr>
          <w:w w:val="100"/>
        </w:rPr>
        <w:t> </w:t>
      </w:r>
      <w:r>
        <w:rPr>
          <w:spacing w:val="-4"/>
        </w:rPr>
        <w:t>公司经理。最近五年无在其他单位担任董事、监事、高级管理人员的</w:t>
      </w:r>
      <w:r>
        <w:rPr>
          <w:spacing w:val="-113"/>
        </w:rPr>
        <w:t> </w:t>
      </w:r>
      <w:r>
        <w:rPr>
          <w:spacing w:val="-113"/>
        </w:rPr>
      </w:r>
      <w:r>
        <w:rPr/>
        <w:t>情况。</w:t>
      </w:r>
    </w:p>
    <w:p>
      <w:pPr>
        <w:spacing w:line="300" w:lineRule="auto" w:before="29"/>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w:t>
      </w:r>
      <w:r>
        <w:rPr>
          <w:rFonts w:ascii="Book Antiqua" w:hAnsi="Book Antiqua" w:cs="Book Antiqua" w:eastAsia="Book Antiqua" w:hint="default"/>
          <w:b/>
          <w:bCs/>
          <w:sz w:val="28"/>
          <w:szCs w:val="28"/>
        </w:rPr>
        <w:t>2</w:t>
      </w:r>
      <w:r>
        <w:rPr>
          <w:rFonts w:ascii="宋体" w:hAnsi="宋体" w:cs="宋体" w:eastAsia="宋体" w:hint="default"/>
          <w:b/>
          <w:bCs/>
          <w:sz w:val="28"/>
          <w:szCs w:val="28"/>
        </w:rPr>
        <w:t>）苗卫东先生，现任公司监事、技术监察</w:t>
      </w:r>
      <w:r>
        <w:rPr>
          <w:rFonts w:ascii="宋体" w:hAnsi="宋体" w:cs="宋体" w:eastAsia="宋体" w:hint="default"/>
          <w:b/>
          <w:bCs/>
          <w:w w:val="99"/>
          <w:sz w:val="28"/>
          <w:szCs w:val="28"/>
        </w:rPr>
        <w:t> </w:t>
      </w:r>
      <w:r>
        <w:rPr>
          <w:rFonts w:ascii="宋体" w:hAnsi="宋体" w:cs="宋体" w:eastAsia="宋体" w:hint="default"/>
          <w:spacing w:val="-5"/>
          <w:sz w:val="28"/>
          <w:szCs w:val="28"/>
        </w:rPr>
        <w:t>毕业于解放军信息工程学院计算机工程系计算机软件专业，本科</w:t>
      </w:r>
    </w:p>
    <w:p>
      <w:pPr>
        <w:pStyle w:val="Heading3"/>
        <w:spacing w:line="328" w:lineRule="auto" w:before="62"/>
        <w:ind w:right="108"/>
        <w:jc w:val="left"/>
        <w:rPr>
          <w:rFonts w:ascii="宋体" w:hAnsi="宋体" w:cs="宋体" w:eastAsia="宋体" w:hint="default"/>
        </w:rPr>
      </w:pPr>
      <w:r>
        <w:rPr>
          <w:spacing w:val="-19"/>
          <w:w w:val="100"/>
        </w:rPr>
        <w:t>学历，工程师。</w:t>
      </w:r>
      <w:r>
        <w:rPr>
          <w:rFonts w:ascii="宋体" w:hAnsi="宋体" w:cs="宋体" w:eastAsia="宋体" w:hint="default"/>
          <w:spacing w:val="-19"/>
          <w:w w:val="100"/>
        </w:rPr>
        <w:t>2007</w:t>
      </w:r>
      <w:r>
        <w:rPr>
          <w:rFonts w:ascii="宋体" w:hAnsi="宋体" w:cs="宋体" w:eastAsia="宋体" w:hint="default"/>
          <w:spacing w:val="-67"/>
          <w:w w:val="100"/>
        </w:rPr>
        <w:t> </w:t>
      </w:r>
      <w:r>
        <w:rPr>
          <w:spacing w:val="-8"/>
          <w:w w:val="100"/>
        </w:rPr>
        <w:t>年苗卫东先生获得了“河南省优秀</w:t>
      </w:r>
      <w:r>
        <w:rPr>
          <w:spacing w:val="-70"/>
          <w:w w:val="100"/>
        </w:rPr>
        <w:t> </w:t>
      </w:r>
      <w:r>
        <w:rPr>
          <w:rFonts w:ascii="宋体" w:hAnsi="宋体" w:cs="宋体" w:eastAsia="宋体" w:hint="default"/>
          <w:spacing w:val="-1"/>
          <w:w w:val="100"/>
        </w:rPr>
        <w:t>IT</w:t>
      </w:r>
      <w:r>
        <w:rPr>
          <w:rFonts w:ascii="宋体" w:hAnsi="宋体" w:cs="宋体" w:eastAsia="宋体" w:hint="default"/>
          <w:spacing w:val="-68"/>
          <w:w w:val="100"/>
        </w:rPr>
        <w:t> </w:t>
      </w:r>
      <w:r>
        <w:rPr>
          <w:spacing w:val="-25"/>
          <w:w w:val="100"/>
        </w:rPr>
        <w:t>青年新锐”，</w:t>
      </w:r>
      <w:r>
        <w:rPr>
          <w:w w:val="100"/>
        </w:rPr>
        <w:t> </w:t>
      </w:r>
      <w:r>
        <w:rPr/>
        <w:t>“郑州市十大</w:t>
      </w:r>
      <w:r>
        <w:rPr>
          <w:spacing w:val="-60"/>
        </w:rPr>
        <w:t> </w:t>
      </w:r>
      <w:r>
        <w:rPr>
          <w:rFonts w:ascii="宋体" w:hAnsi="宋体" w:cs="宋体" w:eastAsia="宋体" w:hint="default"/>
        </w:rPr>
        <w:t>IT</w:t>
      </w:r>
      <w:r>
        <w:rPr>
          <w:rFonts w:ascii="宋体" w:hAnsi="宋体" w:cs="宋体" w:eastAsia="宋体" w:hint="default"/>
          <w:spacing w:val="-56"/>
        </w:rPr>
        <w:t> </w:t>
      </w:r>
      <w:r>
        <w:rPr/>
        <w:t>青年新锐”称号。</w:t>
      </w:r>
      <w:r>
        <w:rPr>
          <w:rFonts w:ascii="宋体" w:hAnsi="宋体" w:cs="宋体" w:eastAsia="宋体" w:hint="default"/>
        </w:rPr>
        <w:t>2001</w:t>
      </w:r>
      <w:r>
        <w:rPr>
          <w:rFonts w:ascii="宋体" w:hAnsi="宋体" w:cs="宋体" w:eastAsia="宋体" w:hint="default"/>
          <w:spacing w:val="-56"/>
        </w:rPr>
        <w:t> </w:t>
      </w:r>
      <w:r>
        <w:rPr/>
        <w:t>年</w:t>
      </w:r>
      <w:r>
        <w:rPr>
          <w:spacing w:val="-60"/>
        </w:rPr>
        <w:t> </w:t>
      </w:r>
      <w:r>
        <w:rPr>
          <w:rFonts w:ascii="宋体" w:hAnsi="宋体" w:cs="宋体" w:eastAsia="宋体" w:hint="default"/>
        </w:rPr>
        <w:t>10</w:t>
      </w:r>
      <w:r>
        <w:rPr>
          <w:rFonts w:ascii="宋体" w:hAnsi="宋体" w:cs="宋体" w:eastAsia="宋体" w:hint="default"/>
          <w:spacing w:val="-56"/>
        </w:rPr>
        <w:t> </w:t>
      </w:r>
      <w:r>
        <w:rPr/>
        <w:t>月至</w:t>
      </w:r>
      <w:r>
        <w:rPr>
          <w:spacing w:val="-57"/>
        </w:rPr>
        <w:t> </w:t>
      </w:r>
      <w:r>
        <w:rPr>
          <w:rFonts w:ascii="宋体" w:hAnsi="宋体" w:cs="宋体" w:eastAsia="宋体" w:hint="default"/>
        </w:rPr>
        <w:t>2010</w:t>
      </w:r>
      <w:r>
        <w:rPr>
          <w:rFonts w:ascii="宋体" w:hAnsi="宋体" w:cs="宋体" w:eastAsia="宋体" w:hint="default"/>
          <w:spacing w:val="-59"/>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spacing w:val="-3"/>
        </w:rPr>
        <w:t>月任</w:t>
      </w:r>
      <w:r>
        <w:rPr>
          <w:spacing w:val="-3"/>
          <w:w w:val="100"/>
        </w:rPr>
        <w:t> </w:t>
      </w:r>
      <w:r>
        <w:rPr/>
        <w:t>公司董事；</w:t>
      </w:r>
      <w:r>
        <w:rPr>
          <w:rFonts w:ascii="宋体" w:hAnsi="宋体" w:cs="宋体" w:eastAsia="宋体" w:hint="default"/>
        </w:rPr>
        <w:t>2004</w:t>
      </w:r>
      <w:r>
        <w:rPr>
          <w:rFonts w:ascii="宋体" w:hAnsi="宋体" w:cs="宋体" w:eastAsia="宋体" w:hint="default"/>
          <w:spacing w:val="-72"/>
        </w:rPr>
        <w:t> </w:t>
      </w:r>
      <w:r>
        <w:rPr/>
        <w:t>年</w:t>
      </w:r>
      <w:r>
        <w:rPr>
          <w:spacing w:val="-76"/>
        </w:rPr>
        <w:t> </w:t>
      </w:r>
      <w:r>
        <w:rPr>
          <w:rFonts w:ascii="宋体" w:hAnsi="宋体" w:cs="宋体" w:eastAsia="宋体" w:hint="default"/>
        </w:rPr>
        <w:t>2</w:t>
      </w:r>
      <w:r>
        <w:rPr>
          <w:rFonts w:ascii="宋体" w:hAnsi="宋体" w:cs="宋体" w:eastAsia="宋体" w:hint="default"/>
          <w:spacing w:val="-73"/>
        </w:rPr>
        <w:t> </w:t>
      </w:r>
      <w:r>
        <w:rPr/>
        <w:t>月至</w:t>
      </w:r>
      <w:r>
        <w:rPr>
          <w:spacing w:val="-76"/>
        </w:rPr>
        <w:t> </w:t>
      </w:r>
      <w:r>
        <w:rPr>
          <w:rFonts w:ascii="宋体" w:hAnsi="宋体" w:cs="宋体" w:eastAsia="宋体" w:hint="default"/>
        </w:rPr>
        <w:t>2006</w:t>
      </w:r>
      <w:r>
        <w:rPr>
          <w:rFonts w:ascii="宋体" w:hAnsi="宋体" w:cs="宋体" w:eastAsia="宋体" w:hint="default"/>
          <w:spacing w:val="-74"/>
        </w:rPr>
        <w:t> </w:t>
      </w:r>
      <w:r>
        <w:rPr/>
        <w:t>年</w:t>
      </w:r>
      <w:r>
        <w:rPr>
          <w:spacing w:val="-74"/>
        </w:rPr>
        <w:t> </w:t>
      </w:r>
      <w:r>
        <w:rPr>
          <w:rFonts w:ascii="宋体" w:hAnsi="宋体" w:cs="宋体" w:eastAsia="宋体" w:hint="default"/>
        </w:rPr>
        <w:t>8</w:t>
      </w:r>
      <w:r>
        <w:rPr>
          <w:rFonts w:ascii="宋体" w:hAnsi="宋体" w:cs="宋体" w:eastAsia="宋体" w:hint="default"/>
          <w:spacing w:val="-73"/>
        </w:rPr>
        <w:t> </w:t>
      </w:r>
      <w:r>
        <w:rPr/>
        <w:t>月兼任公司总工程师；</w:t>
      </w:r>
      <w:r>
        <w:rPr>
          <w:rFonts w:ascii="宋体" w:hAnsi="宋体" w:cs="宋体" w:eastAsia="宋体" w:hint="default"/>
        </w:rPr>
        <w:t>2006</w:t>
      </w:r>
      <w:r>
        <w:rPr>
          <w:rFonts w:ascii="宋体" w:hAnsi="宋体" w:cs="宋体" w:eastAsia="宋体" w:hint="default"/>
          <w:spacing w:val="-72"/>
        </w:rPr>
        <w:t> </w:t>
      </w:r>
      <w:r>
        <w:rPr/>
        <w:t>年</w:t>
      </w:r>
      <w:r>
        <w:rPr>
          <w:spacing w:val="-74"/>
        </w:rPr>
        <w:t> </w:t>
      </w:r>
      <w:r>
        <w:rPr>
          <w:rFonts w:ascii="宋体" w:hAnsi="宋体" w:cs="宋体" w:eastAsia="宋体" w:hint="default"/>
        </w:rPr>
        <w:t>5</w:t>
      </w:r>
    </w:p>
    <w:p>
      <w:pPr>
        <w:pStyle w:val="Heading3"/>
        <w:spacing w:line="326" w:lineRule="auto"/>
        <w:ind w:right="251"/>
        <w:jc w:val="both"/>
      </w:pPr>
      <w:r>
        <w:rPr/>
        <w:t>月至</w:t>
      </w:r>
      <w:r>
        <w:rPr>
          <w:spacing w:val="-54"/>
        </w:rPr>
        <w:t> </w:t>
      </w:r>
      <w:r>
        <w:rPr>
          <w:rFonts w:ascii="宋体" w:hAnsi="宋体" w:cs="宋体" w:eastAsia="宋体" w:hint="default"/>
        </w:rPr>
        <w:t>2008</w:t>
      </w:r>
      <w:r>
        <w:rPr>
          <w:rFonts w:ascii="宋体" w:hAnsi="宋体" w:cs="宋体" w:eastAsia="宋体" w:hint="default"/>
          <w:spacing w:val="-52"/>
        </w:rPr>
        <w:t> </w:t>
      </w:r>
      <w:r>
        <w:rPr/>
        <w:t>年</w:t>
      </w:r>
      <w:r>
        <w:rPr>
          <w:spacing w:val="-56"/>
        </w:rPr>
        <w:t> </w:t>
      </w:r>
      <w:r>
        <w:rPr>
          <w:rFonts w:ascii="宋体" w:hAnsi="宋体" w:cs="宋体" w:eastAsia="宋体" w:hint="default"/>
        </w:rPr>
        <w:t>11</w:t>
      </w:r>
      <w:r>
        <w:rPr>
          <w:rFonts w:ascii="宋体" w:hAnsi="宋体" w:cs="宋体" w:eastAsia="宋体" w:hint="default"/>
          <w:spacing w:val="-55"/>
        </w:rPr>
        <w:t> </w:t>
      </w:r>
      <w:r>
        <w:rPr/>
        <w:t>月兼任河南辉煌软件有限公司总经理；</w:t>
      </w:r>
      <w:r>
        <w:rPr>
          <w:rFonts w:ascii="宋体" w:hAnsi="宋体" w:cs="宋体" w:eastAsia="宋体" w:hint="default"/>
        </w:rPr>
        <w:t>2006</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w w:val="100"/>
        </w:rPr>
        <w:t> </w:t>
      </w:r>
      <w:r>
        <w:rPr/>
        <w:t>至今兼任公司技术监察；</w:t>
      </w:r>
      <w:r>
        <w:rPr>
          <w:rFonts w:ascii="宋体" w:hAnsi="宋体" w:cs="宋体" w:eastAsia="宋体" w:hint="default"/>
        </w:rPr>
        <w:t>2010</w:t>
      </w:r>
      <w:r>
        <w:rPr>
          <w:rFonts w:ascii="宋体" w:hAnsi="宋体" w:cs="宋体" w:eastAsia="宋体" w:hint="default"/>
          <w:spacing w:val="-73"/>
        </w:rPr>
        <w:t> </w:t>
      </w:r>
      <w:r>
        <w:rPr/>
        <w:t>年</w:t>
      </w:r>
      <w:r>
        <w:rPr>
          <w:spacing w:val="-73"/>
        </w:rPr>
        <w:t> </w:t>
      </w:r>
      <w:r>
        <w:rPr>
          <w:rFonts w:ascii="宋体" w:hAnsi="宋体" w:cs="宋体" w:eastAsia="宋体" w:hint="default"/>
        </w:rPr>
        <w:t>12</w:t>
      </w:r>
      <w:r>
        <w:rPr>
          <w:rFonts w:ascii="宋体" w:hAnsi="宋体" w:cs="宋体" w:eastAsia="宋体" w:hint="default"/>
          <w:spacing w:val="-72"/>
        </w:rPr>
        <w:t> </w:t>
      </w:r>
      <w:r>
        <w:rPr/>
        <w:t>月至今任公司监事。</w:t>
      </w:r>
    </w:p>
    <w:p>
      <w:pPr>
        <w:spacing w:line="326" w:lineRule="auto" w:before="34"/>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w:t>
      </w:r>
      <w:r>
        <w:rPr>
          <w:rFonts w:ascii="宋体" w:hAnsi="宋体" w:cs="宋体" w:eastAsia="宋体" w:hint="default"/>
          <w:b/>
          <w:bCs/>
          <w:sz w:val="28"/>
          <w:szCs w:val="28"/>
        </w:rPr>
        <w:t>3</w:t>
      </w:r>
      <w:r>
        <w:rPr>
          <w:rFonts w:ascii="宋体" w:hAnsi="宋体" w:cs="宋体" w:eastAsia="宋体" w:hint="default"/>
          <w:b/>
          <w:bCs/>
          <w:sz w:val="28"/>
          <w:szCs w:val="28"/>
        </w:rPr>
        <w:t>）刘锐先生，现任本公司监事、内审部经理</w:t>
      </w:r>
      <w:r>
        <w:rPr>
          <w:rFonts w:ascii="宋体" w:hAnsi="宋体" w:cs="宋体" w:eastAsia="宋体" w:hint="default"/>
          <w:b/>
          <w:bCs/>
          <w:w w:val="99"/>
          <w:sz w:val="28"/>
          <w:szCs w:val="28"/>
        </w:rPr>
        <w:t> </w:t>
      </w:r>
      <w:r>
        <w:rPr>
          <w:rFonts w:ascii="宋体" w:hAnsi="宋体" w:cs="宋体" w:eastAsia="宋体" w:hint="default"/>
          <w:spacing w:val="-1"/>
          <w:sz w:val="28"/>
          <w:szCs w:val="28"/>
        </w:rPr>
        <w:t>毕业于郑州工学院计自系计算机应用专业，本科学历，经济师。</w:t>
      </w:r>
    </w:p>
    <w:p>
      <w:pPr>
        <w:pStyle w:val="Heading3"/>
        <w:spacing w:line="295" w:lineRule="auto" w:before="32"/>
        <w:ind w:right="251"/>
        <w:jc w:val="both"/>
      </w:pPr>
      <w:r>
        <w:rPr>
          <w:rFonts w:ascii="Book Antiqua" w:hAnsi="Book Antiqua" w:cs="Book Antiqua" w:eastAsia="Book Antiqua" w:hint="default"/>
        </w:rPr>
        <w:t>2001</w:t>
      </w:r>
      <w:r>
        <w:rPr>
          <w:rFonts w:ascii="Book Antiqua" w:hAnsi="Book Antiqua" w:cs="Book Antiqua" w:eastAsia="Book Antiqua" w:hint="default"/>
          <w:spacing w:val="6"/>
        </w:rPr>
        <w:t> </w:t>
      </w:r>
      <w:r>
        <w:rPr/>
        <w:t>年</w:t>
      </w:r>
      <w:r>
        <w:rPr>
          <w:spacing w:val="-68"/>
        </w:rPr>
        <w:t> </w:t>
      </w:r>
      <w:r>
        <w:rPr>
          <w:rFonts w:ascii="Book Antiqua" w:hAnsi="Book Antiqua" w:cs="Book Antiqua" w:eastAsia="Book Antiqua" w:hint="default"/>
        </w:rPr>
        <w:t>10</w:t>
      </w:r>
      <w:r>
        <w:rPr>
          <w:rFonts w:ascii="Book Antiqua" w:hAnsi="Book Antiqua" w:cs="Book Antiqua" w:eastAsia="Book Antiqua" w:hint="default"/>
          <w:spacing w:val="3"/>
        </w:rPr>
        <w:t> </w:t>
      </w:r>
      <w:r>
        <w:rPr/>
        <w:t>月至</w:t>
      </w:r>
      <w:r>
        <w:rPr>
          <w:spacing w:val="-66"/>
        </w:rPr>
        <w:t> </w:t>
      </w:r>
      <w:r>
        <w:rPr>
          <w:rFonts w:ascii="Book Antiqua" w:hAnsi="Book Antiqua" w:cs="Book Antiqua" w:eastAsia="Book Antiqua" w:hint="default"/>
        </w:rPr>
        <w:t>2004</w:t>
      </w:r>
      <w:r>
        <w:rPr>
          <w:rFonts w:ascii="Book Antiqua" w:hAnsi="Book Antiqua" w:cs="Book Antiqua" w:eastAsia="Book Antiqua" w:hint="default"/>
          <w:spacing w:val="6"/>
        </w:rPr>
        <w:t> </w:t>
      </w:r>
      <w:r>
        <w:rPr/>
        <w:t>年</w:t>
      </w:r>
      <w:r>
        <w:rPr>
          <w:spacing w:val="-66"/>
        </w:rPr>
        <w:t> </w:t>
      </w:r>
      <w:r>
        <w:rPr>
          <w:rFonts w:ascii="Book Antiqua" w:hAnsi="Book Antiqua" w:cs="Book Antiqua" w:eastAsia="Book Antiqua" w:hint="default"/>
        </w:rPr>
        <w:t>10</w:t>
      </w:r>
      <w:r>
        <w:rPr>
          <w:rFonts w:ascii="Book Antiqua" w:hAnsi="Book Antiqua" w:cs="Book Antiqua" w:eastAsia="Book Antiqua" w:hint="default"/>
          <w:spacing w:val="3"/>
        </w:rPr>
        <w:t> </w:t>
      </w:r>
      <w:r>
        <w:rPr/>
        <w:t>月任公司监事会主席；</w:t>
      </w:r>
      <w:r>
        <w:rPr>
          <w:rFonts w:ascii="Book Antiqua" w:hAnsi="Book Antiqua" w:cs="Book Antiqua" w:eastAsia="Book Antiqua" w:hint="default"/>
        </w:rPr>
        <w:t>2004</w:t>
      </w:r>
      <w:r>
        <w:rPr>
          <w:rFonts w:ascii="Book Antiqua" w:hAnsi="Book Antiqua" w:cs="Book Antiqua" w:eastAsia="Book Antiqua" w:hint="default"/>
          <w:spacing w:val="5"/>
        </w:rPr>
        <w:t> </w:t>
      </w:r>
      <w:r>
        <w:rPr/>
        <w:t>年</w:t>
      </w:r>
      <w:r>
        <w:rPr>
          <w:spacing w:val="-68"/>
        </w:rPr>
        <w:t> </w:t>
      </w:r>
      <w:r>
        <w:rPr>
          <w:rFonts w:ascii="Book Antiqua" w:hAnsi="Book Antiqua" w:cs="Book Antiqua" w:eastAsia="Book Antiqua" w:hint="default"/>
        </w:rPr>
        <w:t>10</w:t>
      </w:r>
      <w:r>
        <w:rPr>
          <w:rFonts w:ascii="Book Antiqua" w:hAnsi="Book Antiqua" w:cs="Book Antiqua" w:eastAsia="Book Antiqua" w:hint="default"/>
          <w:spacing w:val="5"/>
        </w:rPr>
        <w:t> </w:t>
      </w:r>
      <w:r>
        <w:rPr/>
        <w:t>月至今</w:t>
      </w:r>
      <w:r>
        <w:rPr>
          <w:w w:val="100"/>
        </w:rPr>
        <w:t> </w:t>
      </w:r>
      <w:r>
        <w:rPr>
          <w:spacing w:val="-6"/>
        </w:rPr>
        <w:t>任本公司监事；</w:t>
      </w:r>
      <w:r>
        <w:rPr>
          <w:rFonts w:ascii="Book Antiqua" w:hAnsi="Book Antiqua" w:cs="Book Antiqua" w:eastAsia="Book Antiqua" w:hint="default"/>
          <w:spacing w:val="-6"/>
        </w:rPr>
        <w:t>2004</w:t>
      </w:r>
      <w:r>
        <w:rPr>
          <w:rFonts w:ascii="Book Antiqua" w:hAnsi="Book Antiqua" w:cs="Book Antiqua" w:eastAsia="Book Antiqua" w:hint="default"/>
          <w:spacing w:val="6"/>
        </w:rPr>
        <w:t> </w:t>
      </w:r>
      <w:r>
        <w:rPr/>
        <w:t>年</w:t>
      </w:r>
      <w:r>
        <w:rPr>
          <w:spacing w:val="-66"/>
        </w:rPr>
        <w:t> </w:t>
      </w:r>
      <w:r>
        <w:rPr>
          <w:rFonts w:ascii="Book Antiqua" w:hAnsi="Book Antiqua" w:cs="Book Antiqua" w:eastAsia="Book Antiqua" w:hint="default"/>
        </w:rPr>
        <w:t>11</w:t>
      </w:r>
      <w:r>
        <w:rPr>
          <w:rFonts w:ascii="Book Antiqua" w:hAnsi="Book Antiqua" w:cs="Book Antiqua" w:eastAsia="Book Antiqua" w:hint="default"/>
          <w:spacing w:val="5"/>
        </w:rPr>
        <w:t> </w:t>
      </w:r>
      <w:r>
        <w:rPr>
          <w:spacing w:val="-4"/>
        </w:rPr>
        <w:t>月至今兼任公司内审部经理；</w:t>
      </w:r>
      <w:r>
        <w:rPr>
          <w:rFonts w:ascii="Book Antiqua" w:hAnsi="Book Antiqua" w:cs="Book Antiqua" w:eastAsia="Book Antiqua" w:hint="default"/>
          <w:spacing w:val="-4"/>
        </w:rPr>
        <w:t>2006</w:t>
      </w:r>
      <w:r>
        <w:rPr>
          <w:rFonts w:ascii="Book Antiqua" w:hAnsi="Book Antiqua" w:cs="Book Antiqua" w:eastAsia="Book Antiqua" w:hint="default"/>
          <w:spacing w:val="6"/>
        </w:rPr>
        <w:t> </w:t>
      </w:r>
      <w:r>
        <w:rPr/>
        <w:t>年</w:t>
      </w:r>
      <w:r>
        <w:rPr>
          <w:spacing w:val="-66"/>
        </w:rPr>
        <w:t> </w:t>
      </w:r>
      <w:r>
        <w:rPr>
          <w:rFonts w:ascii="Book Antiqua" w:hAnsi="Book Antiqua" w:cs="Book Antiqua" w:eastAsia="Book Antiqua" w:hint="default"/>
        </w:rPr>
        <w:t>5</w:t>
      </w:r>
      <w:r>
        <w:rPr>
          <w:rFonts w:ascii="Book Antiqua" w:hAnsi="Book Antiqua" w:cs="Book Antiqua" w:eastAsia="Book Antiqua" w:hint="default"/>
          <w:spacing w:val="3"/>
        </w:rPr>
        <w:t> </w:t>
      </w:r>
      <w:r>
        <w:rPr/>
        <w:t>月</w:t>
      </w:r>
      <w:r>
        <w:rPr>
          <w:w w:val="100"/>
        </w:rPr>
        <w:t> </w:t>
      </w:r>
      <w:r>
        <w:rPr/>
        <w:t>至今兼任河南辉煌软件有限公司监事。</w:t>
      </w:r>
    </w:p>
    <w:p>
      <w:pPr>
        <w:pStyle w:val="Heading2"/>
        <w:spacing w:line="240" w:lineRule="auto" w:before="68"/>
        <w:ind w:right="0"/>
        <w:jc w:val="both"/>
        <w:rPr>
          <w:b w:val="0"/>
          <w:bCs w:val="0"/>
        </w:rPr>
      </w:pPr>
      <w:r>
        <w:rPr/>
        <w:t>（</w:t>
      </w:r>
      <w:r>
        <w:rPr>
          <w:rFonts w:ascii="Book Antiqua" w:hAnsi="Book Antiqua" w:cs="Book Antiqua" w:eastAsia="Book Antiqua" w:hint="default"/>
        </w:rPr>
        <w:t>4</w:t>
      </w:r>
      <w:r>
        <w:rPr/>
        <w:t>）李翀先生，现任本公司监事、市场巡视员</w:t>
      </w:r>
      <w:r>
        <w:rPr>
          <w:b w:val="0"/>
          <w:bCs w:val="0"/>
        </w:rPr>
      </w:r>
    </w:p>
    <w:p>
      <w:pPr>
        <w:pStyle w:val="Heading3"/>
        <w:spacing w:line="295" w:lineRule="auto" w:before="100"/>
        <w:ind w:right="249" w:firstLine="559"/>
        <w:jc w:val="both"/>
      </w:pPr>
      <w:r>
        <w:rPr>
          <w:spacing w:val="4"/>
        </w:rPr>
        <w:t>毕业于郑州工学院计算机应用专业，本科学历，工程师。</w:t>
      </w:r>
      <w:r>
        <w:rPr>
          <w:rFonts w:ascii="Book Antiqua" w:hAnsi="Book Antiqua" w:cs="Book Antiqua" w:eastAsia="Book Antiqua" w:hint="default"/>
          <w:spacing w:val="4"/>
        </w:rPr>
        <w:t>2001</w:t>
      </w:r>
      <w:r>
        <w:rPr>
          <w:rFonts w:ascii="Book Antiqua" w:hAnsi="Book Antiqua" w:cs="Book Antiqua" w:eastAsia="Book Antiqua" w:hint="default"/>
          <w:w w:val="100"/>
        </w:rPr>
        <w:t> </w:t>
      </w:r>
      <w:r>
        <w:rPr/>
        <w:t>年 </w:t>
      </w:r>
      <w:r>
        <w:rPr>
          <w:rFonts w:ascii="Book Antiqua" w:hAnsi="Book Antiqua" w:cs="Book Antiqua" w:eastAsia="Book Antiqua" w:hint="default"/>
        </w:rPr>
        <w:t>10 </w:t>
      </w:r>
      <w:r>
        <w:rPr/>
        <w:t>月至今任公司监事；</w:t>
      </w:r>
      <w:r>
        <w:rPr>
          <w:rFonts w:ascii="Book Antiqua" w:hAnsi="Book Antiqua" w:cs="Book Antiqua" w:eastAsia="Book Antiqua" w:hint="default"/>
        </w:rPr>
        <w:t>2005 </w:t>
      </w:r>
      <w:r>
        <w:rPr/>
        <w:t>年 </w:t>
      </w:r>
      <w:r>
        <w:rPr>
          <w:rFonts w:ascii="Book Antiqua" w:hAnsi="Book Antiqua" w:cs="Book Antiqua" w:eastAsia="Book Antiqua" w:hint="default"/>
        </w:rPr>
        <w:t>11</w:t>
      </w:r>
      <w:r>
        <w:rPr>
          <w:rFonts w:ascii="Book Antiqua" w:hAnsi="Book Antiqua" w:cs="Book Antiqua" w:eastAsia="Book Antiqua" w:hint="default"/>
          <w:spacing w:val="-26"/>
        </w:rPr>
        <w:t> </w:t>
      </w:r>
      <w:r>
        <w:rPr/>
        <w:t>月至今兼任公司市场巡视员；</w:t>
      </w:r>
      <w:r>
        <w:rPr>
          <w:w w:val="100"/>
        </w:rPr>
        <w:t> </w:t>
      </w:r>
      <w:r>
        <w:rPr>
          <w:spacing w:val="-4"/>
        </w:rPr>
        <w:t>现同时兼任上海聚力传媒技术有限公司和突触计算机系统（上海）有</w:t>
      </w:r>
    </w:p>
    <w:p>
      <w:pPr>
        <w:pStyle w:val="Heading3"/>
        <w:spacing w:line="295" w:lineRule="auto" w:before="70"/>
        <w:ind w:right="249"/>
        <w:jc w:val="both"/>
      </w:pPr>
      <w:r>
        <w:rPr>
          <w:spacing w:val="30"/>
        </w:rPr>
        <w:t>限公司董事、上海通视铭泰数码科技有限公司监事、</w:t>
      </w:r>
      <w:r>
        <w:rPr>
          <w:spacing w:val="-77"/>
        </w:rPr>
        <w:t> </w:t>
      </w:r>
      <w:r>
        <w:rPr>
          <w:rFonts w:ascii="Book Antiqua" w:hAnsi="Book Antiqua" w:cs="Book Antiqua" w:eastAsia="Book Antiqua" w:hint="default"/>
        </w:rPr>
        <w:t>Synacast</w:t>
      </w:r>
      <w:r>
        <w:rPr>
          <w:rFonts w:ascii="Book Antiqua" w:hAnsi="Book Antiqua" w:cs="Book Antiqua" w:eastAsia="Book Antiqua" w:hint="default"/>
          <w:spacing w:val="-48"/>
        </w:rPr>
        <w:t> </w:t>
      </w:r>
      <w:r>
        <w:rPr>
          <w:rFonts w:ascii="Book Antiqua" w:hAnsi="Book Antiqua" w:cs="Book Antiqua" w:eastAsia="Book Antiqua" w:hint="default"/>
          <w:spacing w:val="-48"/>
        </w:rPr>
      </w:r>
      <w:r>
        <w:rPr>
          <w:rFonts w:ascii="Book Antiqua" w:hAnsi="Book Antiqua" w:cs="Book Antiqua" w:eastAsia="Book Antiqua" w:hint="default"/>
        </w:rPr>
        <w:t>Corporation </w:t>
      </w:r>
      <w:r>
        <w:rPr/>
        <w:t>和 </w:t>
      </w:r>
      <w:r>
        <w:rPr>
          <w:rFonts w:ascii="Book Antiqua" w:hAnsi="Book Antiqua" w:cs="Book Antiqua" w:eastAsia="Book Antiqua" w:hint="default"/>
        </w:rPr>
        <w:t>Synacast Corporation Limited</w:t>
      </w:r>
      <w:r>
        <w:rPr>
          <w:rFonts w:ascii="Book Antiqua" w:hAnsi="Book Antiqua" w:cs="Book Antiqua" w:eastAsia="Book Antiqua" w:hint="default"/>
          <w:spacing w:val="-23"/>
        </w:rPr>
        <w:t> </w:t>
      </w:r>
      <w:r>
        <w:rPr/>
        <w:t>董事、北京中视天曈</w:t>
      </w:r>
      <w:r>
        <w:rPr>
          <w:w w:val="100"/>
        </w:rPr>
        <w:t> </w:t>
      </w:r>
      <w:r>
        <w:rPr/>
        <w:t>科技有限公司董事长。</w:t>
      </w:r>
    </w:p>
    <w:p>
      <w:pPr>
        <w:spacing w:after="0" w:line="295" w:lineRule="auto"/>
        <w:jc w:val="both"/>
        <w:sectPr>
          <w:pgSz w:w="11910" w:h="16840"/>
          <w:pgMar w:header="624" w:footer="1045" w:top="1240" w:bottom="1240" w:left="1660" w:right="1540"/>
        </w:sectPr>
      </w:pPr>
    </w:p>
    <w:p>
      <w:pPr>
        <w:spacing w:line="300" w:lineRule="auto" w:before="73"/>
        <w:ind w:left="697" w:right="107" w:hanging="560"/>
        <w:jc w:val="left"/>
        <w:rPr>
          <w:rFonts w:ascii="宋体" w:hAnsi="宋体" w:cs="宋体" w:eastAsia="宋体" w:hint="default"/>
          <w:sz w:val="28"/>
          <w:szCs w:val="28"/>
        </w:rPr>
      </w:pPr>
      <w:r>
        <w:rPr>
          <w:rFonts w:ascii="宋体" w:hAnsi="宋体" w:cs="宋体" w:eastAsia="宋体" w:hint="default"/>
          <w:b/>
          <w:bCs/>
          <w:sz w:val="28"/>
          <w:szCs w:val="28"/>
        </w:rPr>
        <w:t>（</w:t>
      </w:r>
      <w:r>
        <w:rPr>
          <w:rFonts w:ascii="Book Antiqua" w:hAnsi="Book Antiqua" w:cs="Book Antiqua" w:eastAsia="Book Antiqua" w:hint="default"/>
          <w:b/>
          <w:bCs/>
          <w:sz w:val="28"/>
          <w:szCs w:val="28"/>
        </w:rPr>
        <w:t>5</w:t>
      </w:r>
      <w:r>
        <w:rPr>
          <w:rFonts w:ascii="宋体" w:hAnsi="宋体" w:cs="宋体" w:eastAsia="宋体" w:hint="default"/>
          <w:b/>
          <w:bCs/>
          <w:sz w:val="28"/>
          <w:szCs w:val="28"/>
        </w:rPr>
        <w:t>）黄继军先生，现任本公司监事</w:t>
      </w:r>
      <w:r>
        <w:rPr>
          <w:rFonts w:ascii="宋体" w:hAnsi="宋体" w:cs="宋体" w:eastAsia="宋体" w:hint="default"/>
          <w:b/>
          <w:bCs/>
          <w:w w:val="99"/>
          <w:sz w:val="28"/>
          <w:szCs w:val="28"/>
        </w:rPr>
        <w:t> </w:t>
      </w:r>
      <w:r>
        <w:rPr>
          <w:rFonts w:ascii="宋体" w:hAnsi="宋体" w:cs="宋体" w:eastAsia="宋体" w:hint="default"/>
          <w:spacing w:val="-9"/>
          <w:w w:val="100"/>
          <w:sz w:val="28"/>
          <w:szCs w:val="28"/>
        </w:rPr>
        <w:t>毕业于郑州大学物理系微电子技术专业，本科学历，助理工程师。</w:t>
      </w:r>
    </w:p>
    <w:p>
      <w:pPr>
        <w:pStyle w:val="Heading3"/>
        <w:spacing w:line="309" w:lineRule="auto" w:before="62"/>
        <w:ind w:right="251"/>
        <w:jc w:val="both"/>
      </w:pPr>
      <w:r>
        <w:rPr>
          <w:rFonts w:ascii="Times New Roman" w:hAnsi="Times New Roman" w:cs="Times New Roman" w:eastAsia="Times New Roman" w:hint="default"/>
        </w:rPr>
        <w:t>2001</w:t>
      </w:r>
      <w:r>
        <w:rPr>
          <w:rFonts w:ascii="Times New Roman" w:hAnsi="Times New Roman" w:cs="Times New Roman" w:eastAsia="Times New Roman" w:hint="default"/>
          <w:spacing w:val="-9"/>
        </w:rPr>
        <w:t> </w:t>
      </w:r>
      <w:r>
        <w:rPr/>
        <w:t>年</w:t>
      </w:r>
      <w:r>
        <w:rPr>
          <w:spacing w:val="-7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月至今任公司职工代表监事，现兼任公司采购部经理。最</w:t>
      </w:r>
      <w:r>
        <w:rPr>
          <w:w w:val="100"/>
        </w:rPr>
        <w:t> </w:t>
      </w:r>
      <w:r>
        <w:rPr/>
        <w:t>近五年无在其他公司担任董事、监事、高级管理人员的情况。</w:t>
      </w:r>
    </w:p>
    <w:p>
      <w:pPr>
        <w:spacing w:line="297" w:lineRule="auto" w:before="54"/>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w:t>
      </w:r>
      <w:r>
        <w:rPr>
          <w:rFonts w:ascii="Book Antiqua" w:hAnsi="Book Antiqua" w:cs="Book Antiqua" w:eastAsia="Book Antiqua" w:hint="default"/>
          <w:b/>
          <w:bCs/>
          <w:sz w:val="28"/>
          <w:szCs w:val="28"/>
        </w:rPr>
        <w:t>6</w:t>
      </w:r>
      <w:r>
        <w:rPr>
          <w:rFonts w:ascii="宋体" w:hAnsi="宋体" w:cs="宋体" w:eastAsia="宋体" w:hint="default"/>
          <w:b/>
          <w:bCs/>
          <w:sz w:val="28"/>
          <w:szCs w:val="28"/>
        </w:rPr>
        <w:t>）郝恩元先生，现任本公司监事、财务部会计</w:t>
      </w:r>
      <w:r>
        <w:rPr>
          <w:rFonts w:ascii="宋体" w:hAnsi="宋体" w:cs="宋体" w:eastAsia="宋体" w:hint="default"/>
          <w:b/>
          <w:bCs/>
          <w:w w:val="99"/>
          <w:sz w:val="28"/>
          <w:szCs w:val="28"/>
        </w:rPr>
        <w:t> </w:t>
      </w:r>
      <w:r>
        <w:rPr>
          <w:rFonts w:ascii="宋体" w:hAnsi="宋体" w:cs="宋体" w:eastAsia="宋体" w:hint="default"/>
          <w:spacing w:val="-4"/>
          <w:sz w:val="28"/>
          <w:szCs w:val="28"/>
        </w:rPr>
        <w:t>郑州大学大专学历，会计师。</w:t>
      </w:r>
      <w:r>
        <w:rPr>
          <w:rFonts w:ascii="Book Antiqua" w:hAnsi="Book Antiqua" w:cs="Book Antiqua" w:eastAsia="Book Antiqua" w:hint="default"/>
          <w:spacing w:val="-4"/>
          <w:sz w:val="28"/>
          <w:szCs w:val="28"/>
        </w:rPr>
        <w:t>2001</w:t>
      </w:r>
      <w:r>
        <w:rPr>
          <w:rFonts w:ascii="宋体" w:hAnsi="宋体" w:cs="宋体" w:eastAsia="宋体" w:hint="default"/>
          <w:spacing w:val="-4"/>
          <w:sz w:val="28"/>
          <w:szCs w:val="28"/>
        </w:rPr>
        <w:t>年</w:t>
      </w:r>
      <w:r>
        <w:rPr>
          <w:rFonts w:ascii="Book Antiqua" w:hAnsi="Book Antiqua" w:cs="Book Antiqua" w:eastAsia="Book Antiqua" w:hint="default"/>
          <w:spacing w:val="-4"/>
          <w:sz w:val="28"/>
          <w:szCs w:val="28"/>
        </w:rPr>
        <w:t>10</w:t>
      </w:r>
      <w:r>
        <w:rPr>
          <w:rFonts w:ascii="宋体" w:hAnsi="宋体" w:cs="宋体" w:eastAsia="宋体" w:hint="default"/>
          <w:spacing w:val="-4"/>
          <w:sz w:val="28"/>
          <w:szCs w:val="28"/>
        </w:rPr>
        <w:t>月至今任公司职工代表监</w:t>
      </w:r>
    </w:p>
    <w:p>
      <w:pPr>
        <w:pStyle w:val="Heading3"/>
        <w:spacing w:line="328" w:lineRule="auto" w:before="9"/>
        <w:ind w:right="253"/>
        <w:jc w:val="both"/>
      </w:pPr>
      <w:r>
        <w:rPr>
          <w:spacing w:val="-4"/>
        </w:rPr>
        <w:t>事；现兼任本公司财务部会计。最近五年无在其他公司担任董事、监</w:t>
      </w:r>
      <w:r>
        <w:rPr>
          <w:spacing w:val="-112"/>
        </w:rPr>
        <w:t> </w:t>
      </w:r>
      <w:r>
        <w:rPr>
          <w:spacing w:val="-112"/>
        </w:rPr>
      </w:r>
      <w:r>
        <w:rPr/>
        <w:t>事、高级管理人员的情况。</w:t>
      </w:r>
    </w:p>
    <w:p>
      <w:pPr>
        <w:pStyle w:val="Heading2"/>
        <w:spacing w:line="240" w:lineRule="auto"/>
        <w:ind w:right="106"/>
        <w:jc w:val="left"/>
        <w:rPr>
          <w:b w:val="0"/>
          <w:bCs w:val="0"/>
        </w:rPr>
      </w:pPr>
      <w:r>
        <w:rPr>
          <w:rFonts w:ascii="宋体" w:hAnsi="宋体" w:cs="宋体" w:eastAsia="宋体" w:hint="default"/>
        </w:rPr>
        <w:t>3</w:t>
      </w:r>
      <w:r>
        <w:rPr/>
        <w:t>、高级管理人员</w:t>
      </w:r>
      <w:r>
        <w:rPr>
          <w:b w:val="0"/>
          <w:bCs w:val="0"/>
        </w:rPr>
      </w:r>
    </w:p>
    <w:p>
      <w:pPr>
        <w:pStyle w:val="Heading2"/>
        <w:spacing w:line="300" w:lineRule="auto" w:before="133"/>
        <w:ind w:right="256"/>
        <w:jc w:val="both"/>
        <w:rPr>
          <w:b w:val="0"/>
          <w:bCs w:val="0"/>
        </w:rPr>
      </w:pPr>
      <w:r>
        <w:rPr/>
        <w:t>（</w:t>
      </w:r>
      <w:r>
        <w:rPr>
          <w:rFonts w:ascii="Book Antiqua" w:hAnsi="Book Antiqua" w:cs="Book Antiqua" w:eastAsia="Book Antiqua" w:hint="default"/>
        </w:rPr>
        <w:t>1</w:t>
      </w:r>
      <w:r>
        <w:rPr/>
        <w:t>）郑予君先生，现任公司董事、总经理，其最近五年工作经历详</w:t>
      </w:r>
      <w:r>
        <w:rPr>
          <w:spacing w:val="-128"/>
        </w:rPr>
        <w:t> </w:t>
      </w:r>
      <w:r>
        <w:rPr>
          <w:spacing w:val="-128"/>
        </w:rPr>
      </w:r>
      <w:r>
        <w:rPr>
          <w:spacing w:val="-13"/>
          <w:w w:val="99"/>
        </w:rPr>
        <w:t>见本节“董事会成员”。</w:t>
      </w:r>
      <w:r>
        <w:rPr>
          <w:b w:val="0"/>
          <w:bCs w:val="0"/>
          <w:spacing w:val="-13"/>
        </w:rPr>
      </w:r>
    </w:p>
    <w:p>
      <w:pPr>
        <w:spacing w:line="297" w:lineRule="auto" w:before="62"/>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w:t>
      </w:r>
      <w:r>
        <w:rPr>
          <w:rFonts w:ascii="Book Antiqua" w:hAnsi="Book Antiqua" w:cs="Book Antiqua" w:eastAsia="Book Antiqua" w:hint="default"/>
          <w:b/>
          <w:bCs/>
          <w:sz w:val="28"/>
          <w:szCs w:val="28"/>
        </w:rPr>
        <w:t>2</w:t>
      </w:r>
      <w:r>
        <w:rPr>
          <w:rFonts w:ascii="宋体" w:hAnsi="宋体" w:cs="宋体" w:eastAsia="宋体" w:hint="default"/>
          <w:b/>
          <w:bCs/>
          <w:sz w:val="28"/>
          <w:szCs w:val="28"/>
        </w:rPr>
        <w:t>）胡江平先生，现任本公司常务副总经理</w:t>
      </w:r>
      <w:r>
        <w:rPr>
          <w:rFonts w:ascii="宋体" w:hAnsi="宋体" w:cs="宋体" w:eastAsia="宋体" w:hint="default"/>
          <w:b/>
          <w:bCs/>
          <w:w w:val="99"/>
          <w:sz w:val="28"/>
          <w:szCs w:val="28"/>
        </w:rPr>
        <w:t> </w:t>
      </w:r>
      <w:r>
        <w:rPr>
          <w:rFonts w:ascii="宋体" w:hAnsi="宋体" w:cs="宋体" w:eastAsia="宋体" w:hint="default"/>
          <w:spacing w:val="-4"/>
          <w:sz w:val="28"/>
          <w:szCs w:val="28"/>
        </w:rPr>
        <w:t>毕业于郑州工学院电机系工业自动化专业，</w:t>
      </w:r>
      <w:r>
        <w:rPr>
          <w:rFonts w:ascii="Book Antiqua" w:hAnsi="Book Antiqua" w:cs="Book Antiqua" w:eastAsia="Book Antiqua" w:hint="default"/>
          <w:spacing w:val="-4"/>
          <w:sz w:val="28"/>
          <w:szCs w:val="28"/>
        </w:rPr>
        <w:t>1988</w:t>
      </w:r>
      <w:r>
        <w:rPr>
          <w:rFonts w:ascii="宋体" w:hAnsi="宋体" w:cs="宋体" w:eastAsia="宋体" w:hint="default"/>
          <w:spacing w:val="-4"/>
          <w:sz w:val="28"/>
          <w:szCs w:val="28"/>
        </w:rPr>
        <w:t>年中南工业大学</w:t>
      </w:r>
    </w:p>
    <w:p>
      <w:pPr>
        <w:pStyle w:val="Heading3"/>
        <w:spacing w:line="295" w:lineRule="auto" w:before="12"/>
        <w:ind w:right="246"/>
        <w:jc w:val="both"/>
      </w:pPr>
      <w:r>
        <w:rPr/>
        <w:t>自动控制系工业自动化专业研究生毕业，高级工程师，</w:t>
      </w:r>
      <w:r>
        <w:rPr>
          <w:rFonts w:ascii="Book Antiqua" w:hAnsi="Book Antiqua" w:cs="Book Antiqua" w:eastAsia="Book Antiqua" w:hint="default"/>
        </w:rPr>
        <w:t>2004</w:t>
      </w:r>
      <w:r>
        <w:rPr/>
        <w:t>年</w:t>
      </w:r>
      <w:r>
        <w:rPr>
          <w:rFonts w:ascii="Book Antiqua" w:hAnsi="Book Antiqua" w:cs="Book Antiqua" w:eastAsia="Book Antiqua" w:hint="default"/>
        </w:rPr>
        <w:t>4</w:t>
      </w:r>
      <w:r>
        <w:rPr/>
        <w:t>月至</w:t>
      </w:r>
      <w:r>
        <w:rPr>
          <w:spacing w:val="-90"/>
        </w:rPr>
        <w:t> </w:t>
      </w:r>
      <w:r>
        <w:rPr>
          <w:rFonts w:ascii="Book Antiqua" w:hAnsi="Book Antiqua" w:cs="Book Antiqua" w:eastAsia="Book Antiqua" w:hint="default"/>
          <w:spacing w:val="-4"/>
        </w:rPr>
        <w:t>2008</w:t>
      </w:r>
      <w:r>
        <w:rPr>
          <w:spacing w:val="-4"/>
        </w:rPr>
        <w:t>年</w:t>
      </w:r>
      <w:r>
        <w:rPr>
          <w:rFonts w:ascii="Book Antiqua" w:hAnsi="Book Antiqua" w:cs="Book Antiqua" w:eastAsia="Book Antiqua" w:hint="default"/>
          <w:spacing w:val="-4"/>
        </w:rPr>
        <w:t>8</w:t>
      </w:r>
      <w:r>
        <w:rPr>
          <w:spacing w:val="-4"/>
        </w:rPr>
        <w:t>月任本公司董事、常务副总经理；</w:t>
      </w:r>
      <w:r>
        <w:rPr>
          <w:rFonts w:ascii="Book Antiqua" w:hAnsi="Book Antiqua" w:cs="Book Antiqua" w:eastAsia="Book Antiqua" w:hint="default"/>
          <w:spacing w:val="-4"/>
        </w:rPr>
        <w:t>2008</w:t>
      </w:r>
      <w:r>
        <w:rPr>
          <w:spacing w:val="-4"/>
        </w:rPr>
        <w:t>年</w:t>
      </w:r>
      <w:r>
        <w:rPr>
          <w:rFonts w:ascii="Book Antiqua" w:hAnsi="Book Antiqua" w:cs="Book Antiqua" w:eastAsia="Book Antiqua" w:hint="default"/>
          <w:spacing w:val="-4"/>
        </w:rPr>
        <w:t>8</w:t>
      </w:r>
      <w:r>
        <w:rPr>
          <w:spacing w:val="-4"/>
        </w:rPr>
        <w:t>月至今任本公司常</w:t>
      </w:r>
      <w:r>
        <w:rPr>
          <w:spacing w:val="-98"/>
        </w:rPr>
        <w:t> </w:t>
      </w:r>
      <w:r>
        <w:rPr>
          <w:spacing w:val="-98"/>
        </w:rPr>
      </w:r>
      <w:r>
        <w:rPr>
          <w:spacing w:val="-3"/>
          <w:w w:val="100"/>
        </w:rPr>
        <w:t>务副总经理。荣获</w:t>
      </w:r>
      <w:r>
        <w:rPr>
          <w:rFonts w:ascii="Book Antiqua" w:hAnsi="Book Antiqua" w:cs="Book Antiqua" w:eastAsia="Book Antiqua" w:hint="default"/>
          <w:spacing w:val="-3"/>
          <w:w w:val="100"/>
        </w:rPr>
        <w:t>2003</w:t>
      </w:r>
      <w:r>
        <w:rPr>
          <w:spacing w:val="-3"/>
          <w:w w:val="100"/>
        </w:rPr>
        <w:t>年首届“郑州市优秀</w:t>
      </w:r>
      <w:r>
        <w:rPr>
          <w:rFonts w:ascii="Book Antiqua" w:hAnsi="Book Antiqua" w:cs="Book Antiqua" w:eastAsia="Book Antiqua" w:hint="default"/>
          <w:spacing w:val="-3"/>
          <w:w w:val="100"/>
        </w:rPr>
        <w:t>IT</w:t>
      </w:r>
      <w:r>
        <w:rPr>
          <w:spacing w:val="-3"/>
          <w:w w:val="100"/>
        </w:rPr>
        <w:t>青年”、</w:t>
      </w:r>
      <w:r>
        <w:rPr>
          <w:rFonts w:ascii="Book Antiqua" w:hAnsi="Book Antiqua" w:cs="Book Antiqua" w:eastAsia="Book Antiqua" w:hint="default"/>
          <w:spacing w:val="-3"/>
          <w:w w:val="100"/>
        </w:rPr>
        <w:t>2004</w:t>
      </w:r>
      <w:r>
        <w:rPr>
          <w:spacing w:val="-3"/>
          <w:w w:val="100"/>
        </w:rPr>
        <w:t>年度郑州</w:t>
      </w:r>
      <w:r>
        <w:rPr>
          <w:spacing w:val="-138"/>
          <w:w w:val="100"/>
        </w:rPr>
        <w:t> </w:t>
      </w:r>
      <w:r>
        <w:rPr>
          <w:spacing w:val="-4"/>
        </w:rPr>
        <w:t>市学术技术带头人称号。</w:t>
      </w:r>
      <w:r>
        <w:rPr>
          <w:rFonts w:ascii="Book Antiqua" w:hAnsi="Book Antiqua" w:cs="Book Antiqua" w:eastAsia="Book Antiqua" w:hint="default"/>
          <w:spacing w:val="-4"/>
        </w:rPr>
        <w:t>2003</w:t>
      </w:r>
      <w:r>
        <w:rPr>
          <w:spacing w:val="-4"/>
        </w:rPr>
        <w:t>年</w:t>
      </w:r>
      <w:r>
        <w:rPr>
          <w:rFonts w:ascii="Book Antiqua" w:hAnsi="Book Antiqua" w:cs="Book Antiqua" w:eastAsia="Book Antiqua" w:hint="default"/>
          <w:spacing w:val="-4"/>
        </w:rPr>
        <w:t>12</w:t>
      </w:r>
      <w:r>
        <w:rPr>
          <w:spacing w:val="-4"/>
        </w:rPr>
        <w:t>月被聘为郑州高新技术产业开发区</w:t>
      </w:r>
      <w:r>
        <w:rPr>
          <w:spacing w:val="-105"/>
        </w:rPr>
        <w:t> </w:t>
      </w:r>
      <w:r>
        <w:rPr>
          <w:spacing w:val="-105"/>
        </w:rPr>
      </w:r>
      <w:r>
        <w:rPr>
          <w:spacing w:val="-4"/>
        </w:rPr>
        <w:t>质量管理协会副理事长。最近五年无在其他公司担任董事、监事、高</w:t>
      </w:r>
    </w:p>
    <w:p>
      <w:pPr>
        <w:pStyle w:val="Heading3"/>
        <w:spacing w:line="240" w:lineRule="auto" w:before="68"/>
        <w:ind w:right="106"/>
        <w:jc w:val="left"/>
      </w:pPr>
      <w:r>
        <w:rPr/>
        <w:t>级管理人员的情况。</w:t>
      </w:r>
    </w:p>
    <w:p>
      <w:pPr>
        <w:spacing w:line="297" w:lineRule="auto" w:before="135"/>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w:t>
      </w:r>
      <w:r>
        <w:rPr>
          <w:rFonts w:ascii="Book Antiqua" w:hAnsi="Book Antiqua" w:cs="Book Antiqua" w:eastAsia="Book Antiqua" w:hint="default"/>
          <w:b/>
          <w:bCs/>
          <w:sz w:val="28"/>
          <w:szCs w:val="28"/>
        </w:rPr>
        <w:t>3</w:t>
      </w:r>
      <w:r>
        <w:rPr>
          <w:rFonts w:ascii="宋体" w:hAnsi="宋体" w:cs="宋体" w:eastAsia="宋体" w:hint="default"/>
          <w:b/>
          <w:bCs/>
          <w:sz w:val="28"/>
          <w:szCs w:val="28"/>
        </w:rPr>
        <w:t>）李新建先生，现任本公司财务总监、董事会秘书</w:t>
      </w:r>
      <w:r>
        <w:rPr>
          <w:rFonts w:ascii="宋体" w:hAnsi="宋体" w:cs="宋体" w:eastAsia="宋体" w:hint="default"/>
          <w:b/>
          <w:bCs/>
          <w:w w:val="99"/>
          <w:sz w:val="28"/>
          <w:szCs w:val="28"/>
        </w:rPr>
        <w:t> </w:t>
      </w:r>
      <w:r>
        <w:rPr>
          <w:rFonts w:ascii="宋体" w:hAnsi="宋体" w:cs="宋体" w:eastAsia="宋体" w:hint="default"/>
          <w:spacing w:val="-5"/>
          <w:sz w:val="28"/>
          <w:szCs w:val="28"/>
        </w:rPr>
        <w:t>毕业于郑州大学经济系经济管理专业，本科学历，会计师、经济</w:t>
      </w:r>
    </w:p>
    <w:p>
      <w:pPr>
        <w:pStyle w:val="Heading3"/>
        <w:spacing w:line="307" w:lineRule="auto" w:before="65"/>
        <w:ind w:right="248"/>
        <w:jc w:val="both"/>
      </w:pPr>
      <w:r>
        <w:rPr/>
        <w:t>师，中国注册会计师、注册评估师。</w:t>
      </w:r>
      <w:r>
        <w:rPr>
          <w:rFonts w:ascii="Book Antiqua" w:hAnsi="Book Antiqua" w:cs="Book Antiqua" w:eastAsia="Book Antiqua" w:hint="default"/>
        </w:rPr>
        <w:t>2003</w:t>
      </w:r>
      <w:r>
        <w:rPr>
          <w:rFonts w:ascii="Book Antiqua" w:hAnsi="Book Antiqua" w:cs="Book Antiqua" w:eastAsia="Book Antiqua" w:hint="default"/>
          <w:spacing w:val="-2"/>
        </w:rPr>
        <w:t> </w:t>
      </w:r>
      <w:r>
        <w:rPr/>
        <w:t>年</w:t>
      </w:r>
      <w:r>
        <w:rPr>
          <w:spacing w:val="-74"/>
        </w:rPr>
        <w:t> </w:t>
      </w:r>
      <w:r>
        <w:rPr>
          <w:rFonts w:ascii="Book Antiqua" w:hAnsi="Book Antiqua" w:cs="Book Antiqua" w:eastAsia="Book Antiqua" w:hint="default"/>
        </w:rPr>
        <w:t>1</w:t>
      </w:r>
      <w:r>
        <w:rPr>
          <w:rFonts w:ascii="Book Antiqua" w:hAnsi="Book Antiqua" w:cs="Book Antiqua" w:eastAsia="Book Antiqua" w:hint="default"/>
          <w:spacing w:val="-5"/>
        </w:rPr>
        <w:t> </w:t>
      </w:r>
      <w:r>
        <w:rPr/>
        <w:t>月至</w:t>
      </w:r>
      <w:r>
        <w:rPr>
          <w:spacing w:val="-76"/>
        </w:rPr>
        <w:t> </w:t>
      </w:r>
      <w:r>
        <w:rPr>
          <w:rFonts w:ascii="Book Antiqua" w:hAnsi="Book Antiqua" w:cs="Book Antiqua" w:eastAsia="Book Antiqua" w:hint="default"/>
        </w:rPr>
        <w:t>2004</w:t>
      </w:r>
      <w:r>
        <w:rPr>
          <w:rFonts w:ascii="Book Antiqua" w:hAnsi="Book Antiqua" w:cs="Book Antiqua" w:eastAsia="Book Antiqua" w:hint="default"/>
          <w:spacing w:val="-4"/>
        </w:rPr>
        <w:t> </w:t>
      </w:r>
      <w:r>
        <w:rPr/>
        <w:t>年</w:t>
      </w:r>
      <w:r>
        <w:rPr>
          <w:spacing w:val="-73"/>
        </w:rPr>
        <w:t> </w:t>
      </w:r>
      <w:r>
        <w:rPr>
          <w:rFonts w:ascii="Book Antiqua" w:hAnsi="Book Antiqua" w:cs="Book Antiqua" w:eastAsia="Book Antiqua" w:hint="default"/>
        </w:rPr>
        <w:t>4</w:t>
      </w:r>
      <w:r>
        <w:rPr>
          <w:rFonts w:ascii="Book Antiqua" w:hAnsi="Book Antiqua" w:cs="Book Antiqua" w:eastAsia="Book Antiqua" w:hint="default"/>
          <w:spacing w:val="-3"/>
        </w:rPr>
        <w:t> </w:t>
      </w:r>
      <w:r>
        <w:rPr/>
        <w:t>月任公</w:t>
      </w:r>
      <w:r>
        <w:rPr>
          <w:w w:val="100"/>
        </w:rPr>
        <w:t> </w:t>
      </w:r>
      <w:r>
        <w:rPr/>
        <w:t>司财务总监；</w:t>
      </w:r>
      <w:r>
        <w:rPr>
          <w:rFonts w:ascii="Book Antiqua" w:hAnsi="Book Antiqua" w:cs="Book Antiqua" w:eastAsia="Book Antiqua" w:hint="default"/>
        </w:rPr>
        <w:t>2004 </w:t>
      </w:r>
      <w:r>
        <w:rPr/>
        <w:t>年 </w:t>
      </w:r>
      <w:r>
        <w:rPr>
          <w:rFonts w:ascii="Book Antiqua" w:hAnsi="Book Antiqua" w:cs="Book Antiqua" w:eastAsia="Book Antiqua" w:hint="default"/>
        </w:rPr>
        <w:t>4</w:t>
      </w:r>
      <w:r>
        <w:rPr>
          <w:rFonts w:ascii="Book Antiqua" w:hAnsi="Book Antiqua" w:cs="Book Antiqua" w:eastAsia="Book Antiqua" w:hint="default"/>
          <w:spacing w:val="-25"/>
        </w:rPr>
        <w:t> </w:t>
      </w:r>
      <w:r>
        <w:rPr/>
        <w:t>月至今任公司财务总监兼董事会秘书；现兼</w:t>
      </w:r>
      <w:r>
        <w:rPr>
          <w:w w:val="100"/>
        </w:rPr>
        <w:t> </w:t>
      </w:r>
      <w:r>
        <w:rPr>
          <w:spacing w:val="4"/>
        </w:rPr>
        <w:t>任昆山商厦股份有限公司独立董事和郑州市高新技术产业开发区工</w:t>
      </w:r>
      <w:r>
        <w:rPr>
          <w:spacing w:val="-77"/>
        </w:rPr>
        <w:t> </w:t>
      </w:r>
      <w:r>
        <w:rPr>
          <w:spacing w:val="-77"/>
        </w:rPr>
      </w:r>
      <w:r>
        <w:rPr/>
        <w:t>商企业联合会副会长。</w:t>
      </w:r>
    </w:p>
    <w:p>
      <w:pPr>
        <w:spacing w:line="295" w:lineRule="auto" w:before="56"/>
        <w:ind w:left="697" w:right="238" w:hanging="560"/>
        <w:jc w:val="left"/>
        <w:rPr>
          <w:rFonts w:ascii="宋体" w:hAnsi="宋体" w:cs="宋体" w:eastAsia="宋体" w:hint="default"/>
          <w:sz w:val="28"/>
          <w:szCs w:val="28"/>
        </w:rPr>
      </w:pPr>
      <w:r>
        <w:rPr>
          <w:rFonts w:ascii="宋体" w:hAnsi="宋体" w:cs="宋体" w:eastAsia="宋体" w:hint="default"/>
          <w:sz w:val="28"/>
          <w:szCs w:val="28"/>
        </w:rPr>
        <w:t>（</w:t>
      </w:r>
      <w:r>
        <w:rPr>
          <w:rFonts w:ascii="Book Antiqua" w:hAnsi="Book Antiqua" w:cs="Book Antiqua" w:eastAsia="Book Antiqua" w:hint="default"/>
          <w:sz w:val="28"/>
          <w:szCs w:val="28"/>
        </w:rPr>
        <w:t>4</w:t>
      </w:r>
      <w:r>
        <w:rPr>
          <w:rFonts w:ascii="宋体" w:hAnsi="宋体" w:cs="宋体" w:eastAsia="宋体" w:hint="default"/>
          <w:sz w:val="28"/>
          <w:szCs w:val="28"/>
        </w:rPr>
        <w:t>）</w:t>
      </w:r>
      <w:r>
        <w:rPr>
          <w:rFonts w:ascii="宋体" w:hAnsi="宋体" w:cs="宋体" w:eastAsia="宋体" w:hint="default"/>
          <w:b/>
          <w:bCs/>
          <w:sz w:val="28"/>
          <w:szCs w:val="28"/>
        </w:rPr>
        <w:t>于辉先生，现任本公司副总经理</w:t>
      </w:r>
      <w:r>
        <w:rPr>
          <w:rFonts w:ascii="宋体" w:hAnsi="宋体" w:cs="宋体" w:eastAsia="宋体" w:hint="default"/>
          <w:b/>
          <w:bCs/>
          <w:w w:val="99"/>
          <w:sz w:val="28"/>
          <w:szCs w:val="28"/>
        </w:rPr>
        <w:t> </w:t>
      </w:r>
      <w:r>
        <w:rPr>
          <w:rFonts w:ascii="宋体" w:hAnsi="宋体" w:cs="宋体" w:eastAsia="宋体" w:hint="default"/>
          <w:sz w:val="28"/>
          <w:szCs w:val="28"/>
        </w:rPr>
        <w:t>郑州纺织工学院工商管理系会计专业，大专学历。</w:t>
      </w:r>
      <w:r>
        <w:rPr>
          <w:rFonts w:ascii="Book Antiqua" w:hAnsi="Book Antiqua" w:cs="Book Antiqua" w:eastAsia="Book Antiqua" w:hint="default"/>
          <w:sz w:val="28"/>
          <w:szCs w:val="28"/>
        </w:rPr>
        <w:t>2001 </w:t>
      </w:r>
      <w:r>
        <w:rPr>
          <w:rFonts w:ascii="Book Antiqua" w:hAnsi="Book Antiqua" w:cs="Book Antiqua" w:eastAsia="Book Antiqua" w:hint="default"/>
          <w:spacing w:val="45"/>
          <w:sz w:val="28"/>
          <w:szCs w:val="28"/>
        </w:rPr>
        <w:t> </w:t>
      </w:r>
      <w:r>
        <w:rPr>
          <w:rFonts w:ascii="宋体" w:hAnsi="宋体" w:cs="宋体" w:eastAsia="宋体" w:hint="default"/>
          <w:spacing w:val="2"/>
          <w:sz w:val="28"/>
          <w:szCs w:val="28"/>
        </w:rPr>
        <w:t>年进入</w:t>
      </w:r>
      <w:r>
        <w:rPr>
          <w:rFonts w:ascii="宋体" w:hAnsi="宋体" w:cs="宋体" w:eastAsia="宋体" w:hint="default"/>
          <w:sz w:val="28"/>
          <w:szCs w:val="28"/>
        </w:rPr>
      </w:r>
    </w:p>
    <w:p>
      <w:pPr>
        <w:pStyle w:val="Heading3"/>
        <w:spacing w:line="240" w:lineRule="auto" w:before="13"/>
        <w:ind w:right="106"/>
        <w:jc w:val="left"/>
      </w:pPr>
      <w:r>
        <w:rPr>
          <w:spacing w:val="-4"/>
        </w:rPr>
        <w:t>公司，历任本公司销售部业务主办、区域经理、销售经理、销售总监</w:t>
      </w:r>
    </w:p>
    <w:p>
      <w:pPr>
        <w:spacing w:after="0" w:line="240" w:lineRule="auto"/>
        <w:jc w:val="left"/>
        <w:sectPr>
          <w:pgSz w:w="11910" w:h="16840"/>
          <w:pgMar w:header="624" w:footer="1045" w:top="1240" w:bottom="1240" w:left="1660" w:right="1540"/>
        </w:sectPr>
      </w:pPr>
    </w:p>
    <w:p>
      <w:pPr>
        <w:pStyle w:val="Heading3"/>
        <w:spacing w:line="297" w:lineRule="auto" w:before="73"/>
        <w:ind w:left="558" w:right="0"/>
        <w:jc w:val="left"/>
      </w:pPr>
      <w:r>
        <w:rPr/>
        <w:t>和营销总裁。</w:t>
      </w:r>
      <w:r>
        <w:rPr>
          <w:rFonts w:ascii="Book Antiqua" w:hAnsi="Book Antiqua" w:cs="Book Antiqua" w:eastAsia="Book Antiqua" w:hint="default"/>
        </w:rPr>
        <w:t>2006 </w:t>
      </w:r>
      <w:r>
        <w:rPr/>
        <w:t>年 </w:t>
      </w:r>
      <w:r>
        <w:rPr>
          <w:rFonts w:ascii="Book Antiqua" w:hAnsi="Book Antiqua" w:cs="Book Antiqua" w:eastAsia="Book Antiqua" w:hint="default"/>
        </w:rPr>
        <w:t>1</w:t>
      </w:r>
      <w:r>
        <w:rPr>
          <w:rFonts w:ascii="Book Antiqua" w:hAnsi="Book Antiqua" w:cs="Book Antiqua" w:eastAsia="Book Antiqua" w:hint="default"/>
          <w:spacing w:val="-25"/>
        </w:rPr>
        <w:t> </w:t>
      </w:r>
      <w:r>
        <w:rPr/>
        <w:t>月至今任公司副总经理。最近五年无在其他</w:t>
      </w:r>
      <w:r>
        <w:rPr>
          <w:w w:val="100"/>
        </w:rPr>
        <w:t> </w:t>
      </w:r>
      <w:r>
        <w:rPr/>
        <w:t>公司担任董事、监事、高级管理人员的情况。</w:t>
      </w:r>
    </w:p>
    <w:p>
      <w:pPr>
        <w:spacing w:line="297" w:lineRule="auto" w:before="65"/>
        <w:ind w:left="1117" w:right="0" w:hanging="560"/>
        <w:jc w:val="left"/>
        <w:rPr>
          <w:rFonts w:ascii="Book Antiqua" w:hAnsi="Book Antiqua" w:cs="Book Antiqua" w:eastAsia="Book Antiqua" w:hint="default"/>
          <w:sz w:val="28"/>
          <w:szCs w:val="28"/>
        </w:rPr>
      </w:pPr>
      <w:r>
        <w:rPr>
          <w:rFonts w:ascii="宋体" w:hAnsi="宋体" w:cs="宋体" w:eastAsia="宋体" w:hint="default"/>
          <w:b/>
          <w:bCs/>
          <w:sz w:val="28"/>
          <w:szCs w:val="28"/>
        </w:rPr>
        <w:t>（</w:t>
      </w:r>
      <w:r>
        <w:rPr>
          <w:rFonts w:ascii="Book Antiqua" w:hAnsi="Book Antiqua" w:cs="Book Antiqua" w:eastAsia="Book Antiqua" w:hint="default"/>
          <w:b/>
          <w:bCs/>
          <w:sz w:val="28"/>
          <w:szCs w:val="28"/>
        </w:rPr>
        <w:t>5</w:t>
      </w:r>
      <w:r>
        <w:rPr>
          <w:rFonts w:ascii="宋体" w:hAnsi="宋体" w:cs="宋体" w:eastAsia="宋体" w:hint="default"/>
          <w:b/>
          <w:bCs/>
          <w:sz w:val="28"/>
          <w:szCs w:val="28"/>
        </w:rPr>
        <w:t>）杜旭升，现任本公司总工程师</w:t>
      </w:r>
      <w:r>
        <w:rPr>
          <w:rFonts w:ascii="宋体" w:hAnsi="宋体" w:cs="宋体" w:eastAsia="宋体" w:hint="default"/>
          <w:b/>
          <w:bCs/>
          <w:w w:val="99"/>
          <w:sz w:val="28"/>
          <w:szCs w:val="28"/>
        </w:rPr>
        <w:t> </w:t>
      </w:r>
      <w:r>
        <w:rPr>
          <w:rFonts w:ascii="宋体" w:hAnsi="宋体" w:cs="宋体" w:eastAsia="宋体" w:hint="default"/>
          <w:spacing w:val="-4"/>
          <w:sz w:val="28"/>
          <w:szCs w:val="28"/>
        </w:rPr>
        <w:t>郑州工业高等专科学校电气技术专业，大专学历，工程师。</w:t>
      </w:r>
      <w:r>
        <w:rPr>
          <w:rFonts w:ascii="Book Antiqua" w:hAnsi="Book Antiqua" w:cs="Book Antiqua" w:eastAsia="Book Antiqua" w:hint="default"/>
          <w:spacing w:val="-4"/>
          <w:sz w:val="28"/>
          <w:szCs w:val="28"/>
        </w:rPr>
        <w:t>2001</w:t>
      </w:r>
    </w:p>
    <w:p>
      <w:pPr>
        <w:spacing w:line="324" w:lineRule="auto" w:before="12"/>
        <w:ind w:left="558" w:right="0" w:firstLine="0"/>
        <w:jc w:val="left"/>
        <w:rPr>
          <w:rFonts w:ascii="宋体" w:hAnsi="宋体" w:cs="宋体" w:eastAsia="宋体" w:hint="default"/>
          <w:sz w:val="28"/>
          <w:szCs w:val="28"/>
        </w:rPr>
      </w:pPr>
      <w:r>
        <w:rPr/>
        <w:pict>
          <v:shape style="position:absolute;margin-left:67.223999pt;margin-top:121.86158pt;width:462.7pt;height:487.6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4899"/>
                    <w:gridCol w:w="1702"/>
                    <w:gridCol w:w="1558"/>
                  </w:tblGrid>
                  <w:tr>
                    <w:trPr>
                      <w:trHeight w:val="341"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00"/>
                          <w:ind w:left="323" w:right="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姓名</w:t>
                        </w:r>
                        <w:r>
                          <w:rPr>
                            <w:rFonts w:ascii="微软雅黑" w:hAnsi="微软雅黑" w:cs="微软雅黑" w:eastAsia="微软雅黑" w:hint="default"/>
                            <w:sz w:val="21"/>
                            <w:szCs w:val="21"/>
                          </w:rPr>
                        </w:r>
                      </w:p>
                    </w:tc>
                    <w:tc>
                      <w:tcPr>
                        <w:tcW w:w="4899" w:type="dxa"/>
                        <w:vMerge w:val="restart"/>
                        <w:tcBorders>
                          <w:top w:val="single" w:sz="4" w:space="0" w:color="000000"/>
                          <w:left w:val="single" w:sz="4" w:space="0" w:color="000000"/>
                          <w:right w:val="single" w:sz="4" w:space="0" w:color="000000"/>
                        </w:tcBorders>
                      </w:tcPr>
                      <w:p>
                        <w:pPr>
                          <w:pStyle w:val="TableParagraph"/>
                          <w:spacing w:line="240" w:lineRule="auto" w:before="100"/>
                          <w:ind w:right="0"/>
                          <w:jc w:val="center"/>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兼职单位</w:t>
                        </w:r>
                        <w:r>
                          <w:rPr>
                            <w:rFonts w:ascii="微软雅黑" w:hAnsi="微软雅黑" w:cs="微软雅黑" w:eastAsia="微软雅黑"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3"/>
                          <w:jc w:val="center"/>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在兼职单位</w:t>
                        </w:r>
                        <w:r>
                          <w:rPr>
                            <w:rFonts w:ascii="微软雅黑" w:hAnsi="微软雅黑" w:cs="微软雅黑" w:eastAsia="微软雅黑" w:hint="default"/>
                            <w:sz w:val="21"/>
                            <w:szCs w:val="21"/>
                          </w:rPr>
                        </w:r>
                      </w:p>
                    </w:tc>
                    <w:tc>
                      <w:tcPr>
                        <w:tcW w:w="1558" w:type="dxa"/>
                        <w:vMerge w:val="restart"/>
                        <w:tcBorders>
                          <w:top w:val="single" w:sz="4" w:space="0" w:color="000000"/>
                          <w:left w:val="single" w:sz="4" w:space="0" w:color="000000"/>
                          <w:right w:val="single" w:sz="4" w:space="0" w:color="000000"/>
                        </w:tcBorders>
                      </w:tcPr>
                      <w:p>
                        <w:pPr>
                          <w:pStyle w:val="TableParagraph"/>
                          <w:spacing w:line="158" w:lineRule="auto" w:before="85"/>
                          <w:ind w:left="141" w:right="141" w:firstLine="211"/>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兼职单位</w:t>
                        </w:r>
                        <w:r>
                          <w:rPr>
                            <w:rFonts w:ascii="微软雅黑" w:hAnsi="微软雅黑" w:cs="微软雅黑" w:eastAsia="微软雅黑" w:hint="default"/>
                            <w:b/>
                            <w:bCs/>
                            <w:w w:val="100"/>
                            <w:sz w:val="21"/>
                            <w:szCs w:val="21"/>
                          </w:rPr>
                          <w:t> </w:t>
                        </w:r>
                        <w:r>
                          <w:rPr>
                            <w:rFonts w:ascii="微软雅黑" w:hAnsi="微软雅黑" w:cs="微软雅黑" w:eastAsia="微软雅黑" w:hint="default"/>
                            <w:b/>
                            <w:bCs/>
                            <w:sz w:val="21"/>
                            <w:szCs w:val="21"/>
                          </w:rPr>
                          <w:t>与本公司关系</w:t>
                        </w:r>
                        <w:r>
                          <w:rPr>
                            <w:rFonts w:ascii="微软雅黑" w:hAnsi="微软雅黑" w:cs="微软雅黑" w:eastAsia="微软雅黑" w:hint="default"/>
                            <w:sz w:val="21"/>
                            <w:szCs w:val="21"/>
                          </w:rPr>
                        </w:r>
                      </w:p>
                    </w:tc>
                  </w:tr>
                  <w:tr>
                    <w:trPr>
                      <w:trHeight w:val="341" w:hRule="exact"/>
                    </w:trPr>
                    <w:tc>
                      <w:tcPr>
                        <w:tcW w:w="1080" w:type="dxa"/>
                        <w:vMerge/>
                        <w:tcBorders>
                          <w:left w:val="single" w:sz="4" w:space="0" w:color="000000"/>
                          <w:bottom w:val="single" w:sz="4" w:space="0" w:color="000000"/>
                          <w:right w:val="single" w:sz="4" w:space="0" w:color="000000"/>
                        </w:tcBorders>
                      </w:tcPr>
                      <w:p>
                        <w:pPr/>
                      </w:p>
                    </w:tc>
                    <w:tc>
                      <w:tcPr>
                        <w:tcW w:w="489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3"/>
                          <w:jc w:val="center"/>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任职情况</w:t>
                        </w:r>
                        <w:r>
                          <w:rPr>
                            <w:rFonts w:ascii="微软雅黑" w:hAnsi="微软雅黑" w:cs="微软雅黑" w:eastAsia="微软雅黑" w:hint="default"/>
                            <w:sz w:val="21"/>
                            <w:szCs w:val="21"/>
                          </w:rPr>
                        </w:r>
                      </w:p>
                    </w:tc>
                    <w:tc>
                      <w:tcPr>
                        <w:tcW w:w="1558" w:type="dxa"/>
                        <w:vMerge/>
                        <w:tcBorders>
                          <w:left w:val="single" w:sz="4" w:space="0" w:color="000000"/>
                          <w:bottom w:val="single" w:sz="4" w:space="0" w:color="000000"/>
                          <w:right w:val="single" w:sz="4" w:space="0" w:color="000000"/>
                        </w:tcBorders>
                      </w:tcPr>
                      <w:p>
                        <w:pPr/>
                      </w:p>
                    </w:tc>
                  </w:tr>
                  <w:tr>
                    <w:trPr>
                      <w:trHeight w:val="33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李劲松</w:t>
                        </w:r>
                        <w:r>
                          <w:rPr>
                            <w:rFonts w:ascii="微软雅黑" w:hAnsi="微软雅黑" w:cs="微软雅黑" w:eastAsia="微软雅黑"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北京全路通号科技有限公司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3"/>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全资子公司</w:t>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谢春生</w:t>
                        </w:r>
                        <w:r>
                          <w:rPr>
                            <w:rFonts w:ascii="微软雅黑" w:hAnsi="微软雅黑" w:cs="微软雅黑" w:eastAsia="微软雅黑"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河南辉煌软件有限公司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3"/>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全资子公司</w:t>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胡江平</w:t>
                        </w:r>
                        <w:r>
                          <w:rPr>
                            <w:rFonts w:ascii="微软雅黑" w:hAnsi="微软雅黑" w:cs="微软雅黑" w:eastAsia="微软雅黑"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郑州高新技术产业开发区质量管理协会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3"/>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副理事长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38"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23" w:right="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唐涛</w:t>
                        </w:r>
                        <w:r>
                          <w:rPr>
                            <w:rFonts w:ascii="微软雅黑" w:hAnsi="微软雅黑" w:cs="微软雅黑" w:eastAsia="微软雅黑"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北京交通大学轨道交通控制与安全国家重点实验室</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主任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41"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中国自动学会教育专业委员会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41"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北京交控科技有限公司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38"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中国铁道学会自动化委员会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41"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国家发改委地铁设备国产化专家组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成员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22" w:hRule="exact"/>
                    </w:trPr>
                    <w:tc>
                      <w:tcPr>
                        <w:tcW w:w="1080" w:type="dxa"/>
                        <w:vMerge/>
                        <w:tcBorders>
                          <w:left w:val="single" w:sz="4" w:space="0" w:color="000000"/>
                          <w:bottom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北京市城市轨道交通建设专家委员会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成员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38"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18" w:right="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谭宪才</w:t>
                        </w:r>
                        <w:r>
                          <w:rPr>
                            <w:rFonts w:ascii="微软雅黑" w:hAnsi="微软雅黑" w:cs="微软雅黑" w:eastAsia="微软雅黑"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天职国际会计师事务所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合伙人、总经理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970"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中国注册会计师协会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58" w:lineRule="auto"/>
                          <w:ind w:left="108" w:right="108" w:firstLine="211"/>
                          <w:jc w:val="both"/>
                          <w:rPr>
                            <w:rFonts w:ascii="微软雅黑" w:hAnsi="微软雅黑" w:cs="微软雅黑" w:eastAsia="微软雅黑" w:hint="default"/>
                            <w:sz w:val="21"/>
                            <w:szCs w:val="21"/>
                          </w:rPr>
                        </w:pPr>
                        <w:r>
                          <w:rPr>
                            <w:rFonts w:ascii="微软雅黑" w:hAnsi="微软雅黑" w:cs="微软雅黑" w:eastAsia="微软雅黑" w:hint="default"/>
                            <w:sz w:val="21"/>
                            <w:szCs w:val="21"/>
                          </w:rPr>
                          <w:t>理事、维权委</w:t>
                        </w:r>
                        <w:r>
                          <w:rPr>
                            <w:rFonts w:ascii="微软雅黑" w:hAnsi="微软雅黑" w:cs="微软雅黑" w:eastAsia="微软雅黑" w:hint="default"/>
                            <w:w w:val="100"/>
                            <w:sz w:val="21"/>
                            <w:szCs w:val="21"/>
                          </w:rPr>
                          <w:t> </w:t>
                        </w:r>
                        <w:r>
                          <w:rPr>
                            <w:rFonts w:ascii="微软雅黑" w:hAnsi="微软雅黑" w:cs="微软雅黑" w:eastAsia="微软雅黑" w:hint="default"/>
                            <w:sz w:val="21"/>
                            <w:szCs w:val="21"/>
                          </w:rPr>
                          <w:t>员会委员、会计</w:t>
                        </w:r>
                        <w:r>
                          <w:rPr>
                            <w:rFonts w:ascii="微软雅黑" w:hAnsi="微软雅黑" w:cs="微软雅黑" w:eastAsia="微软雅黑" w:hint="default"/>
                            <w:spacing w:val="-60"/>
                            <w:sz w:val="21"/>
                            <w:szCs w:val="21"/>
                          </w:rPr>
                          <w:t> </w:t>
                        </w:r>
                        <w:r>
                          <w:rPr>
                            <w:rFonts w:ascii="微软雅黑" w:hAnsi="微软雅黑" w:cs="微软雅黑" w:eastAsia="微软雅黑" w:hint="default"/>
                            <w:spacing w:val="-60"/>
                            <w:sz w:val="21"/>
                            <w:szCs w:val="21"/>
                          </w:rPr>
                        </w:r>
                        <w:r>
                          <w:rPr>
                            <w:rFonts w:ascii="微软雅黑" w:hAnsi="微软雅黑" w:cs="微软雅黑" w:eastAsia="微软雅黑" w:hint="default"/>
                            <w:sz w:val="21"/>
                            <w:szCs w:val="21"/>
                          </w:rPr>
                          <w:t>师事务所内部治</w:t>
                        </w:r>
                        <w:r>
                          <w:rPr>
                            <w:rFonts w:ascii="微软雅黑" w:hAnsi="微软雅黑" w:cs="微软雅黑" w:eastAsia="微软雅黑" w:hint="default"/>
                            <w:spacing w:val="-60"/>
                            <w:sz w:val="21"/>
                            <w:szCs w:val="21"/>
                          </w:rPr>
                          <w:t> </w:t>
                        </w:r>
                        <w:r>
                          <w:rPr>
                            <w:rFonts w:ascii="微软雅黑" w:hAnsi="微软雅黑" w:cs="微软雅黑" w:eastAsia="微软雅黑" w:hint="default"/>
                            <w:spacing w:val="-60"/>
                            <w:sz w:val="21"/>
                            <w:szCs w:val="21"/>
                          </w:rPr>
                        </w:r>
                        <w:r>
                          <w:rPr>
                            <w:rFonts w:ascii="微软雅黑" w:hAnsi="微软雅黑" w:cs="微软雅黑" w:eastAsia="微软雅黑" w:hint="default"/>
                            <w:sz w:val="21"/>
                            <w:szCs w:val="21"/>
                          </w:rPr>
                          <w:t>理委员会委员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732"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财政部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58" w:lineRule="auto"/>
                          <w:ind w:left="108" w:right="108" w:firstLine="211"/>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企业内部控制</w:t>
                        </w:r>
                        <w:r>
                          <w:rPr>
                            <w:rFonts w:ascii="微软雅黑" w:hAnsi="微软雅黑" w:cs="微软雅黑" w:eastAsia="微软雅黑" w:hint="default"/>
                            <w:w w:val="100"/>
                            <w:sz w:val="21"/>
                            <w:szCs w:val="21"/>
                          </w:rPr>
                          <w:t> </w:t>
                        </w:r>
                        <w:r>
                          <w:rPr>
                            <w:rFonts w:ascii="微软雅黑" w:hAnsi="微软雅黑" w:cs="微软雅黑" w:eastAsia="微软雅黑" w:hint="default"/>
                            <w:sz w:val="21"/>
                            <w:szCs w:val="21"/>
                          </w:rPr>
                          <w:t>标准委员会咨询</w:t>
                        </w:r>
                      </w:p>
                      <w:p>
                        <w:pPr>
                          <w:pStyle w:val="TableParagraph"/>
                          <w:spacing w:line="259"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专家</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38"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全国工商联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36" w:lineRule="exact"/>
                          <w:ind w:right="3"/>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第十届执委</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41"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湖南省政协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38" w:lineRule="exact"/>
                          <w:ind w:right="3"/>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第十届委员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41" w:hRule="exact"/>
                    </w:trPr>
                    <w:tc>
                      <w:tcPr>
                        <w:tcW w:w="1080" w:type="dxa"/>
                        <w:vMerge/>
                        <w:tcBorders>
                          <w:left w:val="single" w:sz="4" w:space="0" w:color="000000"/>
                          <w:bottom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湖南省注册会计师协会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38"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副会长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38"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23" w:right="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蒋承</w:t>
                        </w:r>
                        <w:r>
                          <w:rPr>
                            <w:rFonts w:ascii="微软雅黑" w:hAnsi="微软雅黑" w:cs="微软雅黑" w:eastAsia="微软雅黑"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北京大学光华管理学院应用经济系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博士后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490"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北京大学经济学院交通能源金融与经济研究所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58" w:lineRule="auto"/>
                          <w:ind w:left="528" w:right="53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副所长</w:t>
                        </w:r>
                        <w:r>
                          <w:rPr>
                            <w:rFonts w:ascii="微软雅黑" w:hAnsi="微软雅黑" w:cs="微软雅黑" w:eastAsia="微软雅黑" w:hint="default"/>
                            <w:spacing w:val="-59"/>
                            <w:sz w:val="21"/>
                            <w:szCs w:val="21"/>
                          </w:rPr>
                          <w:t> </w:t>
                        </w:r>
                        <w:r>
                          <w:rPr>
                            <w:rFonts w:ascii="微软雅黑" w:hAnsi="微软雅黑" w:cs="微软雅黑" w:eastAsia="微软雅黑" w:hint="default"/>
                            <w:sz w:val="21"/>
                            <w:szCs w:val="21"/>
                          </w:rPr>
                          <w:t>研究员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682" w:hRule="exact"/>
                    </w:trPr>
                    <w:tc>
                      <w:tcPr>
                        <w:tcW w:w="1080" w:type="dxa"/>
                        <w:vMerge/>
                        <w:tcBorders>
                          <w:left w:val="single" w:sz="4" w:space="0" w:color="000000"/>
                          <w:bottom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北京大学光华管理学院博士后联合会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副主席兼秘书长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3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刘锐</w:t>
                        </w:r>
                        <w:r>
                          <w:rPr>
                            <w:rFonts w:ascii="微软雅黑" w:hAnsi="微软雅黑" w:cs="微软雅黑" w:eastAsia="微软雅黑"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河南辉煌软件有限公司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全资子公司</w:t>
                        </w:r>
                      </w:p>
                    </w:tc>
                  </w:tr>
                  <w:tr>
                    <w:trPr>
                      <w:trHeight w:val="372"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323" w:right="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李翀</w:t>
                        </w:r>
                        <w:r>
                          <w:rPr>
                            <w:rFonts w:ascii="微软雅黑" w:hAnsi="微软雅黑" w:cs="微软雅黑" w:eastAsia="微软雅黑"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309"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上海聚力传媒技术有限公司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09"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70" w:hRule="exact"/>
                    </w:trPr>
                    <w:tc>
                      <w:tcPr>
                        <w:tcW w:w="1080" w:type="dxa"/>
                        <w:vMerge/>
                        <w:tcBorders>
                          <w:left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突触计算机系统（上海）有限公司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70" w:hRule="exact"/>
                    </w:trPr>
                    <w:tc>
                      <w:tcPr>
                        <w:tcW w:w="1080" w:type="dxa"/>
                        <w:vMerge/>
                        <w:tcBorders>
                          <w:left w:val="single" w:sz="4" w:space="0" w:color="000000"/>
                          <w:bottom w:val="nil" w:sz="6" w:space="0" w:color="auto"/>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上海通视铭泰数码科技有限公司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bl>
                <w:p>
                  <w:pPr/>
                </w:p>
              </w:txbxContent>
            </v:textbox>
            <w10:wrap type="none"/>
          </v:shape>
        </w:pict>
      </w:r>
      <w:r>
        <w:rPr>
          <w:rFonts w:ascii="宋体" w:hAnsi="宋体" w:cs="宋体" w:eastAsia="宋体" w:hint="default"/>
          <w:spacing w:val="-1"/>
          <w:sz w:val="28"/>
          <w:szCs w:val="28"/>
        </w:rPr>
        <w:t>年进入公司，历任铁路事业部工程调试工程师、技术室副主任等职。</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4"/>
          <w:sz w:val="28"/>
          <w:szCs w:val="28"/>
        </w:rPr>
        <w:t>曾任本公司副总工程师、常务副总工程师，现任公司总工程师。最近</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五年无在其他公司担任董事、监事、高级管理人员的情况。</w:t>
      </w:r>
      <w:r>
        <w:rPr>
          <w:rFonts w:ascii="宋体" w:hAnsi="宋体" w:cs="宋体" w:eastAsia="宋体" w:hint="default"/>
          <w:w w:val="100"/>
          <w:sz w:val="28"/>
          <w:szCs w:val="28"/>
        </w:rPr>
        <w:t> </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、董事、监事、高级管理人员在除股东单位以外的其他单位任职或</w:t>
      </w:r>
      <w:r>
        <w:rPr>
          <w:rFonts w:ascii="宋体" w:hAnsi="宋体" w:cs="宋体" w:eastAsia="宋体" w:hint="default"/>
          <w:b/>
          <w:bCs/>
          <w:spacing w:val="-128"/>
          <w:sz w:val="28"/>
          <w:szCs w:val="28"/>
        </w:rPr>
        <w:t> </w:t>
      </w:r>
      <w:r>
        <w:rPr>
          <w:rFonts w:ascii="宋体" w:hAnsi="宋体" w:cs="宋体" w:eastAsia="宋体" w:hint="default"/>
          <w:b/>
          <w:bCs/>
          <w:spacing w:val="-128"/>
          <w:sz w:val="28"/>
          <w:szCs w:val="28"/>
        </w:rPr>
      </w:r>
      <w:r>
        <w:rPr>
          <w:rFonts w:ascii="宋体" w:hAnsi="宋体" w:cs="宋体" w:eastAsia="宋体" w:hint="default"/>
          <w:b/>
          <w:bCs/>
          <w:sz w:val="28"/>
          <w:szCs w:val="28"/>
        </w:rPr>
        <w:t>兼职情况</w:t>
      </w:r>
      <w:r>
        <w:rPr>
          <w:rFonts w:ascii="宋体" w:hAnsi="宋体" w:cs="宋体" w:eastAsia="宋体" w:hint="default"/>
          <w:sz w:val="28"/>
          <w:szCs w:val="28"/>
        </w:rPr>
      </w:r>
    </w:p>
    <w:p>
      <w:pPr>
        <w:spacing w:after="0" w:line="324" w:lineRule="auto"/>
        <w:jc w:val="left"/>
        <w:rPr>
          <w:rFonts w:ascii="宋体" w:hAnsi="宋体" w:cs="宋体" w:eastAsia="宋体" w:hint="default"/>
          <w:sz w:val="28"/>
          <w:szCs w:val="28"/>
        </w:rPr>
        <w:sectPr>
          <w:pgSz w:w="11910" w:h="16840"/>
          <w:pgMar w:header="624" w:footer="1045" w:top="1240" w:bottom="1240" w:left="1240" w:right="1200"/>
        </w:sectPr>
      </w:pPr>
    </w:p>
    <w:p>
      <w:pPr>
        <w:spacing w:line="240" w:lineRule="auto" w:before="11"/>
        <w:rPr>
          <w:rFonts w:ascii="宋体" w:hAnsi="宋体" w:cs="宋体" w:eastAsia="宋体"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420"/>
        <w:gridCol w:w="660"/>
        <w:gridCol w:w="4899"/>
        <w:gridCol w:w="1702"/>
        <w:gridCol w:w="1109"/>
        <w:gridCol w:w="449"/>
      </w:tblGrid>
      <w:tr>
        <w:trPr>
          <w:trHeight w:val="372" w:hRule="exact"/>
        </w:trPr>
        <w:tc>
          <w:tcPr>
            <w:tcW w:w="420" w:type="dxa"/>
            <w:vMerge w:val="restart"/>
            <w:tcBorders>
              <w:top w:val="nil" w:sz="6" w:space="0" w:color="auto"/>
              <w:left w:val="single" w:sz="4" w:space="0" w:color="000000"/>
              <w:right w:val="nil" w:sz="6" w:space="0" w:color="auto"/>
            </w:tcBorders>
          </w:tcPr>
          <w:p>
            <w:pPr/>
          </w:p>
        </w:tc>
        <w:tc>
          <w:tcPr>
            <w:tcW w:w="660" w:type="dxa"/>
            <w:vMerge w:val="restart"/>
            <w:tcBorders>
              <w:top w:val="single" w:sz="6" w:space="0" w:color="000000"/>
              <w:left w:val="nil" w:sz="6" w:space="0" w:color="auto"/>
              <w:right w:val="single" w:sz="4" w:space="0" w:color="000000"/>
            </w:tcBorders>
          </w:tcPr>
          <w:p>
            <w:pPr/>
          </w:p>
        </w:tc>
        <w:tc>
          <w:tcPr>
            <w:tcW w:w="489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Book Antiqua" w:hAnsi="Book Antiqua" w:cs="Book Antiqua" w:eastAsia="Book Antiqua" w:hint="default"/>
                <w:sz w:val="21"/>
                <w:szCs w:val="21"/>
              </w:rPr>
            </w:pPr>
            <w:r>
              <w:rPr>
                <w:rFonts w:ascii="Book Antiqua"/>
                <w:sz w:val="21"/>
              </w:rPr>
              <w:t>Synacast Corporation</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307"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董事</w:t>
            </w:r>
          </w:p>
        </w:tc>
        <w:tc>
          <w:tcPr>
            <w:tcW w:w="1109" w:type="dxa"/>
            <w:tcBorders>
              <w:top w:val="single" w:sz="6" w:space="0" w:color="000000"/>
              <w:left w:val="single" w:sz="4" w:space="0" w:color="000000"/>
              <w:bottom w:val="single" w:sz="4" w:space="0" w:color="000000"/>
              <w:right w:val="nil" w:sz="6" w:space="0" w:color="auto"/>
            </w:tcBorders>
          </w:tcPr>
          <w:p>
            <w:pPr>
              <w:pStyle w:val="TableParagraph"/>
              <w:spacing w:line="307" w:lineRule="exact"/>
              <w:ind w:left="667" w:right="0"/>
              <w:jc w:val="left"/>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c>
          <w:tcPr>
            <w:tcW w:w="449" w:type="dxa"/>
            <w:tcBorders>
              <w:top w:val="nil" w:sz="6" w:space="0" w:color="auto"/>
              <w:left w:val="nil" w:sz="6" w:space="0" w:color="auto"/>
              <w:bottom w:val="single" w:sz="4" w:space="0" w:color="000000"/>
              <w:right w:val="single" w:sz="4" w:space="0" w:color="000000"/>
            </w:tcBorders>
          </w:tcPr>
          <w:p>
            <w:pPr/>
          </w:p>
        </w:tc>
      </w:tr>
      <w:tr>
        <w:trPr>
          <w:trHeight w:val="370" w:hRule="exact"/>
        </w:trPr>
        <w:tc>
          <w:tcPr>
            <w:tcW w:w="420" w:type="dxa"/>
            <w:vMerge/>
            <w:tcBorders>
              <w:left w:val="single" w:sz="4" w:space="0" w:color="000000"/>
              <w:right w:val="nil" w:sz="6" w:space="0" w:color="auto"/>
            </w:tcBorders>
          </w:tcPr>
          <w:p>
            <w:pPr/>
          </w:p>
        </w:tc>
        <w:tc>
          <w:tcPr>
            <w:tcW w:w="660" w:type="dxa"/>
            <w:vMerge/>
            <w:tcBorders>
              <w:left w:val="nil" w:sz="6" w:space="0" w:color="auto"/>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Book Antiqua" w:hAnsi="Book Antiqua" w:cs="Book Antiqua" w:eastAsia="Book Antiqua" w:hint="default"/>
                <w:sz w:val="21"/>
                <w:szCs w:val="21"/>
              </w:rPr>
            </w:pPr>
            <w:r>
              <w:rPr>
                <w:rFonts w:ascii="Book Antiqua"/>
                <w:sz w:val="21"/>
              </w:rPr>
              <w:t>Synacast Corporation</w:t>
            </w:r>
            <w:r>
              <w:rPr>
                <w:rFonts w:ascii="Book Antiqua"/>
                <w:spacing w:val="-5"/>
                <w:sz w:val="21"/>
              </w:rPr>
              <w:t> </w:t>
            </w:r>
            <w:r>
              <w:rPr>
                <w:rFonts w:ascii="Book Antiqua"/>
                <w:sz w:val="21"/>
              </w:rPr>
              <w:t>Limited</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董事</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72" w:hRule="exact"/>
        </w:trPr>
        <w:tc>
          <w:tcPr>
            <w:tcW w:w="420" w:type="dxa"/>
            <w:vMerge/>
            <w:tcBorders>
              <w:left w:val="single" w:sz="4" w:space="0" w:color="000000"/>
              <w:bottom w:val="single" w:sz="4" w:space="0" w:color="000000"/>
              <w:right w:val="nil" w:sz="6" w:space="0" w:color="auto"/>
            </w:tcBorders>
          </w:tcPr>
          <w:p>
            <w:pPr/>
          </w:p>
        </w:tc>
        <w:tc>
          <w:tcPr>
            <w:tcW w:w="660" w:type="dxa"/>
            <w:vMerge/>
            <w:tcBorders>
              <w:left w:val="nil" w:sz="6" w:space="0" w:color="auto"/>
              <w:bottom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309"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北京中视天曈科技有限公司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董事长</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70" w:hRule="exact"/>
        </w:trPr>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李力</w:t>
            </w:r>
            <w:r>
              <w:rPr>
                <w:rFonts w:ascii="微软雅黑" w:hAnsi="微软雅黑" w:cs="微软雅黑" w:eastAsia="微软雅黑"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北京全路通号科技有限公司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经理</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247"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全资子公司</w:t>
            </w:r>
          </w:p>
        </w:tc>
      </w:tr>
      <w:tr>
        <w:trPr>
          <w:trHeight w:val="324" w:hRule="exact"/>
        </w:trPr>
        <w:tc>
          <w:tcPr>
            <w:tcW w:w="1080" w:type="dxa"/>
            <w:gridSpan w:val="2"/>
            <w:vMerge w:val="restart"/>
            <w:tcBorders>
              <w:top w:val="single" w:sz="4" w:space="0" w:color="000000"/>
              <w:left w:val="single" w:sz="4" w:space="0" w:color="000000"/>
              <w:right w:val="single" w:sz="4" w:space="0" w:color="000000"/>
            </w:tcBorders>
          </w:tcPr>
          <w:p>
            <w:pPr>
              <w:pStyle w:val="TableParagraph"/>
              <w:spacing w:line="240" w:lineRule="auto" w:before="83"/>
              <w:ind w:left="218" w:right="0"/>
              <w:jc w:val="left"/>
              <w:rPr>
                <w:rFonts w:ascii="微软雅黑" w:hAnsi="微软雅黑" w:cs="微软雅黑" w:eastAsia="微软雅黑" w:hint="default"/>
                <w:sz w:val="21"/>
                <w:szCs w:val="21"/>
              </w:rPr>
            </w:pPr>
            <w:r>
              <w:rPr>
                <w:rFonts w:ascii="微软雅黑" w:hAnsi="微软雅黑" w:cs="微软雅黑" w:eastAsia="微软雅黑" w:hint="default"/>
                <w:b/>
                <w:bCs/>
                <w:sz w:val="21"/>
                <w:szCs w:val="21"/>
              </w:rPr>
              <w:t>李新建</w:t>
            </w:r>
            <w:r>
              <w:rPr>
                <w:rFonts w:ascii="微软雅黑" w:hAnsi="微软雅黑" w:cs="微软雅黑" w:eastAsia="微软雅黑" w:hint="default"/>
                <w:sz w:val="21"/>
                <w:szCs w:val="21"/>
              </w:rPr>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郑州市高新技术产业开发区工商企业联合会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2"/>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副会长</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r>
        <w:trPr>
          <w:trHeight w:val="326" w:hRule="exact"/>
        </w:trPr>
        <w:tc>
          <w:tcPr>
            <w:tcW w:w="1080" w:type="dxa"/>
            <w:gridSpan w:val="2"/>
            <w:vMerge/>
            <w:tcBorders>
              <w:left w:val="single" w:sz="4" w:space="0" w:color="000000"/>
              <w:bottom w:val="single" w:sz="4" w:space="0" w:color="000000"/>
              <w:right w:val="single" w:sz="4" w:space="0" w:color="000000"/>
            </w:tcBorders>
          </w:tcPr>
          <w:p>
            <w:pP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微软雅黑" w:hAnsi="微软雅黑" w:cs="微软雅黑" w:eastAsia="微软雅黑" w:hint="default"/>
                <w:sz w:val="21"/>
                <w:szCs w:val="21"/>
              </w:rPr>
            </w:pPr>
            <w:r>
              <w:rPr>
                <w:rFonts w:ascii="微软雅黑" w:hAnsi="微软雅黑" w:cs="微软雅黑" w:eastAsia="微软雅黑" w:hint="default"/>
                <w:sz w:val="21"/>
                <w:szCs w:val="21"/>
              </w:rPr>
              <w:t>昆山商厦股份有限公司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3"/>
              <w:jc w:val="center"/>
              <w:rPr>
                <w:rFonts w:ascii="微软雅黑" w:hAnsi="微软雅黑" w:cs="微软雅黑" w:eastAsia="微软雅黑" w:hint="default"/>
                <w:sz w:val="21"/>
                <w:szCs w:val="21"/>
              </w:rPr>
            </w:pPr>
            <w:r>
              <w:rPr>
                <w:rFonts w:ascii="微软雅黑" w:hAnsi="微软雅黑" w:cs="微软雅黑" w:eastAsia="微软雅黑" w:hint="default"/>
                <w:sz w:val="21"/>
                <w:szCs w:val="21"/>
              </w:rPr>
              <w:t>独立董事</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无</w:t>
            </w:r>
          </w:p>
        </w:tc>
      </w:tr>
    </w:tbl>
    <w:p>
      <w:pPr>
        <w:spacing w:line="326" w:lineRule="auto" w:before="73"/>
        <w:ind w:left="1117" w:right="0" w:hanging="560"/>
        <w:jc w:val="left"/>
        <w:rPr>
          <w:rFonts w:ascii="宋体" w:hAnsi="宋体" w:cs="宋体" w:eastAsia="宋体" w:hint="default"/>
          <w:sz w:val="28"/>
          <w:szCs w:val="28"/>
        </w:rPr>
      </w:pPr>
      <w:r>
        <w:rPr>
          <w:rFonts w:ascii="宋体" w:hAnsi="宋体" w:cs="宋体" w:eastAsia="宋体" w:hint="default"/>
          <w:b/>
          <w:bCs/>
          <w:sz w:val="28"/>
          <w:szCs w:val="28"/>
        </w:rPr>
        <w:t>（三）董事、监事、高级管理人员年度报酬情况</w:t>
      </w:r>
      <w:r>
        <w:rPr>
          <w:rFonts w:ascii="宋体" w:hAnsi="宋体" w:cs="宋体" w:eastAsia="宋体" w:hint="default"/>
          <w:b/>
          <w:bCs/>
          <w:w w:val="99"/>
          <w:sz w:val="28"/>
          <w:szCs w:val="28"/>
        </w:rPr>
        <w:t> </w:t>
      </w:r>
      <w:r>
        <w:rPr>
          <w:rFonts w:ascii="宋体" w:hAnsi="宋体" w:cs="宋体" w:eastAsia="宋体" w:hint="default"/>
          <w:sz w:val="28"/>
          <w:szCs w:val="28"/>
        </w:rPr>
        <w:t>1</w:t>
      </w:r>
      <w:r>
        <w:rPr>
          <w:rFonts w:ascii="宋体" w:hAnsi="宋体" w:cs="宋体" w:eastAsia="宋体" w:hint="default"/>
          <w:sz w:val="28"/>
          <w:szCs w:val="28"/>
        </w:rPr>
        <w:t>、独立董事报酬的决策程序：本公司独立董事在本公司领取独</w:t>
      </w:r>
    </w:p>
    <w:p>
      <w:pPr>
        <w:pStyle w:val="Heading3"/>
        <w:spacing w:line="240" w:lineRule="auto" w:before="32"/>
        <w:ind w:left="558" w:right="0"/>
        <w:jc w:val="both"/>
      </w:pPr>
      <w:r>
        <w:rPr>
          <w:spacing w:val="-3"/>
        </w:rPr>
        <w:t>立董事津贴，独立董事津贴为每年</w:t>
      </w:r>
      <w:r>
        <w:rPr>
          <w:spacing w:val="-59"/>
        </w:rPr>
        <w:t> </w:t>
      </w:r>
      <w:r>
        <w:rPr>
          <w:rFonts w:ascii="宋体" w:hAnsi="宋体" w:cs="宋体" w:eastAsia="宋体" w:hint="default"/>
        </w:rPr>
        <w:t>5</w:t>
      </w:r>
      <w:r>
        <w:rPr>
          <w:rFonts w:ascii="宋体" w:hAnsi="宋体" w:cs="宋体" w:eastAsia="宋体" w:hint="default"/>
          <w:spacing w:val="-59"/>
        </w:rPr>
        <w:t> </w:t>
      </w:r>
      <w:r>
        <w:rPr>
          <w:spacing w:val="-5"/>
        </w:rPr>
        <w:t>万元，由公司董事会提议，经公</w:t>
      </w:r>
    </w:p>
    <w:p>
      <w:pPr>
        <w:pStyle w:val="Heading3"/>
        <w:spacing w:line="326" w:lineRule="auto" w:before="135"/>
        <w:ind w:left="1117" w:right="0" w:hanging="560"/>
        <w:jc w:val="left"/>
      </w:pPr>
      <w:r>
        <w:rPr/>
        <w:t>司</w:t>
      </w:r>
      <w:r>
        <w:rPr>
          <w:spacing w:val="-72"/>
        </w:rPr>
        <w:t> </w:t>
      </w:r>
      <w:r>
        <w:rPr>
          <w:rFonts w:ascii="宋体" w:hAnsi="宋体" w:cs="宋体" w:eastAsia="宋体" w:hint="default"/>
        </w:rPr>
        <w:t>2010</w:t>
      </w:r>
      <w:r>
        <w:rPr>
          <w:rFonts w:ascii="宋体" w:hAnsi="宋体" w:cs="宋体" w:eastAsia="宋体" w:hint="default"/>
          <w:spacing w:val="-70"/>
        </w:rPr>
        <w:t> </w:t>
      </w:r>
      <w:r>
        <w:rPr/>
        <w:t>年度第二次临时股东大会审议通过。</w:t>
      </w:r>
      <w:r>
        <w:rPr>
          <w:w w:val="100"/>
        </w:rPr>
        <w:t> </w:t>
      </w:r>
      <w:r>
        <w:rPr>
          <w:rFonts w:ascii="宋体" w:hAnsi="宋体" w:cs="宋体" w:eastAsia="宋体" w:hint="default"/>
        </w:rPr>
        <w:t>2</w:t>
      </w:r>
      <w:r>
        <w:rPr/>
        <w:t>、董事、监事、高级管理人员报酬的确定依据：对在公司领取</w:t>
      </w:r>
    </w:p>
    <w:p>
      <w:pPr>
        <w:pStyle w:val="Heading3"/>
        <w:spacing w:line="328" w:lineRule="auto" w:before="32"/>
        <w:ind w:left="558" w:right="594"/>
        <w:jc w:val="both"/>
      </w:pPr>
      <w:r>
        <w:rPr>
          <w:spacing w:val="-4"/>
        </w:rPr>
        <w:t>薪酬的董事、监事、高级管理人员，根据公司年度经营目标以及在公</w:t>
      </w:r>
      <w:r>
        <w:rPr>
          <w:spacing w:val="-114"/>
        </w:rPr>
        <w:t> </w:t>
      </w:r>
      <w:r>
        <w:rPr>
          <w:spacing w:val="-114"/>
        </w:rPr>
      </w:r>
      <w:r>
        <w:rPr>
          <w:spacing w:val="-4"/>
        </w:rPr>
        <w:t>司担任的职务，按公司年初制定的目标任务，结合目标任务的实际完</w:t>
      </w:r>
      <w:r>
        <w:rPr>
          <w:spacing w:val="-114"/>
        </w:rPr>
        <w:t> </w:t>
      </w:r>
      <w:r>
        <w:rPr>
          <w:spacing w:val="-114"/>
        </w:rPr>
      </w:r>
      <w:r>
        <w:rPr/>
        <w:t>成情况和考核办法获得报酬。</w:t>
      </w:r>
    </w:p>
    <w:p>
      <w:pPr>
        <w:spacing w:line="328" w:lineRule="auto" w:before="29"/>
        <w:ind w:left="1117" w:right="0" w:hanging="560"/>
        <w:jc w:val="left"/>
        <w:rPr>
          <w:rFonts w:ascii="宋体" w:hAnsi="宋体" w:cs="宋体" w:eastAsia="宋体" w:hint="default"/>
          <w:sz w:val="28"/>
          <w:szCs w:val="28"/>
        </w:rPr>
      </w:pPr>
      <w:r>
        <w:rPr>
          <w:rFonts w:ascii="宋体" w:hAnsi="宋体" w:cs="宋体" w:eastAsia="宋体" w:hint="default"/>
          <w:b/>
          <w:bCs/>
          <w:sz w:val="28"/>
          <w:szCs w:val="28"/>
        </w:rPr>
        <w:t>（四）报告期内，董事、监事、高级管理人员变动情况</w:t>
      </w:r>
      <w:r>
        <w:rPr>
          <w:rFonts w:ascii="宋体" w:hAnsi="宋体" w:cs="宋体" w:eastAsia="宋体" w:hint="default"/>
          <w:b/>
          <w:bCs/>
          <w:w w:val="99"/>
          <w:sz w:val="28"/>
          <w:szCs w:val="28"/>
        </w:rPr>
        <w:t> </w:t>
      </w:r>
      <w:r>
        <w:rPr>
          <w:rFonts w:ascii="宋体" w:hAnsi="宋体" w:cs="宋体" w:eastAsia="宋体" w:hint="default"/>
          <w:sz w:val="28"/>
          <w:szCs w:val="28"/>
        </w:rPr>
        <w:t>1</w:t>
      </w:r>
      <w:r>
        <w:rPr>
          <w:rFonts w:ascii="宋体" w:hAnsi="宋体" w:cs="宋体" w:eastAsia="宋体" w:hint="default"/>
          <w:sz w:val="28"/>
          <w:szCs w:val="28"/>
        </w:rPr>
        <w:t>、报告期内，公司第三届董事会、第三届监事会届满进行了换</w:t>
      </w:r>
    </w:p>
    <w:p>
      <w:pPr>
        <w:pStyle w:val="Heading3"/>
        <w:spacing w:line="328" w:lineRule="auto"/>
        <w:ind w:left="558" w:right="589"/>
        <w:jc w:val="both"/>
      </w:pPr>
      <w:r>
        <w:rPr/>
        <w:t>届选举。</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8</w:t>
      </w:r>
      <w:r>
        <w:rPr>
          <w:rFonts w:ascii="宋体" w:hAnsi="宋体" w:cs="宋体" w:eastAsia="宋体" w:hint="default"/>
          <w:spacing w:val="-53"/>
        </w:rPr>
        <w:t> </w:t>
      </w:r>
      <w:r>
        <w:rPr/>
        <w:t>日，公司</w:t>
      </w:r>
      <w:r>
        <w:rPr>
          <w:spacing w:val="-56"/>
        </w:rPr>
        <w:t> </w:t>
      </w:r>
      <w:r>
        <w:rPr>
          <w:rFonts w:ascii="宋体" w:hAnsi="宋体" w:cs="宋体" w:eastAsia="宋体" w:hint="default"/>
        </w:rPr>
        <w:t>2010</w:t>
      </w:r>
      <w:r>
        <w:rPr>
          <w:rFonts w:ascii="宋体" w:hAnsi="宋体" w:cs="宋体" w:eastAsia="宋体" w:hint="default"/>
          <w:spacing w:val="-52"/>
        </w:rPr>
        <w:t> </w:t>
      </w:r>
      <w:r>
        <w:rPr/>
        <w:t>年第二次临时股东大会选举</w:t>
      </w:r>
      <w:r>
        <w:rPr>
          <w:w w:val="100"/>
        </w:rPr>
        <w:t> </w:t>
      </w:r>
      <w:r>
        <w:rPr>
          <w:spacing w:val="-4"/>
        </w:rPr>
        <w:t>产生第四届董事、第四届监事会，其中董事会由李海鹰先生、李劲松</w:t>
      </w:r>
      <w:r>
        <w:rPr>
          <w:spacing w:val="-113"/>
        </w:rPr>
        <w:t> </w:t>
      </w:r>
      <w:r>
        <w:rPr>
          <w:spacing w:val="-113"/>
        </w:rPr>
      </w:r>
      <w:r>
        <w:rPr>
          <w:spacing w:val="-4"/>
        </w:rPr>
        <w:t>先生、谢春生先生、郑予君先生担任非独立董事，唐涛先生、谭宪才</w:t>
      </w:r>
      <w:r>
        <w:rPr>
          <w:spacing w:val="-114"/>
        </w:rPr>
        <w:t> </w:t>
      </w:r>
      <w:r>
        <w:rPr>
          <w:spacing w:val="-114"/>
        </w:rPr>
      </w:r>
      <w:r>
        <w:rPr>
          <w:spacing w:val="-4"/>
        </w:rPr>
        <w:t>先生、蒋承先生担任独立董事；监事会由李力先生、苗卫东先生、刘</w:t>
      </w:r>
      <w:r>
        <w:rPr>
          <w:spacing w:val="-113"/>
        </w:rPr>
        <w:t> </w:t>
      </w:r>
      <w:r>
        <w:rPr>
          <w:spacing w:val="-113"/>
        </w:rPr>
      </w:r>
      <w:r>
        <w:rPr>
          <w:spacing w:val="-4"/>
        </w:rPr>
        <w:t>锐先生、李翀先生担任非职工监事，黄继军先生、郝恩元先生担任职</w:t>
      </w:r>
      <w:r>
        <w:rPr>
          <w:spacing w:val="-112"/>
        </w:rPr>
        <w:t> </w:t>
      </w:r>
      <w:r>
        <w:rPr>
          <w:spacing w:val="-112"/>
        </w:rPr>
      </w:r>
      <w:r>
        <w:rPr/>
        <w:t>工监事。</w:t>
      </w:r>
    </w:p>
    <w:p>
      <w:pPr>
        <w:pStyle w:val="Heading3"/>
        <w:spacing w:line="326" w:lineRule="auto"/>
        <w:ind w:left="558" w:right="592" w:firstLine="559"/>
        <w:jc w:val="both"/>
      </w:pP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73"/>
        </w:rPr>
        <w:t> </w:t>
      </w:r>
      <w:r>
        <w:rPr/>
        <w:t>年</w:t>
      </w:r>
      <w:r>
        <w:rPr>
          <w:spacing w:val="-77"/>
        </w:rPr>
        <w:t> </w:t>
      </w:r>
      <w:r>
        <w:rPr>
          <w:rFonts w:ascii="宋体" w:hAnsi="宋体" w:cs="宋体" w:eastAsia="宋体" w:hint="default"/>
        </w:rPr>
        <w:t>12</w:t>
      </w:r>
      <w:r>
        <w:rPr>
          <w:rFonts w:ascii="宋体" w:hAnsi="宋体" w:cs="宋体" w:eastAsia="宋体" w:hint="default"/>
          <w:spacing w:val="-73"/>
        </w:rPr>
        <w:t> </w:t>
      </w:r>
      <w:r>
        <w:rPr/>
        <w:t>月</w:t>
      </w:r>
      <w:r>
        <w:rPr>
          <w:spacing w:val="-77"/>
        </w:rPr>
        <w:t> </w:t>
      </w:r>
      <w:r>
        <w:rPr>
          <w:rFonts w:ascii="宋体" w:hAnsi="宋体" w:cs="宋体" w:eastAsia="宋体" w:hint="default"/>
        </w:rPr>
        <w:t>11</w:t>
      </w:r>
      <w:r>
        <w:rPr>
          <w:rFonts w:ascii="宋体" w:hAnsi="宋体" w:cs="宋体" w:eastAsia="宋体" w:hint="default"/>
          <w:spacing w:val="-76"/>
        </w:rPr>
        <w:t> </w:t>
      </w:r>
      <w:r>
        <w:rPr/>
        <w:t>日，公司召开第四届董事会第一次会议，选</w:t>
      </w:r>
      <w:r>
        <w:rPr>
          <w:w w:val="100"/>
        </w:rPr>
        <w:t> </w:t>
      </w:r>
      <w:r>
        <w:rPr>
          <w:spacing w:val="-4"/>
        </w:rPr>
        <w:t>举李海鹰先生为公司董事长，李力先生为监事会主席，聘任郑予君先</w:t>
      </w:r>
      <w:r>
        <w:rPr>
          <w:spacing w:val="-113"/>
        </w:rPr>
        <w:t> </w:t>
      </w:r>
      <w:r>
        <w:rPr>
          <w:spacing w:val="-113"/>
        </w:rPr>
      </w:r>
      <w:r>
        <w:rPr>
          <w:spacing w:val="-4"/>
        </w:rPr>
        <w:t>生为公司总经理，胡江平先生为公司常务副总经理，李新建先生为公</w:t>
      </w:r>
      <w:r>
        <w:rPr>
          <w:spacing w:val="-113"/>
        </w:rPr>
        <w:t> </w:t>
      </w:r>
      <w:r>
        <w:rPr>
          <w:spacing w:val="-113"/>
        </w:rPr>
      </w:r>
      <w:r>
        <w:rPr>
          <w:spacing w:val="-4"/>
        </w:rPr>
        <w:t>司财务总监兼董事会秘书，于辉先生为公司副总经理，杜旭升先生为</w:t>
      </w:r>
      <w:r>
        <w:rPr>
          <w:spacing w:val="-113"/>
        </w:rPr>
        <w:t> </w:t>
      </w:r>
      <w:r>
        <w:rPr>
          <w:spacing w:val="-113"/>
        </w:rPr>
      </w:r>
      <w:r>
        <w:rPr/>
        <w:t>公司总工程师。</w:t>
      </w:r>
    </w:p>
    <w:p>
      <w:pPr>
        <w:pStyle w:val="Heading2"/>
        <w:spacing w:line="326" w:lineRule="auto" w:before="34"/>
        <w:ind w:left="558" w:right="593"/>
        <w:jc w:val="both"/>
        <w:rPr>
          <w:b w:val="0"/>
          <w:bCs w:val="0"/>
        </w:rPr>
      </w:pPr>
      <w:r>
        <w:rPr>
          <w:spacing w:val="-4"/>
        </w:rPr>
        <w:t>（五）报告期内，董事、监事、高级管理人员没有被授予的股权激励</w:t>
      </w:r>
      <w:r>
        <w:rPr>
          <w:w w:val="99"/>
        </w:rPr>
        <w:t> </w:t>
      </w:r>
      <w:r>
        <w:rPr/>
        <w:t>情况。</w:t>
      </w:r>
      <w:r>
        <w:rPr>
          <w:b w:val="0"/>
          <w:bCs w:val="0"/>
        </w:rPr>
      </w:r>
    </w:p>
    <w:p>
      <w:pPr>
        <w:pStyle w:val="Heading2"/>
        <w:spacing w:line="240" w:lineRule="auto" w:before="32"/>
        <w:ind w:left="558" w:right="0"/>
        <w:jc w:val="both"/>
        <w:rPr>
          <w:rFonts w:ascii="黑体" w:hAnsi="黑体" w:cs="黑体" w:eastAsia="黑体" w:hint="default"/>
          <w:b w:val="0"/>
          <w:bCs w:val="0"/>
        </w:rPr>
      </w:pPr>
      <w:r>
        <w:rPr>
          <w:rFonts w:ascii="黑体" w:hAnsi="黑体" w:cs="黑体" w:eastAsia="黑体" w:hint="default"/>
        </w:rPr>
        <w:t>二、员工情况</w:t>
      </w:r>
      <w:r>
        <w:rPr>
          <w:rFonts w:ascii="黑体" w:hAnsi="黑体" w:cs="黑体" w:eastAsia="黑体" w:hint="default"/>
          <w:b w:val="0"/>
          <w:bCs w:val="0"/>
        </w:rPr>
      </w:r>
    </w:p>
    <w:p>
      <w:pPr>
        <w:spacing w:after="0" w:line="240" w:lineRule="auto"/>
        <w:jc w:val="both"/>
        <w:rPr>
          <w:rFonts w:ascii="黑体" w:hAnsi="黑体" w:cs="黑体" w:eastAsia="黑体" w:hint="default"/>
        </w:rPr>
        <w:sectPr>
          <w:headerReference w:type="default" r:id="rId17"/>
          <w:pgSz w:w="11910" w:h="16840"/>
          <w:pgMar w:header="624" w:footer="1045" w:top="980" w:bottom="1240" w:left="1240" w:right="1200"/>
        </w:sectPr>
      </w:pPr>
    </w:p>
    <w:p>
      <w:pPr>
        <w:spacing w:line="240" w:lineRule="auto" w:before="11"/>
        <w:rPr>
          <w:rFonts w:ascii="黑体" w:hAnsi="黑体" w:cs="黑体" w:eastAsia="黑体" w:hint="default"/>
          <w:b/>
          <w:bCs/>
          <w:sz w:val="18"/>
          <w:szCs w:val="18"/>
        </w:rPr>
      </w:pPr>
    </w:p>
    <w:p>
      <w:pPr>
        <w:spacing w:line="20" w:lineRule="exact"/>
        <w:ind w:left="102" w:right="0" w:firstLine="0"/>
        <w:rPr>
          <w:rFonts w:ascii="黑体" w:hAnsi="黑体" w:cs="黑体" w:eastAsia="黑体" w:hint="default"/>
          <w:sz w:val="2"/>
          <w:szCs w:val="2"/>
        </w:rPr>
      </w:pPr>
      <w:r>
        <w:rPr>
          <w:rFonts w:ascii="黑体" w:hAnsi="黑体" w:cs="黑体" w:eastAsia="黑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黑体" w:hAnsi="黑体" w:cs="黑体" w:eastAsia="黑体" w:hint="default"/>
          <w:sz w:val="2"/>
          <w:szCs w:val="2"/>
        </w:rPr>
      </w:r>
    </w:p>
    <w:p>
      <w:pPr>
        <w:pStyle w:val="Heading2"/>
        <w:spacing w:line="240" w:lineRule="auto" w:before="68"/>
        <w:ind w:right="0"/>
        <w:jc w:val="left"/>
        <w:rPr>
          <w:b w:val="0"/>
          <w:bCs w:val="0"/>
        </w:rPr>
      </w:pPr>
      <w:r>
        <w:rPr/>
        <w:t>（一）专业构成情况</w:t>
      </w:r>
      <w:r>
        <w:rPr>
          <w:b w:val="0"/>
          <w:bCs w:val="0"/>
        </w:rPr>
      </w:r>
    </w:p>
    <w:p>
      <w:pPr>
        <w:spacing w:line="240" w:lineRule="auto" w:before="9"/>
        <w:rPr>
          <w:rFonts w:ascii="宋体" w:hAnsi="宋体" w:cs="宋体" w:eastAsia="宋体" w:hint="default"/>
          <w:b/>
          <w:bCs/>
          <w:sz w:val="4"/>
          <w:szCs w:val="4"/>
        </w:rPr>
      </w:pPr>
    </w:p>
    <w:tbl>
      <w:tblPr>
        <w:tblW w:w="0" w:type="auto"/>
        <w:jc w:val="left"/>
        <w:tblInd w:w="121" w:type="dxa"/>
        <w:tblLayout w:type="fixed"/>
        <w:tblCellMar>
          <w:top w:w="0" w:type="dxa"/>
          <w:left w:w="0" w:type="dxa"/>
          <w:bottom w:w="0" w:type="dxa"/>
          <w:right w:w="0" w:type="dxa"/>
        </w:tblCellMar>
        <w:tblLook w:val="01E0"/>
      </w:tblPr>
      <w:tblGrid>
        <w:gridCol w:w="2540"/>
        <w:gridCol w:w="2501"/>
        <w:gridCol w:w="3337"/>
      </w:tblGrid>
      <w:tr>
        <w:trPr>
          <w:trHeight w:val="46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8"/>
                <w:szCs w:val="28"/>
              </w:rPr>
            </w:pPr>
            <w:r>
              <w:rPr>
                <w:rFonts w:ascii="宋体" w:hAnsi="宋体" w:cs="宋体" w:eastAsia="宋体" w:hint="default"/>
                <w:sz w:val="28"/>
                <w:szCs w:val="28"/>
              </w:rPr>
              <w:t>专业分类</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8"/>
                <w:szCs w:val="28"/>
              </w:rPr>
            </w:pPr>
            <w:r>
              <w:rPr>
                <w:rFonts w:ascii="宋体" w:hAnsi="宋体" w:cs="宋体" w:eastAsia="宋体" w:hint="default"/>
                <w:sz w:val="28"/>
                <w:szCs w:val="28"/>
              </w:rPr>
              <w:t>人数（人）</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center"/>
              <w:rPr>
                <w:rFonts w:ascii="宋体" w:hAnsi="宋体" w:cs="宋体" w:eastAsia="宋体" w:hint="default"/>
                <w:sz w:val="28"/>
                <w:szCs w:val="28"/>
              </w:rPr>
            </w:pPr>
            <w:r>
              <w:rPr>
                <w:rFonts w:ascii="宋体" w:hAnsi="宋体" w:cs="宋体" w:eastAsia="宋体" w:hint="default"/>
                <w:sz w:val="28"/>
                <w:szCs w:val="28"/>
              </w:rPr>
              <w:t>占公司总人数比例（</w:t>
            </w:r>
            <w:r>
              <w:rPr>
                <w:rFonts w:ascii="宋体" w:hAnsi="宋体" w:cs="宋体" w:eastAsia="宋体" w:hint="default"/>
                <w:spacing w:val="-2"/>
                <w:sz w:val="28"/>
                <w:szCs w:val="28"/>
              </w:rPr>
              <w:t> </w:t>
            </w:r>
            <w:r>
              <w:rPr>
                <w:rFonts w:ascii="Times New Roman" w:hAnsi="Times New Roman" w:cs="Times New Roman" w:eastAsia="Times New Roman" w:hint="default"/>
                <w:b/>
                <w:bCs/>
                <w:sz w:val="28"/>
                <w:szCs w:val="28"/>
              </w:rPr>
              <w:t>%</w:t>
            </w:r>
            <w:r>
              <w:rPr>
                <w:rFonts w:ascii="宋体" w:hAnsi="宋体" w:cs="宋体" w:eastAsia="宋体" w:hint="default"/>
                <w:sz w:val="28"/>
                <w:szCs w:val="28"/>
              </w:rPr>
              <w:t>）</w:t>
            </w:r>
          </w:p>
        </w:tc>
      </w:tr>
      <w:tr>
        <w:trPr>
          <w:trHeight w:val="47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8"/>
                <w:szCs w:val="28"/>
              </w:rPr>
            </w:pPr>
            <w:r>
              <w:rPr>
                <w:rFonts w:ascii="宋体" w:hAnsi="宋体" w:cs="宋体" w:eastAsia="宋体" w:hint="default"/>
                <w:sz w:val="28"/>
                <w:szCs w:val="28"/>
              </w:rPr>
              <w:t>生产人员</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8"/>
                <w:szCs w:val="28"/>
              </w:rPr>
            </w:pPr>
            <w:r>
              <w:rPr>
                <w:rFonts w:ascii="Times New Roman"/>
                <w:sz w:val="28"/>
              </w:rPr>
              <w:t>51</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 w:right="0"/>
              <w:jc w:val="center"/>
              <w:rPr>
                <w:rFonts w:ascii="Times New Roman" w:hAnsi="Times New Roman" w:cs="Times New Roman" w:eastAsia="Times New Roman" w:hint="default"/>
                <w:sz w:val="28"/>
                <w:szCs w:val="28"/>
              </w:rPr>
            </w:pPr>
            <w:r>
              <w:rPr>
                <w:rFonts w:ascii="Times New Roman"/>
                <w:sz w:val="28"/>
              </w:rPr>
              <w:t>12%</w:t>
            </w:r>
          </w:p>
        </w:tc>
      </w:tr>
      <w:tr>
        <w:trPr>
          <w:trHeight w:val="47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8"/>
                <w:szCs w:val="28"/>
              </w:rPr>
            </w:pPr>
            <w:r>
              <w:rPr>
                <w:rFonts w:ascii="宋体" w:hAnsi="宋体" w:cs="宋体" w:eastAsia="宋体" w:hint="default"/>
                <w:sz w:val="28"/>
                <w:szCs w:val="28"/>
              </w:rPr>
              <w:t>销售人员</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28"/>
                <w:szCs w:val="28"/>
              </w:rPr>
            </w:pPr>
            <w:r>
              <w:rPr>
                <w:rFonts w:ascii="Times New Roman"/>
                <w:sz w:val="28"/>
              </w:rPr>
              <w:t>44</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28"/>
                <w:szCs w:val="28"/>
              </w:rPr>
            </w:pPr>
            <w:r>
              <w:rPr>
                <w:rFonts w:ascii="Times New Roman"/>
                <w:sz w:val="28"/>
              </w:rPr>
              <w:t>10%</w:t>
            </w:r>
          </w:p>
        </w:tc>
      </w:tr>
      <w:tr>
        <w:trPr>
          <w:trHeight w:val="47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8"/>
                <w:szCs w:val="28"/>
              </w:rPr>
            </w:pPr>
            <w:r>
              <w:rPr>
                <w:rFonts w:ascii="宋体" w:hAnsi="宋体" w:cs="宋体" w:eastAsia="宋体" w:hint="default"/>
                <w:sz w:val="28"/>
                <w:szCs w:val="28"/>
              </w:rPr>
              <w:t>技术人员</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28"/>
                <w:szCs w:val="28"/>
              </w:rPr>
            </w:pPr>
            <w:r>
              <w:rPr>
                <w:rFonts w:ascii="Times New Roman"/>
                <w:sz w:val="28"/>
              </w:rPr>
              <w:t>286</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28"/>
                <w:szCs w:val="28"/>
              </w:rPr>
            </w:pPr>
            <w:r>
              <w:rPr>
                <w:rFonts w:ascii="Times New Roman"/>
                <w:sz w:val="28"/>
              </w:rPr>
              <w:t>68%</w:t>
            </w:r>
          </w:p>
        </w:tc>
      </w:tr>
      <w:tr>
        <w:trPr>
          <w:trHeight w:val="47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8"/>
                <w:szCs w:val="28"/>
              </w:rPr>
            </w:pPr>
            <w:r>
              <w:rPr>
                <w:rFonts w:ascii="宋体" w:hAnsi="宋体" w:cs="宋体" w:eastAsia="宋体" w:hint="default"/>
                <w:sz w:val="28"/>
                <w:szCs w:val="28"/>
              </w:rPr>
              <w:t>财务人员</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28"/>
                <w:szCs w:val="28"/>
              </w:rPr>
            </w:pPr>
            <w:r>
              <w:rPr>
                <w:rFonts w:ascii="Times New Roman"/>
                <w:sz w:val="28"/>
              </w:rPr>
              <w:t>10</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28"/>
                <w:szCs w:val="28"/>
              </w:rPr>
            </w:pPr>
            <w:r>
              <w:rPr>
                <w:rFonts w:ascii="Times New Roman"/>
                <w:sz w:val="28"/>
              </w:rPr>
              <w:t>2%</w:t>
            </w:r>
          </w:p>
        </w:tc>
      </w:tr>
      <w:tr>
        <w:trPr>
          <w:trHeight w:val="47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8"/>
                <w:szCs w:val="28"/>
              </w:rPr>
            </w:pPr>
            <w:r>
              <w:rPr>
                <w:rFonts w:ascii="宋体" w:hAnsi="宋体" w:cs="宋体" w:eastAsia="宋体" w:hint="default"/>
                <w:sz w:val="28"/>
                <w:szCs w:val="28"/>
              </w:rPr>
              <w:t>行政人员</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28"/>
                <w:szCs w:val="28"/>
              </w:rPr>
            </w:pPr>
            <w:r>
              <w:rPr>
                <w:rFonts w:ascii="Times New Roman"/>
                <w:sz w:val="28"/>
              </w:rPr>
              <w:t>31</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28"/>
                <w:szCs w:val="28"/>
              </w:rPr>
            </w:pPr>
            <w:r>
              <w:rPr>
                <w:rFonts w:ascii="Times New Roman"/>
                <w:sz w:val="28"/>
              </w:rPr>
              <w:t>8%</w:t>
            </w:r>
          </w:p>
        </w:tc>
      </w:tr>
      <w:tr>
        <w:trPr>
          <w:trHeight w:val="47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8"/>
                <w:szCs w:val="28"/>
              </w:rPr>
            </w:pPr>
            <w:r>
              <w:rPr>
                <w:rFonts w:ascii="宋体" w:hAnsi="宋体" w:cs="宋体" w:eastAsia="宋体" w:hint="default"/>
                <w:sz w:val="28"/>
                <w:szCs w:val="28"/>
              </w:rPr>
              <w:t>合计</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28"/>
                <w:szCs w:val="28"/>
              </w:rPr>
            </w:pPr>
            <w:r>
              <w:rPr>
                <w:rFonts w:ascii="Times New Roman"/>
                <w:sz w:val="28"/>
              </w:rPr>
              <w:t>422</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28"/>
                <w:szCs w:val="28"/>
              </w:rPr>
            </w:pPr>
            <w:r>
              <w:rPr>
                <w:rFonts w:ascii="Times New Roman"/>
                <w:sz w:val="28"/>
              </w:rPr>
              <w:t>100.00%</w:t>
            </w:r>
          </w:p>
        </w:tc>
      </w:tr>
    </w:tbl>
    <w:p>
      <w:pPr>
        <w:pStyle w:val="Heading2"/>
        <w:spacing w:line="240" w:lineRule="auto" w:before="73"/>
        <w:ind w:right="0"/>
        <w:jc w:val="left"/>
        <w:rPr>
          <w:b w:val="0"/>
          <w:bCs w:val="0"/>
        </w:rPr>
      </w:pPr>
      <w:r>
        <w:rPr/>
        <w:t>（二）教育程度情况</w:t>
      </w:r>
      <w:r>
        <w:rPr>
          <w:b w:val="0"/>
          <w:bCs w:val="0"/>
        </w:rPr>
      </w:r>
    </w:p>
    <w:p>
      <w:pPr>
        <w:spacing w:line="240" w:lineRule="auto" w:before="5"/>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2540"/>
        <w:gridCol w:w="2501"/>
        <w:gridCol w:w="3337"/>
      </w:tblGrid>
      <w:tr>
        <w:trPr>
          <w:trHeight w:val="47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8"/>
                <w:szCs w:val="28"/>
              </w:rPr>
            </w:pPr>
            <w:r>
              <w:rPr>
                <w:rFonts w:ascii="宋体" w:hAnsi="宋体" w:cs="宋体" w:eastAsia="宋体" w:hint="default"/>
                <w:sz w:val="28"/>
                <w:szCs w:val="28"/>
              </w:rPr>
              <w:t>教育程度</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8"/>
                <w:szCs w:val="28"/>
              </w:rPr>
            </w:pPr>
            <w:r>
              <w:rPr>
                <w:rFonts w:ascii="宋体" w:hAnsi="宋体" w:cs="宋体" w:eastAsia="宋体" w:hint="default"/>
                <w:sz w:val="28"/>
                <w:szCs w:val="28"/>
              </w:rPr>
              <w:t>人数（人）</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center"/>
              <w:rPr>
                <w:rFonts w:ascii="宋体" w:hAnsi="宋体" w:cs="宋体" w:eastAsia="宋体" w:hint="default"/>
                <w:sz w:val="28"/>
                <w:szCs w:val="28"/>
              </w:rPr>
            </w:pPr>
            <w:r>
              <w:rPr>
                <w:rFonts w:ascii="宋体" w:hAnsi="宋体" w:cs="宋体" w:eastAsia="宋体" w:hint="default"/>
                <w:sz w:val="28"/>
                <w:szCs w:val="28"/>
              </w:rPr>
              <w:t>占公司总人数比例（</w:t>
            </w:r>
            <w:r>
              <w:rPr>
                <w:rFonts w:ascii="宋体" w:hAnsi="宋体" w:cs="宋体" w:eastAsia="宋体" w:hint="default"/>
                <w:spacing w:val="-2"/>
                <w:sz w:val="28"/>
                <w:szCs w:val="28"/>
              </w:rPr>
              <w:t> </w:t>
            </w:r>
            <w:r>
              <w:rPr>
                <w:rFonts w:ascii="Times New Roman" w:hAnsi="Times New Roman" w:cs="Times New Roman" w:eastAsia="Times New Roman" w:hint="default"/>
                <w:b/>
                <w:bCs/>
                <w:sz w:val="28"/>
                <w:szCs w:val="28"/>
              </w:rPr>
              <w:t>%</w:t>
            </w:r>
            <w:r>
              <w:rPr>
                <w:rFonts w:ascii="宋体" w:hAnsi="宋体" w:cs="宋体" w:eastAsia="宋体" w:hint="default"/>
                <w:sz w:val="28"/>
                <w:szCs w:val="28"/>
              </w:rPr>
              <w:t>）</w:t>
            </w:r>
          </w:p>
        </w:tc>
      </w:tr>
      <w:tr>
        <w:trPr>
          <w:trHeight w:val="47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8"/>
                <w:szCs w:val="28"/>
              </w:rPr>
            </w:pPr>
            <w:r>
              <w:rPr>
                <w:rFonts w:ascii="宋体" w:hAnsi="宋体" w:cs="宋体" w:eastAsia="宋体" w:hint="default"/>
                <w:sz w:val="28"/>
                <w:szCs w:val="28"/>
              </w:rPr>
              <w:t>专科以下</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28"/>
                <w:szCs w:val="28"/>
              </w:rPr>
            </w:pPr>
            <w:r>
              <w:rPr>
                <w:rFonts w:ascii="Times New Roman"/>
                <w:sz w:val="28"/>
              </w:rPr>
              <w:t>33</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28"/>
                <w:szCs w:val="28"/>
              </w:rPr>
            </w:pPr>
            <w:r>
              <w:rPr>
                <w:rFonts w:ascii="Times New Roman"/>
                <w:sz w:val="28"/>
              </w:rPr>
              <w:t>8%</w:t>
            </w:r>
          </w:p>
        </w:tc>
      </w:tr>
      <w:tr>
        <w:trPr>
          <w:trHeight w:val="46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8"/>
                <w:szCs w:val="28"/>
              </w:rPr>
            </w:pPr>
            <w:r>
              <w:rPr>
                <w:rFonts w:ascii="宋体" w:hAnsi="宋体" w:cs="宋体" w:eastAsia="宋体" w:hint="default"/>
                <w:sz w:val="28"/>
                <w:szCs w:val="28"/>
              </w:rPr>
              <w:t>专科</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28"/>
                <w:szCs w:val="28"/>
              </w:rPr>
            </w:pPr>
            <w:r>
              <w:rPr>
                <w:rFonts w:ascii="Times New Roman"/>
                <w:sz w:val="28"/>
              </w:rPr>
              <w:t>146</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28"/>
                <w:szCs w:val="28"/>
              </w:rPr>
            </w:pPr>
            <w:r>
              <w:rPr>
                <w:rFonts w:ascii="Times New Roman"/>
                <w:sz w:val="28"/>
              </w:rPr>
              <w:t>35%</w:t>
            </w:r>
          </w:p>
        </w:tc>
      </w:tr>
      <w:tr>
        <w:trPr>
          <w:trHeight w:val="47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8"/>
                <w:szCs w:val="28"/>
              </w:rPr>
            </w:pPr>
            <w:r>
              <w:rPr>
                <w:rFonts w:ascii="宋体" w:hAnsi="宋体" w:cs="宋体" w:eastAsia="宋体" w:hint="default"/>
                <w:sz w:val="28"/>
                <w:szCs w:val="28"/>
              </w:rPr>
              <w:t>本科及以上</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8"/>
                <w:szCs w:val="28"/>
              </w:rPr>
            </w:pPr>
            <w:r>
              <w:rPr>
                <w:rFonts w:ascii="Times New Roman"/>
                <w:sz w:val="28"/>
              </w:rPr>
              <w:t>243</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 w:right="0"/>
              <w:jc w:val="center"/>
              <w:rPr>
                <w:rFonts w:ascii="Times New Roman" w:hAnsi="Times New Roman" w:cs="Times New Roman" w:eastAsia="Times New Roman" w:hint="default"/>
                <w:sz w:val="28"/>
                <w:szCs w:val="28"/>
              </w:rPr>
            </w:pPr>
            <w:r>
              <w:rPr>
                <w:rFonts w:ascii="Times New Roman"/>
                <w:sz w:val="28"/>
              </w:rPr>
              <w:t>57%</w:t>
            </w:r>
          </w:p>
        </w:tc>
      </w:tr>
      <w:tr>
        <w:trPr>
          <w:trHeight w:val="47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8"/>
                <w:szCs w:val="28"/>
              </w:rPr>
            </w:pPr>
            <w:r>
              <w:rPr>
                <w:rFonts w:ascii="宋体" w:hAnsi="宋体" w:cs="宋体" w:eastAsia="宋体" w:hint="default"/>
                <w:sz w:val="28"/>
                <w:szCs w:val="28"/>
              </w:rPr>
              <w:t>合计</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28"/>
                <w:szCs w:val="28"/>
              </w:rPr>
            </w:pPr>
            <w:r>
              <w:rPr>
                <w:rFonts w:ascii="Times New Roman"/>
                <w:sz w:val="28"/>
              </w:rPr>
              <w:t>422</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28"/>
                <w:szCs w:val="28"/>
              </w:rPr>
            </w:pPr>
            <w:r>
              <w:rPr>
                <w:rFonts w:ascii="Times New Roman"/>
                <w:sz w:val="28"/>
              </w:rPr>
              <w:t>100%</w:t>
            </w:r>
          </w:p>
        </w:tc>
      </w:tr>
    </w:tbl>
    <w:p>
      <w:pPr>
        <w:pStyle w:val="Heading2"/>
        <w:spacing w:line="240" w:lineRule="auto" w:before="73"/>
        <w:ind w:right="0"/>
        <w:jc w:val="left"/>
        <w:rPr>
          <w:b w:val="0"/>
          <w:bCs w:val="0"/>
        </w:rPr>
      </w:pPr>
      <w:r>
        <w:rPr/>
        <w:t>（三）公司截止报告期末需承担费用的离退休职工人数为</w:t>
      </w:r>
      <w:r>
        <w:rPr>
          <w:spacing w:val="-72"/>
        </w:rPr>
        <w:t> </w:t>
      </w:r>
      <w:r>
        <w:rPr>
          <w:rFonts w:ascii="宋体" w:hAnsi="宋体" w:cs="宋体" w:eastAsia="宋体" w:hint="default"/>
        </w:rPr>
        <w:t>6</w:t>
      </w:r>
      <w:r>
        <w:rPr>
          <w:rFonts w:ascii="宋体" w:hAnsi="宋体" w:cs="宋体" w:eastAsia="宋体" w:hint="default"/>
          <w:spacing w:val="-70"/>
        </w:rPr>
        <w:t> </w:t>
      </w:r>
      <w:r>
        <w:rPr/>
        <w:t>人。</w:t>
      </w:r>
      <w:r>
        <w:rPr>
          <w:b w:val="0"/>
          <w:bCs w:val="0"/>
        </w:rPr>
      </w:r>
    </w:p>
    <w:p>
      <w:pPr>
        <w:spacing w:after="0" w:line="240" w:lineRule="auto"/>
        <w:jc w:val="left"/>
        <w:sectPr>
          <w:pgSz w:w="11910" w:h="16840"/>
          <w:pgMar w:header="624" w:footer="1045" w:top="980" w:bottom="1240" w:left="1660" w:right="1620"/>
        </w:sectPr>
      </w:pPr>
    </w:p>
    <w:p>
      <w:pPr>
        <w:spacing w:line="240" w:lineRule="auto" w:before="4"/>
        <w:rPr>
          <w:rFonts w:ascii="宋体" w:hAnsi="宋体" w:cs="宋体" w:eastAsia="宋体" w:hint="default"/>
          <w:b/>
          <w:bCs/>
          <w:sz w:val="9"/>
          <w:szCs w:val="9"/>
        </w:rPr>
      </w:pPr>
    </w:p>
    <w:p>
      <w:pPr>
        <w:pStyle w:val="Heading1"/>
        <w:spacing w:line="240" w:lineRule="auto"/>
        <w:ind w:left="2867" w:right="98"/>
        <w:jc w:val="left"/>
      </w:pPr>
      <w:bookmarkStart w:name="_TOC_250006" w:id="5"/>
      <w:r>
        <w:rPr/>
        <w:t>第五节</w:t>
      </w:r>
      <w:r>
        <w:rPr>
          <w:spacing w:val="1"/>
        </w:rPr>
        <w:t> </w:t>
      </w:r>
      <w:bookmarkEnd w:id="5"/>
      <w:r>
        <w:rPr/>
        <w:t>公司治理结构</w:t>
      </w:r>
    </w:p>
    <w:p>
      <w:pPr>
        <w:spacing w:line="240" w:lineRule="auto" w:before="10"/>
        <w:rPr>
          <w:rFonts w:ascii="黑体" w:hAnsi="黑体" w:cs="黑体" w:eastAsia="黑体" w:hint="default"/>
          <w:sz w:val="20"/>
          <w:szCs w:val="20"/>
        </w:rPr>
      </w:pPr>
    </w:p>
    <w:p>
      <w:pPr>
        <w:spacing w:line="328" w:lineRule="auto" w:before="0"/>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一、公司治理情况</w:t>
      </w:r>
      <w:r>
        <w:rPr>
          <w:rFonts w:ascii="宋体" w:hAnsi="宋体" w:cs="宋体" w:eastAsia="宋体" w:hint="default"/>
          <w:b/>
          <w:bCs/>
          <w:w w:val="99"/>
          <w:sz w:val="28"/>
          <w:szCs w:val="28"/>
        </w:rPr>
        <w:t> </w:t>
      </w:r>
      <w:r>
        <w:rPr>
          <w:rFonts w:ascii="宋体" w:hAnsi="宋体" w:cs="宋体" w:eastAsia="宋体" w:hint="default"/>
          <w:spacing w:val="-23"/>
          <w:w w:val="100"/>
          <w:sz w:val="28"/>
          <w:szCs w:val="28"/>
        </w:rPr>
        <w:t>报告期内，公司严格按照《公司法》、《证券法》、《上市公司治理</w:t>
      </w:r>
    </w:p>
    <w:p>
      <w:pPr>
        <w:pStyle w:val="Heading3"/>
        <w:spacing w:line="328" w:lineRule="auto"/>
        <w:ind w:right="107"/>
        <w:jc w:val="both"/>
      </w:pPr>
      <w:r>
        <w:rPr>
          <w:spacing w:val="-22"/>
          <w:w w:val="100"/>
        </w:rPr>
        <w:t>准则》、《深圳证券交易所股票上市规则》、《深圳证券交易所中小企业</w:t>
      </w:r>
      <w:r>
        <w:rPr>
          <w:spacing w:val="-115"/>
          <w:w w:val="100"/>
        </w:rPr>
        <w:t> </w:t>
      </w:r>
      <w:r>
        <w:rPr>
          <w:spacing w:val="-115"/>
          <w:w w:val="100"/>
        </w:rPr>
      </w:r>
      <w:r>
        <w:rPr>
          <w:spacing w:val="-4"/>
        </w:rPr>
        <w:t>板上市公司规范运作指引》和中国证监会有关法律法规等的要求，制</w:t>
      </w:r>
      <w:r>
        <w:rPr>
          <w:spacing w:val="-114"/>
        </w:rPr>
        <w:t> </w:t>
      </w:r>
      <w:r>
        <w:rPr>
          <w:spacing w:val="-114"/>
        </w:rPr>
      </w:r>
      <w:r>
        <w:rPr>
          <w:spacing w:val="-4"/>
        </w:rPr>
        <w:t>定和完善了多项内部控制制度，不断地健全公司治理结构，建立健全</w:t>
      </w:r>
      <w:r>
        <w:rPr>
          <w:spacing w:val="-113"/>
        </w:rPr>
        <w:t> </w:t>
      </w:r>
      <w:r>
        <w:rPr>
          <w:spacing w:val="-113"/>
        </w:rPr>
      </w:r>
      <w:r>
        <w:rPr>
          <w:spacing w:val="-1"/>
        </w:rPr>
        <w:t>内部管理和控制制度，以进一步提高公司治理水平。截止报告期末，</w:t>
      </w:r>
      <w:r>
        <w:rPr>
          <w:spacing w:val="-116"/>
        </w:rPr>
        <w:t> </w:t>
      </w:r>
      <w:r>
        <w:rPr>
          <w:spacing w:val="-116"/>
        </w:rPr>
      </w:r>
      <w:r>
        <w:rPr>
          <w:spacing w:val="-4"/>
        </w:rPr>
        <w:t>公司治理的实际状况符合上述法律法规及深圳证券交易所、中国证监</w:t>
      </w:r>
      <w:r>
        <w:rPr>
          <w:spacing w:val="-115"/>
        </w:rPr>
        <w:t> </w:t>
      </w:r>
      <w:r>
        <w:rPr>
          <w:spacing w:val="-115"/>
        </w:rPr>
      </w:r>
      <w:r>
        <w:rPr/>
        <w:t>会发布的有关上市公司治理的规范性文件要求。</w:t>
      </w:r>
    </w:p>
    <w:p>
      <w:pPr>
        <w:spacing w:line="326" w:lineRule="auto" w:before="29"/>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（一）关于股东与股东大会</w:t>
      </w:r>
      <w:r>
        <w:rPr>
          <w:rFonts w:ascii="宋体" w:hAnsi="宋体" w:cs="宋体" w:eastAsia="宋体" w:hint="default"/>
          <w:b/>
          <w:bCs/>
          <w:w w:val="99"/>
          <w:sz w:val="28"/>
          <w:szCs w:val="28"/>
        </w:rPr>
        <w:t> </w:t>
      </w:r>
      <w:r>
        <w:rPr>
          <w:rFonts w:ascii="宋体" w:hAnsi="宋体" w:cs="宋体" w:eastAsia="宋体" w:hint="default"/>
          <w:spacing w:val="-5"/>
          <w:sz w:val="28"/>
          <w:szCs w:val="28"/>
        </w:rPr>
        <w:t>公司严格按照《上市公司股东大会规则》和公司《股东大会议事</w:t>
      </w:r>
    </w:p>
    <w:p>
      <w:pPr>
        <w:pStyle w:val="Heading3"/>
        <w:spacing w:line="326" w:lineRule="auto" w:before="34"/>
        <w:ind w:right="193"/>
        <w:jc w:val="both"/>
      </w:pPr>
      <w:r>
        <w:rPr>
          <w:spacing w:val="-4"/>
        </w:rPr>
        <w:t>规则》等的规定和要求，召集、召开股东大会，能够确保全体股东特</w:t>
      </w:r>
      <w:r>
        <w:rPr>
          <w:spacing w:val="-113"/>
        </w:rPr>
        <w:t> </w:t>
      </w:r>
      <w:r>
        <w:rPr>
          <w:spacing w:val="-113"/>
        </w:rPr>
      </w:r>
      <w:r>
        <w:rPr>
          <w:spacing w:val="-4"/>
        </w:rPr>
        <w:t>别是中小股东享有平等地位，充分行使自己的权力。报告期内，共召</w:t>
      </w:r>
      <w:r>
        <w:rPr>
          <w:spacing w:val="-113"/>
        </w:rPr>
        <w:t> </w:t>
      </w:r>
      <w:r>
        <w:rPr>
          <w:spacing w:val="-113"/>
        </w:rPr>
      </w:r>
      <w:r>
        <w:rPr>
          <w:spacing w:val="-4"/>
        </w:rPr>
        <w:t>开股东大会三次，均由董事会召集，并聘请律师进行现场见证。根据</w:t>
      </w:r>
    </w:p>
    <w:p>
      <w:pPr>
        <w:pStyle w:val="Heading3"/>
        <w:spacing w:line="326" w:lineRule="auto" w:before="34"/>
        <w:ind w:right="193"/>
        <w:jc w:val="both"/>
      </w:pPr>
      <w:r>
        <w:rPr>
          <w:spacing w:val="-4"/>
        </w:rPr>
        <w:t>《公司章程》及相关法律法规规定应由股东大会表决的事项均按照相</w:t>
      </w:r>
      <w:r>
        <w:rPr>
          <w:spacing w:val="-116"/>
        </w:rPr>
        <w:t> </w:t>
      </w:r>
      <w:r>
        <w:rPr>
          <w:spacing w:val="-116"/>
        </w:rPr>
      </w:r>
      <w:r>
        <w:rPr>
          <w:spacing w:val="-4"/>
        </w:rPr>
        <w:t>应的权限审批后交由股东大会审议，不存在越权审批的现象，也不存</w:t>
      </w:r>
      <w:r>
        <w:rPr>
          <w:spacing w:val="-112"/>
        </w:rPr>
        <w:t> </w:t>
      </w:r>
      <w:r>
        <w:rPr>
          <w:spacing w:val="-112"/>
        </w:rPr>
      </w:r>
      <w:r>
        <w:rPr/>
        <w:t>在先实施后审议的情况。</w:t>
      </w:r>
    </w:p>
    <w:p>
      <w:pPr>
        <w:spacing w:line="326" w:lineRule="auto" w:before="34"/>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（二）关于公司与控股股东</w:t>
      </w:r>
      <w:r>
        <w:rPr>
          <w:rFonts w:ascii="宋体" w:hAnsi="宋体" w:cs="宋体" w:eastAsia="宋体" w:hint="default"/>
          <w:b/>
          <w:bCs/>
          <w:w w:val="99"/>
          <w:sz w:val="28"/>
          <w:szCs w:val="28"/>
        </w:rPr>
        <w:t> </w:t>
      </w:r>
      <w:r>
        <w:rPr>
          <w:rFonts w:ascii="宋体" w:hAnsi="宋体" w:cs="宋体" w:eastAsia="宋体" w:hint="default"/>
          <w:spacing w:val="-5"/>
          <w:sz w:val="28"/>
          <w:szCs w:val="28"/>
        </w:rPr>
        <w:t>公司拥有独立的业务和经营自主能力，在业务、人员、资产、机</w:t>
      </w:r>
    </w:p>
    <w:p>
      <w:pPr>
        <w:pStyle w:val="Heading3"/>
        <w:spacing w:line="328" w:lineRule="auto" w:before="32"/>
        <w:ind w:right="193"/>
        <w:jc w:val="both"/>
      </w:pPr>
      <w:r>
        <w:rPr>
          <w:spacing w:val="-4"/>
        </w:rPr>
        <w:t>构、财务上独立于控股股东，公司董事会、监事会和内部机构独立运</w:t>
      </w:r>
      <w:r>
        <w:rPr>
          <w:spacing w:val="-113"/>
        </w:rPr>
        <w:t> </w:t>
      </w:r>
      <w:r>
        <w:rPr>
          <w:spacing w:val="-113"/>
        </w:rPr>
      </w:r>
      <w:r>
        <w:rPr>
          <w:spacing w:val="-4"/>
        </w:rPr>
        <w:t>作。公司控股股东能严格规范自己的行为，没有超越公司股东大会直</w:t>
      </w:r>
      <w:r>
        <w:rPr>
          <w:spacing w:val="-113"/>
        </w:rPr>
        <w:t> </w:t>
      </w:r>
      <w:r>
        <w:rPr>
          <w:spacing w:val="-113"/>
        </w:rPr>
      </w:r>
      <w:r>
        <w:rPr/>
        <w:t>接或间接干预公司的决策和经营活动的行为。</w:t>
      </w:r>
    </w:p>
    <w:p>
      <w:pPr>
        <w:spacing w:line="328" w:lineRule="auto" w:before="29"/>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（三）关于董事与董事会</w:t>
      </w:r>
      <w:r>
        <w:rPr>
          <w:rFonts w:ascii="宋体" w:hAnsi="宋体" w:cs="宋体" w:eastAsia="宋体" w:hint="default"/>
          <w:b/>
          <w:bCs/>
          <w:w w:val="99"/>
          <w:sz w:val="28"/>
          <w:szCs w:val="28"/>
        </w:rPr>
        <w:t> </w:t>
      </w:r>
      <w:r>
        <w:rPr>
          <w:rFonts w:ascii="宋体" w:hAnsi="宋体" w:cs="宋体" w:eastAsia="宋体" w:hint="default"/>
          <w:spacing w:val="-1"/>
          <w:sz w:val="28"/>
          <w:szCs w:val="28"/>
        </w:rPr>
        <w:t>公司董事会的人数与人员符合法律法规与《公司章程》的要求：</w:t>
      </w:r>
    </w:p>
    <w:p>
      <w:pPr>
        <w:pStyle w:val="Heading3"/>
        <w:spacing w:line="326" w:lineRule="auto"/>
        <w:ind w:right="192"/>
        <w:jc w:val="both"/>
      </w:pPr>
      <w:r>
        <w:rPr>
          <w:spacing w:val="-4"/>
        </w:rPr>
        <w:t>公司董事会由七名董事组成，其中独立董事三名，占全体董事的三分</w:t>
      </w:r>
      <w:r>
        <w:rPr>
          <w:spacing w:val="-113"/>
        </w:rPr>
        <w:t> </w:t>
      </w:r>
      <w:r>
        <w:rPr>
          <w:spacing w:val="-113"/>
        </w:rPr>
      </w:r>
      <w:r>
        <w:rPr>
          <w:spacing w:val="-4"/>
        </w:rPr>
        <w:t>之一以上。董事（含独立董事）的聘任程序符合法律法规和公司章程</w:t>
      </w:r>
      <w:r>
        <w:rPr>
          <w:spacing w:val="-113"/>
        </w:rPr>
        <w:t> </w:t>
      </w:r>
      <w:r>
        <w:rPr>
          <w:spacing w:val="-113"/>
        </w:rPr>
      </w:r>
      <w:r>
        <w:rPr>
          <w:spacing w:val="-13"/>
          <w:w w:val="100"/>
        </w:rPr>
        <w:t>的要求。公司全体董事能够依据《公司法》、《深圳证券交易所中小企</w:t>
      </w:r>
      <w:r>
        <w:rPr>
          <w:spacing w:val="-136"/>
          <w:w w:val="100"/>
        </w:rPr>
        <w:t> </w:t>
      </w:r>
      <w:r>
        <w:rPr>
          <w:spacing w:val="-136"/>
          <w:w w:val="100"/>
        </w:rPr>
      </w:r>
      <w:r>
        <w:rPr>
          <w:spacing w:val="-13"/>
          <w:w w:val="100"/>
        </w:rPr>
        <w:t>业板块上市公司董事行为指引》、《公司章程》、公司《董事会议事规</w:t>
      </w:r>
    </w:p>
    <w:p>
      <w:pPr>
        <w:spacing w:after="0" w:line="326" w:lineRule="auto"/>
        <w:jc w:val="both"/>
        <w:sectPr>
          <w:headerReference w:type="default" r:id="rId18"/>
          <w:pgSz w:w="11910" w:h="16840"/>
          <w:pgMar w:header="624" w:footer="1045" w:top="1240" w:bottom="1240" w:left="1660" w:right="1600"/>
        </w:sectPr>
      </w:pPr>
    </w:p>
    <w:p>
      <w:pPr>
        <w:pStyle w:val="Heading3"/>
        <w:spacing w:line="328" w:lineRule="auto" w:before="73"/>
        <w:ind w:right="106"/>
        <w:jc w:val="both"/>
      </w:pPr>
      <w:r>
        <w:rPr>
          <w:spacing w:val="-4"/>
          <w:w w:val="100"/>
        </w:rPr>
        <w:t>则》、公司《独立董事制度》等规定和相关工作规程开展工作和履行</w:t>
      </w:r>
      <w:r>
        <w:rPr>
          <w:w w:val="100"/>
        </w:rPr>
        <w:t> </w:t>
      </w:r>
      <w:r>
        <w:rPr>
          <w:spacing w:val="-4"/>
        </w:rPr>
        <w:t>职责，认真出席董事会和股东大会，积极参加相关知识的培训，熟悉</w:t>
      </w:r>
      <w:r>
        <w:rPr>
          <w:spacing w:val="-113"/>
        </w:rPr>
        <w:t> </w:t>
      </w:r>
      <w:r>
        <w:rPr>
          <w:spacing w:val="-113"/>
        </w:rPr>
      </w:r>
      <w:r>
        <w:rPr>
          <w:spacing w:val="-4"/>
        </w:rPr>
        <w:t>并掌握有关法律法规。为了完善公司治理结构，公司在董事会下设立</w:t>
      </w:r>
      <w:r>
        <w:rPr>
          <w:spacing w:val="-114"/>
        </w:rPr>
        <w:t> </w:t>
      </w:r>
      <w:r>
        <w:rPr>
          <w:spacing w:val="-114"/>
        </w:rPr>
      </w:r>
      <w:r>
        <w:rPr>
          <w:spacing w:val="-4"/>
        </w:rPr>
        <w:t>战略决策委员会、提名委员会、审计委员会、薪酬与考核委员会等四</w:t>
      </w:r>
      <w:r>
        <w:rPr>
          <w:spacing w:val="-114"/>
        </w:rPr>
        <w:t> </w:t>
      </w:r>
      <w:r>
        <w:rPr>
          <w:spacing w:val="-114"/>
        </w:rPr>
      </w:r>
      <w:r>
        <w:rPr>
          <w:spacing w:val="-1"/>
        </w:rPr>
        <w:t>个专门委员会，并制定了各委员会的议事规则，各委员会职责明确，</w:t>
      </w:r>
      <w:r>
        <w:rPr>
          <w:spacing w:val="-115"/>
        </w:rPr>
        <w:t> </w:t>
      </w:r>
      <w:r>
        <w:rPr>
          <w:spacing w:val="-115"/>
        </w:rPr>
      </w:r>
      <w:r>
        <w:rPr/>
        <w:t>整体运作情况良好，保障了董事会高效运作和科学决策。</w:t>
      </w:r>
    </w:p>
    <w:p>
      <w:pPr>
        <w:spacing w:line="328" w:lineRule="auto" w:before="29"/>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（四）关于监事与监事会</w:t>
      </w:r>
      <w:r>
        <w:rPr>
          <w:rFonts w:ascii="宋体" w:hAnsi="宋体" w:cs="宋体" w:eastAsia="宋体" w:hint="default"/>
          <w:b/>
          <w:bCs/>
          <w:w w:val="99"/>
          <w:sz w:val="28"/>
          <w:szCs w:val="28"/>
        </w:rPr>
        <w:t> </w:t>
      </w:r>
      <w:r>
        <w:rPr>
          <w:rFonts w:ascii="宋体" w:hAnsi="宋体" w:cs="宋体" w:eastAsia="宋体" w:hint="default"/>
          <w:spacing w:val="-1"/>
          <w:sz w:val="28"/>
          <w:szCs w:val="28"/>
        </w:rPr>
        <w:t>公司监事会的人数与人员符合法律法规与《公司章程》的要求：</w:t>
      </w:r>
    </w:p>
    <w:p>
      <w:pPr>
        <w:pStyle w:val="Heading3"/>
        <w:spacing w:line="326" w:lineRule="auto"/>
        <w:ind w:right="191"/>
        <w:jc w:val="both"/>
      </w:pPr>
      <w:r>
        <w:rPr>
          <w:spacing w:val="-4"/>
        </w:rPr>
        <w:t>公司监事会由六名监事组成，其中职工代表监事两名，占全体监事的</w:t>
      </w:r>
      <w:r>
        <w:rPr>
          <w:spacing w:val="-112"/>
        </w:rPr>
        <w:t> </w:t>
      </w:r>
      <w:r>
        <w:rPr>
          <w:spacing w:val="-112"/>
        </w:rPr>
      </w:r>
      <w:r>
        <w:rPr>
          <w:spacing w:val="-13"/>
          <w:w w:val="100"/>
        </w:rPr>
        <w:t>三分之一。公司严格按照《公司法》、《公司章程》等的有关规定选举</w:t>
      </w:r>
      <w:r>
        <w:rPr>
          <w:spacing w:val="-136"/>
          <w:w w:val="100"/>
        </w:rPr>
        <w:t> </w:t>
      </w:r>
      <w:r>
        <w:rPr>
          <w:spacing w:val="-136"/>
          <w:w w:val="100"/>
        </w:rPr>
      </w:r>
      <w:r>
        <w:rPr>
          <w:spacing w:val="-4"/>
        </w:rPr>
        <w:t>监事。公司监事能够按照《监事会议事规则》等的要求，认真履行自</w:t>
      </w:r>
      <w:r>
        <w:rPr>
          <w:spacing w:val="-113"/>
        </w:rPr>
        <w:t> </w:t>
      </w:r>
      <w:r>
        <w:rPr>
          <w:spacing w:val="-113"/>
        </w:rPr>
      </w:r>
      <w:r>
        <w:rPr>
          <w:spacing w:val="-4"/>
        </w:rPr>
        <w:t>己的职责，对公司重大事项、财务状况、董事和经理的履职情况等进</w:t>
      </w:r>
      <w:r>
        <w:rPr>
          <w:spacing w:val="-113"/>
        </w:rPr>
        <w:t> </w:t>
      </w:r>
      <w:r>
        <w:rPr>
          <w:spacing w:val="-113"/>
        </w:rPr>
      </w:r>
      <w:r>
        <w:rPr/>
        <w:t>行有效监督并发表意见。</w:t>
      </w:r>
    </w:p>
    <w:p>
      <w:pPr>
        <w:spacing w:line="326" w:lineRule="auto" w:before="34"/>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（五）关于绩效评价和激励约束机制</w:t>
      </w:r>
      <w:r>
        <w:rPr>
          <w:rFonts w:ascii="宋体" w:hAnsi="宋体" w:cs="宋体" w:eastAsia="宋体" w:hint="default"/>
          <w:b/>
          <w:bCs/>
          <w:w w:val="99"/>
          <w:sz w:val="28"/>
          <w:szCs w:val="28"/>
        </w:rPr>
        <w:t> </w:t>
      </w:r>
      <w:r>
        <w:rPr>
          <w:rFonts w:ascii="宋体" w:hAnsi="宋体" w:cs="宋体" w:eastAsia="宋体" w:hint="default"/>
          <w:spacing w:val="-4"/>
          <w:sz w:val="28"/>
          <w:szCs w:val="28"/>
        </w:rPr>
        <w:t>公司建立了公正、透明的董事、监事和高级管理人员的绩效评价</w:t>
      </w:r>
    </w:p>
    <w:p>
      <w:pPr>
        <w:pStyle w:val="Heading3"/>
        <w:spacing w:line="328" w:lineRule="auto" w:before="32"/>
        <w:ind w:right="193"/>
        <w:jc w:val="both"/>
      </w:pPr>
      <w:r>
        <w:rPr>
          <w:spacing w:val="-4"/>
        </w:rPr>
        <w:t>标准和激励约束机制，公司高级管理人员的聘任公开、透明，符合法</w:t>
      </w:r>
      <w:r>
        <w:rPr>
          <w:spacing w:val="-113"/>
        </w:rPr>
        <w:t> </w:t>
      </w:r>
      <w:r>
        <w:rPr>
          <w:spacing w:val="-113"/>
        </w:rPr>
      </w:r>
      <w:r>
        <w:rPr/>
        <w:t>律法规的规定。</w:t>
      </w:r>
    </w:p>
    <w:p>
      <w:pPr>
        <w:spacing w:line="326" w:lineRule="auto" w:before="29"/>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（六）关于相关利益者</w:t>
      </w:r>
      <w:r>
        <w:rPr>
          <w:rFonts w:ascii="宋体" w:hAnsi="宋体" w:cs="宋体" w:eastAsia="宋体" w:hint="default"/>
          <w:b/>
          <w:bCs/>
          <w:w w:val="99"/>
          <w:sz w:val="28"/>
          <w:szCs w:val="28"/>
        </w:rPr>
        <w:t> </w:t>
      </w:r>
      <w:r>
        <w:rPr>
          <w:rFonts w:ascii="宋体" w:hAnsi="宋体" w:cs="宋体" w:eastAsia="宋体" w:hint="default"/>
          <w:spacing w:val="-1"/>
          <w:sz w:val="28"/>
          <w:szCs w:val="28"/>
        </w:rPr>
        <w:t>公司充分尊重和维护相关利益者的合法权益，实现社会、股东、</w:t>
      </w:r>
    </w:p>
    <w:p>
      <w:pPr>
        <w:pStyle w:val="Heading3"/>
        <w:spacing w:line="240" w:lineRule="auto" w:before="34"/>
        <w:ind w:right="0"/>
        <w:jc w:val="both"/>
      </w:pPr>
      <w:r>
        <w:rPr/>
        <w:t>公司、员工等各方利益的协调平衡，共同推动公司持续、稳健发展。</w:t>
      </w:r>
    </w:p>
    <w:p>
      <w:pPr>
        <w:spacing w:line="326" w:lineRule="auto" w:before="132"/>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（七）关于信息披露与透明度</w:t>
      </w:r>
      <w:r>
        <w:rPr>
          <w:rFonts w:ascii="宋体" w:hAnsi="宋体" w:cs="宋体" w:eastAsia="宋体" w:hint="default"/>
          <w:b/>
          <w:bCs/>
          <w:w w:val="99"/>
          <w:sz w:val="28"/>
          <w:szCs w:val="28"/>
        </w:rPr>
        <w:t> </w:t>
      </w:r>
      <w:r>
        <w:rPr>
          <w:rFonts w:ascii="宋体" w:hAnsi="宋体" w:cs="宋体" w:eastAsia="宋体" w:hint="default"/>
          <w:spacing w:val="-23"/>
          <w:w w:val="100"/>
          <w:sz w:val="28"/>
          <w:szCs w:val="28"/>
        </w:rPr>
        <w:t>公司按照《深圳证券交易所股票上市规则》、《公司章程》、《投资</w:t>
      </w:r>
    </w:p>
    <w:p>
      <w:pPr>
        <w:pStyle w:val="Heading3"/>
        <w:spacing w:line="326" w:lineRule="auto" w:before="34"/>
        <w:ind w:right="107"/>
        <w:jc w:val="both"/>
      </w:pPr>
      <w:r>
        <w:rPr>
          <w:spacing w:val="-4"/>
        </w:rPr>
        <w:t>者关系管理制度》等的规定，设立专门机构并配备了相应人员，依法</w:t>
      </w:r>
      <w:r>
        <w:rPr>
          <w:spacing w:val="-113"/>
        </w:rPr>
        <w:t> </w:t>
      </w:r>
      <w:r>
        <w:rPr>
          <w:spacing w:val="-113"/>
        </w:rPr>
      </w:r>
      <w:r>
        <w:rPr>
          <w:spacing w:val="-4"/>
        </w:rPr>
        <w:t>履行信息披露义务，确保信息披露真实、及时、准确、完整，使所有</w:t>
      </w:r>
      <w:r>
        <w:rPr>
          <w:spacing w:val="-114"/>
        </w:rPr>
        <w:t> </w:t>
      </w:r>
      <w:r>
        <w:rPr>
          <w:spacing w:val="-114"/>
        </w:rPr>
      </w:r>
      <w:r>
        <w:rPr>
          <w:spacing w:val="-1"/>
        </w:rPr>
        <w:t>股东都有平等获得信息的机会。公司十分重视投资者关系管理工作，</w:t>
      </w:r>
      <w:r>
        <w:rPr>
          <w:spacing w:val="-116"/>
        </w:rPr>
        <w:t> </w:t>
      </w:r>
      <w:r>
        <w:rPr>
          <w:spacing w:val="-116"/>
        </w:rPr>
      </w:r>
      <w:r>
        <w:rPr>
          <w:spacing w:val="-4"/>
        </w:rPr>
        <w:t>指定董事长李海鹰先生为第一责任人，董事会秘书李新建先生为公司</w:t>
      </w:r>
      <w:r>
        <w:rPr>
          <w:spacing w:val="-114"/>
        </w:rPr>
        <w:t> </w:t>
      </w:r>
      <w:r>
        <w:rPr>
          <w:spacing w:val="-114"/>
        </w:rPr>
      </w:r>
      <w:r>
        <w:rPr>
          <w:spacing w:val="-4"/>
        </w:rPr>
        <w:t>的投资者关系管理的主管负责人，领导证券事务办公室安排专人做好</w:t>
      </w:r>
      <w:r>
        <w:rPr>
          <w:spacing w:val="-115"/>
        </w:rPr>
        <w:t> </w:t>
      </w:r>
      <w:r>
        <w:rPr>
          <w:spacing w:val="-115"/>
        </w:rPr>
      </w:r>
      <w:r>
        <w:rPr>
          <w:spacing w:val="-4"/>
        </w:rPr>
        <w:t>投资者的来访接待工作，并做好来访资料的存档工作，同时开通了投</w:t>
      </w:r>
    </w:p>
    <w:p>
      <w:pPr>
        <w:spacing w:after="0" w:line="326" w:lineRule="auto"/>
        <w:jc w:val="both"/>
        <w:sectPr>
          <w:footerReference w:type="default" r:id="rId19"/>
          <w:pgSz w:w="11910" w:h="16840"/>
          <w:pgMar w:footer="1045" w:header="624" w:top="1240" w:bottom="1240" w:left="1660" w:right="1600"/>
          <w:pgNumType w:start="20"/>
        </w:sectPr>
      </w:pPr>
    </w:p>
    <w:p>
      <w:pPr>
        <w:pStyle w:val="Heading3"/>
        <w:spacing w:line="328" w:lineRule="auto" w:before="73"/>
        <w:ind w:right="167"/>
        <w:jc w:val="both"/>
      </w:pPr>
      <w:r>
        <w:rPr>
          <w:spacing w:val="-13"/>
          <w:w w:val="100"/>
        </w:rPr>
        <w:t>资者咨询专线，认真接受投资者的咨询；指定《证券时报》、《中国证</w:t>
      </w:r>
      <w:r>
        <w:rPr>
          <w:spacing w:val="-135"/>
          <w:w w:val="100"/>
        </w:rPr>
        <w:t> </w:t>
      </w:r>
      <w:r>
        <w:rPr>
          <w:spacing w:val="-135"/>
          <w:w w:val="100"/>
        </w:rPr>
      </w:r>
      <w:r>
        <w:rPr/>
        <w:t>券报》和巨潮资讯网（</w:t>
      </w:r>
      <w:hyperlink r:id="rId12">
        <w:r>
          <w:rPr>
            <w:rFonts w:ascii="宋体" w:hAnsi="宋体" w:cs="宋体" w:eastAsia="宋体" w:hint="default"/>
          </w:rPr>
          <w:t>www.cninfo.com.cn</w:t>
        </w:r>
      </w:hyperlink>
      <w:r>
        <w:rPr/>
        <w:t>）为公司信息披露的报纸</w:t>
      </w:r>
      <w:r>
        <w:rPr>
          <w:spacing w:val="-103"/>
        </w:rPr>
        <w:t> </w:t>
      </w:r>
      <w:r>
        <w:rPr>
          <w:spacing w:val="-103"/>
        </w:rPr>
      </w:r>
      <w:r>
        <w:rPr>
          <w:spacing w:val="-1"/>
        </w:rPr>
        <w:t>和网站，严格按照有关法律法规的规定、公司《信息披露管理制度》</w:t>
      </w:r>
      <w:r>
        <w:rPr>
          <w:spacing w:val="-116"/>
        </w:rPr>
        <w:t> </w:t>
      </w:r>
      <w:r>
        <w:rPr>
          <w:spacing w:val="-116"/>
        </w:rPr>
      </w:r>
      <w:r>
        <w:rPr>
          <w:spacing w:val="-4"/>
        </w:rPr>
        <w:t>和《内幕信息知情人登记备案制度》等制度真实、准确、及时的披露</w:t>
      </w:r>
      <w:r>
        <w:rPr>
          <w:spacing w:val="-112"/>
        </w:rPr>
        <w:t> </w:t>
      </w:r>
      <w:r>
        <w:rPr>
          <w:spacing w:val="-112"/>
        </w:rPr>
      </w:r>
      <w:r>
        <w:rPr/>
        <w:t>信息。</w:t>
      </w:r>
    </w:p>
    <w:p>
      <w:pPr>
        <w:spacing w:line="326" w:lineRule="auto" w:before="29"/>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二、公司董事履行职责的情况</w:t>
      </w:r>
      <w:r>
        <w:rPr>
          <w:rFonts w:ascii="宋体" w:hAnsi="宋体" w:cs="宋体" w:eastAsia="宋体" w:hint="default"/>
          <w:b/>
          <w:bCs/>
          <w:w w:val="99"/>
          <w:sz w:val="28"/>
          <w:szCs w:val="28"/>
        </w:rPr>
        <w:t> </w:t>
      </w:r>
      <w:r>
        <w:rPr>
          <w:rFonts w:ascii="宋体" w:hAnsi="宋体" w:cs="宋体" w:eastAsia="宋体" w:hint="default"/>
          <w:spacing w:val="-10"/>
          <w:sz w:val="28"/>
          <w:szCs w:val="28"/>
        </w:rPr>
        <w:t>报告期内，公司全体董事均能严格按照《公司法》、《证券法》、</w:t>
      </w:r>
      <w:r>
        <w:rPr>
          <w:rFonts w:ascii="宋体" w:hAnsi="宋体" w:cs="宋体" w:eastAsia="宋体" w:hint="default"/>
          <w:sz w:val="28"/>
          <w:szCs w:val="28"/>
        </w:rPr>
      </w:r>
    </w:p>
    <w:p>
      <w:pPr>
        <w:pStyle w:val="Heading3"/>
        <w:spacing w:line="328" w:lineRule="auto" w:before="34"/>
        <w:ind w:right="253"/>
        <w:jc w:val="both"/>
      </w:pPr>
      <w:r>
        <w:rPr>
          <w:spacing w:val="-5"/>
        </w:rPr>
        <w:t>《上市公司治理准则》、《深圳证券交易所股票上市规则》以及《中</w:t>
      </w:r>
      <w:r>
        <w:rPr>
          <w:spacing w:val="-87"/>
        </w:rPr>
        <w:t> </w:t>
      </w:r>
      <w:r>
        <w:rPr>
          <w:spacing w:val="-87"/>
        </w:rPr>
      </w:r>
      <w:r>
        <w:rPr>
          <w:spacing w:val="-4"/>
        </w:rPr>
        <w:t>小企业板块上市公司董事行为指引》等法律、法规及规章制度等规定</w:t>
      </w:r>
      <w:r>
        <w:rPr>
          <w:spacing w:val="-113"/>
        </w:rPr>
        <w:t> </w:t>
      </w:r>
      <w:r>
        <w:rPr>
          <w:spacing w:val="-113"/>
        </w:rPr>
      </w:r>
      <w:r>
        <w:rPr>
          <w:spacing w:val="-4"/>
        </w:rPr>
        <w:t>和要求，诚实守信，积极地履行职责，切实维护公司及股东特别是社</w:t>
      </w:r>
      <w:r>
        <w:rPr>
          <w:spacing w:val="-113"/>
        </w:rPr>
        <w:t> </w:t>
      </w:r>
      <w:r>
        <w:rPr>
          <w:spacing w:val="-113"/>
        </w:rPr>
      </w:r>
      <w:r>
        <w:rPr/>
        <w:t>会公众股股东的权益。</w:t>
      </w:r>
    </w:p>
    <w:p>
      <w:pPr>
        <w:pStyle w:val="Heading3"/>
        <w:spacing w:line="326" w:lineRule="auto"/>
        <w:ind w:right="106" w:firstLine="559"/>
        <w:jc w:val="left"/>
      </w:pPr>
      <w:r>
        <w:rPr>
          <w:spacing w:val="-5"/>
        </w:rPr>
        <w:t>公司董事长李海鹰先生严格按照法律法规和《公司章程》等的要</w:t>
      </w:r>
      <w:r>
        <w:rPr>
          <w:w w:val="100"/>
        </w:rPr>
        <w:t> </w:t>
      </w:r>
      <w:r>
        <w:rPr>
          <w:spacing w:val="-4"/>
        </w:rPr>
        <w:t>求，依法在其权限范围内履行职责，全力加强董事会建设，严格实施</w:t>
      </w:r>
      <w:r>
        <w:rPr>
          <w:spacing w:val="-113"/>
        </w:rPr>
        <w:t> </w:t>
      </w:r>
      <w:r>
        <w:rPr>
          <w:spacing w:val="-113"/>
        </w:rPr>
      </w:r>
      <w:r>
        <w:rPr>
          <w:spacing w:val="-4"/>
        </w:rPr>
        <w:t>董事会集体决策机制；推动公司各项制度的制订和完善，积极推动公</w:t>
      </w:r>
      <w:r>
        <w:rPr>
          <w:spacing w:val="-114"/>
        </w:rPr>
        <w:t> </w:t>
      </w:r>
      <w:r>
        <w:rPr>
          <w:spacing w:val="-114"/>
        </w:rPr>
      </w:r>
      <w:r>
        <w:rPr>
          <w:spacing w:val="-9"/>
        </w:rPr>
        <w:t>司治理工作；确保董事会依法正常运作，亲自出席并依法召集、召开、</w:t>
      </w:r>
      <w:r>
        <w:rPr>
          <w:spacing w:val="-95"/>
        </w:rPr>
        <w:t> </w:t>
      </w:r>
      <w:r>
        <w:rPr>
          <w:spacing w:val="-95"/>
        </w:rPr>
      </w:r>
      <w:r>
        <w:rPr>
          <w:spacing w:val="-4"/>
        </w:rPr>
        <w:t>主持董事会会议，依法主持股东大会；认真执行股东大会和董事会的</w:t>
      </w:r>
      <w:r>
        <w:rPr>
          <w:spacing w:val="-112"/>
        </w:rPr>
        <w:t> </w:t>
      </w:r>
      <w:r>
        <w:rPr>
          <w:spacing w:val="-112"/>
        </w:rPr>
      </w:r>
      <w:r>
        <w:rPr>
          <w:spacing w:val="-4"/>
        </w:rPr>
        <w:t>各项决议；保证独立董事和董事会秘书的知情权，及时将董事会工作</w:t>
      </w:r>
      <w:r>
        <w:rPr>
          <w:spacing w:val="-113"/>
        </w:rPr>
        <w:t> </w:t>
      </w:r>
      <w:r>
        <w:rPr>
          <w:spacing w:val="-113"/>
        </w:rPr>
      </w:r>
      <w:r>
        <w:rPr>
          <w:spacing w:val="-4"/>
        </w:rPr>
        <w:t>运行情况通报所有董事。同时，督促其他董事、高管人员积极参加监</w:t>
      </w:r>
      <w:r>
        <w:rPr>
          <w:spacing w:val="-113"/>
        </w:rPr>
        <w:t> </w:t>
      </w:r>
      <w:r>
        <w:rPr>
          <w:spacing w:val="-113"/>
        </w:rPr>
      </w:r>
      <w:r>
        <w:rPr/>
        <w:t>管机构组织的培训，认真学习相关法律法规，提高依法履职意识。</w:t>
      </w:r>
    </w:p>
    <w:p>
      <w:pPr>
        <w:pStyle w:val="Heading3"/>
        <w:spacing w:line="326" w:lineRule="auto" w:before="34"/>
        <w:ind w:right="167" w:firstLine="559"/>
        <w:jc w:val="both"/>
      </w:pPr>
      <w:r>
        <w:rPr>
          <w:spacing w:val="-5"/>
        </w:rPr>
        <w:t>公司第三届董事会独立董事孟焰先生和魏春洪先生，第四届董事</w:t>
      </w:r>
      <w:r>
        <w:rPr>
          <w:w w:val="100"/>
        </w:rPr>
        <w:t> </w:t>
      </w:r>
      <w:r>
        <w:rPr>
          <w:spacing w:val="-1"/>
        </w:rPr>
        <w:t>会独立董事唐涛先生、谭宪才先生和蒋承先生，严格按照有关法律、</w:t>
      </w:r>
      <w:r>
        <w:rPr>
          <w:spacing w:val="-116"/>
        </w:rPr>
        <w:t> </w:t>
      </w:r>
      <w:r>
        <w:rPr>
          <w:spacing w:val="-116"/>
        </w:rPr>
      </w:r>
      <w:r>
        <w:rPr>
          <w:spacing w:val="-4"/>
        </w:rPr>
        <w:t>法规及《公司章程》、《独立董事制度》等规定，本着对公司、投资</w:t>
      </w:r>
      <w:r>
        <w:rPr>
          <w:spacing w:val="-113"/>
        </w:rPr>
        <w:t> </w:t>
      </w:r>
      <w:r>
        <w:rPr>
          <w:spacing w:val="-113"/>
        </w:rPr>
      </w:r>
      <w:r>
        <w:rPr>
          <w:spacing w:val="-4"/>
        </w:rPr>
        <w:t>者负责的态度，勤勉尽责、忠实履行职务，积极出席相关会议，深入</w:t>
      </w:r>
      <w:r>
        <w:rPr>
          <w:spacing w:val="-111"/>
        </w:rPr>
        <w:t> </w:t>
      </w:r>
      <w:r>
        <w:rPr>
          <w:spacing w:val="-111"/>
        </w:rPr>
      </w:r>
      <w:r>
        <w:rPr>
          <w:spacing w:val="-4"/>
        </w:rPr>
        <w:t>公司现场调查，了解生产经营状况和内部控制的建设及董事会决议执</w:t>
      </w:r>
      <w:r>
        <w:rPr>
          <w:spacing w:val="-115"/>
        </w:rPr>
        <w:t> </w:t>
      </w:r>
      <w:r>
        <w:rPr>
          <w:spacing w:val="-115"/>
        </w:rPr>
      </w:r>
      <w:r>
        <w:rPr>
          <w:spacing w:val="-4"/>
        </w:rPr>
        <w:t>行情况，并时刻关注外部环境变化对公司造成的影响，为公司未来经</w:t>
      </w:r>
      <w:r>
        <w:rPr>
          <w:spacing w:val="-112"/>
        </w:rPr>
        <w:t> </w:t>
      </w:r>
      <w:r>
        <w:rPr>
          <w:spacing w:val="-112"/>
        </w:rPr>
      </w:r>
      <w:r>
        <w:rPr>
          <w:spacing w:val="-4"/>
        </w:rPr>
        <w:t>营和发展提出合理化的意见和建议。独立董事严格按照相关规定对公</w:t>
      </w:r>
      <w:r>
        <w:rPr>
          <w:spacing w:val="-115"/>
        </w:rPr>
        <w:t> </w:t>
      </w:r>
      <w:r>
        <w:rPr>
          <w:spacing w:val="-115"/>
        </w:rPr>
      </w:r>
      <w:r>
        <w:rPr>
          <w:spacing w:val="-4"/>
        </w:rPr>
        <w:t>司的重大事项发表独立意见。报告期内公司独立董事均未对公司董事</w:t>
      </w:r>
      <w:r>
        <w:rPr>
          <w:spacing w:val="-115"/>
        </w:rPr>
        <w:t> </w:t>
      </w:r>
      <w:r>
        <w:rPr>
          <w:spacing w:val="-115"/>
        </w:rPr>
      </w:r>
      <w:r>
        <w:rPr/>
        <w:t>会审议的各项议案及其他相关事项提出异议。</w:t>
      </w:r>
    </w:p>
    <w:p>
      <w:pPr>
        <w:spacing w:after="0" w:line="326" w:lineRule="auto"/>
        <w:jc w:val="both"/>
        <w:sectPr>
          <w:pgSz w:w="11910" w:h="16840"/>
          <w:pgMar w:header="624" w:footer="1045" w:top="1240" w:bottom="1240" w:left="1660" w:right="1540"/>
        </w:sectPr>
      </w:pPr>
    </w:p>
    <w:p>
      <w:pPr>
        <w:pStyle w:val="Heading3"/>
        <w:spacing w:line="328" w:lineRule="auto" w:before="73"/>
        <w:ind w:left="778" w:right="0" w:firstLine="559"/>
        <w:jc w:val="left"/>
      </w:pPr>
      <w:r>
        <w:rPr/>
        <w:pict>
          <v:shape style="position:absolute;margin-left:56.400002pt;margin-top:50.021534pt;width:482.9pt;height:192.7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277"/>
                    <w:gridCol w:w="850"/>
                    <w:gridCol w:w="1135"/>
                    <w:gridCol w:w="1558"/>
                    <w:gridCol w:w="1135"/>
                    <w:gridCol w:w="709"/>
                    <w:gridCol w:w="1843"/>
                  </w:tblGrid>
                  <w:tr>
                    <w:trPr>
                      <w:trHeight w:val="631" w:hRule="exact"/>
                    </w:trPr>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董事姓名</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right="2"/>
                          <w:jc w:val="center"/>
                          <w:rPr>
                            <w:rFonts w:ascii="宋体" w:hAnsi="宋体" w:cs="宋体" w:eastAsia="宋体" w:hint="default"/>
                            <w:sz w:val="24"/>
                            <w:szCs w:val="24"/>
                          </w:rPr>
                        </w:pPr>
                        <w:r>
                          <w:rPr>
                            <w:rFonts w:ascii="宋体" w:hAnsi="宋体" w:cs="宋体" w:eastAsia="宋体" w:hint="default"/>
                            <w:sz w:val="24"/>
                            <w:szCs w:val="24"/>
                          </w:rPr>
                          <w:t>具体职务</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应出席</w:t>
                        </w:r>
                      </w:p>
                      <w:p>
                        <w:pPr>
                          <w:pStyle w:val="TableParagraph"/>
                          <w:spacing w:line="313" w:lineRule="exact"/>
                          <w:ind w:right="3"/>
                          <w:jc w:val="center"/>
                          <w:rPr>
                            <w:rFonts w:ascii="宋体" w:hAnsi="宋体" w:cs="宋体" w:eastAsia="宋体" w:hint="default"/>
                            <w:sz w:val="24"/>
                            <w:szCs w:val="24"/>
                          </w:rPr>
                        </w:pPr>
                        <w:r>
                          <w:rPr>
                            <w:rFonts w:ascii="宋体" w:hAnsi="宋体" w:cs="宋体" w:eastAsia="宋体" w:hint="default"/>
                            <w:sz w:val="24"/>
                            <w:szCs w:val="24"/>
                          </w:rPr>
                          <w:t>次数</w:t>
                        </w:r>
                      </w:p>
                    </w:tc>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现场出席</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次数</w:t>
                        </w:r>
                      </w:p>
                    </w:tc>
                    <w:tc>
                      <w:tcPr>
                        <w:tcW w:w="15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以通讯方式</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参加会议次数</w:t>
                        </w:r>
                      </w:p>
                    </w:tc>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委托出席</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次数</w:t>
                        </w:r>
                      </w:p>
                    </w:tc>
                    <w:tc>
                      <w:tcPr>
                        <w:tcW w:w="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07" w:right="0"/>
                          <w:jc w:val="left"/>
                          <w:rPr>
                            <w:rFonts w:ascii="宋体" w:hAnsi="宋体" w:cs="宋体" w:eastAsia="宋体" w:hint="default"/>
                            <w:sz w:val="24"/>
                            <w:szCs w:val="24"/>
                          </w:rPr>
                        </w:pPr>
                        <w:r>
                          <w:rPr>
                            <w:rFonts w:ascii="宋体" w:hAnsi="宋体" w:cs="宋体" w:eastAsia="宋体" w:hint="default"/>
                            <w:sz w:val="24"/>
                            <w:szCs w:val="24"/>
                          </w:rPr>
                          <w:t>缺席</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次数</w:t>
                        </w:r>
                      </w:p>
                    </w:tc>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是否连续两次未</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亲自出席会议</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李海鹰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Times New Roman" w:hAnsi="Times New Roman" w:cs="Times New Roman" w:eastAsia="Times New Roman" w:hint="default"/>
                            <w:sz w:val="24"/>
                            <w:szCs w:val="24"/>
                          </w:rPr>
                        </w:pPr>
                        <w:r>
                          <w:rPr>
                            <w:rFonts w:ascii="Times New Roman"/>
                            <w:sz w:val="24"/>
                          </w:rPr>
                          <w:t>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1" w:right="0"/>
                          <w:jc w:val="left"/>
                          <w:rPr>
                            <w:rFonts w:ascii="Times New Roman" w:hAnsi="Times New Roman" w:cs="Times New Roman" w:eastAsia="Times New Roman" w:hint="default"/>
                            <w:sz w:val="24"/>
                            <w:szCs w:val="24"/>
                          </w:rPr>
                        </w:pPr>
                        <w:r>
                          <w:rPr>
                            <w:rFonts w:ascii="Times New Roman"/>
                            <w:sz w:val="24"/>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7" w:right="0"/>
                          <w:jc w:val="left"/>
                          <w:rPr>
                            <w:rFonts w:ascii="Times New Roman" w:hAnsi="Times New Roman" w:cs="Times New Roman" w:eastAsia="Times New Roman" w:hint="default"/>
                            <w:sz w:val="24"/>
                            <w:szCs w:val="24"/>
                          </w:rPr>
                        </w:pPr>
                        <w:r>
                          <w:rPr>
                            <w:rFonts w:ascii="Times New Roman"/>
                            <w:sz w:val="24"/>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李劲松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Times New Roman" w:hAnsi="Times New Roman" w:cs="Times New Roman" w:eastAsia="Times New Roman" w:hint="default"/>
                            <w:sz w:val="24"/>
                            <w:szCs w:val="24"/>
                          </w:rPr>
                        </w:pPr>
                        <w:r>
                          <w:rPr>
                            <w:rFonts w:ascii="Times New Roman"/>
                            <w:sz w:val="24"/>
                          </w:rPr>
                          <w:t>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1" w:right="0"/>
                          <w:jc w:val="left"/>
                          <w:rPr>
                            <w:rFonts w:ascii="Times New Roman" w:hAnsi="Times New Roman" w:cs="Times New Roman" w:eastAsia="Times New Roman" w:hint="default"/>
                            <w:sz w:val="24"/>
                            <w:szCs w:val="24"/>
                          </w:rPr>
                        </w:pPr>
                        <w:r>
                          <w:rPr>
                            <w:rFonts w:ascii="Times New Roman"/>
                            <w:sz w:val="24"/>
                          </w:rPr>
                          <w:t>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7" w:right="0"/>
                          <w:jc w:val="left"/>
                          <w:rPr>
                            <w:rFonts w:ascii="Times New Roman" w:hAnsi="Times New Roman" w:cs="Times New Roman" w:eastAsia="Times New Roman" w:hint="default"/>
                            <w:sz w:val="24"/>
                            <w:szCs w:val="24"/>
                          </w:rPr>
                        </w:pPr>
                        <w:r>
                          <w:rPr>
                            <w:rFonts w:ascii="Times New Roman"/>
                            <w:sz w:val="24"/>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谢春生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Times New Roman" w:hAnsi="Times New Roman" w:cs="Times New Roman" w:eastAsia="Times New Roman" w:hint="default"/>
                            <w:sz w:val="24"/>
                            <w:szCs w:val="24"/>
                          </w:rPr>
                        </w:pPr>
                        <w:r>
                          <w:rPr>
                            <w:rFonts w:ascii="Times New Roman"/>
                            <w:sz w:val="24"/>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1" w:right="0"/>
                          <w:jc w:val="left"/>
                          <w:rPr>
                            <w:rFonts w:ascii="Times New Roman" w:hAnsi="Times New Roman" w:cs="Times New Roman" w:eastAsia="Times New Roman" w:hint="default"/>
                            <w:sz w:val="24"/>
                            <w:szCs w:val="24"/>
                          </w:rPr>
                        </w:pPr>
                        <w:r>
                          <w:rPr>
                            <w:rFonts w:ascii="Times New Roman"/>
                            <w:sz w:val="24"/>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7" w:right="0"/>
                          <w:jc w:val="left"/>
                          <w:rPr>
                            <w:rFonts w:ascii="Times New Roman" w:hAnsi="Times New Roman" w:cs="Times New Roman" w:eastAsia="Times New Roman" w:hint="default"/>
                            <w:sz w:val="24"/>
                            <w:szCs w:val="24"/>
                          </w:rPr>
                        </w:pPr>
                        <w:r>
                          <w:rPr>
                            <w:rFonts w:ascii="Times New Roman"/>
                            <w:sz w:val="24"/>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郑予君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4"/>
                            <w:szCs w:val="24"/>
                          </w:rPr>
                        </w:pPr>
                        <w:r>
                          <w:rPr>
                            <w:rFonts w:ascii="Times New Roman"/>
                            <w:sz w:val="24"/>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4"/>
                            <w:szCs w:val="24"/>
                          </w:rPr>
                        </w:pPr>
                        <w:r>
                          <w:rPr>
                            <w:rFonts w:ascii="Times New Roman"/>
                            <w:sz w:val="24"/>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4"/>
                            <w:szCs w:val="24"/>
                          </w:rPr>
                        </w:pPr>
                        <w:r>
                          <w:rPr>
                            <w:rFonts w:ascii="Times New Roman"/>
                            <w:sz w:val="24"/>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1" w:right="0"/>
                          <w:jc w:val="left"/>
                          <w:rPr>
                            <w:rFonts w:ascii="Times New Roman" w:hAnsi="Times New Roman" w:cs="Times New Roman" w:eastAsia="Times New Roman" w:hint="default"/>
                            <w:sz w:val="24"/>
                            <w:szCs w:val="24"/>
                          </w:rPr>
                        </w:pPr>
                        <w:r>
                          <w:rPr>
                            <w:rFonts w:ascii="Times New Roman"/>
                            <w:sz w:val="24"/>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7" w:right="0"/>
                          <w:jc w:val="left"/>
                          <w:rPr>
                            <w:rFonts w:ascii="Times New Roman" w:hAnsi="Times New Roman" w:cs="Times New Roman" w:eastAsia="Times New Roman" w:hint="default"/>
                            <w:sz w:val="24"/>
                            <w:szCs w:val="24"/>
                          </w:rPr>
                        </w:pPr>
                        <w:r>
                          <w:rPr>
                            <w:rFonts w:ascii="Times New Roman"/>
                            <w:sz w:val="24"/>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唐涛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4"/>
                            <w:szCs w:val="24"/>
                          </w:rPr>
                        </w:pPr>
                        <w:r>
                          <w:rPr>
                            <w:rFonts w:ascii="Times New Roman"/>
                            <w:sz w:val="24"/>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4"/>
                            <w:szCs w:val="24"/>
                          </w:rPr>
                        </w:pPr>
                        <w:r>
                          <w:rPr>
                            <w:rFonts w:ascii="Times New Roman"/>
                            <w:sz w:val="24"/>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4"/>
                            <w:szCs w:val="24"/>
                          </w:rPr>
                        </w:pPr>
                        <w:r>
                          <w:rPr>
                            <w:rFonts w:ascii="Times New Roman"/>
                            <w:sz w:val="24"/>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1" w:right="0"/>
                          <w:jc w:val="left"/>
                          <w:rPr>
                            <w:rFonts w:ascii="Times New Roman" w:hAnsi="Times New Roman" w:cs="Times New Roman" w:eastAsia="Times New Roman" w:hint="default"/>
                            <w:sz w:val="24"/>
                            <w:szCs w:val="24"/>
                          </w:rPr>
                        </w:pPr>
                        <w:r>
                          <w:rPr>
                            <w:rFonts w:ascii="Times New Roman"/>
                            <w:sz w:val="24"/>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7" w:right="0"/>
                          <w:jc w:val="left"/>
                          <w:rPr>
                            <w:rFonts w:ascii="Times New Roman" w:hAnsi="Times New Roman" w:cs="Times New Roman" w:eastAsia="Times New Roman" w:hint="default"/>
                            <w:sz w:val="24"/>
                            <w:szCs w:val="24"/>
                          </w:rPr>
                        </w:pPr>
                        <w:r>
                          <w:rPr>
                            <w:rFonts w:ascii="Times New Roman"/>
                            <w:sz w:val="24"/>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谭宪才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4"/>
                            <w:szCs w:val="24"/>
                          </w:rPr>
                        </w:pPr>
                        <w:r>
                          <w:rPr>
                            <w:rFonts w:ascii="Times New Roman"/>
                            <w:sz w:val="24"/>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4"/>
                            <w:szCs w:val="24"/>
                          </w:rPr>
                        </w:pPr>
                        <w:r>
                          <w:rPr>
                            <w:rFonts w:ascii="Times New Roman"/>
                            <w:sz w:val="24"/>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4"/>
                            <w:szCs w:val="24"/>
                          </w:rPr>
                        </w:pPr>
                        <w:r>
                          <w:rPr>
                            <w:rFonts w:ascii="Times New Roman"/>
                            <w:sz w:val="24"/>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1" w:right="0"/>
                          <w:jc w:val="left"/>
                          <w:rPr>
                            <w:rFonts w:ascii="Times New Roman" w:hAnsi="Times New Roman" w:cs="Times New Roman" w:eastAsia="Times New Roman" w:hint="default"/>
                            <w:sz w:val="24"/>
                            <w:szCs w:val="24"/>
                          </w:rPr>
                        </w:pPr>
                        <w:r>
                          <w:rPr>
                            <w:rFonts w:ascii="Times New Roman"/>
                            <w:sz w:val="24"/>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7" w:right="0"/>
                          <w:jc w:val="left"/>
                          <w:rPr>
                            <w:rFonts w:ascii="Times New Roman" w:hAnsi="Times New Roman" w:cs="Times New Roman" w:eastAsia="Times New Roman" w:hint="default"/>
                            <w:sz w:val="24"/>
                            <w:szCs w:val="24"/>
                          </w:rPr>
                        </w:pPr>
                        <w:r>
                          <w:rPr>
                            <w:rFonts w:ascii="Times New Roman"/>
                            <w:sz w:val="24"/>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1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蒋承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4"/>
                            <w:szCs w:val="24"/>
                          </w:rPr>
                        </w:pPr>
                        <w:r>
                          <w:rPr>
                            <w:rFonts w:ascii="Times New Roman"/>
                            <w:sz w:val="24"/>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4"/>
                            <w:szCs w:val="24"/>
                          </w:rPr>
                        </w:pPr>
                        <w:r>
                          <w:rPr>
                            <w:rFonts w:ascii="Times New Roman"/>
                            <w:sz w:val="24"/>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4"/>
                            <w:szCs w:val="24"/>
                          </w:rPr>
                        </w:pPr>
                        <w:r>
                          <w:rPr>
                            <w:rFonts w:ascii="Times New Roman"/>
                            <w:sz w:val="24"/>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1" w:right="0"/>
                          <w:jc w:val="left"/>
                          <w:rPr>
                            <w:rFonts w:ascii="Times New Roman" w:hAnsi="Times New Roman" w:cs="Times New Roman" w:eastAsia="Times New Roman" w:hint="default"/>
                            <w:sz w:val="24"/>
                            <w:szCs w:val="24"/>
                          </w:rPr>
                        </w:pPr>
                        <w:r>
                          <w:rPr>
                            <w:rFonts w:ascii="Times New Roman"/>
                            <w:sz w:val="24"/>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7" w:right="0"/>
                          <w:jc w:val="left"/>
                          <w:rPr>
                            <w:rFonts w:ascii="Times New Roman" w:hAnsi="Times New Roman" w:cs="Times New Roman" w:eastAsia="Times New Roman" w:hint="default"/>
                            <w:sz w:val="24"/>
                            <w:szCs w:val="24"/>
                          </w:rPr>
                        </w:pPr>
                        <w:r>
                          <w:rPr>
                            <w:rFonts w:ascii="Times New Roman"/>
                            <w:sz w:val="24"/>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苗卫东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原董事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Times New Roman" w:hAnsi="Times New Roman" w:cs="Times New Roman" w:eastAsia="Times New Roman" w:hint="default"/>
                            <w:sz w:val="24"/>
                            <w:szCs w:val="24"/>
                          </w:rPr>
                        </w:pPr>
                        <w:r>
                          <w:rPr>
                            <w:rFonts w:ascii="Times New Roman"/>
                            <w:sz w:val="24"/>
                          </w:rPr>
                          <w:t>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1" w:right="0"/>
                          <w:jc w:val="left"/>
                          <w:rPr>
                            <w:rFonts w:ascii="Times New Roman" w:hAnsi="Times New Roman" w:cs="Times New Roman" w:eastAsia="Times New Roman" w:hint="default"/>
                            <w:sz w:val="24"/>
                            <w:szCs w:val="24"/>
                          </w:rPr>
                        </w:pPr>
                        <w:r>
                          <w:rPr>
                            <w:rFonts w:ascii="Times New Roman"/>
                            <w:sz w:val="24"/>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7" w:right="0"/>
                          <w:jc w:val="left"/>
                          <w:rPr>
                            <w:rFonts w:ascii="Times New Roman" w:hAnsi="Times New Roman" w:cs="Times New Roman" w:eastAsia="Times New Roman" w:hint="default"/>
                            <w:sz w:val="24"/>
                            <w:szCs w:val="24"/>
                          </w:rPr>
                        </w:pPr>
                        <w:r>
                          <w:rPr>
                            <w:rFonts w:ascii="Times New Roman"/>
                            <w:sz w:val="24"/>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孟焰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原独立董事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Times New Roman" w:hAnsi="Times New Roman" w:cs="Times New Roman" w:eastAsia="Times New Roman" w:hint="default"/>
                            <w:sz w:val="24"/>
                            <w:szCs w:val="24"/>
                          </w:rPr>
                        </w:pPr>
                        <w:r>
                          <w:rPr>
                            <w:rFonts w:ascii="Times New Roman"/>
                            <w:sz w:val="24"/>
                          </w:rPr>
                          <w:t>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1" w:right="0"/>
                          <w:jc w:val="left"/>
                          <w:rPr>
                            <w:rFonts w:ascii="Times New Roman" w:hAnsi="Times New Roman" w:cs="Times New Roman" w:eastAsia="Times New Roman" w:hint="default"/>
                            <w:sz w:val="24"/>
                            <w:szCs w:val="24"/>
                          </w:rPr>
                        </w:pPr>
                        <w:r>
                          <w:rPr>
                            <w:rFonts w:ascii="Times New Roman"/>
                            <w:sz w:val="24"/>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7" w:right="0"/>
                          <w:jc w:val="left"/>
                          <w:rPr>
                            <w:rFonts w:ascii="Times New Roman" w:hAnsi="Times New Roman" w:cs="Times New Roman" w:eastAsia="Times New Roman" w:hint="default"/>
                            <w:sz w:val="24"/>
                            <w:szCs w:val="24"/>
                          </w:rPr>
                        </w:pPr>
                        <w:r>
                          <w:rPr>
                            <w:rFonts w:ascii="Times New Roman"/>
                            <w:sz w:val="24"/>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魏春洪</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原独立董事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Times New Roman" w:hAnsi="Times New Roman" w:cs="Times New Roman" w:eastAsia="Times New Roman" w:hint="default"/>
                            <w:sz w:val="24"/>
                            <w:szCs w:val="24"/>
                          </w:rPr>
                        </w:pPr>
                        <w:r>
                          <w:rPr>
                            <w:rFonts w:ascii="Times New Roman"/>
                            <w:sz w:val="24"/>
                          </w:rPr>
                          <w:t>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1" w:right="0"/>
                          <w:jc w:val="left"/>
                          <w:rPr>
                            <w:rFonts w:ascii="Times New Roman" w:hAnsi="Times New Roman" w:cs="Times New Roman" w:eastAsia="Times New Roman" w:hint="default"/>
                            <w:sz w:val="24"/>
                            <w:szCs w:val="24"/>
                          </w:rPr>
                        </w:pPr>
                        <w:r>
                          <w:rPr>
                            <w:rFonts w:ascii="Times New Roman"/>
                            <w:sz w:val="24"/>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7" w:right="0"/>
                          <w:jc w:val="left"/>
                          <w:rPr>
                            <w:rFonts w:ascii="Times New Roman" w:hAnsi="Times New Roman" w:cs="Times New Roman" w:eastAsia="Times New Roman" w:hint="default"/>
                            <w:sz w:val="24"/>
                            <w:szCs w:val="24"/>
                          </w:rPr>
                        </w:pPr>
                        <w:r>
                          <w:rPr>
                            <w:rFonts w:ascii="Times New Roman"/>
                            <w:sz w:val="24"/>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否</w:t>
                        </w:r>
                      </w:p>
                    </w:tc>
                  </w:tr>
                </w:tbl>
                <w:p>
                  <w:pPr/>
                </w:p>
              </w:txbxContent>
            </v:textbox>
            <w10:wrap type="none"/>
          </v:shape>
        </w:pict>
      </w:r>
      <w:r>
        <w:rPr>
          <w:spacing w:val="-5"/>
        </w:rPr>
        <w:t>报告期内，公司共召开七次董事会，其中现场会议六次，以通讯</w:t>
      </w:r>
      <w:r>
        <w:rPr>
          <w:w w:val="100"/>
        </w:rPr>
        <w:t> </w:t>
      </w:r>
      <w:r>
        <w:rPr/>
        <w:t>方式召开会议一次。董事出席董事会会议情况：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28" w:lineRule="auto" w:before="14"/>
        <w:ind w:left="0" w:right="771" w:firstLine="0"/>
        <w:jc w:val="right"/>
        <w:rPr>
          <w:rFonts w:ascii="宋体" w:hAnsi="宋体" w:cs="宋体" w:eastAsia="宋体" w:hint="default"/>
          <w:sz w:val="28"/>
          <w:szCs w:val="28"/>
        </w:rPr>
      </w:pPr>
      <w:r>
        <w:rPr>
          <w:rFonts w:ascii="宋体" w:hAnsi="宋体" w:cs="宋体" w:eastAsia="宋体" w:hint="default"/>
          <w:b/>
          <w:bCs/>
          <w:spacing w:val="-4"/>
          <w:w w:val="95"/>
          <w:sz w:val="28"/>
          <w:szCs w:val="28"/>
        </w:rPr>
        <w:t>三、公司与控股股东在业务、人员、资产、机构、财务等方面的情况</w:t>
      </w:r>
      <w:r>
        <w:rPr>
          <w:rFonts w:ascii="宋体" w:hAnsi="宋体" w:cs="宋体" w:eastAsia="宋体" w:hint="default"/>
          <w:b/>
          <w:bCs/>
          <w:spacing w:val="13"/>
          <w:w w:val="95"/>
          <w:sz w:val="28"/>
          <w:szCs w:val="28"/>
        </w:rPr>
        <w:t> </w:t>
      </w:r>
      <w:r>
        <w:rPr>
          <w:rFonts w:ascii="宋体" w:hAnsi="宋体" w:cs="宋体" w:eastAsia="宋体" w:hint="default"/>
          <w:b/>
          <w:bCs/>
          <w:spacing w:val="13"/>
          <w:w w:val="95"/>
          <w:sz w:val="28"/>
          <w:szCs w:val="28"/>
        </w:rPr>
      </w:r>
      <w:r>
        <w:rPr>
          <w:rFonts w:ascii="宋体" w:hAnsi="宋体" w:cs="宋体" w:eastAsia="宋体" w:hint="default"/>
          <w:spacing w:val="-5"/>
          <w:sz w:val="28"/>
          <w:szCs w:val="28"/>
        </w:rPr>
        <w:t>公司在业务、人员、机构、资产、财务等方面与公司大股东完全</w:t>
      </w:r>
      <w:r>
        <w:rPr>
          <w:rFonts w:ascii="宋体" w:hAnsi="宋体" w:cs="宋体" w:eastAsia="宋体" w:hint="default"/>
          <w:w w:val="100"/>
          <w:sz w:val="28"/>
          <w:szCs w:val="28"/>
        </w:rPr>
        <w:t> </w:t>
      </w:r>
      <w:r>
        <w:rPr>
          <w:rFonts w:ascii="宋体" w:hAnsi="宋体" w:cs="宋体" w:eastAsia="宋体" w:hint="default"/>
          <w:spacing w:val="-4"/>
          <w:sz w:val="28"/>
          <w:szCs w:val="28"/>
        </w:rPr>
        <w:t>分开、独立运作，公司拥有独立自主的研发、供应、生产、销售等业</w:t>
      </w:r>
    </w:p>
    <w:p>
      <w:pPr>
        <w:pStyle w:val="Heading3"/>
        <w:spacing w:line="240" w:lineRule="auto"/>
        <w:ind w:left="778" w:right="0"/>
        <w:jc w:val="left"/>
      </w:pPr>
      <w:r>
        <w:rPr/>
        <w:t>务体系，具有独立完整的业务及自主经营能力。</w:t>
      </w:r>
    </w:p>
    <w:p>
      <w:pPr>
        <w:spacing w:line="326" w:lineRule="auto" w:before="135"/>
        <w:ind w:left="1337" w:right="0" w:hanging="560"/>
        <w:jc w:val="left"/>
        <w:rPr>
          <w:rFonts w:ascii="宋体" w:hAnsi="宋体" w:cs="宋体" w:eastAsia="宋体" w:hint="default"/>
          <w:sz w:val="28"/>
          <w:szCs w:val="28"/>
        </w:rPr>
      </w:pPr>
      <w:r>
        <w:rPr>
          <w:rFonts w:ascii="宋体" w:hAnsi="宋体" w:cs="宋体" w:eastAsia="宋体" w:hint="default"/>
          <w:b/>
          <w:bCs/>
          <w:sz w:val="28"/>
          <w:szCs w:val="28"/>
        </w:rPr>
        <w:t>（一）业务独立情况</w:t>
      </w:r>
      <w:r>
        <w:rPr>
          <w:rFonts w:ascii="宋体" w:hAnsi="宋体" w:cs="宋体" w:eastAsia="宋体" w:hint="default"/>
          <w:b/>
          <w:bCs/>
          <w:w w:val="99"/>
          <w:sz w:val="28"/>
          <w:szCs w:val="28"/>
        </w:rPr>
        <w:t> </w:t>
      </w:r>
      <w:r>
        <w:rPr>
          <w:rFonts w:ascii="宋体" w:hAnsi="宋体" w:cs="宋体" w:eastAsia="宋体" w:hint="default"/>
          <w:spacing w:val="-5"/>
          <w:sz w:val="28"/>
          <w:szCs w:val="28"/>
        </w:rPr>
        <w:t>公司独立从事生产经营，对大股东和其他关联企业不存在依赖关</w:t>
      </w:r>
    </w:p>
    <w:p>
      <w:pPr>
        <w:pStyle w:val="Heading3"/>
        <w:spacing w:line="328" w:lineRule="auto" w:before="32"/>
        <w:ind w:left="778" w:right="774"/>
        <w:jc w:val="both"/>
      </w:pPr>
      <w:r>
        <w:rPr>
          <w:spacing w:val="-4"/>
        </w:rPr>
        <w:t>系。公司拥有独立的采购和生产、销售系统，不依赖大股东和其它关</w:t>
      </w:r>
      <w:r>
        <w:rPr>
          <w:spacing w:val="-113"/>
        </w:rPr>
        <w:t> </w:t>
      </w:r>
      <w:r>
        <w:rPr>
          <w:spacing w:val="-113"/>
        </w:rPr>
      </w:r>
      <w:r>
        <w:rPr/>
        <w:t>联企业。</w:t>
      </w:r>
    </w:p>
    <w:p>
      <w:pPr>
        <w:spacing w:line="326" w:lineRule="auto" w:before="29"/>
        <w:ind w:left="1337" w:right="0" w:hanging="560"/>
        <w:jc w:val="left"/>
        <w:rPr>
          <w:rFonts w:ascii="宋体" w:hAnsi="宋体" w:cs="宋体" w:eastAsia="宋体" w:hint="default"/>
          <w:sz w:val="28"/>
          <w:szCs w:val="28"/>
        </w:rPr>
      </w:pPr>
      <w:r>
        <w:rPr>
          <w:rFonts w:ascii="宋体" w:hAnsi="宋体" w:cs="宋体" w:eastAsia="宋体" w:hint="default"/>
          <w:b/>
          <w:bCs/>
          <w:sz w:val="28"/>
          <w:szCs w:val="28"/>
        </w:rPr>
        <w:t>（二）人员分开情况</w:t>
      </w:r>
      <w:r>
        <w:rPr>
          <w:rFonts w:ascii="宋体" w:hAnsi="宋体" w:cs="宋体" w:eastAsia="宋体" w:hint="default"/>
          <w:b/>
          <w:bCs/>
          <w:w w:val="99"/>
          <w:sz w:val="28"/>
          <w:szCs w:val="28"/>
        </w:rPr>
        <w:t> </w:t>
      </w:r>
      <w:r>
        <w:rPr>
          <w:rFonts w:ascii="宋体" w:hAnsi="宋体" w:cs="宋体" w:eastAsia="宋体" w:hint="default"/>
          <w:spacing w:val="-5"/>
          <w:sz w:val="28"/>
          <w:szCs w:val="28"/>
        </w:rPr>
        <w:t>公司设有专门负责公司人力资源管理的工作部门，人员、薪酬管</w:t>
      </w:r>
    </w:p>
    <w:p>
      <w:pPr>
        <w:pStyle w:val="Heading3"/>
        <w:spacing w:line="328" w:lineRule="auto" w:before="34"/>
        <w:ind w:left="778" w:right="687"/>
        <w:jc w:val="both"/>
      </w:pPr>
      <w:r>
        <w:rPr>
          <w:spacing w:val="-4"/>
        </w:rPr>
        <w:t>理完全独立，建立了独立的劳动、人事及工资管理制度，全体员工与</w:t>
      </w:r>
      <w:r>
        <w:rPr>
          <w:spacing w:val="-113"/>
        </w:rPr>
        <w:t> </w:t>
      </w:r>
      <w:r>
        <w:rPr>
          <w:spacing w:val="-113"/>
        </w:rPr>
      </w:r>
      <w:r>
        <w:rPr>
          <w:spacing w:val="-4"/>
        </w:rPr>
        <w:t>公司签订了劳动合同，并制定了员工管理考核的相关规章制度。公司</w:t>
      </w:r>
      <w:r>
        <w:rPr>
          <w:spacing w:val="-114"/>
        </w:rPr>
        <w:t> </w:t>
      </w:r>
      <w:r>
        <w:rPr>
          <w:spacing w:val="-114"/>
        </w:rPr>
      </w:r>
      <w:r>
        <w:rPr>
          <w:spacing w:val="-4"/>
        </w:rPr>
        <w:t>总经理、副总经理、董事会秘书、财务总监等高级管理人员都在本公</w:t>
      </w:r>
      <w:r>
        <w:rPr>
          <w:spacing w:val="-113"/>
        </w:rPr>
        <w:t> </w:t>
      </w:r>
      <w:r>
        <w:rPr>
          <w:spacing w:val="-113"/>
        </w:rPr>
      </w:r>
      <w:r>
        <w:rPr>
          <w:spacing w:val="-1"/>
        </w:rPr>
        <w:t>司领取薪酬；公司董事、监事及高级管理人员均通过合法程序选聘。</w:t>
      </w:r>
    </w:p>
    <w:p>
      <w:pPr>
        <w:spacing w:line="326" w:lineRule="auto" w:before="29"/>
        <w:ind w:left="1337" w:right="0" w:hanging="560"/>
        <w:jc w:val="left"/>
        <w:rPr>
          <w:rFonts w:ascii="宋体" w:hAnsi="宋体" w:cs="宋体" w:eastAsia="宋体" w:hint="default"/>
          <w:sz w:val="28"/>
          <w:szCs w:val="28"/>
        </w:rPr>
      </w:pPr>
      <w:r>
        <w:rPr>
          <w:rFonts w:ascii="宋体" w:hAnsi="宋体" w:cs="宋体" w:eastAsia="宋体" w:hint="default"/>
          <w:b/>
          <w:bCs/>
          <w:sz w:val="28"/>
          <w:szCs w:val="28"/>
        </w:rPr>
        <w:t>（三）机构独立情况</w:t>
      </w:r>
      <w:r>
        <w:rPr>
          <w:rFonts w:ascii="宋体" w:hAnsi="宋体" w:cs="宋体" w:eastAsia="宋体" w:hint="default"/>
          <w:b/>
          <w:bCs/>
          <w:w w:val="99"/>
          <w:sz w:val="28"/>
          <w:szCs w:val="28"/>
        </w:rPr>
        <w:t> </w:t>
      </w:r>
      <w:r>
        <w:rPr>
          <w:rFonts w:ascii="宋体" w:hAnsi="宋体" w:cs="宋体" w:eastAsia="宋体" w:hint="default"/>
          <w:spacing w:val="-9"/>
          <w:sz w:val="28"/>
          <w:szCs w:val="28"/>
        </w:rPr>
        <w:t>本公司依照《公司法》和《公司章程》的规定，设置了股东大会、</w:t>
      </w:r>
    </w:p>
    <w:p>
      <w:pPr>
        <w:pStyle w:val="Heading3"/>
        <w:spacing w:line="240" w:lineRule="auto" w:before="34"/>
        <w:ind w:left="778" w:right="0"/>
        <w:jc w:val="left"/>
      </w:pPr>
      <w:r>
        <w:rPr>
          <w:spacing w:val="-4"/>
        </w:rPr>
        <w:t>董事会、监事会等决策及监督机构，建立了符合自身经营特点、独立</w:t>
      </w:r>
    </w:p>
    <w:p>
      <w:pPr>
        <w:spacing w:after="0" w:line="240" w:lineRule="auto"/>
        <w:jc w:val="left"/>
        <w:sectPr>
          <w:pgSz w:w="11910" w:h="16840"/>
          <w:pgMar w:header="624" w:footer="1045" w:top="1240" w:bottom="1240" w:left="1020" w:right="1020"/>
        </w:sectPr>
      </w:pPr>
    </w:p>
    <w:p>
      <w:pPr>
        <w:pStyle w:val="Heading3"/>
        <w:spacing w:line="328" w:lineRule="auto" w:before="73"/>
        <w:ind w:right="106"/>
        <w:jc w:val="left"/>
      </w:pPr>
      <w:r>
        <w:rPr>
          <w:spacing w:val="-4"/>
        </w:rPr>
        <w:t>完整的法人治理结构、组织结构，各机构依照《公司章程》和各项规</w:t>
      </w:r>
      <w:r>
        <w:rPr>
          <w:spacing w:val="-113"/>
        </w:rPr>
        <w:t> </w:t>
      </w:r>
      <w:r>
        <w:rPr>
          <w:spacing w:val="-113"/>
        </w:rPr>
      </w:r>
      <w:r>
        <w:rPr/>
        <w:t>章制度行使职权。本公司生产经营场所与股东及其他关联方完全分</w:t>
      </w:r>
      <w:r>
        <w:rPr>
          <w:w w:val="100"/>
        </w:rPr>
        <w:t> </w:t>
      </w:r>
      <w:r>
        <w:rPr/>
        <w:t>开，不存在混合经营、联合办公的情况。</w:t>
      </w:r>
    </w:p>
    <w:p>
      <w:pPr>
        <w:spacing w:line="328" w:lineRule="auto" w:before="29"/>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（四）资产完整情况</w:t>
      </w:r>
      <w:r>
        <w:rPr>
          <w:rFonts w:ascii="宋体" w:hAnsi="宋体" w:cs="宋体" w:eastAsia="宋体" w:hint="default"/>
          <w:b/>
          <w:bCs/>
          <w:w w:val="99"/>
          <w:sz w:val="28"/>
          <w:szCs w:val="28"/>
        </w:rPr>
        <w:t> </w:t>
      </w:r>
      <w:r>
        <w:rPr>
          <w:rFonts w:ascii="宋体" w:hAnsi="宋体" w:cs="宋体" w:eastAsia="宋体" w:hint="default"/>
          <w:spacing w:val="-1"/>
          <w:sz w:val="28"/>
          <w:szCs w:val="28"/>
        </w:rPr>
        <w:t>公司合法拥有与经营有关的资产，拥有独立完整的研发、供应、</w:t>
      </w:r>
    </w:p>
    <w:p>
      <w:pPr>
        <w:pStyle w:val="Heading3"/>
        <w:spacing w:line="326" w:lineRule="auto"/>
        <w:ind w:right="106"/>
        <w:jc w:val="left"/>
      </w:pPr>
      <w:r>
        <w:rPr>
          <w:spacing w:val="-4"/>
        </w:rPr>
        <w:t>生产、销售系统及配套设施。本公司资产产权不存在法律纠纷，不存</w:t>
      </w:r>
      <w:r>
        <w:rPr>
          <w:spacing w:val="-113"/>
        </w:rPr>
        <w:t> </w:t>
      </w:r>
      <w:r>
        <w:rPr>
          <w:spacing w:val="-113"/>
        </w:rPr>
      </w:r>
      <w:r>
        <w:rPr/>
        <w:t>在被控股股东或实际控制人及其关联方控制和占用的情况。</w:t>
      </w:r>
    </w:p>
    <w:p>
      <w:pPr>
        <w:spacing w:line="326" w:lineRule="auto" w:before="34"/>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（五）财务独立情况</w:t>
      </w:r>
      <w:r>
        <w:rPr>
          <w:rFonts w:ascii="宋体" w:hAnsi="宋体" w:cs="宋体" w:eastAsia="宋体" w:hint="default"/>
          <w:b/>
          <w:bCs/>
          <w:w w:val="99"/>
          <w:sz w:val="28"/>
          <w:szCs w:val="28"/>
        </w:rPr>
        <w:t> </w:t>
      </w:r>
      <w:r>
        <w:rPr>
          <w:rFonts w:ascii="宋体" w:hAnsi="宋体" w:cs="宋体" w:eastAsia="宋体" w:hint="default"/>
          <w:spacing w:val="-5"/>
          <w:sz w:val="28"/>
          <w:szCs w:val="28"/>
        </w:rPr>
        <w:t>公司独立核算、自负盈亏，设置了独立的财务部门。根据现行法</w:t>
      </w:r>
    </w:p>
    <w:p>
      <w:pPr>
        <w:pStyle w:val="Heading3"/>
        <w:spacing w:line="326" w:lineRule="auto" w:before="32"/>
        <w:ind w:right="106"/>
        <w:jc w:val="left"/>
      </w:pPr>
      <w:r>
        <w:rPr>
          <w:spacing w:val="-4"/>
        </w:rPr>
        <w:t>律法规，结合公司实际，本公司制定了财务管理制度，建立了独立完</w:t>
      </w:r>
      <w:r>
        <w:rPr>
          <w:spacing w:val="-113"/>
        </w:rPr>
        <w:t> </w:t>
      </w:r>
      <w:r>
        <w:rPr>
          <w:spacing w:val="-113"/>
        </w:rPr>
      </w:r>
      <w:r>
        <w:rPr>
          <w:spacing w:val="-4"/>
        </w:rPr>
        <w:t>善的财务核算体系。公司设立了独立的财务部门作为公司的财务管理</w:t>
      </w:r>
      <w:r>
        <w:rPr>
          <w:spacing w:val="-115"/>
        </w:rPr>
        <w:t> </w:t>
      </w:r>
      <w:r>
        <w:rPr>
          <w:spacing w:val="-115"/>
        </w:rPr>
      </w:r>
      <w:r>
        <w:rPr>
          <w:spacing w:val="-4"/>
        </w:rPr>
        <w:t>机构，建立了独立的会计核算体系和财务管理制度，并根据上市公司</w:t>
      </w:r>
      <w:r>
        <w:rPr>
          <w:spacing w:val="-113"/>
        </w:rPr>
        <w:t> </w:t>
      </w:r>
      <w:r>
        <w:rPr>
          <w:spacing w:val="-113"/>
        </w:rPr>
      </w:r>
      <w:r>
        <w:rPr>
          <w:spacing w:val="-4"/>
        </w:rPr>
        <w:t>有关会计制度的要求，独立进行财务决策；同时对子公司的财务实行</w:t>
      </w:r>
      <w:r>
        <w:rPr>
          <w:spacing w:val="-113"/>
        </w:rPr>
        <w:t> </w:t>
      </w:r>
      <w:r>
        <w:rPr>
          <w:spacing w:val="-113"/>
        </w:rPr>
      </w:r>
      <w:r>
        <w:rPr>
          <w:spacing w:val="-9"/>
          <w:w w:val="100"/>
        </w:rPr>
        <w:t>垂直直线管理。本公司财务负责人、财务会计人员均系专职工作人员，</w:t>
      </w:r>
      <w:r>
        <w:rPr>
          <w:spacing w:val="-118"/>
          <w:w w:val="100"/>
        </w:rPr>
        <w:t> </w:t>
      </w:r>
      <w:r>
        <w:rPr>
          <w:spacing w:val="-118"/>
          <w:w w:val="100"/>
        </w:rPr>
      </w:r>
      <w:r>
        <w:rPr>
          <w:spacing w:val="-4"/>
        </w:rPr>
        <w:t>不存在在控股股东及其控制的其他企业兼职的情况。公司在银行独立</w:t>
      </w:r>
      <w:r>
        <w:rPr>
          <w:spacing w:val="-115"/>
        </w:rPr>
        <w:t> </w:t>
      </w:r>
      <w:r>
        <w:rPr>
          <w:spacing w:val="-115"/>
        </w:rPr>
      </w:r>
      <w:r>
        <w:rPr/>
        <w:t>开立基本存款账户，独立纳税。</w:t>
      </w:r>
    </w:p>
    <w:p>
      <w:pPr>
        <w:spacing w:line="326" w:lineRule="auto" w:before="34"/>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四、公司内部控制的建立和健全情况</w:t>
      </w:r>
      <w:r>
        <w:rPr>
          <w:rFonts w:ascii="宋体" w:hAnsi="宋体" w:cs="宋体" w:eastAsia="宋体" w:hint="default"/>
          <w:b/>
          <w:bCs/>
          <w:w w:val="99"/>
          <w:sz w:val="28"/>
          <w:szCs w:val="28"/>
        </w:rPr>
        <w:t> </w:t>
      </w:r>
      <w:r>
        <w:rPr>
          <w:rFonts w:ascii="宋体" w:hAnsi="宋体" w:cs="宋体" w:eastAsia="宋体" w:hint="default"/>
          <w:spacing w:val="-1"/>
          <w:sz w:val="28"/>
          <w:szCs w:val="28"/>
        </w:rPr>
        <w:t>公司根据《公司法》、《证券法》、《企业内部控制基本规范》</w:t>
      </w:r>
    </w:p>
    <w:p>
      <w:pPr>
        <w:pStyle w:val="Heading3"/>
        <w:spacing w:line="328" w:lineRule="auto" w:before="32"/>
        <w:ind w:right="253"/>
        <w:jc w:val="both"/>
      </w:pPr>
      <w:r>
        <w:rPr>
          <w:spacing w:val="-4"/>
        </w:rPr>
        <w:t>等有关法律、法规和规章制度，制定了符合公司实际情况的内部控制</w:t>
      </w:r>
      <w:r>
        <w:rPr>
          <w:spacing w:val="-112"/>
        </w:rPr>
        <w:t> </w:t>
      </w:r>
      <w:r>
        <w:rPr>
          <w:spacing w:val="-112"/>
        </w:rPr>
      </w:r>
      <w:r>
        <w:rPr>
          <w:spacing w:val="-4"/>
        </w:rPr>
        <w:t>制度，有效地保证了董事会、监事会和股东大会等机构的合法运作和</w:t>
      </w:r>
      <w:r>
        <w:rPr>
          <w:spacing w:val="-113"/>
        </w:rPr>
        <w:t> </w:t>
      </w:r>
      <w:r>
        <w:rPr>
          <w:spacing w:val="-113"/>
        </w:rPr>
      </w:r>
      <w:r>
        <w:rPr/>
        <w:t>科学决策，建立了有效地激励约束机制。</w:t>
      </w:r>
    </w:p>
    <w:p>
      <w:pPr>
        <w:spacing w:line="328" w:lineRule="auto" w:before="29"/>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（一）董事会对内部控制的自我评价</w:t>
      </w:r>
      <w:r>
        <w:rPr>
          <w:rFonts w:ascii="宋体" w:hAnsi="宋体" w:cs="宋体" w:eastAsia="宋体" w:hint="default"/>
          <w:b/>
          <w:bCs/>
          <w:w w:val="99"/>
          <w:sz w:val="28"/>
          <w:szCs w:val="28"/>
        </w:rPr>
        <w:t> </w:t>
      </w:r>
      <w:r>
        <w:rPr>
          <w:rFonts w:ascii="宋体" w:hAnsi="宋体" w:cs="宋体" w:eastAsia="宋体" w:hint="default"/>
          <w:spacing w:val="-5"/>
          <w:sz w:val="28"/>
          <w:szCs w:val="28"/>
        </w:rPr>
        <w:t>董事会对公司内部控制情况进行了认真的自查和分析，认为：公</w:t>
      </w:r>
    </w:p>
    <w:p>
      <w:pPr>
        <w:pStyle w:val="Heading3"/>
        <w:spacing w:line="328" w:lineRule="auto"/>
        <w:ind w:right="116"/>
        <w:jc w:val="both"/>
      </w:pPr>
      <w:r>
        <w:rPr>
          <w:spacing w:val="-4"/>
        </w:rPr>
        <w:t>司已根据实际情况和管理需要，建立健全了完整、合理的内部控制制</w:t>
      </w:r>
      <w:r>
        <w:rPr>
          <w:spacing w:val="-112"/>
        </w:rPr>
        <w:t> </w:t>
      </w:r>
      <w:r>
        <w:rPr>
          <w:spacing w:val="-112"/>
        </w:rPr>
      </w:r>
      <w:r>
        <w:rPr>
          <w:spacing w:val="-4"/>
        </w:rPr>
        <w:t>度，所建立的内部控制制度贯穿于公司经营活动的各层面和各环节并</w:t>
      </w:r>
      <w:r>
        <w:rPr>
          <w:spacing w:val="-115"/>
        </w:rPr>
        <w:t> </w:t>
      </w:r>
      <w:r>
        <w:rPr>
          <w:spacing w:val="-115"/>
        </w:rPr>
      </w:r>
      <w:r>
        <w:rPr>
          <w:spacing w:val="-8"/>
        </w:rPr>
        <w:t>有效实施。截至</w:t>
      </w:r>
      <w:r>
        <w:rPr>
          <w:rFonts w:ascii="宋体" w:hAnsi="宋体" w:cs="宋体" w:eastAsia="宋体" w:hint="default"/>
          <w:spacing w:val="-8"/>
        </w:rPr>
        <w:t>2010</w:t>
      </w:r>
      <w:r>
        <w:rPr>
          <w:spacing w:val="-8"/>
        </w:rPr>
        <w:t>年</w:t>
      </w:r>
      <w:r>
        <w:rPr>
          <w:rFonts w:ascii="宋体" w:hAnsi="宋体" w:cs="宋体" w:eastAsia="宋体" w:hint="default"/>
          <w:spacing w:val="-8"/>
        </w:rPr>
        <w:t>12</w:t>
      </w:r>
      <w:r>
        <w:rPr>
          <w:spacing w:val="-8"/>
        </w:rPr>
        <w:t>月</w:t>
      </w:r>
      <w:r>
        <w:rPr>
          <w:rFonts w:ascii="宋体" w:hAnsi="宋体" w:cs="宋体" w:eastAsia="宋体" w:hint="default"/>
          <w:spacing w:val="-8"/>
        </w:rPr>
        <w:t>31</w:t>
      </w:r>
      <w:r>
        <w:rPr>
          <w:spacing w:val="-8"/>
        </w:rPr>
        <w:t>日，公司按照《企业内部控制基本规范》</w:t>
      </w:r>
    </w:p>
    <w:p>
      <w:pPr>
        <w:pStyle w:val="Heading3"/>
        <w:spacing w:line="326" w:lineRule="auto"/>
        <w:ind w:right="106"/>
        <w:jc w:val="left"/>
      </w:pPr>
      <w:r>
        <w:rPr>
          <w:spacing w:val="-2"/>
        </w:rPr>
        <w:t>（财会</w:t>
      </w:r>
      <w:r>
        <w:rPr>
          <w:rFonts w:ascii="宋体" w:hAnsi="宋体" w:cs="宋体" w:eastAsia="宋体" w:hint="default"/>
          <w:spacing w:val="-2"/>
        </w:rPr>
        <w:t>[2008]7</w:t>
      </w:r>
      <w:r>
        <w:rPr>
          <w:spacing w:val="-2"/>
        </w:rPr>
        <w:t>号）在所有重大方面保持了与财务报表相关的有效的</w:t>
      </w:r>
      <w:r>
        <w:rPr>
          <w:spacing w:val="-85"/>
        </w:rPr>
        <w:t> </w:t>
      </w:r>
      <w:r>
        <w:rPr>
          <w:spacing w:val="-85"/>
        </w:rPr>
      </w:r>
      <w:r>
        <w:rPr/>
        <w:t>内部控制。</w:t>
      </w:r>
    </w:p>
    <w:p>
      <w:pPr>
        <w:spacing w:after="0" w:line="326" w:lineRule="auto"/>
        <w:jc w:val="left"/>
        <w:sectPr>
          <w:pgSz w:w="11910" w:h="16840"/>
          <w:pgMar w:header="624" w:footer="1045" w:top="1240" w:bottom="1240" w:left="1660" w:right="1540"/>
        </w:sectPr>
      </w:pPr>
    </w:p>
    <w:p>
      <w:pPr>
        <w:pStyle w:val="Heading3"/>
        <w:spacing w:line="328" w:lineRule="auto" w:before="73"/>
        <w:ind w:right="0" w:firstLine="559"/>
        <w:jc w:val="left"/>
      </w:pPr>
      <w:r>
        <w:rPr>
          <w:spacing w:val="-1"/>
        </w:rPr>
        <w:t>公司《关于内部控制有效性的自我评价报告》刊登在</w:t>
      </w:r>
      <w:r>
        <w:rPr>
          <w:rFonts w:ascii="宋体" w:hAnsi="宋体" w:cs="宋体" w:eastAsia="宋体" w:hint="default"/>
          <w:spacing w:val="-1"/>
        </w:rPr>
        <w:t>2010</w:t>
      </w:r>
      <w:r>
        <w:rPr>
          <w:spacing w:val="-1"/>
        </w:rPr>
        <w:t>年</w:t>
      </w:r>
      <w:r>
        <w:rPr>
          <w:rFonts w:ascii="宋体" w:hAnsi="宋体" w:cs="宋体" w:eastAsia="宋体" w:hint="default"/>
          <w:spacing w:val="-1"/>
        </w:rPr>
        <w:t>3</w:t>
      </w:r>
      <w:r>
        <w:rPr>
          <w:spacing w:val="-1"/>
        </w:rPr>
        <w:t>月</w:t>
      </w:r>
      <w:r>
        <w:rPr>
          <w:w w:val="100"/>
        </w:rPr>
        <w:t> </w:t>
      </w:r>
      <w:r>
        <w:rPr>
          <w:rFonts w:ascii="宋体" w:hAnsi="宋体" w:cs="宋体" w:eastAsia="宋体" w:hint="default"/>
        </w:rPr>
        <w:t>10</w:t>
      </w:r>
      <w:r>
        <w:rPr/>
        <w:t>日《证券时报》、《中国证券报》及巨潮资讯网</w:t>
      </w:r>
      <w:r>
        <w:rPr>
          <w:w w:val="100"/>
        </w:rPr>
        <w:t> </w:t>
      </w:r>
      <w:hyperlink r:id="rId12">
        <w:r>
          <w:rPr>
            <w:rFonts w:ascii="宋体" w:hAnsi="宋体" w:cs="宋体" w:eastAsia="宋体" w:hint="default"/>
          </w:rPr>
          <w:t>http://www.cninfo.com.cn</w:t>
        </w:r>
      </w:hyperlink>
      <w:r>
        <w:rPr/>
        <w:t>上。</w:t>
      </w:r>
    </w:p>
    <w:p>
      <w:pPr>
        <w:spacing w:line="328" w:lineRule="auto" w:before="29"/>
        <w:ind w:left="697" w:right="0" w:hanging="560"/>
        <w:jc w:val="left"/>
        <w:rPr>
          <w:rFonts w:ascii="宋体" w:hAnsi="宋体" w:cs="宋体" w:eastAsia="宋体" w:hint="default"/>
          <w:sz w:val="28"/>
          <w:szCs w:val="28"/>
        </w:rPr>
      </w:pPr>
      <w:r>
        <w:rPr>
          <w:rFonts w:ascii="宋体" w:hAnsi="宋体" w:cs="宋体" w:eastAsia="宋体" w:hint="default"/>
          <w:b/>
          <w:bCs/>
          <w:sz w:val="28"/>
          <w:szCs w:val="28"/>
        </w:rPr>
        <w:t>（二）监事会的审核意见</w:t>
      </w:r>
      <w:r>
        <w:rPr>
          <w:rFonts w:ascii="宋体" w:hAnsi="宋体" w:cs="宋体" w:eastAsia="宋体" w:hint="default"/>
          <w:b/>
          <w:bCs/>
          <w:w w:val="99"/>
          <w:sz w:val="28"/>
          <w:szCs w:val="28"/>
        </w:rPr>
        <w:t> </w:t>
      </w:r>
      <w:r>
        <w:rPr>
          <w:rFonts w:ascii="宋体" w:hAnsi="宋体" w:cs="宋体" w:eastAsia="宋体" w:hint="default"/>
          <w:spacing w:val="-5"/>
          <w:sz w:val="28"/>
          <w:szCs w:val="28"/>
        </w:rPr>
        <w:t>公司已建立了较为健全的内部控制体系，制订了较为完善、合理</w:t>
      </w:r>
    </w:p>
    <w:p>
      <w:pPr>
        <w:pStyle w:val="Heading3"/>
        <w:spacing w:line="326" w:lineRule="auto"/>
        <w:ind w:right="152"/>
        <w:jc w:val="both"/>
      </w:pPr>
      <w:r>
        <w:rPr>
          <w:spacing w:val="-4"/>
        </w:rPr>
        <w:t>的内部控制制度，公司的内控制度符合国家有关法规和证券监管部门</w:t>
      </w:r>
      <w:r>
        <w:rPr>
          <w:spacing w:val="-115"/>
        </w:rPr>
        <w:t> </w:t>
      </w:r>
      <w:r>
        <w:rPr>
          <w:spacing w:val="-115"/>
        </w:rPr>
      </w:r>
      <w:r>
        <w:rPr>
          <w:spacing w:val="-4"/>
        </w:rPr>
        <w:t>的要求，各项内部控制在生产经营等公司营运的各个环节中得到了持</w:t>
      </w:r>
      <w:r>
        <w:rPr>
          <w:spacing w:val="-115"/>
        </w:rPr>
        <w:t> </w:t>
      </w:r>
      <w:r>
        <w:rPr>
          <w:spacing w:val="-115"/>
        </w:rPr>
      </w:r>
      <w:r>
        <w:rPr>
          <w:spacing w:val="-4"/>
        </w:rPr>
        <w:t>续和严格的执行。董事会出具的《关于内部控制有效性的自我评价报</w:t>
      </w:r>
      <w:r>
        <w:rPr>
          <w:spacing w:val="-112"/>
        </w:rPr>
        <w:t> </w:t>
      </w:r>
      <w:r>
        <w:rPr>
          <w:spacing w:val="-112"/>
        </w:rPr>
      </w:r>
      <w:r>
        <w:rPr/>
        <w:t>告》客观地反映了公司的内部控制状况。</w:t>
      </w:r>
    </w:p>
    <w:p>
      <w:pPr>
        <w:pStyle w:val="Heading3"/>
        <w:spacing w:line="309" w:lineRule="auto" w:before="32"/>
        <w:ind w:right="0" w:firstLine="559"/>
        <w:jc w:val="left"/>
      </w:pPr>
      <w:r>
        <w:rPr>
          <w:spacing w:val="-10"/>
          <w:w w:val="100"/>
        </w:rPr>
        <w:t>监事会决议刊登在</w:t>
      </w:r>
      <w:r>
        <w:rPr>
          <w:rFonts w:ascii="Times New Roman" w:hAnsi="Times New Roman" w:cs="Times New Roman" w:eastAsia="Times New Roman" w:hint="default"/>
          <w:spacing w:val="-10"/>
          <w:w w:val="100"/>
        </w:rPr>
        <w:t>2010</w:t>
      </w:r>
      <w:r>
        <w:rPr>
          <w:spacing w:val="-10"/>
          <w:w w:val="100"/>
        </w:rPr>
        <w:t>年</w:t>
      </w:r>
      <w:r>
        <w:rPr>
          <w:rFonts w:ascii="Times New Roman" w:hAnsi="Times New Roman" w:cs="Times New Roman" w:eastAsia="Times New Roman" w:hint="default"/>
          <w:spacing w:val="-10"/>
          <w:w w:val="100"/>
        </w:rPr>
        <w:t>3</w:t>
      </w:r>
      <w:r>
        <w:rPr>
          <w:spacing w:val="-10"/>
          <w:w w:val="100"/>
        </w:rPr>
        <w:t>月</w:t>
      </w:r>
      <w:r>
        <w:rPr>
          <w:rFonts w:ascii="Times New Roman" w:hAnsi="Times New Roman" w:cs="Times New Roman" w:eastAsia="Times New Roman" w:hint="default"/>
          <w:spacing w:val="-10"/>
          <w:w w:val="100"/>
        </w:rPr>
        <w:t>10</w:t>
      </w:r>
      <w:r>
        <w:rPr>
          <w:spacing w:val="-10"/>
          <w:w w:val="100"/>
        </w:rPr>
        <w:t>日《证券时报》、《中国证券报》</w:t>
      </w:r>
      <w:r>
        <w:rPr>
          <w:w w:val="100"/>
        </w:rPr>
        <w:t> </w:t>
      </w:r>
      <w:r>
        <w:rPr/>
        <w:t>及巨潮资讯网</w:t>
      </w:r>
      <w:r>
        <w:rPr>
          <w:spacing w:val="-30"/>
        </w:rPr>
        <w:t> </w:t>
      </w:r>
      <w:hyperlink r:id="rId20">
        <w:r>
          <w:rPr>
            <w:rFonts w:ascii="Times New Roman" w:hAnsi="Times New Roman" w:cs="Times New Roman" w:eastAsia="Times New Roman" w:hint="default"/>
          </w:rPr>
          <w:t>http://www.cninfo.com.cn</w:t>
        </w:r>
        <w:r>
          <w:rPr/>
          <w:t>上。</w:t>
        </w:r>
      </w:hyperlink>
    </w:p>
    <w:p>
      <w:pPr>
        <w:spacing w:line="326" w:lineRule="auto" w:before="21"/>
        <w:ind w:left="697" w:right="195" w:hanging="560"/>
        <w:jc w:val="left"/>
        <w:rPr>
          <w:rFonts w:ascii="宋体" w:hAnsi="宋体" w:cs="宋体" w:eastAsia="宋体" w:hint="default"/>
          <w:sz w:val="28"/>
          <w:szCs w:val="28"/>
        </w:rPr>
      </w:pPr>
      <w:r>
        <w:rPr>
          <w:rFonts w:ascii="宋体" w:hAnsi="宋体" w:cs="宋体" w:eastAsia="宋体" w:hint="default"/>
          <w:b/>
          <w:bCs/>
          <w:sz w:val="28"/>
          <w:szCs w:val="28"/>
        </w:rPr>
        <w:t>（三）保荐机构的核查意见</w:t>
      </w:r>
      <w:r>
        <w:rPr>
          <w:rFonts w:ascii="宋体" w:hAnsi="宋体" w:cs="宋体" w:eastAsia="宋体" w:hint="default"/>
          <w:b/>
          <w:bCs/>
          <w:w w:val="99"/>
          <w:sz w:val="28"/>
          <w:szCs w:val="28"/>
        </w:rPr>
        <w:t> </w:t>
      </w:r>
      <w:r>
        <w:rPr>
          <w:rFonts w:ascii="宋体" w:hAnsi="宋体" w:cs="宋体" w:eastAsia="宋体" w:hint="default"/>
          <w:spacing w:val="-6"/>
          <w:w w:val="100"/>
          <w:sz w:val="28"/>
          <w:szCs w:val="28"/>
        </w:rPr>
        <w:t>中德证券有限责任公司（以下简称“中德证券”）对公司《关于</w:t>
      </w:r>
    </w:p>
    <w:p>
      <w:pPr>
        <w:pStyle w:val="Heading3"/>
        <w:spacing w:line="324" w:lineRule="auto" w:before="34"/>
        <w:ind w:right="152"/>
        <w:jc w:val="both"/>
      </w:pPr>
      <w:r>
        <w:rPr>
          <w:spacing w:val="-4"/>
        </w:rPr>
        <w:t>内部控制有效性的自我评价报告》出具了核查意见，认为：辉煌科技</w:t>
      </w:r>
      <w:r>
        <w:rPr>
          <w:spacing w:val="-112"/>
        </w:rPr>
        <w:t> </w:t>
      </w:r>
      <w:r>
        <w:rPr>
          <w:spacing w:val="-112"/>
        </w:rPr>
      </w:r>
      <w:r>
        <w:rPr>
          <w:spacing w:val="-4"/>
        </w:rPr>
        <w:t>现有的内部控制制度符合我国有关法规和证券监管部门的要求，在所</w:t>
      </w:r>
      <w:r>
        <w:rPr>
          <w:spacing w:val="-115"/>
        </w:rPr>
        <w:t> </w:t>
      </w:r>
      <w:r>
        <w:rPr>
          <w:spacing w:val="-115"/>
        </w:rPr>
      </w:r>
      <w:r>
        <w:rPr>
          <w:spacing w:val="-4"/>
        </w:rPr>
        <w:t>有重大方面保持了与公司业务及管理相关的有效的内部控制；辉煌科</w:t>
      </w:r>
      <w:r>
        <w:rPr>
          <w:spacing w:val="-115"/>
        </w:rPr>
        <w:t> </w:t>
      </w:r>
      <w:r>
        <w:rPr>
          <w:spacing w:val="-115"/>
        </w:rPr>
      </w:r>
      <w:r>
        <w:rPr>
          <w:spacing w:val="-4"/>
        </w:rPr>
        <w:t>技的</w:t>
      </w:r>
      <w:r>
        <w:rPr>
          <w:rFonts w:ascii="Times New Roman" w:hAnsi="Times New Roman" w:cs="Times New Roman" w:eastAsia="Times New Roman" w:hint="default"/>
          <w:spacing w:val="-4"/>
        </w:rPr>
        <w:t>2010</w:t>
      </w:r>
      <w:r>
        <w:rPr>
          <w:spacing w:val="-4"/>
        </w:rPr>
        <w:t>年度《关于内部控制有效性的自我评价报告》如实反映了其</w:t>
      </w:r>
      <w:r>
        <w:rPr>
          <w:spacing w:val="-107"/>
        </w:rPr>
        <w:t> </w:t>
      </w:r>
      <w:r>
        <w:rPr>
          <w:spacing w:val="-107"/>
        </w:rPr>
      </w:r>
      <w:r>
        <w:rPr/>
        <w:t>内部控制制度的建设及运行情况。</w:t>
      </w:r>
    </w:p>
    <w:p>
      <w:pPr>
        <w:pStyle w:val="Heading3"/>
        <w:spacing w:line="319" w:lineRule="auto" w:before="34"/>
        <w:ind w:right="0" w:firstLine="559"/>
        <w:jc w:val="left"/>
      </w:pPr>
      <w:r>
        <w:rPr>
          <w:spacing w:val="-5"/>
        </w:rPr>
        <w:t>中德证券有限责任公司关于公司《关于内部控制有效性的自我评</w:t>
      </w:r>
      <w:r>
        <w:rPr>
          <w:w w:val="100"/>
        </w:rPr>
        <w:t> </w:t>
      </w:r>
      <w:r>
        <w:rPr/>
        <w:t>价报告》的核查意见刊登在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日巨潮资讯网</w:t>
      </w:r>
      <w:r>
        <w:rPr>
          <w:w w:val="100"/>
        </w:rPr>
        <w:t> </w:t>
      </w:r>
      <w:hyperlink r:id="rId20">
        <w:r>
          <w:rPr>
            <w:rFonts w:ascii="Times New Roman" w:hAnsi="Times New Roman" w:cs="Times New Roman" w:eastAsia="Times New Roman" w:hint="default"/>
          </w:rPr>
          <w:t>http://www.cninfo.com.cn</w:t>
        </w:r>
        <w:r>
          <w:rPr/>
          <w:t>上。</w:t>
        </w:r>
      </w:hyperlink>
    </w:p>
    <w:p>
      <w:pPr>
        <w:spacing w:line="328" w:lineRule="auto" w:before="9"/>
        <w:ind w:left="697" w:right="0" w:hanging="560"/>
        <w:jc w:val="left"/>
        <w:rPr>
          <w:rFonts w:ascii="宋体" w:hAnsi="宋体" w:cs="宋体" w:eastAsia="宋体" w:hint="default"/>
          <w:sz w:val="28"/>
          <w:szCs w:val="28"/>
        </w:rPr>
      </w:pPr>
      <w:r>
        <w:rPr>
          <w:rFonts w:ascii="宋体" w:hAnsi="宋体" w:cs="宋体" w:eastAsia="宋体" w:hint="default"/>
          <w:b/>
          <w:bCs/>
          <w:sz w:val="28"/>
          <w:szCs w:val="28"/>
        </w:rPr>
        <w:t>（四）会计师的审计意见</w:t>
      </w:r>
      <w:r>
        <w:rPr>
          <w:rFonts w:ascii="宋体" w:hAnsi="宋体" w:cs="宋体" w:eastAsia="宋体" w:hint="default"/>
          <w:b/>
          <w:bCs/>
          <w:w w:val="99"/>
          <w:sz w:val="28"/>
          <w:szCs w:val="28"/>
        </w:rPr>
        <w:t> </w:t>
      </w:r>
      <w:r>
        <w:rPr>
          <w:rFonts w:ascii="宋体" w:hAnsi="宋体" w:cs="宋体" w:eastAsia="宋体" w:hint="default"/>
          <w:spacing w:val="-4"/>
          <w:sz w:val="28"/>
          <w:szCs w:val="28"/>
        </w:rPr>
        <w:t>天健正信会计师事务所有限公司出具了天健正信审（</w:t>
      </w:r>
      <w:r>
        <w:rPr>
          <w:rFonts w:ascii="Times New Roman" w:hAnsi="Times New Roman" w:cs="Times New Roman" w:eastAsia="Times New Roman" w:hint="default"/>
          <w:spacing w:val="-4"/>
          <w:sz w:val="28"/>
          <w:szCs w:val="28"/>
        </w:rPr>
        <w:t>2011</w:t>
      </w:r>
      <w:r>
        <w:rPr>
          <w:rFonts w:ascii="宋体" w:hAnsi="宋体" w:cs="宋体" w:eastAsia="宋体" w:hint="default"/>
          <w:spacing w:val="-4"/>
          <w:sz w:val="28"/>
          <w:szCs w:val="28"/>
        </w:rPr>
        <w:t>）专字</w:t>
      </w:r>
    </w:p>
    <w:p>
      <w:pPr>
        <w:pStyle w:val="Heading3"/>
        <w:spacing w:line="309" w:lineRule="auto" w:before="0"/>
        <w:ind w:right="154"/>
        <w:jc w:val="both"/>
      </w:pPr>
      <w:r>
        <w:rPr>
          <w:spacing w:val="-6"/>
          <w:w w:val="100"/>
        </w:rPr>
        <w:t>第</w:t>
      </w:r>
      <w:r>
        <w:rPr>
          <w:rFonts w:ascii="Times New Roman" w:hAnsi="Times New Roman" w:cs="Times New Roman" w:eastAsia="Times New Roman" w:hint="default"/>
          <w:spacing w:val="-6"/>
          <w:w w:val="100"/>
        </w:rPr>
        <w:t>220014</w:t>
      </w:r>
      <w:r>
        <w:rPr>
          <w:spacing w:val="-6"/>
          <w:w w:val="100"/>
        </w:rPr>
        <w:t>号《内部控制审计报告》，认为辉煌科技按照《企业内部控</w:t>
      </w:r>
      <w:r>
        <w:rPr>
          <w:spacing w:val="-117"/>
          <w:w w:val="100"/>
        </w:rPr>
        <w:t> </w:t>
      </w:r>
      <w:r>
        <w:rPr>
          <w:spacing w:val="-117"/>
          <w:w w:val="100"/>
        </w:rPr>
      </w:r>
      <w:r>
        <w:rPr>
          <w:spacing w:val="-5"/>
          <w:w w:val="100"/>
        </w:rPr>
        <w:t>制基本规范》（财会</w:t>
      </w:r>
      <w:r>
        <w:rPr>
          <w:rFonts w:ascii="Times New Roman" w:hAnsi="Times New Roman" w:cs="Times New Roman" w:eastAsia="Times New Roman" w:hint="default"/>
          <w:spacing w:val="-5"/>
          <w:w w:val="100"/>
        </w:rPr>
        <w:t>[2008]7</w:t>
      </w:r>
      <w:r>
        <w:rPr>
          <w:spacing w:val="-5"/>
          <w:w w:val="100"/>
        </w:rPr>
        <w:t>号）于截至</w:t>
      </w:r>
      <w:r>
        <w:rPr>
          <w:rFonts w:ascii="Times New Roman" w:hAnsi="Times New Roman" w:cs="Times New Roman" w:eastAsia="Times New Roman" w:hint="default"/>
          <w:spacing w:val="-5"/>
          <w:w w:val="100"/>
        </w:rPr>
        <w:t>2010</w:t>
      </w:r>
      <w:r>
        <w:rPr>
          <w:spacing w:val="-5"/>
          <w:w w:val="100"/>
        </w:rPr>
        <w:t>年</w:t>
      </w:r>
      <w:r>
        <w:rPr>
          <w:rFonts w:ascii="Times New Roman" w:hAnsi="Times New Roman" w:cs="Times New Roman" w:eastAsia="Times New Roman" w:hint="default"/>
          <w:spacing w:val="-5"/>
          <w:w w:val="100"/>
        </w:rPr>
        <w:t>12</w:t>
      </w:r>
      <w:r>
        <w:rPr>
          <w:spacing w:val="-5"/>
          <w:w w:val="100"/>
        </w:rPr>
        <w:t>月</w:t>
      </w:r>
      <w:r>
        <w:rPr>
          <w:rFonts w:ascii="Times New Roman" w:hAnsi="Times New Roman" w:cs="Times New Roman" w:eastAsia="Times New Roman" w:hint="default"/>
          <w:spacing w:val="-5"/>
          <w:w w:val="100"/>
        </w:rPr>
        <w:t>31</w:t>
      </w:r>
      <w:r>
        <w:rPr>
          <w:spacing w:val="-5"/>
          <w:w w:val="100"/>
        </w:rPr>
        <w:t>日止在所有重大</w:t>
      </w:r>
      <w:r>
        <w:rPr>
          <w:spacing w:val="-122"/>
          <w:w w:val="100"/>
        </w:rPr>
        <w:t> </w:t>
      </w:r>
      <w:r>
        <w:rPr>
          <w:spacing w:val="-122"/>
          <w:w w:val="100"/>
        </w:rPr>
      </w:r>
      <w:r>
        <w:rPr/>
        <w:t>方面保持了与财务报表相关的有效的内部控制。</w:t>
      </w:r>
    </w:p>
    <w:p>
      <w:pPr>
        <w:pStyle w:val="Heading3"/>
        <w:spacing w:line="326" w:lineRule="auto" w:before="51"/>
        <w:ind w:right="0" w:firstLine="559"/>
        <w:jc w:val="left"/>
      </w:pPr>
      <w:r>
        <w:rPr>
          <w:spacing w:val="-1"/>
        </w:rPr>
        <w:t>天健正信会计师事务所有限公司关于公司的《内部控制审计报</w:t>
      </w:r>
      <w:r>
        <w:rPr>
          <w:w w:val="100"/>
        </w:rPr>
        <w:t> </w:t>
      </w:r>
      <w:r>
        <w:rPr/>
        <w:t>告》全文详细内容见巨潮资讯网</w:t>
      </w:r>
      <w:hyperlink r:id="rId12">
        <w:r>
          <w:rPr>
            <w:rFonts w:ascii="Times New Roman" w:hAnsi="Times New Roman" w:cs="Times New Roman" w:eastAsia="Times New Roman" w:hint="default"/>
          </w:rPr>
          <w:t>http://www.cninfo.com.cn</w:t>
        </w:r>
      </w:hyperlink>
      <w:r>
        <w:rPr/>
        <w:t>。</w:t>
      </w:r>
    </w:p>
    <w:p>
      <w:pPr>
        <w:spacing w:after="0" w:line="326" w:lineRule="auto"/>
        <w:jc w:val="left"/>
        <w:sectPr>
          <w:pgSz w:w="11910" w:h="16840"/>
          <w:pgMar w:header="624" w:footer="1045" w:top="1240" w:bottom="1240" w:left="1660" w:right="1640"/>
        </w:sectPr>
      </w:pPr>
    </w:p>
    <w:p>
      <w:pPr>
        <w:spacing w:line="328" w:lineRule="auto" w:before="73"/>
        <w:ind w:left="1257" w:right="0" w:hanging="560"/>
        <w:jc w:val="left"/>
        <w:rPr>
          <w:rFonts w:ascii="宋体" w:hAnsi="宋体" w:cs="宋体" w:eastAsia="宋体" w:hint="default"/>
          <w:sz w:val="28"/>
          <w:szCs w:val="28"/>
        </w:rPr>
      </w:pPr>
      <w:r>
        <w:rPr>
          <w:rFonts w:ascii="宋体" w:hAnsi="宋体" w:cs="宋体" w:eastAsia="宋体" w:hint="default"/>
          <w:b/>
          <w:bCs/>
          <w:sz w:val="28"/>
          <w:szCs w:val="28"/>
        </w:rPr>
        <w:t>（五）公司对高级管理人员的考评及激励机制</w:t>
      </w:r>
      <w:r>
        <w:rPr>
          <w:rFonts w:ascii="宋体" w:hAnsi="宋体" w:cs="宋体" w:eastAsia="宋体" w:hint="default"/>
          <w:b/>
          <w:bCs/>
          <w:w w:val="99"/>
          <w:sz w:val="28"/>
          <w:szCs w:val="28"/>
        </w:rPr>
        <w:t> </w:t>
      </w:r>
      <w:r>
        <w:rPr>
          <w:rFonts w:ascii="宋体" w:hAnsi="宋体" w:cs="宋体" w:eastAsia="宋体" w:hint="default"/>
          <w:spacing w:val="-5"/>
          <w:sz w:val="28"/>
          <w:szCs w:val="28"/>
        </w:rPr>
        <w:t>公司建立了完善的高级管理人员绩效考评体系和薪酬制度，高级</w:t>
      </w:r>
    </w:p>
    <w:p>
      <w:pPr>
        <w:pStyle w:val="Heading3"/>
        <w:spacing w:line="328" w:lineRule="auto"/>
        <w:ind w:left="698" w:right="0"/>
        <w:jc w:val="left"/>
      </w:pPr>
      <w:r>
        <w:rPr>
          <w:spacing w:val="-4"/>
        </w:rPr>
        <w:t>管理人员的工作绩效与其收入直接挂钩。</w:t>
      </w:r>
      <w:r>
        <w:rPr>
          <w:rFonts w:ascii="宋体" w:hAnsi="宋体" w:cs="宋体" w:eastAsia="宋体" w:hint="default"/>
          <w:spacing w:val="-4"/>
        </w:rPr>
        <w:t>2010</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11</w:t>
      </w:r>
      <w:r>
        <w:rPr>
          <w:spacing w:val="-4"/>
        </w:rPr>
        <w:t>日，公司召开</w:t>
      </w:r>
      <w:r>
        <w:rPr>
          <w:spacing w:val="-100"/>
        </w:rPr>
        <w:t> </w:t>
      </w:r>
      <w:r>
        <w:rPr>
          <w:spacing w:val="-100"/>
        </w:rPr>
      </w:r>
      <w:r>
        <w:rPr>
          <w:spacing w:val="-9"/>
          <w:w w:val="100"/>
        </w:rPr>
        <w:t>第四届董事会第一次会议审议通过了《高级管理人员薪酬管理制度》，</w:t>
      </w:r>
      <w:r>
        <w:rPr>
          <w:spacing w:val="-120"/>
          <w:w w:val="100"/>
        </w:rPr>
        <w:t> </w:t>
      </w:r>
      <w:r>
        <w:rPr>
          <w:spacing w:val="-120"/>
          <w:w w:val="100"/>
        </w:rPr>
      </w:r>
      <w:r>
        <w:rPr>
          <w:spacing w:val="-4"/>
        </w:rPr>
        <w:t>制定了公司高级管理人员基本年薪加浮动奖金的薪酬管理模式。报告</w:t>
      </w:r>
      <w:r>
        <w:rPr>
          <w:spacing w:val="-115"/>
        </w:rPr>
        <w:t> </w:t>
      </w:r>
      <w:r>
        <w:rPr>
          <w:spacing w:val="-115"/>
        </w:rPr>
      </w:r>
      <w:r>
        <w:rPr>
          <w:spacing w:val="-4"/>
        </w:rPr>
        <w:t>期内，公司根据高级管理人员的职务、分工、业绩和对公司的贡献程</w:t>
      </w:r>
      <w:r>
        <w:rPr>
          <w:spacing w:val="-113"/>
        </w:rPr>
        <w:t> </w:t>
      </w:r>
      <w:r>
        <w:rPr>
          <w:spacing w:val="-113"/>
        </w:rPr>
      </w:r>
      <w:r>
        <w:rPr>
          <w:spacing w:val="-4"/>
        </w:rPr>
        <w:t>度对其进行考评。公司的高级管理人员均能认真履行工作职责，努力</w:t>
      </w:r>
      <w:r>
        <w:rPr>
          <w:spacing w:val="-113"/>
        </w:rPr>
        <w:t> </w:t>
      </w:r>
      <w:r>
        <w:rPr>
          <w:spacing w:val="-113"/>
        </w:rPr>
      </w:r>
      <w:r>
        <w:rPr/>
        <w:t>完成公司制定的各项工作目标。</w:t>
      </w:r>
    </w:p>
    <w:p>
      <w:pPr>
        <w:pStyle w:val="Heading2"/>
        <w:spacing w:line="240" w:lineRule="auto"/>
        <w:ind w:left="698" w:right="0"/>
        <w:jc w:val="left"/>
        <w:rPr>
          <w:b w:val="0"/>
          <w:bCs w:val="0"/>
        </w:rPr>
      </w:pPr>
      <w:r>
        <w:rPr/>
        <w:t>（六）公司内部审计制度的建立和执行情况</w:t>
      </w:r>
      <w:r>
        <w:rPr>
          <w:b w:val="0"/>
          <w:bCs w:val="0"/>
        </w:rPr>
      </w:r>
    </w:p>
    <w:p>
      <w:pPr>
        <w:spacing w:line="240" w:lineRule="auto" w:before="7"/>
        <w:rPr>
          <w:rFonts w:ascii="宋体" w:hAnsi="宋体" w:cs="宋体" w:eastAsia="宋体" w:hint="default"/>
          <w:b/>
          <w:bCs/>
          <w:sz w:val="4"/>
          <w:szCs w:val="4"/>
        </w:rPr>
      </w:pPr>
    </w:p>
    <w:tbl>
      <w:tblPr>
        <w:tblW w:w="0" w:type="auto"/>
        <w:jc w:val="left"/>
        <w:tblInd w:w="113" w:type="dxa"/>
        <w:tblLayout w:type="fixed"/>
        <w:tblCellMar>
          <w:top w:w="0" w:type="dxa"/>
          <w:left w:w="0" w:type="dxa"/>
          <w:bottom w:w="0" w:type="dxa"/>
          <w:right w:w="0" w:type="dxa"/>
        </w:tblCellMar>
        <w:tblLook w:val="01E0"/>
      </w:tblPr>
      <w:tblGrid>
        <w:gridCol w:w="5571"/>
        <w:gridCol w:w="324"/>
        <w:gridCol w:w="989"/>
        <w:gridCol w:w="2600"/>
      </w:tblGrid>
      <w:tr>
        <w:trPr>
          <w:trHeight w:val="142" w:hRule="exact"/>
        </w:trPr>
        <w:tc>
          <w:tcPr>
            <w:tcW w:w="5571"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3"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2600" w:type="dxa"/>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pacing w:val="-4"/>
                <w:sz w:val="21"/>
                <w:szCs w:val="21"/>
              </w:rPr>
              <w:t>备注</w:t>
            </w:r>
            <w:r>
              <w:rPr>
                <w:rFonts w:ascii="Times New Roman" w:hAnsi="Times New Roman" w:cs="Times New Roman" w:eastAsia="Times New Roman" w:hint="default"/>
                <w:b/>
                <w:bCs/>
                <w:spacing w:val="-4"/>
                <w:sz w:val="21"/>
                <w:szCs w:val="21"/>
              </w:rPr>
              <w:t>/</w:t>
            </w:r>
            <w:r>
              <w:rPr>
                <w:rFonts w:ascii="宋体" w:hAnsi="宋体" w:cs="宋体" w:eastAsia="宋体" w:hint="default"/>
                <w:b/>
                <w:bCs/>
                <w:spacing w:val="-4"/>
                <w:sz w:val="21"/>
                <w:szCs w:val="21"/>
              </w:rPr>
              <w:t>说明（如选择否或不适</w:t>
            </w:r>
            <w:r>
              <w:rPr>
                <w:rFonts w:ascii="宋体" w:hAnsi="宋体" w:cs="宋体" w:eastAsia="宋体" w:hint="default"/>
                <w:spacing w:val="-4"/>
                <w:sz w:val="21"/>
                <w:szCs w:val="21"/>
              </w:rPr>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b/>
                <w:bCs/>
                <w:sz w:val="21"/>
                <w:szCs w:val="21"/>
              </w:rPr>
              <w:t>用，请说明具体原因）</w:t>
            </w:r>
            <w:r>
              <w:rPr>
                <w:rFonts w:ascii="宋体" w:hAnsi="宋体" w:cs="宋体" w:eastAsia="宋体" w:hint="default"/>
                <w:sz w:val="21"/>
                <w:szCs w:val="21"/>
              </w:rPr>
            </w:r>
          </w:p>
        </w:tc>
      </w:tr>
      <w:tr>
        <w:trPr>
          <w:trHeight w:val="346" w:hRule="exact"/>
        </w:trPr>
        <w:tc>
          <w:tcPr>
            <w:tcW w:w="557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内部控制相关情况</w:t>
            </w:r>
            <w:r>
              <w:rPr>
                <w:rFonts w:ascii="宋体" w:hAnsi="宋体" w:cs="宋体" w:eastAsia="宋体" w:hint="default"/>
                <w:sz w:val="21"/>
                <w:szCs w:val="21"/>
              </w:rPr>
            </w:r>
          </w:p>
        </w:tc>
        <w:tc>
          <w:tcPr>
            <w:tcW w:w="1313"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7" w:lineRule="exact"/>
              <w:ind w:left="71" w:right="0"/>
              <w:jc w:val="left"/>
              <w:rPr>
                <w:rFonts w:ascii="宋体" w:hAnsi="宋体" w:cs="宋体" w:eastAsia="宋体" w:hint="default"/>
                <w:sz w:val="21"/>
                <w:szCs w:val="21"/>
              </w:rPr>
            </w:pPr>
            <w:r>
              <w:rPr>
                <w:rFonts w:ascii="宋体" w:hAnsi="宋体" w:cs="宋体" w:eastAsia="宋体" w:hint="default"/>
                <w:b/>
                <w:bCs/>
                <w:sz w:val="21"/>
                <w:szCs w:val="21"/>
              </w:rPr>
              <w:t>是</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不适用</w:t>
            </w:r>
            <w:r>
              <w:rPr>
                <w:rFonts w:ascii="宋体" w:hAnsi="宋体" w:cs="宋体" w:eastAsia="宋体" w:hint="default"/>
                <w:sz w:val="21"/>
                <w:szCs w:val="21"/>
              </w:rPr>
            </w:r>
          </w:p>
        </w:tc>
        <w:tc>
          <w:tcPr>
            <w:tcW w:w="2600" w:type="dxa"/>
            <w:vMerge/>
            <w:tcBorders>
              <w:left w:val="single" w:sz="4" w:space="0" w:color="000000"/>
              <w:bottom w:val="single" w:sz="4" w:space="0" w:color="000000"/>
              <w:right w:val="single" w:sz="4" w:space="0" w:color="000000"/>
            </w:tcBorders>
            <w:shd w:val="clear" w:color="auto" w:fill="DCDCDC"/>
          </w:tcPr>
          <w:p>
            <w:pPr/>
          </w:p>
        </w:tc>
      </w:tr>
      <w:tr>
        <w:trPr>
          <w:trHeight w:val="350" w:hRule="exact"/>
        </w:trPr>
        <w:tc>
          <w:tcPr>
            <w:tcW w:w="5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left="10" w:right="0"/>
              <w:jc w:val="left"/>
              <w:rPr>
                <w:rFonts w:ascii="宋体" w:hAnsi="宋体" w:cs="宋体" w:eastAsia="宋体" w:hint="default"/>
                <w:sz w:val="21"/>
                <w:szCs w:val="21"/>
              </w:rPr>
            </w:pPr>
            <w:r>
              <w:rPr>
                <w:rFonts w:ascii="宋体" w:hAnsi="宋体" w:cs="宋体" w:eastAsia="宋体" w:hint="default"/>
                <w:b/>
                <w:bCs/>
                <w:sz w:val="21"/>
                <w:szCs w:val="21"/>
              </w:rPr>
              <w:t>一、内部审计制度的建立情况</w:t>
            </w:r>
            <w:r>
              <w:rPr>
                <w:rFonts w:ascii="宋体" w:hAnsi="宋体" w:cs="宋体" w:eastAsia="宋体" w:hint="default"/>
                <w:sz w:val="21"/>
                <w:szCs w:val="21"/>
              </w:rPr>
            </w:r>
          </w:p>
        </w:tc>
        <w:tc>
          <w:tcPr>
            <w:tcW w:w="1313"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54" w:hRule="exact"/>
        </w:trPr>
        <w:tc>
          <w:tcPr>
            <w:tcW w:w="5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．公司是否建立内部审计制度，内部审计制度是否经公司董</w:t>
            </w:r>
          </w:p>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事会审议通过</w:t>
            </w:r>
          </w:p>
        </w:tc>
        <w:tc>
          <w:tcPr>
            <w:tcW w:w="1313" w:type="dxa"/>
            <w:gridSpan w:val="2"/>
            <w:tcBorders>
              <w:top w:val="single" w:sz="10" w:space="0" w:color="DCDCDC"/>
              <w:left w:val="single" w:sz="13" w:space="0" w:color="DCDCDC"/>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10" w:space="0" w:color="DCDCDC"/>
              <w:left w:val="single" w:sz="4" w:space="0" w:color="000000"/>
              <w:bottom w:val="single" w:sz="4" w:space="0" w:color="000000"/>
              <w:right w:val="single" w:sz="4" w:space="0" w:color="000000"/>
            </w:tcBorders>
          </w:tcPr>
          <w:p>
            <w:pPr/>
          </w:p>
        </w:tc>
      </w:tr>
      <w:tr>
        <w:trPr>
          <w:trHeight w:val="554" w:hRule="exact"/>
        </w:trPr>
        <w:tc>
          <w:tcPr>
            <w:tcW w:w="5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．公司董事会是否设立审计委员会，公司是否设立独立于财</w:t>
            </w:r>
          </w:p>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务部门的内部审计部门</w:t>
            </w:r>
          </w:p>
        </w:tc>
        <w:tc>
          <w:tcPr>
            <w:tcW w:w="1313"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5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1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10"/>
                <w:w w:val="100"/>
                <w:sz w:val="21"/>
                <w:szCs w:val="21"/>
              </w:rPr>
              <w:t>）</w:t>
            </w:r>
            <w:r>
              <w:rPr>
                <w:rFonts w:ascii="宋体" w:hAnsi="宋体" w:cs="宋体" w:eastAsia="宋体" w:hint="default"/>
                <w:w w:val="100"/>
                <w:sz w:val="21"/>
                <w:szCs w:val="21"/>
              </w:rPr>
              <w:t>审</w:t>
            </w:r>
            <w:r>
              <w:rPr>
                <w:rFonts w:ascii="宋体" w:hAnsi="宋体" w:cs="宋体" w:eastAsia="宋体" w:hint="default"/>
                <w:spacing w:val="-3"/>
                <w:w w:val="100"/>
                <w:sz w:val="21"/>
                <w:szCs w:val="21"/>
              </w:rPr>
              <w:t>计</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宋体" w:hAnsi="宋体" w:cs="宋体" w:eastAsia="宋体" w:hint="default"/>
                <w:spacing w:val="-3"/>
                <w:w w:val="100"/>
                <w:sz w:val="21"/>
                <w:szCs w:val="21"/>
              </w:rPr>
              <w:t>成</w:t>
            </w:r>
            <w:r>
              <w:rPr>
                <w:rFonts w:ascii="宋体" w:hAnsi="宋体" w:cs="宋体" w:eastAsia="宋体" w:hint="default"/>
                <w:w w:val="100"/>
                <w:sz w:val="21"/>
                <w:szCs w:val="21"/>
              </w:rPr>
              <w:t>员</w:t>
            </w:r>
            <w:r>
              <w:rPr>
                <w:rFonts w:ascii="宋体" w:hAnsi="宋体" w:cs="宋体" w:eastAsia="宋体" w:hint="default"/>
                <w:spacing w:val="-3"/>
                <w:w w:val="100"/>
                <w:sz w:val="21"/>
                <w:szCs w:val="21"/>
              </w:rPr>
              <w:t>是</w:t>
            </w:r>
            <w:r>
              <w:rPr>
                <w:rFonts w:ascii="宋体" w:hAnsi="宋体" w:cs="宋体" w:eastAsia="宋体" w:hint="default"/>
                <w:w w:val="100"/>
                <w:sz w:val="21"/>
                <w:szCs w:val="21"/>
              </w:rPr>
              <w:t>否全</w:t>
            </w:r>
            <w:r>
              <w:rPr>
                <w:rFonts w:ascii="宋体" w:hAnsi="宋体" w:cs="宋体" w:eastAsia="宋体" w:hint="default"/>
                <w:spacing w:val="-3"/>
                <w:w w:val="100"/>
                <w:sz w:val="21"/>
                <w:szCs w:val="21"/>
              </w:rPr>
              <w:t>部</w:t>
            </w:r>
            <w:r>
              <w:rPr>
                <w:rFonts w:ascii="宋体" w:hAnsi="宋体" w:cs="宋体" w:eastAsia="宋体" w:hint="default"/>
                <w:w w:val="100"/>
                <w:sz w:val="21"/>
                <w:szCs w:val="21"/>
              </w:rPr>
              <w:t>由</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组</w:t>
            </w:r>
            <w:r>
              <w:rPr>
                <w:rFonts w:ascii="宋体" w:hAnsi="宋体" w:cs="宋体" w:eastAsia="宋体" w:hint="default"/>
                <w:w w:val="100"/>
                <w:sz w:val="21"/>
                <w:szCs w:val="21"/>
              </w:rPr>
              <w:t>成</w:t>
            </w:r>
            <w:r>
              <w:rPr>
                <w:rFonts w:ascii="宋体" w:hAnsi="宋体" w:cs="宋体" w:eastAsia="宋体" w:hint="default"/>
                <w:spacing w:val="-13"/>
                <w:w w:val="100"/>
                <w:sz w:val="21"/>
                <w:szCs w:val="21"/>
              </w:rPr>
              <w:t>，</w:t>
            </w:r>
            <w:r>
              <w:rPr>
                <w:rFonts w:ascii="宋体" w:hAnsi="宋体" w:cs="宋体" w:eastAsia="宋体" w:hint="default"/>
                <w:w w:val="100"/>
                <w:sz w:val="21"/>
                <w:szCs w:val="21"/>
              </w:rPr>
              <w:t>独</w:t>
            </w:r>
            <w:r>
              <w:rPr>
                <w:rFonts w:ascii="宋体" w:hAnsi="宋体" w:cs="宋体" w:eastAsia="宋体" w:hint="default"/>
                <w:spacing w:val="-3"/>
                <w:w w:val="100"/>
                <w:sz w:val="21"/>
                <w:szCs w:val="21"/>
              </w:rPr>
              <w:t>立</w:t>
            </w:r>
            <w:r>
              <w:rPr>
                <w:rFonts w:ascii="宋体" w:hAnsi="宋体" w:cs="宋体" w:eastAsia="宋体" w:hint="default"/>
                <w:w w:val="100"/>
                <w:sz w:val="21"/>
                <w:szCs w:val="21"/>
              </w:rPr>
              <w:t>董事</w:t>
            </w:r>
            <w:r>
              <w:rPr>
                <w:rFonts w:ascii="宋体" w:hAnsi="宋体" w:cs="宋体" w:eastAsia="宋体" w:hint="default"/>
                <w:spacing w:val="-3"/>
                <w:w w:val="100"/>
                <w:sz w:val="21"/>
                <w:szCs w:val="21"/>
              </w:rPr>
              <w:t>占</w:t>
            </w:r>
            <w:r>
              <w:rPr>
                <w:rFonts w:ascii="宋体" w:hAnsi="宋体" w:cs="宋体" w:eastAsia="宋体" w:hint="default"/>
                <w:w w:val="100"/>
                <w:sz w:val="21"/>
                <w:szCs w:val="21"/>
              </w:rPr>
              <w:t>半</w:t>
            </w:r>
          </w:p>
          <w:p>
            <w:pPr>
              <w:pStyle w:val="TableParagraph"/>
              <w:spacing w:line="272" w:lineRule="exact" w:before="19"/>
              <w:ind w:left="10" w:right="82"/>
              <w:jc w:val="left"/>
              <w:rPr>
                <w:rFonts w:ascii="宋体" w:hAnsi="宋体" w:cs="宋体" w:eastAsia="宋体" w:hint="default"/>
                <w:sz w:val="21"/>
                <w:szCs w:val="21"/>
              </w:rPr>
            </w:pPr>
            <w:r>
              <w:rPr>
                <w:rFonts w:ascii="宋体" w:hAnsi="宋体" w:cs="宋体" w:eastAsia="宋体" w:hint="default"/>
                <w:spacing w:val="-2"/>
                <w:sz w:val="21"/>
                <w:szCs w:val="21"/>
              </w:rPr>
              <w:t>数以上并担任召集人，且至少有一名独立董事为会计专业人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士</w:t>
            </w:r>
          </w:p>
        </w:tc>
        <w:tc>
          <w:tcPr>
            <w:tcW w:w="1313"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）内部审计部门是否配置三名以上（含三名）专职人员从</w:t>
            </w:r>
          </w:p>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事内部审计工作</w:t>
            </w:r>
          </w:p>
        </w:tc>
        <w:tc>
          <w:tcPr>
            <w:tcW w:w="1313" w:type="dxa"/>
            <w:gridSpan w:val="2"/>
            <w:tcBorders>
              <w:top w:val="single" w:sz="4" w:space="0" w:color="000000"/>
              <w:left w:val="single" w:sz="13" w:space="0" w:color="DCDCDC"/>
              <w:bottom w:val="single" w:sz="7" w:space="0" w:color="DCDCDC"/>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7" w:space="0" w:color="DCDCDC"/>
              <w:right w:val="single" w:sz="4" w:space="0" w:color="000000"/>
            </w:tcBorders>
          </w:tcPr>
          <w:p>
            <w:pPr/>
          </w:p>
        </w:tc>
      </w:tr>
      <w:tr>
        <w:trPr>
          <w:trHeight w:val="283" w:hRule="exact"/>
        </w:trPr>
        <w:tc>
          <w:tcPr>
            <w:tcW w:w="5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b/>
                <w:bCs/>
                <w:sz w:val="21"/>
                <w:szCs w:val="21"/>
              </w:rPr>
              <w:t>二、年度内部控制自我评价报告披露相关情况</w:t>
            </w:r>
            <w:r>
              <w:rPr>
                <w:rFonts w:ascii="宋体" w:hAnsi="宋体" w:cs="宋体" w:eastAsia="宋体" w:hint="default"/>
                <w:sz w:val="21"/>
                <w:szCs w:val="21"/>
              </w:rPr>
            </w:r>
          </w:p>
        </w:tc>
        <w:tc>
          <w:tcPr>
            <w:tcW w:w="1313"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1" w:hRule="exact"/>
        </w:trPr>
        <w:tc>
          <w:tcPr>
            <w:tcW w:w="5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1313" w:type="dxa"/>
            <w:gridSpan w:val="2"/>
            <w:tcBorders>
              <w:top w:val="single" w:sz="11" w:space="0" w:color="DCDCDC"/>
              <w:left w:val="single" w:sz="13" w:space="0" w:color="DCDCDC"/>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11" w:space="0" w:color="DCDCDC"/>
              <w:left w:val="single" w:sz="4" w:space="0" w:color="000000"/>
              <w:bottom w:val="single" w:sz="4" w:space="0" w:color="000000"/>
              <w:right w:val="single" w:sz="4" w:space="0" w:color="000000"/>
            </w:tcBorders>
          </w:tcPr>
          <w:p>
            <w:pPr/>
          </w:p>
        </w:tc>
      </w:tr>
      <w:tr>
        <w:trPr>
          <w:trHeight w:val="554" w:hRule="exact"/>
        </w:trPr>
        <w:tc>
          <w:tcPr>
            <w:tcW w:w="5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．内部控制自我评价报告结论是否为内部控制有效（如为内</w:t>
            </w:r>
          </w:p>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部控制无效，请说明内部控制存在的重大缺陷）</w:t>
            </w:r>
          </w:p>
        </w:tc>
        <w:tc>
          <w:tcPr>
            <w:tcW w:w="1313"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5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．本年度是否聘请会计师事务所对内部控制有效性出具鉴证</w:t>
            </w:r>
          </w:p>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1313"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5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．会计师事务所对公司内部控制有效性是否出具无保留结论</w:t>
            </w:r>
          </w:p>
          <w:p>
            <w:pPr>
              <w:pStyle w:val="TableParagraph"/>
              <w:spacing w:line="274" w:lineRule="exact" w:before="16"/>
              <w:ind w:left="10" w:right="82"/>
              <w:jc w:val="left"/>
              <w:rPr>
                <w:rFonts w:ascii="宋体" w:hAnsi="宋体" w:cs="宋体" w:eastAsia="宋体" w:hint="default"/>
                <w:sz w:val="21"/>
                <w:szCs w:val="21"/>
              </w:rPr>
            </w:pPr>
            <w:r>
              <w:rPr>
                <w:rFonts w:ascii="宋体" w:hAnsi="宋体" w:cs="宋体" w:eastAsia="宋体" w:hint="default"/>
                <w:spacing w:val="-2"/>
                <w:sz w:val="21"/>
                <w:szCs w:val="21"/>
              </w:rPr>
              <w:t>鉴证报告。如出具非无保留结论鉴证报告，公司董事会、监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事会是否针对鉴证结论涉及事项做出专项说明</w:t>
            </w:r>
          </w:p>
        </w:tc>
        <w:tc>
          <w:tcPr>
            <w:tcW w:w="1313"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5</w:t>
            </w:r>
            <w:r>
              <w:rPr>
                <w:rFonts w:ascii="宋体" w:hAnsi="宋体" w:cs="宋体" w:eastAsia="宋体" w:hint="default"/>
                <w:spacing w:val="-7"/>
                <w:sz w:val="21"/>
                <w:szCs w:val="21"/>
              </w:rPr>
              <w:t>．独立董事、监事会是否出具明确同意意见（如为异议意见</w:t>
            </w:r>
          </w:p>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请说明）</w:t>
            </w:r>
          </w:p>
        </w:tc>
        <w:tc>
          <w:tcPr>
            <w:tcW w:w="324" w:type="dxa"/>
            <w:tcBorders>
              <w:top w:val="single" w:sz="4" w:space="0" w:color="000000"/>
              <w:left w:val="single" w:sz="13" w:space="0" w:color="DCDCDC"/>
              <w:bottom w:val="single" w:sz="4" w:space="0" w:color="000000"/>
              <w:right w:val="nil" w:sz="6" w:space="0" w:color="auto"/>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5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．保荐机构和保荐代表人是否出具明确同意的核查意见（如</w:t>
            </w:r>
          </w:p>
          <w:p>
            <w:pPr>
              <w:pStyle w:val="TableParagraph"/>
              <w:spacing w:line="266" w:lineRule="exact"/>
              <w:ind w:left="10"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313"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9483"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left="10" w:right="0"/>
              <w:jc w:val="left"/>
              <w:rPr>
                <w:rFonts w:ascii="宋体" w:hAnsi="宋体" w:cs="宋体" w:eastAsia="宋体" w:hint="default"/>
                <w:sz w:val="21"/>
                <w:szCs w:val="21"/>
              </w:rPr>
            </w:pPr>
            <w:r>
              <w:rPr>
                <w:rFonts w:ascii="宋体" w:hAnsi="宋体" w:cs="宋体" w:eastAsia="宋体" w:hint="default"/>
                <w:b/>
                <w:bCs/>
                <w:sz w:val="21"/>
                <w:szCs w:val="21"/>
              </w:rPr>
              <w:t>三、审计委员会和内部审计部门本年度的主要工作内容与工作成效</w:t>
            </w:r>
            <w:r>
              <w:rPr>
                <w:rFonts w:ascii="宋体" w:hAnsi="宋体" w:cs="宋体" w:eastAsia="宋体" w:hint="default"/>
                <w:sz w:val="21"/>
                <w:szCs w:val="21"/>
              </w:rPr>
            </w:r>
          </w:p>
        </w:tc>
      </w:tr>
      <w:tr>
        <w:trPr>
          <w:trHeight w:val="2463" w:hRule="exact"/>
        </w:trPr>
        <w:tc>
          <w:tcPr>
            <w:tcW w:w="94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、审计委员会</w:t>
            </w:r>
            <w:r>
              <w:rPr>
                <w:rFonts w:ascii="宋体" w:hAnsi="宋体" w:cs="宋体" w:eastAsia="宋体" w:hint="default"/>
                <w:sz w:val="21"/>
                <w:szCs w:val="21"/>
              </w:rPr>
            </w:r>
          </w:p>
          <w:p>
            <w:pPr>
              <w:pStyle w:val="TableParagraph"/>
              <w:spacing w:line="272" w:lineRule="exact" w:before="27"/>
              <w:ind w:left="10" w:right="17" w:firstLine="420"/>
              <w:jc w:val="both"/>
              <w:rPr>
                <w:rFonts w:ascii="宋体" w:hAnsi="宋体" w:cs="宋体" w:eastAsia="宋体" w:hint="default"/>
                <w:sz w:val="21"/>
                <w:szCs w:val="21"/>
              </w:rPr>
            </w:pPr>
            <w:r>
              <w:rPr>
                <w:rFonts w:ascii="宋体" w:hAnsi="宋体" w:cs="宋体" w:eastAsia="宋体" w:hint="default"/>
                <w:spacing w:val="-2"/>
                <w:sz w:val="21"/>
                <w:szCs w:val="21"/>
              </w:rPr>
              <w:t>审计委员会按照《审计委员会工作细则》要求，主要负责公司财务监督和核查工作及与外部审计机</w:t>
            </w:r>
            <w:r>
              <w:rPr>
                <w:rFonts w:ascii="宋体" w:hAnsi="宋体" w:cs="宋体" w:eastAsia="宋体" w:hint="default"/>
                <w:w w:val="100"/>
                <w:sz w:val="21"/>
                <w:szCs w:val="21"/>
              </w:rPr>
              <w:t> </w:t>
            </w:r>
            <w:r>
              <w:rPr>
                <w:rFonts w:ascii="宋体" w:hAnsi="宋体" w:cs="宋体" w:eastAsia="宋体" w:hint="default"/>
                <w:sz w:val="21"/>
                <w:szCs w:val="21"/>
              </w:rPr>
              <w:t>构的沟通、协调工作。</w:t>
            </w:r>
          </w:p>
          <w:p>
            <w:pPr>
              <w:pStyle w:val="TableParagraph"/>
              <w:spacing w:line="272" w:lineRule="exact" w:before="1"/>
              <w:ind w:left="10" w:right="17"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6"/>
                <w:sz w:val="21"/>
                <w:szCs w:val="21"/>
              </w:rPr>
              <w:t> </w:t>
            </w:r>
            <w:r>
              <w:rPr>
                <w:rFonts w:ascii="宋体" w:hAnsi="宋体" w:cs="宋体" w:eastAsia="宋体" w:hint="default"/>
                <w:sz w:val="21"/>
                <w:szCs w:val="21"/>
              </w:rPr>
              <w:t>审计委员会日常工作情况。</w:t>
            </w:r>
            <w:r>
              <w:rPr>
                <w:rFonts w:ascii="宋体" w:hAnsi="宋体" w:cs="宋体" w:eastAsia="宋体" w:hint="default"/>
                <w:sz w:val="21"/>
                <w:szCs w:val="21"/>
              </w:rPr>
              <w:t>2010</w:t>
            </w:r>
            <w:r>
              <w:rPr>
                <w:rFonts w:ascii="宋体" w:hAnsi="宋体" w:cs="宋体" w:eastAsia="宋体" w:hint="default"/>
                <w:sz w:val="21"/>
                <w:szCs w:val="21"/>
              </w:rPr>
              <w:t>年，审计委员会审查了公司内部控制制度及执行情况，每个季</w:t>
            </w:r>
            <w:r>
              <w:rPr>
                <w:rFonts w:ascii="宋体" w:hAnsi="宋体" w:cs="宋体" w:eastAsia="宋体" w:hint="default"/>
                <w:w w:val="100"/>
                <w:sz w:val="21"/>
                <w:szCs w:val="21"/>
              </w:rPr>
              <w:t> </w:t>
            </w:r>
            <w:r>
              <w:rPr>
                <w:rFonts w:ascii="宋体" w:hAnsi="宋体" w:cs="宋体" w:eastAsia="宋体" w:hint="default"/>
                <w:spacing w:val="-6"/>
                <w:sz w:val="21"/>
                <w:szCs w:val="21"/>
              </w:rPr>
              <w:t>度审阅内审部门的专项审计报告，并定期了解公司财务状况和经营情况。审计委员会认为，公司截至</w:t>
            </w:r>
            <w:r>
              <w:rPr>
                <w:rFonts w:ascii="宋体" w:hAnsi="宋体" w:cs="宋体" w:eastAsia="宋体" w:hint="default"/>
                <w:spacing w:val="-6"/>
                <w:sz w:val="21"/>
                <w:szCs w:val="21"/>
              </w:rPr>
              <w:t>2010</w:t>
            </w:r>
            <w:r>
              <w:rPr>
                <w:rFonts w:ascii="宋体" w:hAnsi="宋体" w:cs="宋体" w:eastAsia="宋体" w:hint="default"/>
                <w:spacing w:val="-47"/>
                <w:sz w:val="21"/>
                <w:szCs w:val="21"/>
              </w:rPr>
              <w:t> </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日与财务报表相关的内部控制的设计是完整和合理的，执行是有效的。公司目前的治理结构和</w:t>
            </w:r>
          </w:p>
          <w:p>
            <w:pPr>
              <w:pStyle w:val="TableParagraph"/>
              <w:spacing w:line="272" w:lineRule="exact" w:before="1"/>
              <w:ind w:left="10" w:right="7"/>
              <w:jc w:val="left"/>
              <w:rPr>
                <w:rFonts w:ascii="宋体" w:hAnsi="宋体" w:cs="宋体" w:eastAsia="宋体" w:hint="default"/>
                <w:sz w:val="21"/>
                <w:szCs w:val="21"/>
              </w:rPr>
            </w:pPr>
            <w:r>
              <w:rPr>
                <w:rFonts w:ascii="宋体" w:hAnsi="宋体" w:cs="宋体" w:eastAsia="宋体" w:hint="default"/>
                <w:spacing w:val="-2"/>
                <w:sz w:val="21"/>
                <w:szCs w:val="21"/>
              </w:rPr>
              <w:t>现有内部控制能够适应公司管理的要求，能够对编制真实、完整、公允的财务报表提供合理的保证，能</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2"/>
                <w:sz w:val="21"/>
                <w:szCs w:val="21"/>
              </w:rPr>
              <w:t>够对公司各项业务活动的正常运作及相关内部规章制度的贯彻执行提供保证，并且得到了较为有效的执</w:t>
            </w:r>
          </w:p>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pacing w:val="-2"/>
                <w:sz w:val="21"/>
                <w:szCs w:val="21"/>
              </w:rPr>
              <w:t>行。</w:t>
            </w:r>
            <w:r>
              <w:rPr>
                <w:rFonts w:ascii="宋体" w:hAnsi="宋体" w:cs="宋体" w:eastAsia="宋体" w:hint="default"/>
                <w:spacing w:val="-2"/>
                <w:sz w:val="21"/>
                <w:szCs w:val="21"/>
              </w:rPr>
              <w:t>2010</w:t>
            </w:r>
            <w:r>
              <w:rPr>
                <w:rFonts w:ascii="宋体" w:hAnsi="宋体" w:cs="宋体" w:eastAsia="宋体" w:hint="default"/>
                <w:spacing w:val="-2"/>
                <w:sz w:val="21"/>
                <w:szCs w:val="21"/>
              </w:rPr>
              <w:t>年，审计委员会重点对公司的募集资金使用等事项进行跟踪，对公司内部审计工作进行指导。</w:t>
            </w:r>
          </w:p>
        </w:tc>
      </w:tr>
    </w:tbl>
    <w:p>
      <w:pPr>
        <w:spacing w:after="0" w:line="249" w:lineRule="exact"/>
        <w:jc w:val="left"/>
        <w:rPr>
          <w:rFonts w:ascii="宋体" w:hAnsi="宋体" w:cs="宋体" w:eastAsia="宋体" w:hint="default"/>
          <w:sz w:val="21"/>
          <w:szCs w:val="21"/>
        </w:rPr>
        <w:sectPr>
          <w:pgSz w:w="11910" w:h="16840"/>
          <w:pgMar w:header="624" w:footer="1045" w:top="1240" w:bottom="1240" w:left="1100" w:right="1080"/>
        </w:sectPr>
      </w:pPr>
    </w:p>
    <w:p>
      <w:pPr>
        <w:spacing w:line="240" w:lineRule="auto" w:before="5"/>
        <w:rPr>
          <w:rFonts w:ascii="Times New Roman" w:hAnsi="Times New Roman" w:cs="Times New Roman" w:eastAsia="Times New Roman"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9494"/>
      </w:tblGrid>
      <w:tr>
        <w:trPr>
          <w:trHeight w:val="4344" w:hRule="exact"/>
        </w:trPr>
        <w:tc>
          <w:tcPr>
            <w:tcW w:w="9494"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left="21"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z w:val="21"/>
                <w:szCs w:val="21"/>
              </w:rPr>
              <w:t>审计委员会年报工作情况。审计委员会在年度财务报告的审计过程中，与审计会计师在审前、</w:t>
            </w:r>
          </w:p>
          <w:p>
            <w:pPr>
              <w:pStyle w:val="TableParagraph"/>
              <w:spacing w:line="237" w:lineRule="auto" w:before="2"/>
              <w:ind w:left="21" w:right="19"/>
              <w:jc w:val="both"/>
              <w:rPr>
                <w:rFonts w:ascii="宋体" w:hAnsi="宋体" w:cs="宋体" w:eastAsia="宋体" w:hint="default"/>
                <w:sz w:val="21"/>
                <w:szCs w:val="21"/>
              </w:rPr>
            </w:pPr>
            <w:r>
              <w:rPr>
                <w:rFonts w:ascii="宋体" w:hAnsi="宋体" w:cs="宋体" w:eastAsia="宋体" w:hint="default"/>
                <w:spacing w:val="-2"/>
                <w:sz w:val="21"/>
                <w:szCs w:val="21"/>
              </w:rPr>
              <w:t>审中、审后进行多种形式的工作沟通。审计前认真审阅公司财务报表，并督促会计师认真、及时完成审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计工作。审计委员会对年审注册会计师出具的审计意见和相关财务会计报表进行认真审阅后认为：公司</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编制的经会计师初审后的财务会计报表真实、客观地反映了公司</w:t>
            </w:r>
            <w:r>
              <w:rPr>
                <w:rFonts w:ascii="宋体" w:hAnsi="宋体" w:cs="宋体" w:eastAsia="宋体" w:hint="default"/>
                <w:spacing w:val="-2"/>
                <w:sz w:val="21"/>
                <w:szCs w:val="21"/>
              </w:rPr>
              <w:t>2010</w:t>
            </w:r>
            <w:r>
              <w:rPr>
                <w:rFonts w:ascii="宋体" w:hAnsi="宋体" w:cs="宋体" w:eastAsia="宋体" w:hint="default"/>
                <w:spacing w:val="-2"/>
                <w:sz w:val="21"/>
                <w:szCs w:val="21"/>
              </w:rPr>
              <w:t>年末的财务状况和</w:t>
            </w:r>
            <w:r>
              <w:rPr>
                <w:rFonts w:ascii="宋体" w:hAnsi="宋体" w:cs="宋体" w:eastAsia="宋体" w:hint="default"/>
                <w:spacing w:val="-2"/>
                <w:sz w:val="21"/>
                <w:szCs w:val="21"/>
              </w:rPr>
              <w:t>2010</w:t>
            </w:r>
            <w:r>
              <w:rPr>
                <w:rFonts w:ascii="宋体" w:hAnsi="宋体" w:cs="宋体" w:eastAsia="宋体" w:hint="default"/>
                <w:spacing w:val="-2"/>
                <w:sz w:val="21"/>
                <w:szCs w:val="21"/>
              </w:rPr>
              <w:t>年度的经营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成果。</w:t>
            </w:r>
          </w:p>
          <w:p>
            <w:pPr>
              <w:pStyle w:val="TableParagraph"/>
              <w:spacing w:line="237" w:lineRule="auto" w:before="1"/>
              <w:ind w:left="21" w:right="19"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审计委员会就会计师事务所从事公司</w:t>
            </w:r>
            <w:r>
              <w:rPr>
                <w:rFonts w:ascii="宋体" w:hAnsi="宋体" w:cs="宋体" w:eastAsia="宋体" w:hint="default"/>
                <w:sz w:val="21"/>
                <w:szCs w:val="21"/>
              </w:rPr>
              <w:t>2010</w:t>
            </w:r>
            <w:r>
              <w:rPr>
                <w:rFonts w:ascii="宋体" w:hAnsi="宋体" w:cs="宋体" w:eastAsia="宋体" w:hint="default"/>
                <w:sz w:val="21"/>
                <w:szCs w:val="21"/>
              </w:rPr>
              <w:t>年度审计工作的评价及续聘</w:t>
            </w:r>
            <w:r>
              <w:rPr>
                <w:rFonts w:ascii="宋体" w:hAnsi="宋体" w:cs="宋体" w:eastAsia="宋体" w:hint="default"/>
                <w:sz w:val="21"/>
                <w:szCs w:val="21"/>
              </w:rPr>
              <w:t>2011</w:t>
            </w:r>
            <w:r>
              <w:rPr>
                <w:rFonts w:ascii="宋体" w:hAnsi="宋体" w:cs="宋体" w:eastAsia="宋体" w:hint="default"/>
                <w:sz w:val="21"/>
                <w:szCs w:val="21"/>
              </w:rPr>
              <w:t>年度审计机构出具</w:t>
            </w:r>
            <w:r>
              <w:rPr>
                <w:rFonts w:ascii="宋体" w:hAnsi="宋体" w:cs="宋体" w:eastAsia="宋体" w:hint="default"/>
                <w:w w:val="100"/>
                <w:sz w:val="21"/>
                <w:szCs w:val="21"/>
              </w:rPr>
              <w:t> </w:t>
            </w:r>
            <w:r>
              <w:rPr>
                <w:rFonts w:ascii="宋体" w:hAnsi="宋体" w:cs="宋体" w:eastAsia="宋体" w:hint="default"/>
                <w:spacing w:val="-2"/>
                <w:sz w:val="21"/>
                <w:szCs w:val="21"/>
              </w:rPr>
              <w:t>同意的意见。审计委员会按时审议公司内审部门提交的年度内部审计工作报告和下一年度的内部审计工</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2"/>
                <w:sz w:val="21"/>
                <w:szCs w:val="21"/>
              </w:rPr>
              <w:t>作计划，每个季度召开会议审议内部审计部门提交的工作计划、工作报告，每季度向董事会报告内部审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计工作进度、工作质量及发现的重大问题。</w:t>
            </w:r>
          </w:p>
          <w:p>
            <w:pPr>
              <w:pStyle w:val="TableParagraph"/>
              <w:spacing w:line="280" w:lineRule="exact"/>
              <w:ind w:left="21" w:right="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、内审部</w:t>
            </w:r>
            <w:r>
              <w:rPr>
                <w:rFonts w:ascii="宋体" w:hAnsi="宋体" w:cs="宋体" w:eastAsia="宋体" w:hint="default"/>
                <w:sz w:val="21"/>
                <w:szCs w:val="21"/>
              </w:rPr>
            </w:r>
          </w:p>
          <w:p>
            <w:pPr>
              <w:pStyle w:val="TableParagraph"/>
              <w:spacing w:line="237" w:lineRule="auto"/>
              <w:ind w:left="21" w:right="17" w:firstLine="420"/>
              <w:jc w:val="both"/>
              <w:rPr>
                <w:rFonts w:ascii="宋体" w:hAnsi="宋体" w:cs="宋体" w:eastAsia="宋体" w:hint="default"/>
                <w:sz w:val="21"/>
                <w:szCs w:val="21"/>
              </w:rPr>
            </w:pPr>
            <w:r>
              <w:rPr>
                <w:rFonts w:ascii="宋体" w:hAnsi="宋体" w:cs="宋体" w:eastAsia="宋体" w:hint="default"/>
                <w:spacing w:val="-2"/>
                <w:sz w:val="21"/>
                <w:szCs w:val="21"/>
              </w:rPr>
              <w:t>公司内审部根据相关的法律法规及公司《内部审计制度》的规定对公司内部控制和风险管理的有效</w:t>
            </w:r>
            <w:r>
              <w:rPr>
                <w:rFonts w:ascii="宋体" w:hAnsi="宋体" w:cs="宋体" w:eastAsia="宋体" w:hint="default"/>
                <w:w w:val="100"/>
                <w:sz w:val="21"/>
                <w:szCs w:val="21"/>
              </w:rPr>
              <w:t> </w:t>
            </w:r>
            <w:r>
              <w:rPr>
                <w:rFonts w:ascii="宋体" w:hAnsi="宋体" w:cs="宋体" w:eastAsia="宋体" w:hint="default"/>
                <w:spacing w:val="-2"/>
                <w:sz w:val="21"/>
                <w:szCs w:val="21"/>
              </w:rPr>
              <w:t>性、财务信息的真实性和完整性以及经营活动的效率和效果等开展审计活动，按时向审计委员会提交年</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2"/>
                <w:sz w:val="21"/>
                <w:szCs w:val="21"/>
              </w:rPr>
              <w:t>度内部审计工作计划及年度内部审计工作报告，对公司内部控制的有效性进行评价，并对公司的定期报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告及重要的对外投资、购买和出售资产、对外担保、关联交易、募集资金使用及信息披露事务等事项进</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行审计并出具审计报告，能够及时发现内部控制缺陷、问题及风险隐患并提出改进或处理建议。</w:t>
            </w:r>
          </w:p>
        </w:tc>
      </w:tr>
      <w:tr>
        <w:trPr>
          <w:trHeight w:val="284" w:hRule="exact"/>
        </w:trPr>
        <w:tc>
          <w:tcPr>
            <w:tcW w:w="94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283" w:hRule="exact"/>
        </w:trPr>
        <w:tc>
          <w:tcPr>
            <w:tcW w:w="9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headerReference w:type="default" r:id="rId21"/>
          <w:pgSz w:w="11910" w:h="16840"/>
          <w:pgMar w:header="624" w:footer="1045" w:top="980" w:bottom="1240" w:left="1100" w:right="1080"/>
        </w:sectPr>
      </w:pPr>
    </w:p>
    <w:p>
      <w:pPr>
        <w:spacing w:line="240" w:lineRule="auto" w:before="5"/>
        <w:rPr>
          <w:rFonts w:ascii="Times New Roman" w:hAnsi="Times New Roman" w:cs="Times New Roman" w:eastAsia="Times New Roman" w:hint="default"/>
          <w:sz w:val="21"/>
          <w:szCs w:val="21"/>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0"/>
          <w:szCs w:val="10"/>
        </w:rPr>
      </w:pPr>
    </w:p>
    <w:p>
      <w:pPr>
        <w:pStyle w:val="Heading1"/>
        <w:spacing w:line="240" w:lineRule="auto"/>
        <w:ind w:left="2567" w:right="98"/>
        <w:jc w:val="left"/>
      </w:pPr>
      <w:bookmarkStart w:name="_TOC_250005" w:id="6"/>
      <w:r>
        <w:rPr/>
        <w:t>第六节</w:t>
      </w:r>
      <w:r>
        <w:rPr>
          <w:spacing w:val="1"/>
        </w:rPr>
        <w:t> </w:t>
      </w:r>
      <w:bookmarkEnd w:id="6"/>
      <w:r>
        <w:rPr/>
        <w:t>股东大会情况简介</w:t>
      </w:r>
    </w:p>
    <w:p>
      <w:pPr>
        <w:spacing w:line="240" w:lineRule="auto" w:before="10"/>
        <w:rPr>
          <w:rFonts w:ascii="黑体" w:hAnsi="黑体" w:cs="黑体" w:eastAsia="黑体" w:hint="default"/>
          <w:sz w:val="20"/>
          <w:szCs w:val="20"/>
        </w:rPr>
      </w:pPr>
    </w:p>
    <w:p>
      <w:pPr>
        <w:pStyle w:val="Heading3"/>
        <w:spacing w:line="328" w:lineRule="auto" w:before="0"/>
        <w:ind w:right="188" w:firstLine="559"/>
        <w:jc w:val="both"/>
      </w:pPr>
      <w:r>
        <w:rPr>
          <w:spacing w:val="-4"/>
        </w:rPr>
        <w:t>报告期内，公司召开了四次股东大会：</w:t>
      </w:r>
      <w:r>
        <w:rPr>
          <w:rFonts w:ascii="宋体" w:hAnsi="宋体" w:cs="宋体" w:eastAsia="宋体" w:hint="default"/>
          <w:spacing w:val="-4"/>
        </w:rPr>
        <w:t>2009</w:t>
      </w:r>
      <w:r>
        <w:rPr>
          <w:spacing w:val="-4"/>
        </w:rPr>
        <w:t>年第一次临时股东大</w:t>
      </w:r>
      <w:r>
        <w:rPr>
          <w:w w:val="100"/>
        </w:rPr>
        <w:t> </w:t>
      </w:r>
      <w:r>
        <w:rPr>
          <w:spacing w:val="-4"/>
        </w:rPr>
        <w:t>会、</w:t>
      </w:r>
      <w:r>
        <w:rPr>
          <w:rFonts w:ascii="宋体" w:hAnsi="宋体" w:cs="宋体" w:eastAsia="宋体" w:hint="default"/>
          <w:spacing w:val="-4"/>
        </w:rPr>
        <w:t>2009</w:t>
      </w:r>
      <w:r>
        <w:rPr>
          <w:spacing w:val="-4"/>
        </w:rPr>
        <w:t>年度股东大会、</w:t>
      </w:r>
      <w:r>
        <w:rPr>
          <w:rFonts w:ascii="宋体" w:hAnsi="宋体" w:cs="宋体" w:eastAsia="宋体" w:hint="default"/>
          <w:spacing w:val="-4"/>
        </w:rPr>
        <w:t>2010</w:t>
      </w:r>
      <w:r>
        <w:rPr>
          <w:spacing w:val="-4"/>
        </w:rPr>
        <w:t>年第一次临时股东大会和</w:t>
      </w:r>
      <w:r>
        <w:rPr>
          <w:rFonts w:ascii="宋体" w:hAnsi="宋体" w:cs="宋体" w:eastAsia="宋体" w:hint="default"/>
          <w:spacing w:val="-4"/>
        </w:rPr>
        <w:t>2010</w:t>
      </w:r>
      <w:r>
        <w:rPr>
          <w:spacing w:val="-4"/>
        </w:rPr>
        <w:t>年第二次</w:t>
      </w:r>
      <w:r>
        <w:rPr>
          <w:spacing w:val="-91"/>
        </w:rPr>
        <w:t> </w:t>
      </w:r>
      <w:r>
        <w:rPr>
          <w:spacing w:val="-91"/>
        </w:rPr>
      </w:r>
      <w:r>
        <w:rPr>
          <w:spacing w:val="-4"/>
        </w:rPr>
        <w:t>临时股东大会。会议的召集、召开与表决程序符合《公司法》、公司</w:t>
      </w:r>
    </w:p>
    <w:p>
      <w:pPr>
        <w:pStyle w:val="Heading3"/>
        <w:spacing w:line="240" w:lineRule="auto"/>
        <w:ind w:right="0"/>
        <w:jc w:val="both"/>
      </w:pPr>
      <w:r>
        <w:rPr/>
        <w:t>《章程》等法律、法规及规范性文件的规定。</w:t>
      </w:r>
    </w:p>
    <w:p>
      <w:pPr>
        <w:pStyle w:val="Heading3"/>
        <w:spacing w:line="326" w:lineRule="auto" w:before="135"/>
        <w:ind w:right="192" w:firstLine="559"/>
        <w:jc w:val="both"/>
      </w:pPr>
      <w:r>
        <w:rPr/>
        <w:t>（一）</w:t>
      </w:r>
      <w:r>
        <w:rPr>
          <w:rFonts w:ascii="宋体" w:hAnsi="宋体" w:cs="宋体" w:eastAsia="宋体" w:hint="default"/>
        </w:rPr>
        <w:t>2009</w:t>
      </w:r>
      <w:r>
        <w:rPr/>
        <w:t>年第一次临时股东大会于</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19</w:t>
      </w:r>
      <w:r>
        <w:rPr/>
        <w:t>日采用现场表</w:t>
      </w:r>
      <w:r>
        <w:rPr>
          <w:w w:val="100"/>
        </w:rPr>
        <w:t> </w:t>
      </w:r>
      <w:r>
        <w:rPr>
          <w:spacing w:val="-4"/>
        </w:rPr>
        <w:t>决方式召开，会议审议通过了《关于变更天健正信会计师事务所有限</w:t>
      </w:r>
      <w:r>
        <w:rPr>
          <w:spacing w:val="-112"/>
        </w:rPr>
        <w:t> </w:t>
      </w:r>
      <w:r>
        <w:rPr>
          <w:spacing w:val="-112"/>
        </w:rPr>
      </w:r>
      <w:r>
        <w:rPr>
          <w:spacing w:val="-14"/>
          <w:w w:val="100"/>
        </w:rPr>
        <w:t>公司为公司</w:t>
      </w:r>
      <w:r>
        <w:rPr>
          <w:rFonts w:ascii="Arial" w:hAnsi="Arial" w:cs="Arial" w:eastAsia="Arial" w:hint="default"/>
          <w:spacing w:val="-14"/>
          <w:w w:val="100"/>
        </w:rPr>
        <w:t>2009</w:t>
      </w:r>
      <w:r>
        <w:rPr>
          <w:spacing w:val="-14"/>
          <w:w w:val="100"/>
        </w:rPr>
        <w:t>年度财务审计机构的议案》。</w:t>
      </w:r>
      <w:r>
        <w:rPr>
          <w:w w:val="100"/>
        </w:rPr>
      </w:r>
    </w:p>
    <w:p>
      <w:pPr>
        <w:pStyle w:val="Heading3"/>
        <w:spacing w:line="326" w:lineRule="auto" w:before="3"/>
        <w:ind w:right="192" w:firstLine="559"/>
        <w:jc w:val="both"/>
      </w:pPr>
      <w:r>
        <w:rPr>
          <w:spacing w:val="-5"/>
        </w:rPr>
        <w:t>公司法律顾问国浩律师集团（北京）事务所律师黄伟民先生出席</w:t>
      </w:r>
      <w:r>
        <w:rPr>
          <w:w w:val="100"/>
        </w:rPr>
        <w:t> </w:t>
      </w:r>
      <w:r>
        <w:rPr>
          <w:spacing w:val="-4"/>
        </w:rPr>
        <w:t>本次股东大会进行见证，并出具了《法律意见书》。会议决议公告刊</w:t>
      </w:r>
      <w:r>
        <w:rPr>
          <w:spacing w:val="-111"/>
        </w:rPr>
        <w:t> </w:t>
      </w:r>
      <w:r>
        <w:rPr>
          <w:spacing w:val="-111"/>
        </w:rPr>
      </w:r>
      <w:r>
        <w:rPr/>
        <w:t>登在</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20</w:t>
      </w:r>
      <w:r>
        <w:rPr/>
        <w:t>日的《证券时报》、《中国证券报》和巨潮资讯网</w:t>
      </w:r>
    </w:p>
    <w:p>
      <w:pPr>
        <w:pStyle w:val="Heading3"/>
        <w:spacing w:line="240" w:lineRule="auto" w:before="34"/>
        <w:ind w:right="0"/>
        <w:jc w:val="both"/>
      </w:pPr>
      <w:r>
        <w:rPr/>
        <w:t>（</w:t>
      </w:r>
      <w:hyperlink r:id="rId12">
        <w:r>
          <w:rPr>
            <w:rFonts w:ascii="宋体" w:hAnsi="宋体" w:cs="宋体" w:eastAsia="宋体" w:hint="default"/>
          </w:rPr>
          <w:t>http://www.cninfo.com.cn</w:t>
        </w:r>
      </w:hyperlink>
      <w:r>
        <w:rPr/>
        <w:t>）上。</w:t>
      </w:r>
    </w:p>
    <w:p>
      <w:pPr>
        <w:pStyle w:val="Heading3"/>
        <w:spacing w:line="326" w:lineRule="auto" w:before="132"/>
        <w:ind w:right="246" w:firstLine="559"/>
        <w:jc w:val="both"/>
      </w:pPr>
      <w:r>
        <w:rPr>
          <w:spacing w:val="-1"/>
        </w:rPr>
        <w:t>（二）</w:t>
      </w:r>
      <w:r>
        <w:rPr>
          <w:rFonts w:ascii="宋体" w:hAnsi="宋体" w:cs="宋体" w:eastAsia="宋体" w:hint="default"/>
          <w:spacing w:val="-1"/>
        </w:rPr>
        <w:t>2009</w:t>
      </w:r>
      <w:r>
        <w:rPr>
          <w:spacing w:val="-1"/>
        </w:rPr>
        <w:t>年度股东大会于</w:t>
      </w:r>
      <w:r>
        <w:rPr>
          <w:rFonts w:ascii="宋体" w:hAnsi="宋体" w:cs="宋体" w:eastAsia="宋体" w:hint="default"/>
          <w:spacing w:val="-1"/>
        </w:rPr>
        <w:t>2010</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19</w:t>
      </w:r>
      <w:r>
        <w:rPr>
          <w:spacing w:val="-1"/>
        </w:rPr>
        <w:t>日采用现场表决方式召</w:t>
      </w:r>
      <w:r>
        <w:rPr>
          <w:w w:val="100"/>
        </w:rPr>
        <w:t> </w:t>
      </w:r>
      <w:r>
        <w:rPr/>
        <w:t>开，会议审议通过了以下议案：</w:t>
      </w:r>
    </w:p>
    <w:p>
      <w:pPr>
        <w:pStyle w:val="Heading3"/>
        <w:spacing w:line="240" w:lineRule="auto" w:before="34"/>
        <w:ind w:left="697" w:right="98"/>
        <w:jc w:val="left"/>
      </w:pPr>
      <w:r>
        <w:rPr>
          <w:rFonts w:ascii="宋体" w:hAnsi="宋体" w:cs="宋体" w:eastAsia="宋体" w:hint="default"/>
        </w:rPr>
        <w:t>1</w:t>
      </w:r>
      <w:r>
        <w:rPr/>
        <w:t>、《</w:t>
      </w:r>
      <w:r>
        <w:rPr>
          <w:rFonts w:ascii="宋体" w:hAnsi="宋体" w:cs="宋体" w:eastAsia="宋体" w:hint="default"/>
        </w:rPr>
        <w:t>2009</w:t>
      </w:r>
      <w:r>
        <w:rPr/>
        <w:t>年度董事会工作报告》；</w:t>
      </w:r>
    </w:p>
    <w:p>
      <w:pPr>
        <w:pStyle w:val="Heading3"/>
        <w:spacing w:line="240" w:lineRule="auto" w:before="132"/>
        <w:ind w:left="697" w:right="98"/>
        <w:jc w:val="left"/>
      </w:pPr>
      <w:r>
        <w:rPr>
          <w:rFonts w:ascii="宋体" w:hAnsi="宋体" w:cs="宋体" w:eastAsia="宋体" w:hint="default"/>
        </w:rPr>
        <w:t>2</w:t>
      </w:r>
      <w:r>
        <w:rPr/>
        <w:t>、《</w:t>
      </w:r>
      <w:r>
        <w:rPr>
          <w:rFonts w:ascii="宋体" w:hAnsi="宋体" w:cs="宋体" w:eastAsia="宋体" w:hint="default"/>
        </w:rPr>
        <w:t>2009</w:t>
      </w:r>
      <w:r>
        <w:rPr/>
        <w:t>年度监事会工作报告》；</w:t>
      </w:r>
    </w:p>
    <w:p>
      <w:pPr>
        <w:pStyle w:val="Heading3"/>
        <w:spacing w:line="240" w:lineRule="auto" w:before="133"/>
        <w:ind w:left="697" w:right="98"/>
        <w:jc w:val="left"/>
      </w:pPr>
      <w:r>
        <w:rPr>
          <w:rFonts w:ascii="宋体" w:hAnsi="宋体" w:cs="宋体" w:eastAsia="宋体" w:hint="default"/>
        </w:rPr>
        <w:t>3</w:t>
      </w:r>
      <w:r>
        <w:rPr/>
        <w:t>、《</w:t>
      </w:r>
      <w:r>
        <w:rPr>
          <w:rFonts w:ascii="宋体" w:hAnsi="宋体" w:cs="宋体" w:eastAsia="宋体" w:hint="default"/>
        </w:rPr>
        <w:t>2009</w:t>
      </w:r>
      <w:r>
        <w:rPr/>
        <w:t>年年度报告及摘要》；</w:t>
      </w:r>
    </w:p>
    <w:p>
      <w:pPr>
        <w:pStyle w:val="Heading3"/>
        <w:spacing w:line="240" w:lineRule="auto" w:before="135"/>
        <w:ind w:left="697" w:right="98"/>
        <w:jc w:val="left"/>
      </w:pPr>
      <w:r>
        <w:rPr>
          <w:rFonts w:ascii="宋体" w:hAnsi="宋体" w:cs="宋体" w:eastAsia="宋体" w:hint="default"/>
        </w:rPr>
        <w:t>4</w:t>
      </w:r>
      <w:r>
        <w:rPr/>
        <w:t>、《</w:t>
      </w:r>
      <w:r>
        <w:rPr>
          <w:rFonts w:ascii="宋体" w:hAnsi="宋体" w:cs="宋体" w:eastAsia="宋体" w:hint="default"/>
        </w:rPr>
        <w:t>2009</w:t>
      </w:r>
      <w:r>
        <w:rPr/>
        <w:t>年度财务决算报告》；</w:t>
      </w:r>
    </w:p>
    <w:p>
      <w:pPr>
        <w:pStyle w:val="Heading3"/>
        <w:spacing w:line="240" w:lineRule="auto" w:before="132"/>
        <w:ind w:left="697" w:right="98"/>
        <w:jc w:val="left"/>
      </w:pPr>
      <w:r>
        <w:rPr>
          <w:rFonts w:ascii="宋体" w:hAnsi="宋体" w:cs="宋体" w:eastAsia="宋体" w:hint="default"/>
        </w:rPr>
        <w:t>5</w:t>
      </w:r>
      <w:r>
        <w:rPr/>
        <w:t>、《</w:t>
      </w:r>
      <w:r>
        <w:rPr>
          <w:rFonts w:ascii="宋体" w:hAnsi="宋体" w:cs="宋体" w:eastAsia="宋体" w:hint="default"/>
        </w:rPr>
        <w:t>2009</w:t>
      </w:r>
      <w:r>
        <w:rPr/>
        <w:t>年度利润分配预案》；</w:t>
      </w:r>
    </w:p>
    <w:p>
      <w:pPr>
        <w:pStyle w:val="Heading3"/>
        <w:spacing w:line="240" w:lineRule="auto" w:before="132"/>
        <w:ind w:left="697" w:right="98"/>
        <w:jc w:val="left"/>
      </w:pPr>
      <w:r>
        <w:rPr>
          <w:rFonts w:ascii="宋体" w:hAnsi="宋体" w:cs="宋体" w:eastAsia="宋体" w:hint="default"/>
        </w:rPr>
        <w:t>6</w:t>
      </w:r>
      <w:r>
        <w:rPr/>
        <w:t>、《</w:t>
      </w:r>
      <w:r>
        <w:rPr>
          <w:rFonts w:ascii="宋体" w:hAnsi="宋体" w:cs="宋体" w:eastAsia="宋体" w:hint="default"/>
        </w:rPr>
        <w:t>2009</w:t>
      </w:r>
      <w:r>
        <w:rPr/>
        <w:t>年度募集资金存放与实际使用情况的专项报告》；</w:t>
      </w:r>
    </w:p>
    <w:p>
      <w:pPr>
        <w:pStyle w:val="Heading3"/>
        <w:spacing w:line="326" w:lineRule="auto" w:before="135"/>
        <w:ind w:right="241" w:firstLine="559"/>
        <w:jc w:val="both"/>
      </w:pPr>
      <w:r>
        <w:rPr>
          <w:rFonts w:ascii="宋体" w:hAnsi="宋体" w:cs="宋体" w:eastAsia="宋体" w:hint="default"/>
          <w:spacing w:val="-1"/>
        </w:rPr>
        <w:t>7</w:t>
      </w:r>
      <w:r>
        <w:rPr>
          <w:spacing w:val="-1"/>
        </w:rPr>
        <w:t>、《关于续聘天健正信会计师事务所有限公司为公司</w:t>
      </w:r>
      <w:r>
        <w:rPr>
          <w:rFonts w:ascii="宋体" w:hAnsi="宋体" w:cs="宋体" w:eastAsia="宋体" w:hint="default"/>
          <w:spacing w:val="-1"/>
        </w:rPr>
        <w:t>2010</w:t>
      </w:r>
      <w:r>
        <w:rPr>
          <w:spacing w:val="-1"/>
        </w:rPr>
        <w:t>年度</w:t>
      </w:r>
      <w:r>
        <w:rPr>
          <w:w w:val="100"/>
        </w:rPr>
        <w:t> </w:t>
      </w:r>
      <w:r>
        <w:rPr/>
        <w:t>财务报表审计机构的议案》；</w:t>
      </w:r>
    </w:p>
    <w:p>
      <w:pPr>
        <w:pStyle w:val="Heading3"/>
        <w:spacing w:line="240" w:lineRule="auto" w:before="32"/>
        <w:ind w:left="697" w:right="98"/>
        <w:jc w:val="left"/>
      </w:pPr>
      <w:r>
        <w:rPr>
          <w:rFonts w:ascii="宋体" w:hAnsi="宋体" w:cs="宋体" w:eastAsia="宋体" w:hint="default"/>
        </w:rPr>
        <w:t>8</w:t>
      </w:r>
      <w:r>
        <w:rPr/>
        <w:t>、《募集资金管理制度》；</w:t>
      </w:r>
    </w:p>
    <w:p>
      <w:pPr>
        <w:pStyle w:val="Heading3"/>
        <w:spacing w:line="326" w:lineRule="auto" w:before="135"/>
        <w:ind w:left="697" w:right="98"/>
        <w:jc w:val="left"/>
      </w:pPr>
      <w:r>
        <w:rPr>
          <w:rFonts w:ascii="宋体" w:hAnsi="宋体" w:cs="宋体" w:eastAsia="宋体" w:hint="default"/>
        </w:rPr>
        <w:t>9</w:t>
      </w:r>
      <w:r>
        <w:rPr/>
        <w:t>、《关于修改</w:t>
      </w:r>
      <w:r>
        <w:rPr>
          <w:rFonts w:ascii="宋体" w:hAnsi="宋体" w:cs="宋体" w:eastAsia="宋体" w:hint="default"/>
        </w:rPr>
        <w:t>&lt;</w:t>
      </w:r>
      <w:r>
        <w:rPr/>
        <w:t>公司章程</w:t>
      </w:r>
      <w:r>
        <w:rPr>
          <w:rFonts w:ascii="宋体" w:hAnsi="宋体" w:cs="宋体" w:eastAsia="宋体" w:hint="default"/>
        </w:rPr>
        <w:t>&gt;</w:t>
      </w:r>
      <w:r>
        <w:rPr/>
        <w:t>的议案》；</w:t>
      </w:r>
      <w:r>
        <w:rPr>
          <w:w w:val="100"/>
        </w:rPr>
        <w:t> </w:t>
      </w:r>
      <w:r>
        <w:rPr>
          <w:spacing w:val="-1"/>
        </w:rPr>
        <w:t>独立董事孟焰先生和魏春洪先生在股东大会上做年度述职报告。</w:t>
      </w:r>
    </w:p>
    <w:p>
      <w:pPr>
        <w:pStyle w:val="Heading3"/>
        <w:spacing w:line="328" w:lineRule="auto" w:before="32"/>
        <w:ind w:right="190"/>
        <w:jc w:val="both"/>
      </w:pPr>
      <w:r>
        <w:rPr>
          <w:spacing w:val="-4"/>
        </w:rPr>
        <w:t>公司法律顾问国浩律师集团（北京）事务所律师陈周先生出席本次股</w:t>
      </w:r>
      <w:r>
        <w:rPr>
          <w:spacing w:val="-115"/>
        </w:rPr>
        <w:t> </w:t>
      </w:r>
      <w:r>
        <w:rPr>
          <w:spacing w:val="-115"/>
        </w:rPr>
      </w:r>
      <w:r>
        <w:rPr>
          <w:spacing w:val="-13"/>
        </w:rPr>
        <w:t>东大会进行见证，并出具了《法律意见书》。会议决议公告刊登在</w:t>
      </w:r>
      <w:r>
        <w:rPr>
          <w:rFonts w:ascii="宋体" w:hAnsi="宋体" w:cs="宋体" w:eastAsia="宋体" w:hint="default"/>
          <w:spacing w:val="-13"/>
        </w:rPr>
        <w:t>2010</w:t>
      </w:r>
      <w:r>
        <w:rPr>
          <w:rFonts w:ascii="宋体" w:hAnsi="宋体" w:cs="宋体" w:eastAsia="宋体" w:hint="default"/>
          <w:spacing w:val="-85"/>
        </w:rPr>
        <w:t> </w:t>
      </w:r>
      <w:r>
        <w:rPr>
          <w:rFonts w:ascii="宋体" w:hAnsi="宋体" w:cs="宋体" w:eastAsia="宋体" w:hint="default"/>
          <w:spacing w:val="-85"/>
        </w:rPr>
      </w:r>
      <w:r>
        <w:rPr/>
        <w:t>年</w:t>
      </w:r>
      <w:r>
        <w:rPr>
          <w:rFonts w:ascii="宋体" w:hAnsi="宋体" w:cs="宋体" w:eastAsia="宋体" w:hint="default"/>
        </w:rPr>
        <w:t>3</w:t>
      </w:r>
      <w:r>
        <w:rPr/>
        <w:t>月</w:t>
      </w:r>
      <w:r>
        <w:rPr>
          <w:rFonts w:ascii="宋体" w:hAnsi="宋体" w:cs="宋体" w:eastAsia="宋体" w:hint="default"/>
        </w:rPr>
        <w:t>20</w:t>
      </w:r>
      <w:r>
        <w:rPr/>
        <w:t>日的《证券时报》、《中国证券报》和巨潮资讯网</w:t>
      </w:r>
    </w:p>
    <w:p>
      <w:pPr>
        <w:spacing w:after="0" w:line="328" w:lineRule="auto"/>
        <w:jc w:val="both"/>
        <w:sectPr>
          <w:pgSz w:w="11910" w:h="16840"/>
          <w:pgMar w:header="624" w:footer="1045" w:top="980" w:bottom="1240" w:left="1660" w:right="1600"/>
        </w:sectPr>
      </w:pPr>
    </w:p>
    <w:p>
      <w:pPr>
        <w:pStyle w:val="Heading3"/>
        <w:spacing w:line="240" w:lineRule="auto" w:before="73"/>
        <w:ind w:right="2680"/>
        <w:jc w:val="left"/>
      </w:pPr>
      <w:r>
        <w:rPr/>
        <w:t>（</w:t>
      </w:r>
      <w:hyperlink r:id="rId12">
        <w:r>
          <w:rPr>
            <w:rFonts w:ascii="宋体" w:hAnsi="宋体" w:cs="宋体" w:eastAsia="宋体" w:hint="default"/>
          </w:rPr>
          <w:t>http://www.cninfo.com.cn</w:t>
        </w:r>
      </w:hyperlink>
      <w:r>
        <w:rPr/>
        <w:t>）上。</w:t>
      </w:r>
    </w:p>
    <w:p>
      <w:pPr>
        <w:pStyle w:val="Heading3"/>
        <w:spacing w:line="326" w:lineRule="auto" w:before="135"/>
        <w:ind w:right="152" w:firstLine="559"/>
        <w:jc w:val="both"/>
      </w:pPr>
      <w:r>
        <w:rPr>
          <w:spacing w:val="-4"/>
        </w:rPr>
        <w:t>（三）</w:t>
      </w:r>
      <w:r>
        <w:rPr>
          <w:rFonts w:ascii="宋体" w:hAnsi="宋体" w:cs="宋体" w:eastAsia="宋体" w:hint="default"/>
          <w:spacing w:val="-4"/>
        </w:rPr>
        <w:t>2010</w:t>
      </w:r>
      <w:r>
        <w:rPr>
          <w:spacing w:val="-4"/>
        </w:rPr>
        <w:t>年第一次临时股东大会于</w:t>
      </w:r>
      <w:r>
        <w:rPr>
          <w:rFonts w:ascii="宋体" w:hAnsi="宋体" w:cs="宋体" w:eastAsia="宋体" w:hint="default"/>
          <w:spacing w:val="-4"/>
        </w:rPr>
        <w:t>2010</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7</w:t>
      </w:r>
      <w:r>
        <w:rPr>
          <w:spacing w:val="-4"/>
        </w:rPr>
        <w:t>日采用现场表决</w:t>
      </w:r>
      <w:r>
        <w:rPr>
          <w:w w:val="100"/>
        </w:rPr>
        <w:t> </w:t>
      </w:r>
      <w:r>
        <w:rPr>
          <w:spacing w:val="-4"/>
        </w:rPr>
        <w:t>方式召开，会议审议通过了《关于使用部分超募资金投资“铁路防灾</w:t>
      </w:r>
      <w:r>
        <w:rPr>
          <w:spacing w:val="-112"/>
        </w:rPr>
        <w:t> </w:t>
      </w:r>
      <w:r>
        <w:rPr>
          <w:spacing w:val="-112"/>
        </w:rPr>
      </w:r>
      <w:r>
        <w:rPr>
          <w:spacing w:val="-11"/>
          <w:w w:val="100"/>
        </w:rPr>
        <w:t>安全监控系统”项目的议案》。</w:t>
      </w:r>
    </w:p>
    <w:p>
      <w:pPr>
        <w:pStyle w:val="Heading3"/>
        <w:spacing w:line="326" w:lineRule="auto" w:before="34"/>
        <w:ind w:right="153" w:firstLine="559"/>
        <w:jc w:val="both"/>
      </w:pPr>
      <w:r>
        <w:rPr>
          <w:spacing w:val="-5"/>
        </w:rPr>
        <w:t>公司法律顾问国浩律师集团（北京）事务所律师黄伟民先生出席</w:t>
      </w:r>
      <w:r>
        <w:rPr>
          <w:w w:val="100"/>
        </w:rPr>
        <w:t> </w:t>
      </w:r>
      <w:r>
        <w:rPr>
          <w:spacing w:val="-4"/>
        </w:rPr>
        <w:t>本次股东大会进行见证，并出具了《法律意见书》。会议决议公告刊</w:t>
      </w:r>
      <w:r>
        <w:rPr>
          <w:spacing w:val="-112"/>
        </w:rPr>
        <w:t> </w:t>
      </w:r>
      <w:r>
        <w:rPr>
          <w:spacing w:val="-112"/>
        </w:rPr>
      </w:r>
      <w:r>
        <w:rPr/>
        <w:t>登在</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8</w:t>
      </w:r>
      <w:r>
        <w:rPr/>
        <w:t>日的《证券时报》、《中国证券报》和巨潮资讯网</w:t>
      </w:r>
    </w:p>
    <w:p>
      <w:pPr>
        <w:pStyle w:val="Heading3"/>
        <w:spacing w:line="240" w:lineRule="auto" w:before="34"/>
        <w:ind w:right="2680"/>
        <w:jc w:val="left"/>
      </w:pPr>
      <w:r>
        <w:rPr/>
        <w:t>（</w:t>
      </w:r>
      <w:hyperlink r:id="rId12">
        <w:r>
          <w:rPr>
            <w:rFonts w:ascii="宋体" w:hAnsi="宋体" w:cs="宋体" w:eastAsia="宋体" w:hint="default"/>
          </w:rPr>
          <w:t>http://www.cninfo.com.cn</w:t>
        </w:r>
      </w:hyperlink>
      <w:r>
        <w:rPr/>
        <w:t>）上。</w:t>
      </w:r>
    </w:p>
    <w:p>
      <w:pPr>
        <w:pStyle w:val="Heading3"/>
        <w:spacing w:line="326" w:lineRule="auto" w:before="132"/>
        <w:ind w:right="204" w:firstLine="559"/>
        <w:jc w:val="both"/>
      </w:pPr>
      <w:r>
        <w:rPr>
          <w:spacing w:val="-1"/>
        </w:rPr>
        <w:t>（四）</w:t>
      </w:r>
      <w:r>
        <w:rPr>
          <w:rFonts w:ascii="宋体" w:hAnsi="宋体" w:cs="宋体" w:eastAsia="宋体" w:hint="default"/>
          <w:spacing w:val="-1"/>
        </w:rPr>
        <w:t>2010</w:t>
      </w:r>
      <w:r>
        <w:rPr>
          <w:spacing w:val="-1"/>
        </w:rPr>
        <w:t>年第二次临时股东大会于</w:t>
      </w:r>
      <w:r>
        <w:rPr>
          <w:rFonts w:ascii="宋体" w:hAnsi="宋体" w:cs="宋体" w:eastAsia="宋体" w:hint="default"/>
          <w:spacing w:val="-1"/>
        </w:rPr>
        <w:t>2010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8</w:t>
      </w:r>
      <w:r>
        <w:rPr>
          <w:spacing w:val="-1"/>
        </w:rPr>
        <w:t>日采用现场表</w:t>
      </w:r>
      <w:r>
        <w:rPr>
          <w:w w:val="100"/>
        </w:rPr>
        <w:t> </w:t>
      </w:r>
      <w:r>
        <w:rPr/>
        <w:t>决方式召开，会议审议通过了以下议案：</w:t>
      </w:r>
    </w:p>
    <w:p>
      <w:pPr>
        <w:pStyle w:val="Heading3"/>
        <w:spacing w:line="240" w:lineRule="auto" w:before="34"/>
        <w:ind w:left="697" w:right="2680"/>
        <w:jc w:val="left"/>
      </w:pPr>
      <w:r>
        <w:rPr>
          <w:rFonts w:ascii="宋体" w:hAnsi="宋体" w:cs="宋体" w:eastAsia="宋体" w:hint="default"/>
        </w:rPr>
        <w:t>1</w:t>
      </w:r>
      <w:r>
        <w:rPr/>
        <w:t>、《关于修改</w:t>
      </w:r>
      <w:r>
        <w:rPr>
          <w:rFonts w:ascii="宋体" w:hAnsi="宋体" w:cs="宋体" w:eastAsia="宋体" w:hint="default"/>
        </w:rPr>
        <w:t>&lt;</w:t>
      </w:r>
      <w:r>
        <w:rPr/>
        <w:t>公司章程</w:t>
      </w:r>
      <w:r>
        <w:rPr>
          <w:rFonts w:ascii="宋体" w:hAnsi="宋体" w:cs="宋体" w:eastAsia="宋体" w:hint="default"/>
        </w:rPr>
        <w:t>&gt;</w:t>
      </w:r>
      <w:r>
        <w:rPr/>
        <w:t>的议案》；</w:t>
      </w:r>
    </w:p>
    <w:p>
      <w:pPr>
        <w:pStyle w:val="Heading3"/>
        <w:spacing w:line="240" w:lineRule="auto" w:before="132"/>
        <w:ind w:left="697" w:right="2680"/>
        <w:jc w:val="left"/>
      </w:pPr>
      <w:r>
        <w:rPr>
          <w:rFonts w:ascii="宋体" w:hAnsi="宋体" w:cs="宋体" w:eastAsia="宋体" w:hint="default"/>
        </w:rPr>
        <w:t>2</w:t>
      </w:r>
      <w:r>
        <w:rPr/>
        <w:t>、《关于董事会换届选举的议案》；</w:t>
      </w:r>
    </w:p>
    <w:p>
      <w:pPr>
        <w:pStyle w:val="Heading3"/>
        <w:spacing w:line="240" w:lineRule="auto" w:before="132"/>
        <w:ind w:left="697" w:right="2680"/>
        <w:jc w:val="left"/>
      </w:pPr>
      <w:r>
        <w:rPr>
          <w:rFonts w:ascii="宋体" w:hAnsi="宋体" w:cs="宋体" w:eastAsia="宋体" w:hint="default"/>
        </w:rPr>
        <w:t>3</w:t>
      </w:r>
      <w:r>
        <w:rPr/>
        <w:t>、《关于监事会换届选举的议案》；</w:t>
      </w:r>
    </w:p>
    <w:p>
      <w:pPr>
        <w:pStyle w:val="Heading3"/>
        <w:spacing w:line="326" w:lineRule="auto" w:before="135"/>
        <w:ind w:left="697" w:right="0"/>
        <w:jc w:val="left"/>
      </w:pPr>
      <w:r>
        <w:rPr>
          <w:rFonts w:ascii="宋体" w:hAnsi="宋体" w:cs="宋体" w:eastAsia="宋体" w:hint="default"/>
        </w:rPr>
        <w:t>4</w:t>
      </w:r>
      <w:r>
        <w:rPr/>
        <w:t>、《关于提高独立董事薪酬的议案》。</w:t>
      </w:r>
      <w:r>
        <w:rPr>
          <w:w w:val="100"/>
        </w:rPr>
        <w:t> </w:t>
      </w:r>
      <w:r>
        <w:rPr>
          <w:spacing w:val="-5"/>
        </w:rPr>
        <w:t>公司法律顾问国浩律师集团（北京）事务所律师陈周先生出席本</w:t>
      </w:r>
    </w:p>
    <w:p>
      <w:pPr>
        <w:pStyle w:val="Heading3"/>
        <w:spacing w:line="328" w:lineRule="auto" w:before="32"/>
        <w:ind w:right="0"/>
        <w:jc w:val="left"/>
      </w:pPr>
      <w:r>
        <w:rPr>
          <w:spacing w:val="-4"/>
        </w:rPr>
        <w:t>次股东大会进行见证，并出具了《法律意见书》。会议决议公告刊登</w:t>
      </w:r>
      <w:r>
        <w:rPr>
          <w:spacing w:val="-112"/>
        </w:rPr>
        <w:t> </w:t>
      </w:r>
      <w:r>
        <w:rPr>
          <w:spacing w:val="-112"/>
        </w:rPr>
      </w:r>
      <w:r>
        <w:rPr/>
        <w:t>在</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9</w:t>
      </w:r>
      <w:r>
        <w:rPr/>
        <w:t>日的《证券时报》、《中国证券报》和巨潮资讯网</w:t>
      </w:r>
    </w:p>
    <w:p>
      <w:pPr>
        <w:pStyle w:val="Heading3"/>
        <w:spacing w:line="240" w:lineRule="auto"/>
        <w:ind w:right="2680"/>
        <w:jc w:val="left"/>
      </w:pPr>
      <w:r>
        <w:rPr/>
        <w:t>（</w:t>
      </w:r>
      <w:hyperlink r:id="rId12">
        <w:r>
          <w:rPr>
            <w:rFonts w:ascii="宋体" w:hAnsi="宋体" w:cs="宋体" w:eastAsia="宋体" w:hint="default"/>
          </w:rPr>
          <w:t>http://www.cninfo.com.cn</w:t>
        </w:r>
      </w:hyperlink>
      <w:r>
        <w:rPr/>
        <w:t>）上。</w:t>
      </w:r>
    </w:p>
    <w:p>
      <w:pPr>
        <w:spacing w:after="0" w:line="240" w:lineRule="auto"/>
        <w:jc w:val="left"/>
        <w:sectPr>
          <w:headerReference w:type="default" r:id="rId22"/>
          <w:pgSz w:w="11910" w:h="16840"/>
          <w:pgMar w:header="624" w:footer="1045" w:top="1240" w:bottom="1240" w:left="1660" w:right="1640"/>
        </w:sectPr>
      </w:pPr>
    </w:p>
    <w:p>
      <w:pPr>
        <w:spacing w:line="240" w:lineRule="auto" w:before="4"/>
        <w:rPr>
          <w:rFonts w:ascii="宋体" w:hAnsi="宋体" w:cs="宋体" w:eastAsia="宋体" w:hint="default"/>
          <w:sz w:val="9"/>
          <w:szCs w:val="9"/>
        </w:rPr>
      </w:pPr>
    </w:p>
    <w:p>
      <w:pPr>
        <w:pStyle w:val="Heading1"/>
        <w:spacing w:line="240" w:lineRule="auto"/>
        <w:ind w:left="3339" w:right="3355"/>
        <w:jc w:val="center"/>
      </w:pPr>
      <w:bookmarkStart w:name="_TOC_250004" w:id="7"/>
      <w:r>
        <w:rPr/>
        <w:t>第七节</w:t>
      </w:r>
      <w:r>
        <w:rPr>
          <w:spacing w:val="1"/>
        </w:rPr>
        <w:t> </w:t>
      </w:r>
      <w:bookmarkEnd w:id="7"/>
      <w:r>
        <w:rPr/>
        <w:t>董事会报告</w:t>
      </w:r>
    </w:p>
    <w:p>
      <w:pPr>
        <w:spacing w:line="240" w:lineRule="auto" w:before="10"/>
        <w:rPr>
          <w:rFonts w:ascii="黑体" w:hAnsi="黑体" w:cs="黑体" w:eastAsia="黑体" w:hint="default"/>
          <w:sz w:val="20"/>
          <w:szCs w:val="20"/>
        </w:rPr>
      </w:pPr>
    </w:p>
    <w:p>
      <w:pPr>
        <w:pStyle w:val="Heading3"/>
        <w:spacing w:line="328" w:lineRule="auto" w:before="0"/>
        <w:ind w:left="478" w:right="494" w:firstLine="700"/>
        <w:jc w:val="both"/>
      </w:pPr>
      <w:r>
        <w:rPr>
          <w:rFonts w:ascii="宋体" w:hAnsi="宋体" w:cs="宋体" w:eastAsia="宋体" w:hint="default"/>
        </w:rPr>
        <w:t>2010</w:t>
      </w:r>
      <w:r>
        <w:rPr/>
        <w:t>年是公司股票上市后第一个完整年度，一年来，公司经营</w:t>
      </w:r>
      <w:r>
        <w:rPr>
          <w:w w:val="100"/>
        </w:rPr>
        <w:t> </w:t>
      </w:r>
      <w:r>
        <w:rPr>
          <w:spacing w:val="-4"/>
        </w:rPr>
        <w:t>管理能力上了新台阶，企业形象和外部环境有了重大改变，社会认同</w:t>
      </w:r>
      <w:r>
        <w:rPr>
          <w:spacing w:val="-114"/>
        </w:rPr>
        <w:t> </w:t>
      </w:r>
      <w:r>
        <w:rPr>
          <w:spacing w:val="-114"/>
        </w:rPr>
      </w:r>
      <w:r>
        <w:rPr/>
        <w:t>度和知名度大幅度提高。</w:t>
      </w:r>
    </w:p>
    <w:p>
      <w:pPr>
        <w:pStyle w:val="Heading2"/>
        <w:spacing w:line="240" w:lineRule="auto"/>
        <w:ind w:left="478" w:right="0"/>
        <w:jc w:val="left"/>
        <w:rPr>
          <w:b w:val="0"/>
          <w:bCs w:val="0"/>
        </w:rPr>
      </w:pPr>
      <w:r>
        <w:rPr/>
        <w:t>一、报告期内公司经营情况的回顾</w:t>
      </w:r>
      <w:r>
        <w:rPr>
          <w:b w:val="0"/>
          <w:bCs w:val="0"/>
        </w:rPr>
      </w:r>
    </w:p>
    <w:p>
      <w:pPr>
        <w:pStyle w:val="Heading2"/>
        <w:spacing w:line="326" w:lineRule="auto" w:before="135"/>
        <w:ind w:left="619" w:right="4571" w:hanging="142"/>
        <w:jc w:val="left"/>
        <w:rPr>
          <w:b w:val="0"/>
          <w:bCs w:val="0"/>
        </w:rPr>
      </w:pPr>
      <w:r>
        <w:rPr/>
        <w:t>（一）公司总体经营情况</w:t>
      </w:r>
      <w:r>
        <w:rPr>
          <w:w w:val="99"/>
        </w:rPr>
        <w:t> </w:t>
      </w:r>
      <w:r>
        <w:rPr>
          <w:rFonts w:ascii="宋体" w:hAnsi="宋体" w:cs="宋体" w:eastAsia="宋体" w:hint="default"/>
        </w:rPr>
        <w:t>1</w:t>
      </w:r>
      <w:r>
        <w:rPr/>
        <w:t>、公司主要财务指标及变动情况</w:t>
      </w:r>
      <w:r>
        <w:rPr>
          <w:b w:val="0"/>
          <w:bCs w:val="0"/>
        </w:rPr>
      </w:r>
    </w:p>
    <w:p>
      <w:pPr>
        <w:pStyle w:val="Heading3"/>
        <w:spacing w:line="328" w:lineRule="auto" w:before="32"/>
        <w:ind w:left="478" w:right="493" w:firstLine="559"/>
        <w:jc w:val="both"/>
      </w:pPr>
      <w:r>
        <w:rPr>
          <w:rFonts w:ascii="宋体" w:hAnsi="宋体" w:cs="宋体" w:eastAsia="宋体" w:hint="default"/>
        </w:rPr>
        <w:t>2010</w:t>
      </w:r>
      <w:r>
        <w:rPr>
          <w:rFonts w:ascii="宋体" w:hAnsi="宋体" w:cs="宋体" w:eastAsia="宋体" w:hint="default"/>
          <w:spacing w:val="42"/>
        </w:rPr>
        <w:t> </w:t>
      </w:r>
      <w:r>
        <w:rPr/>
        <w:t>年，国家铁路建设逐步进入到电气化阶段，站后工程大规</w:t>
      </w:r>
      <w:r>
        <w:rPr>
          <w:w w:val="100"/>
        </w:rPr>
        <w:t> </w:t>
      </w:r>
      <w:r>
        <w:rPr>
          <w:spacing w:val="-4"/>
        </w:rPr>
        <w:t>模全面展开，同时高铁建设投资加大，多条高铁线路相继开工或投入</w:t>
      </w:r>
      <w:r>
        <w:rPr>
          <w:spacing w:val="-113"/>
        </w:rPr>
        <w:t> </w:t>
      </w:r>
      <w:r>
        <w:rPr>
          <w:spacing w:val="-113"/>
        </w:rPr>
      </w:r>
      <w:r>
        <w:rPr>
          <w:spacing w:val="-4"/>
        </w:rPr>
        <w:t>运行。公司抓住国家铁路发展的大好机遇，不断做大做强，在保持铁</w:t>
      </w:r>
      <w:r>
        <w:rPr>
          <w:spacing w:val="-113"/>
        </w:rPr>
        <w:t> </w:t>
      </w:r>
      <w:r>
        <w:rPr>
          <w:spacing w:val="-113"/>
        </w:rPr>
      </w:r>
      <w:r>
        <w:rPr>
          <w:spacing w:val="-4"/>
        </w:rPr>
        <w:t>路信号集中监测系统等既有产品市场份额的基础上，加大了无线调车</w:t>
      </w:r>
      <w:r>
        <w:rPr>
          <w:spacing w:val="-115"/>
        </w:rPr>
        <w:t> </w:t>
      </w:r>
      <w:r>
        <w:rPr>
          <w:spacing w:val="-115"/>
        </w:rPr>
      </w:r>
      <w:r>
        <w:rPr>
          <w:spacing w:val="-4"/>
        </w:rPr>
        <w:t>机车信号和监控系统、铁路防灾安全监控系统、铁路综合视频监控系</w:t>
      </w:r>
      <w:r>
        <w:rPr>
          <w:spacing w:val="-114"/>
        </w:rPr>
        <w:t> </w:t>
      </w:r>
      <w:r>
        <w:rPr>
          <w:spacing w:val="-114"/>
        </w:rPr>
      </w:r>
      <w:r>
        <w:rPr/>
        <w:t>统等产品的开发和推广力度，使公司业绩保持了良好的增长势头。</w:t>
      </w:r>
    </w:p>
    <w:p>
      <w:pPr>
        <w:pStyle w:val="Heading3"/>
        <w:spacing w:line="328" w:lineRule="auto"/>
        <w:ind w:left="478" w:right="491" w:firstLine="559"/>
        <w:jc w:val="both"/>
      </w:pPr>
      <w:r>
        <w:rPr/>
        <w:t>报告期内，公司实现营业收入 </w:t>
      </w:r>
      <w:r>
        <w:rPr>
          <w:rFonts w:ascii="宋体" w:hAnsi="宋体" w:cs="宋体" w:eastAsia="宋体" w:hint="default"/>
        </w:rPr>
        <w:t>250,287,117.56</w:t>
      </w:r>
      <w:r>
        <w:rPr>
          <w:rFonts w:ascii="宋体" w:hAnsi="宋体" w:cs="宋体" w:eastAsia="宋体" w:hint="default"/>
          <w:spacing w:val="-101"/>
        </w:rPr>
        <w:t> </w:t>
      </w:r>
      <w:r>
        <w:rPr/>
        <w:t>元，比上年同期</w:t>
      </w:r>
      <w:r>
        <w:rPr>
          <w:w w:val="100"/>
        </w:rPr>
        <w:t> </w:t>
      </w:r>
      <w:r>
        <w:rPr>
          <w:spacing w:val="4"/>
        </w:rPr>
        <w:t>增长</w:t>
      </w:r>
      <w:r>
        <w:rPr>
          <w:spacing w:val="20"/>
        </w:rPr>
        <w:t> </w:t>
      </w:r>
      <w:r>
        <w:rPr>
          <w:rFonts w:ascii="宋体" w:hAnsi="宋体" w:cs="宋体" w:eastAsia="宋体" w:hint="default"/>
          <w:spacing w:val="3"/>
        </w:rPr>
        <w:t>50.45%</w:t>
      </w:r>
      <w:r>
        <w:rPr>
          <w:spacing w:val="3"/>
        </w:rPr>
        <w:t>，实现营业利润</w:t>
      </w:r>
      <w:r>
        <w:rPr>
          <w:spacing w:val="23"/>
        </w:rPr>
        <w:t> </w:t>
      </w:r>
      <w:r>
        <w:rPr>
          <w:rFonts w:ascii="宋体" w:hAnsi="宋体" w:cs="宋体" w:eastAsia="宋体" w:hint="default"/>
        </w:rPr>
        <w:t>80,734,854.67</w:t>
      </w:r>
      <w:r>
        <w:rPr>
          <w:rFonts w:ascii="宋体" w:hAnsi="宋体" w:cs="宋体" w:eastAsia="宋体" w:hint="default"/>
          <w:spacing w:val="25"/>
        </w:rPr>
        <w:t> </w:t>
      </w:r>
      <w:r>
        <w:rPr>
          <w:spacing w:val="6"/>
        </w:rPr>
        <w:t>元，比上年同期增长</w:t>
      </w:r>
      <w:r>
        <w:rPr>
          <w:spacing w:val="-138"/>
        </w:rPr>
        <w:t> </w:t>
      </w:r>
      <w:r>
        <w:rPr>
          <w:spacing w:val="-138"/>
        </w:rPr>
      </w:r>
      <w:r>
        <w:rPr>
          <w:rFonts w:ascii="宋体" w:hAnsi="宋体" w:cs="宋体" w:eastAsia="宋体" w:hint="default"/>
          <w:spacing w:val="-4"/>
        </w:rPr>
        <w:t>75.40%</w:t>
      </w:r>
      <w:r>
        <w:rPr>
          <w:spacing w:val="-4"/>
        </w:rPr>
        <w:t>；归属于上市公司股东的净利润 </w:t>
      </w:r>
      <w:r>
        <w:rPr>
          <w:rFonts w:ascii="宋体" w:hAnsi="宋体" w:cs="宋体" w:eastAsia="宋体" w:hint="default"/>
        </w:rPr>
        <w:t>85,718,282.45</w:t>
      </w:r>
      <w:r>
        <w:rPr>
          <w:rFonts w:ascii="宋体" w:hAnsi="宋体" w:cs="宋体" w:eastAsia="宋体" w:hint="default"/>
          <w:spacing w:val="-114"/>
        </w:rPr>
        <w:t> </w:t>
      </w:r>
      <w:r>
        <w:rPr>
          <w:spacing w:val="-8"/>
        </w:rPr>
        <w:t>元，同比增长</w:t>
      </w:r>
    </w:p>
    <w:p>
      <w:pPr>
        <w:pStyle w:val="Heading3"/>
        <w:spacing w:line="328" w:lineRule="auto"/>
        <w:ind w:left="1037" w:right="0" w:hanging="560"/>
        <w:jc w:val="left"/>
      </w:pPr>
      <w:r>
        <w:rPr>
          <w:rFonts w:ascii="宋体" w:hAnsi="宋体" w:cs="宋体" w:eastAsia="宋体" w:hint="default"/>
        </w:rPr>
        <w:t>57.63%</w:t>
      </w:r>
      <w:r>
        <w:rPr/>
        <w:t>，基本实现前期预定的经营计划目标。</w:t>
      </w:r>
      <w:r>
        <w:rPr>
          <w:w w:val="100"/>
        </w:rPr>
        <w:t> </w:t>
      </w:r>
      <w:r>
        <w:rPr>
          <w:spacing w:val="-1"/>
        </w:rPr>
        <w:t>近三年主要会计数据及财务指标变动情况如下表：</w:t>
      </w:r>
    </w:p>
    <w:p>
      <w:pPr>
        <w:pStyle w:val="Heading3"/>
        <w:spacing w:line="240" w:lineRule="auto"/>
        <w:ind w:left="0" w:right="491"/>
        <w:jc w:val="right"/>
      </w:pPr>
      <w:r>
        <w:rPr/>
        <w:t>单位：元</w:t>
      </w:r>
    </w:p>
    <w:p>
      <w:pPr>
        <w:spacing w:line="240" w:lineRule="auto" w:before="7"/>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982"/>
        <w:gridCol w:w="1685"/>
        <w:gridCol w:w="1841"/>
        <w:gridCol w:w="1553"/>
        <w:gridCol w:w="1985"/>
      </w:tblGrid>
      <w:tr>
        <w:trPr>
          <w:trHeight w:val="564" w:hRule="exact"/>
        </w:trPr>
        <w:tc>
          <w:tcPr>
            <w:tcW w:w="1982" w:type="dxa"/>
            <w:tcBorders>
              <w:top w:val="single" w:sz="8" w:space="0" w:color="000000"/>
              <w:left w:val="single" w:sz="8" w:space="0" w:color="000000"/>
              <w:bottom w:val="single" w:sz="8" w:space="0" w:color="000000"/>
              <w:right w:val="single" w:sz="8" w:space="0" w:color="000000"/>
            </w:tcBorders>
            <w:shd w:val="clear" w:color="auto" w:fill="DCDCDC"/>
          </w:tcPr>
          <w:p>
            <w:pPr/>
          </w:p>
        </w:tc>
        <w:tc>
          <w:tcPr>
            <w:tcW w:w="1685"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2"/>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8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2"/>
              <w:ind w:left="5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55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985"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2"/>
              <w:ind w:left="6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487" w:hRule="exact"/>
        </w:trPr>
        <w:tc>
          <w:tcPr>
            <w:tcW w:w="19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2"/>
              <w:jc w:val="right"/>
              <w:rPr>
                <w:rFonts w:ascii="宋体" w:hAnsi="宋体" w:cs="宋体" w:eastAsia="宋体" w:hint="default"/>
                <w:sz w:val="21"/>
                <w:szCs w:val="21"/>
              </w:rPr>
            </w:pPr>
            <w:r>
              <w:rPr>
                <w:rFonts w:ascii="宋体"/>
                <w:spacing w:val="-1"/>
                <w:sz w:val="21"/>
              </w:rPr>
              <w:t>250,287,117.56</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4"/>
              <w:jc w:val="right"/>
              <w:rPr>
                <w:rFonts w:ascii="宋体" w:hAnsi="宋体" w:cs="宋体" w:eastAsia="宋体" w:hint="default"/>
                <w:sz w:val="21"/>
                <w:szCs w:val="21"/>
              </w:rPr>
            </w:pPr>
            <w:r>
              <w:rPr>
                <w:rFonts w:ascii="宋体"/>
                <w:spacing w:val="-1"/>
                <w:sz w:val="21"/>
              </w:rPr>
              <w:t>166,358,343.74</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50.45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3"/>
              <w:jc w:val="right"/>
              <w:rPr>
                <w:rFonts w:ascii="宋体" w:hAnsi="宋体" w:cs="宋体" w:eastAsia="宋体" w:hint="default"/>
                <w:sz w:val="21"/>
                <w:szCs w:val="21"/>
              </w:rPr>
            </w:pPr>
            <w:r>
              <w:rPr>
                <w:rFonts w:ascii="宋体"/>
                <w:spacing w:val="-1"/>
                <w:sz w:val="21"/>
              </w:rPr>
              <w:t>133,574,575.05</w:t>
            </w:r>
          </w:p>
        </w:tc>
      </w:tr>
      <w:tr>
        <w:trPr>
          <w:trHeight w:val="485" w:hRule="exact"/>
        </w:trPr>
        <w:tc>
          <w:tcPr>
            <w:tcW w:w="19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2"/>
              <w:jc w:val="right"/>
              <w:rPr>
                <w:rFonts w:ascii="宋体" w:hAnsi="宋体" w:cs="宋体" w:eastAsia="宋体" w:hint="default"/>
                <w:sz w:val="21"/>
                <w:szCs w:val="21"/>
              </w:rPr>
            </w:pPr>
            <w:r>
              <w:rPr>
                <w:rFonts w:ascii="宋体"/>
                <w:spacing w:val="-1"/>
                <w:sz w:val="21"/>
              </w:rPr>
              <w:t>96,919,678.21</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4"/>
              <w:jc w:val="right"/>
              <w:rPr>
                <w:rFonts w:ascii="宋体" w:hAnsi="宋体" w:cs="宋体" w:eastAsia="宋体" w:hint="default"/>
                <w:sz w:val="21"/>
                <w:szCs w:val="21"/>
              </w:rPr>
            </w:pPr>
            <w:r>
              <w:rPr>
                <w:rFonts w:ascii="宋体"/>
                <w:spacing w:val="-1"/>
                <w:sz w:val="21"/>
              </w:rPr>
              <w:t>61,869,937.58</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z w:val="21"/>
              </w:rPr>
              <w:t>56.65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3"/>
              <w:jc w:val="right"/>
              <w:rPr>
                <w:rFonts w:ascii="宋体" w:hAnsi="宋体" w:cs="宋体" w:eastAsia="宋体" w:hint="default"/>
                <w:sz w:val="21"/>
                <w:szCs w:val="21"/>
              </w:rPr>
            </w:pPr>
            <w:r>
              <w:rPr>
                <w:rFonts w:ascii="宋体"/>
                <w:spacing w:val="-1"/>
                <w:sz w:val="21"/>
              </w:rPr>
              <w:t>41,639,580.19</w:t>
            </w:r>
          </w:p>
        </w:tc>
      </w:tr>
      <w:tr>
        <w:trPr>
          <w:trHeight w:val="934" w:hRule="exact"/>
        </w:trPr>
        <w:tc>
          <w:tcPr>
            <w:tcW w:w="19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50"/>
              <w:ind w:left="453" w:right="139" w:hanging="315"/>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东的净利润</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2"/>
              <w:jc w:val="right"/>
              <w:rPr>
                <w:rFonts w:ascii="宋体" w:hAnsi="宋体" w:cs="宋体" w:eastAsia="宋体" w:hint="default"/>
                <w:sz w:val="21"/>
                <w:szCs w:val="21"/>
              </w:rPr>
            </w:pPr>
            <w:r>
              <w:rPr>
                <w:rFonts w:ascii="宋体"/>
                <w:spacing w:val="-1"/>
                <w:sz w:val="21"/>
              </w:rPr>
              <w:t>85,718,282.45</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54,380,447.46</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sz w:val="21"/>
              </w:rPr>
              <w:t>57.63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43,590,534.18</w:t>
            </w:r>
          </w:p>
        </w:tc>
      </w:tr>
      <w:tr>
        <w:trPr>
          <w:trHeight w:val="1162" w:hRule="exact"/>
        </w:trPr>
        <w:tc>
          <w:tcPr>
            <w:tcW w:w="19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7" w:lineRule="auto" w:before="131"/>
              <w:ind w:left="139" w:right="139"/>
              <w:jc w:val="center"/>
              <w:rPr>
                <w:rFonts w:ascii="宋体" w:hAnsi="宋体" w:cs="宋体" w:eastAsia="宋体" w:hint="default"/>
                <w:sz w:val="21"/>
                <w:szCs w:val="21"/>
              </w:rPr>
            </w:pPr>
            <w:r>
              <w:rPr>
                <w:rFonts w:ascii="宋体" w:hAnsi="宋体" w:cs="宋体" w:eastAsia="宋体" w:hint="default"/>
                <w:spacing w:val="-2"/>
                <w:sz w:val="21"/>
                <w:szCs w:val="21"/>
              </w:rPr>
              <w:t>归属于上市公司股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东的扣除非经常性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损益的净利润</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2"/>
              <w:jc w:val="right"/>
              <w:rPr>
                <w:rFonts w:ascii="宋体" w:hAnsi="宋体" w:cs="宋体" w:eastAsia="宋体" w:hint="default"/>
                <w:sz w:val="21"/>
                <w:szCs w:val="21"/>
              </w:rPr>
            </w:pPr>
            <w:r>
              <w:rPr>
                <w:rFonts w:ascii="宋体"/>
                <w:spacing w:val="-1"/>
                <w:sz w:val="21"/>
              </w:rPr>
              <w:t>82,650,816.65</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4"/>
              <w:jc w:val="right"/>
              <w:rPr>
                <w:rFonts w:ascii="宋体" w:hAnsi="宋体" w:cs="宋体" w:eastAsia="宋体" w:hint="default"/>
                <w:sz w:val="21"/>
                <w:szCs w:val="21"/>
              </w:rPr>
            </w:pPr>
            <w:r>
              <w:rPr>
                <w:rFonts w:ascii="宋体"/>
                <w:spacing w:val="-1"/>
                <w:sz w:val="21"/>
              </w:rPr>
              <w:t>44,993,086.46</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6"/>
              <w:jc w:val="right"/>
              <w:rPr>
                <w:rFonts w:ascii="宋体" w:hAnsi="宋体" w:cs="宋体" w:eastAsia="宋体" w:hint="default"/>
                <w:sz w:val="21"/>
                <w:szCs w:val="21"/>
              </w:rPr>
            </w:pPr>
            <w:r>
              <w:rPr>
                <w:rFonts w:ascii="宋体"/>
                <w:sz w:val="21"/>
              </w:rPr>
              <w:t>83.70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3"/>
              <w:jc w:val="right"/>
              <w:rPr>
                <w:rFonts w:ascii="宋体" w:hAnsi="宋体" w:cs="宋体" w:eastAsia="宋体" w:hint="default"/>
                <w:sz w:val="21"/>
                <w:szCs w:val="21"/>
              </w:rPr>
            </w:pPr>
            <w:r>
              <w:rPr>
                <w:rFonts w:ascii="宋体"/>
                <w:spacing w:val="-1"/>
                <w:sz w:val="21"/>
              </w:rPr>
              <w:t>42,719,095.00</w:t>
            </w:r>
          </w:p>
        </w:tc>
      </w:tr>
      <w:tr>
        <w:trPr>
          <w:trHeight w:val="934" w:hRule="exact"/>
        </w:trPr>
        <w:tc>
          <w:tcPr>
            <w:tcW w:w="19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50"/>
              <w:ind w:left="453" w:right="139" w:hanging="315"/>
              <w:jc w:val="left"/>
              <w:rPr>
                <w:rFonts w:ascii="宋体" w:hAnsi="宋体" w:cs="宋体" w:eastAsia="宋体" w:hint="default"/>
                <w:sz w:val="21"/>
                <w:szCs w:val="21"/>
              </w:rPr>
            </w:pPr>
            <w:r>
              <w:rPr>
                <w:rFonts w:ascii="宋体" w:hAnsi="宋体" w:cs="宋体" w:eastAsia="宋体" w:hint="default"/>
                <w:sz w:val="21"/>
                <w:szCs w:val="21"/>
              </w:rPr>
              <w:t>经营活动产生的现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2"/>
              <w:jc w:val="right"/>
              <w:rPr>
                <w:rFonts w:ascii="宋体" w:hAnsi="宋体" w:cs="宋体" w:eastAsia="宋体" w:hint="default"/>
                <w:sz w:val="21"/>
                <w:szCs w:val="21"/>
              </w:rPr>
            </w:pPr>
            <w:r>
              <w:rPr>
                <w:rFonts w:ascii="宋体"/>
                <w:spacing w:val="-1"/>
                <w:sz w:val="21"/>
              </w:rPr>
              <w:t>19,335,363.85</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36,126,328.32</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5"/>
              <w:jc w:val="right"/>
              <w:rPr>
                <w:rFonts w:ascii="宋体" w:hAnsi="宋体" w:cs="宋体" w:eastAsia="宋体" w:hint="default"/>
                <w:sz w:val="21"/>
                <w:szCs w:val="21"/>
              </w:rPr>
            </w:pPr>
            <w:r>
              <w:rPr>
                <w:rFonts w:ascii="宋体"/>
                <w:sz w:val="21"/>
              </w:rPr>
              <w:t>-46.48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20,378,339.48</w:t>
            </w:r>
          </w:p>
        </w:tc>
      </w:tr>
    </w:tbl>
    <w:p>
      <w:pPr>
        <w:spacing w:after="0" w:line="240" w:lineRule="auto"/>
        <w:jc w:val="right"/>
        <w:rPr>
          <w:rFonts w:ascii="宋体" w:hAnsi="宋体" w:cs="宋体" w:eastAsia="宋体" w:hint="default"/>
          <w:sz w:val="21"/>
          <w:szCs w:val="21"/>
        </w:rPr>
        <w:sectPr>
          <w:pgSz w:w="11910" w:h="16840"/>
          <w:pgMar w:header="624" w:footer="1045" w:top="1240" w:bottom="1240" w:left="1320" w:right="1300"/>
        </w:sectPr>
      </w:pPr>
    </w:p>
    <w:p>
      <w:pPr>
        <w:spacing w:line="240" w:lineRule="auto" w:before="2"/>
        <w:rPr>
          <w:rFonts w:ascii="宋体" w:hAnsi="宋体" w:cs="宋体" w:eastAsia="宋体"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982"/>
        <w:gridCol w:w="1685"/>
        <w:gridCol w:w="1841"/>
        <w:gridCol w:w="1553"/>
        <w:gridCol w:w="1985"/>
      </w:tblGrid>
      <w:tr>
        <w:trPr>
          <w:trHeight w:val="728" w:hRule="exact"/>
        </w:trPr>
        <w:tc>
          <w:tcPr>
            <w:tcW w:w="1982" w:type="dxa"/>
            <w:tcBorders>
              <w:top w:val="single" w:sz="13" w:space="0" w:color="000000"/>
              <w:left w:val="single" w:sz="8" w:space="0" w:color="000000"/>
              <w:bottom w:val="single" w:sz="8" w:space="0" w:color="000000"/>
              <w:right w:val="single" w:sz="8" w:space="0" w:color="000000"/>
            </w:tcBorders>
            <w:shd w:val="clear" w:color="auto" w:fill="DCDCDC"/>
          </w:tcPr>
          <w:p>
            <w:pPr/>
          </w:p>
        </w:tc>
        <w:tc>
          <w:tcPr>
            <w:tcW w:w="1685"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86"/>
              <w:ind w:left="3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41"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86"/>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53"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72" w:lineRule="exact" w:before="77"/>
              <w:ind w:left="136" w:right="132"/>
              <w:jc w:val="left"/>
              <w:rPr>
                <w:rFonts w:ascii="宋体" w:hAnsi="宋体" w:cs="宋体" w:eastAsia="宋体" w:hint="default"/>
                <w:sz w:val="21"/>
                <w:szCs w:val="21"/>
              </w:rPr>
            </w:pPr>
            <w:r>
              <w:rPr>
                <w:rFonts w:ascii="宋体" w:hAnsi="宋体" w:cs="宋体" w:eastAsia="宋体" w:hint="default"/>
                <w:sz w:val="21"/>
                <w:szCs w:val="21"/>
              </w:rPr>
              <w:t>本年末比上年</w:t>
            </w:r>
            <w:r>
              <w:rPr>
                <w:rFonts w:ascii="宋体" w:hAnsi="宋体" w:cs="宋体" w:eastAsia="宋体" w:hint="default"/>
                <w:w w:val="100"/>
                <w:sz w:val="21"/>
                <w:szCs w:val="21"/>
              </w:rPr>
              <w:t> </w:t>
            </w:r>
            <w:r>
              <w:rPr>
                <w:rFonts w:ascii="宋体" w:hAnsi="宋体" w:cs="宋体" w:eastAsia="宋体" w:hint="default"/>
                <w:sz w:val="21"/>
                <w:szCs w:val="21"/>
              </w:rPr>
              <w:t>末增减（％）</w:t>
            </w:r>
          </w:p>
        </w:tc>
        <w:tc>
          <w:tcPr>
            <w:tcW w:w="1985"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86"/>
              <w:ind w:left="5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485" w:hRule="exact"/>
        </w:trPr>
        <w:tc>
          <w:tcPr>
            <w:tcW w:w="19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2"/>
              <w:jc w:val="right"/>
              <w:rPr>
                <w:rFonts w:ascii="宋体" w:hAnsi="宋体" w:cs="宋体" w:eastAsia="宋体" w:hint="default"/>
                <w:sz w:val="21"/>
                <w:szCs w:val="21"/>
              </w:rPr>
            </w:pPr>
            <w:r>
              <w:rPr>
                <w:rFonts w:ascii="宋体"/>
                <w:spacing w:val="-1"/>
                <w:sz w:val="21"/>
              </w:rPr>
              <w:t>746,689,768.50</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4"/>
              <w:jc w:val="right"/>
              <w:rPr>
                <w:rFonts w:ascii="宋体" w:hAnsi="宋体" w:cs="宋体" w:eastAsia="宋体" w:hint="default"/>
                <w:sz w:val="21"/>
                <w:szCs w:val="21"/>
              </w:rPr>
            </w:pPr>
            <w:r>
              <w:rPr>
                <w:rFonts w:ascii="宋体"/>
                <w:spacing w:val="-1"/>
                <w:sz w:val="21"/>
              </w:rPr>
              <w:t>709,645,156.61</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5.22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3"/>
              <w:jc w:val="right"/>
              <w:rPr>
                <w:rFonts w:ascii="宋体" w:hAnsi="宋体" w:cs="宋体" w:eastAsia="宋体" w:hint="default"/>
                <w:sz w:val="21"/>
                <w:szCs w:val="21"/>
              </w:rPr>
            </w:pPr>
            <w:r>
              <w:rPr>
                <w:rFonts w:ascii="宋体"/>
                <w:spacing w:val="-1"/>
                <w:sz w:val="21"/>
              </w:rPr>
              <w:t>260,689,930.85</w:t>
            </w:r>
          </w:p>
        </w:tc>
      </w:tr>
      <w:tr>
        <w:trPr>
          <w:trHeight w:val="936" w:hRule="exact"/>
        </w:trPr>
        <w:tc>
          <w:tcPr>
            <w:tcW w:w="19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244" w:right="139" w:hanging="106"/>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东的所有者权益</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2"/>
              <w:jc w:val="right"/>
              <w:rPr>
                <w:rFonts w:ascii="宋体" w:hAnsi="宋体" w:cs="宋体" w:eastAsia="宋体" w:hint="default"/>
                <w:sz w:val="21"/>
                <w:szCs w:val="21"/>
              </w:rPr>
            </w:pPr>
            <w:r>
              <w:rPr>
                <w:rFonts w:ascii="宋体"/>
                <w:spacing w:val="-1"/>
                <w:sz w:val="21"/>
              </w:rPr>
              <w:t>626,561,743.54</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583,893,461.09</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sz w:val="21"/>
              </w:rPr>
              <w:t>7.31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159,477,073.63</w:t>
            </w:r>
          </w:p>
        </w:tc>
      </w:tr>
      <w:tr>
        <w:trPr>
          <w:trHeight w:val="305" w:hRule="exact"/>
        </w:trPr>
        <w:tc>
          <w:tcPr>
            <w:tcW w:w="19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股本（股）</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1"/>
              <w:jc w:val="right"/>
              <w:rPr>
                <w:rFonts w:ascii="宋体" w:hAnsi="宋体" w:cs="宋体" w:eastAsia="宋体" w:hint="default"/>
                <w:sz w:val="21"/>
                <w:szCs w:val="21"/>
              </w:rPr>
            </w:pPr>
            <w:r>
              <w:rPr>
                <w:rFonts w:ascii="宋体"/>
                <w:spacing w:val="-1"/>
                <w:sz w:val="21"/>
              </w:rPr>
              <w:t>104,550,000</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4"/>
              <w:jc w:val="right"/>
              <w:rPr>
                <w:rFonts w:ascii="宋体" w:hAnsi="宋体" w:cs="宋体" w:eastAsia="宋体" w:hint="default"/>
                <w:sz w:val="21"/>
                <w:szCs w:val="21"/>
              </w:rPr>
            </w:pPr>
            <w:r>
              <w:rPr>
                <w:rFonts w:ascii="宋体"/>
                <w:spacing w:val="-1"/>
                <w:sz w:val="21"/>
              </w:rPr>
              <w:t>61,500,000</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70.00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46,000,000</w:t>
            </w:r>
          </w:p>
        </w:tc>
      </w:tr>
    </w:tbl>
    <w:p>
      <w:pPr>
        <w:pStyle w:val="Heading3"/>
        <w:spacing w:line="326" w:lineRule="auto" w:before="73"/>
        <w:ind w:left="478" w:right="407" w:firstLine="559"/>
        <w:jc w:val="both"/>
      </w:pPr>
      <w:r>
        <w:rPr/>
        <w:t>（</w:t>
      </w:r>
      <w:r>
        <w:rPr>
          <w:rFonts w:ascii="宋体" w:hAnsi="宋体" w:cs="宋体" w:eastAsia="宋体" w:hint="default"/>
        </w:rPr>
        <w:t>1</w:t>
      </w:r>
      <w:r>
        <w:rPr/>
        <w:t>）报告期内，公司营业总收入比上年同期增长</w:t>
      </w:r>
      <w:r>
        <w:rPr>
          <w:spacing w:val="-80"/>
        </w:rPr>
        <w:t> </w:t>
      </w:r>
      <w:r>
        <w:rPr>
          <w:rFonts w:ascii="宋体" w:hAnsi="宋体" w:cs="宋体" w:eastAsia="宋体" w:hint="default"/>
        </w:rPr>
        <w:t>50.45%</w:t>
      </w:r>
      <w:r>
        <w:rPr/>
        <w:t>，主要</w:t>
      </w:r>
      <w:r>
        <w:rPr>
          <w:w w:val="100"/>
        </w:rPr>
        <w:t> </w:t>
      </w:r>
      <w:r>
        <w:rPr>
          <w:spacing w:val="-1"/>
        </w:rPr>
        <w:t>是因为随着国家铁路建设的不断推进以及高铁项目建设进度的加快，</w:t>
      </w:r>
      <w:r>
        <w:rPr>
          <w:spacing w:val="-116"/>
        </w:rPr>
        <w:t> </w:t>
      </w:r>
      <w:r>
        <w:rPr>
          <w:spacing w:val="-116"/>
        </w:rPr>
      </w:r>
      <w:r>
        <w:rPr>
          <w:spacing w:val="-4"/>
        </w:rPr>
        <w:t>公司募投项目产能逐步释放，铁路信号集中监测系统、无线调车机车</w:t>
      </w:r>
      <w:r>
        <w:rPr>
          <w:spacing w:val="-113"/>
        </w:rPr>
        <w:t> </w:t>
      </w:r>
      <w:r>
        <w:rPr>
          <w:spacing w:val="-113"/>
        </w:rPr>
      </w:r>
      <w:r>
        <w:rPr>
          <w:spacing w:val="-4"/>
        </w:rPr>
        <w:t>信号和监测系统、铁路综合视频监控系统、调度监控系统等产品收入</w:t>
      </w:r>
      <w:r>
        <w:rPr>
          <w:spacing w:val="-112"/>
        </w:rPr>
        <w:t> </w:t>
      </w:r>
      <w:r>
        <w:rPr>
          <w:spacing w:val="-112"/>
        </w:rPr>
      </w:r>
      <w:r>
        <w:rPr>
          <w:spacing w:val="-4"/>
        </w:rPr>
        <w:t>较上年同期大幅度增长。同时铁路防灾安全监控系统、安全生产指挥</w:t>
      </w:r>
      <w:r>
        <w:rPr>
          <w:spacing w:val="-112"/>
        </w:rPr>
        <w:t> </w:t>
      </w:r>
      <w:r>
        <w:rPr>
          <w:spacing w:val="-112"/>
        </w:rPr>
      </w:r>
      <w:r>
        <w:rPr>
          <w:spacing w:val="-4"/>
        </w:rPr>
        <w:t>系统、铁路信号计算机联锁系统、铁路电源及机房环境监控系统属于</w:t>
      </w:r>
      <w:r>
        <w:rPr>
          <w:spacing w:val="-113"/>
        </w:rPr>
        <w:t> </w:t>
      </w:r>
      <w:r>
        <w:rPr>
          <w:spacing w:val="-113"/>
        </w:rPr>
      </w:r>
      <w:r>
        <w:rPr/>
        <w:t>公司报告期内新产品，其收入占总收入的</w:t>
      </w:r>
      <w:r>
        <w:rPr>
          <w:spacing w:val="-74"/>
        </w:rPr>
        <w:t> </w:t>
      </w:r>
      <w:r>
        <w:rPr>
          <w:rFonts w:ascii="宋体" w:hAnsi="宋体" w:cs="宋体" w:eastAsia="宋体" w:hint="default"/>
        </w:rPr>
        <w:t>15%</w:t>
      </w:r>
      <w:r>
        <w:rPr/>
        <w:t>。</w:t>
      </w:r>
    </w:p>
    <w:p>
      <w:pPr>
        <w:pStyle w:val="Heading3"/>
        <w:spacing w:line="328" w:lineRule="auto" w:before="32"/>
        <w:ind w:left="478" w:right="488" w:firstLine="559"/>
        <w:jc w:val="both"/>
      </w:pPr>
      <w:r>
        <w:rPr/>
        <w:t>（</w:t>
      </w:r>
      <w:r>
        <w:rPr>
          <w:rFonts w:ascii="宋体" w:hAnsi="宋体" w:cs="宋体" w:eastAsia="宋体" w:hint="default"/>
        </w:rPr>
        <w:t>2</w:t>
      </w:r>
      <w:r>
        <w:rPr/>
        <w:t>）报告期内，利润总额、归属于上市公司股东的净利润较上</w:t>
      </w:r>
      <w:r>
        <w:rPr>
          <w:w w:val="100"/>
        </w:rPr>
        <w:t> </w:t>
      </w:r>
      <w:r>
        <w:rPr/>
        <w:t>年同期分别增长</w:t>
      </w:r>
      <w:r>
        <w:rPr>
          <w:spacing w:val="36"/>
        </w:rPr>
        <w:t> </w:t>
      </w:r>
      <w:r>
        <w:rPr>
          <w:rFonts w:ascii="宋体" w:hAnsi="宋体" w:cs="宋体" w:eastAsia="宋体" w:hint="default"/>
        </w:rPr>
        <w:t>56.65%</w:t>
      </w:r>
      <w:r>
        <w:rPr/>
        <w:t>、</w:t>
      </w:r>
      <w:r>
        <w:rPr>
          <w:rFonts w:ascii="宋体" w:hAnsi="宋体" w:cs="宋体" w:eastAsia="宋体" w:hint="default"/>
        </w:rPr>
        <w:t>57.63%</w:t>
      </w:r>
      <w:r>
        <w:rPr/>
        <w:t>，主要原因是：①营业收入较上年</w:t>
      </w:r>
      <w:r>
        <w:rPr>
          <w:spacing w:val="-135"/>
        </w:rPr>
        <w:t> </w:t>
      </w:r>
      <w:r>
        <w:rPr>
          <w:spacing w:val="-135"/>
        </w:rPr>
      </w:r>
      <w:r>
        <w:rPr/>
        <w:t>同期增长</w:t>
      </w:r>
      <w:r>
        <w:rPr>
          <w:spacing w:val="-81"/>
        </w:rPr>
        <w:t> </w:t>
      </w:r>
      <w:r>
        <w:rPr>
          <w:rFonts w:ascii="宋体" w:hAnsi="宋体" w:cs="宋体" w:eastAsia="宋体" w:hint="default"/>
        </w:rPr>
        <w:t>50.45%</w:t>
      </w:r>
      <w:r>
        <w:rPr/>
        <w:t>；②</w:t>
      </w:r>
      <w:r>
        <w:rPr>
          <w:rFonts w:ascii="宋体" w:hAnsi="宋体" w:cs="宋体" w:eastAsia="宋体" w:hint="default"/>
        </w:rPr>
        <w:t>2010</w:t>
      </w:r>
      <w:r>
        <w:rPr>
          <w:rFonts w:ascii="宋体" w:hAnsi="宋体" w:cs="宋体" w:eastAsia="宋体" w:hint="default"/>
          <w:spacing w:val="-77"/>
        </w:rPr>
        <w:t> </w:t>
      </w:r>
      <w:r>
        <w:rPr/>
        <w:t>年公司毛利率为</w:t>
      </w:r>
      <w:r>
        <w:rPr>
          <w:spacing w:val="-78"/>
        </w:rPr>
        <w:t> </w:t>
      </w:r>
      <w:r>
        <w:rPr>
          <w:rFonts w:ascii="宋体" w:hAnsi="宋体" w:cs="宋体" w:eastAsia="宋体" w:hint="default"/>
        </w:rPr>
        <w:t>51.18%</w:t>
      </w:r>
      <w:r>
        <w:rPr/>
        <w:t>，比上年同期增长</w:t>
      </w:r>
      <w:r>
        <w:rPr>
          <w:w w:val="100"/>
        </w:rPr>
        <w:t> </w:t>
      </w:r>
      <w:r>
        <w:rPr>
          <w:rFonts w:ascii="宋体" w:hAnsi="宋体" w:cs="宋体" w:eastAsia="宋体" w:hint="default"/>
          <w:spacing w:val="-4"/>
        </w:rPr>
        <w:t>1.20%</w:t>
      </w:r>
      <w:r>
        <w:rPr>
          <w:spacing w:val="-4"/>
        </w:rPr>
        <w:t>；③期间费用平均增速为</w:t>
      </w:r>
      <w:r>
        <w:rPr>
          <w:spacing w:val="-58"/>
        </w:rPr>
        <w:t> </w:t>
      </w:r>
      <w:r>
        <w:rPr>
          <w:rFonts w:ascii="宋体" w:hAnsi="宋体" w:cs="宋体" w:eastAsia="宋体" w:hint="default"/>
          <w:spacing w:val="-5"/>
        </w:rPr>
        <w:t>14.18%</w:t>
      </w:r>
      <w:r>
        <w:rPr>
          <w:spacing w:val="-5"/>
        </w:rPr>
        <w:t>，低于营业收入的</w:t>
      </w:r>
      <w:r>
        <w:rPr>
          <w:spacing w:val="-56"/>
        </w:rPr>
        <w:t> </w:t>
      </w:r>
      <w:r>
        <w:rPr>
          <w:rFonts w:ascii="宋体" w:hAnsi="宋体" w:cs="宋体" w:eastAsia="宋体" w:hint="default"/>
        </w:rPr>
        <w:t>50.45%</w:t>
      </w:r>
      <w:r>
        <w:rPr/>
        <w:t>的增</w:t>
      </w:r>
      <w:r>
        <w:rPr>
          <w:spacing w:val="-135"/>
        </w:rPr>
        <w:t> </w:t>
      </w:r>
      <w:r>
        <w:rPr>
          <w:spacing w:val="-3"/>
        </w:rPr>
        <w:t>长速度；④公司报告期内募投资金的存款利息收入为</w:t>
      </w:r>
      <w:r>
        <w:rPr>
          <w:spacing w:val="-60"/>
        </w:rPr>
        <w:t> </w:t>
      </w:r>
      <w:r>
        <w:rPr>
          <w:rFonts w:ascii="宋体" w:hAnsi="宋体" w:cs="宋体" w:eastAsia="宋体" w:hint="default"/>
        </w:rPr>
        <w:t>526</w:t>
      </w:r>
      <w:r>
        <w:rPr>
          <w:rFonts w:ascii="宋体" w:hAnsi="宋体" w:cs="宋体" w:eastAsia="宋体" w:hint="default"/>
          <w:spacing w:val="-56"/>
        </w:rPr>
        <w:t> </w:t>
      </w:r>
      <w:r>
        <w:rPr>
          <w:spacing w:val="-10"/>
        </w:rPr>
        <w:t>万元，上年</w:t>
      </w:r>
      <w:r>
        <w:rPr>
          <w:spacing w:val="-138"/>
        </w:rPr>
        <w:t> </w:t>
      </w:r>
      <w:r>
        <w:rPr>
          <w:spacing w:val="-138"/>
        </w:rPr>
      </w:r>
      <w:r>
        <w:rPr>
          <w:spacing w:val="20"/>
        </w:rPr>
        <w:t>公司借款利息支出为 </w:t>
      </w:r>
      <w:r>
        <w:rPr>
          <w:rFonts w:ascii="宋体" w:hAnsi="宋体" w:cs="宋体" w:eastAsia="宋体" w:hint="default"/>
        </w:rPr>
        <w:t>166</w:t>
      </w:r>
      <w:r>
        <w:rPr>
          <w:rFonts w:ascii="宋体" w:hAnsi="宋体" w:cs="宋体" w:eastAsia="宋体" w:hint="default"/>
          <w:spacing w:val="76"/>
        </w:rPr>
        <w:t> </w:t>
      </w:r>
      <w:r>
        <w:rPr>
          <w:spacing w:val="20"/>
        </w:rPr>
        <w:t>万元，导致财务费用较上年同期下降</w:t>
      </w:r>
    </w:p>
    <w:p>
      <w:pPr>
        <w:pStyle w:val="Heading3"/>
        <w:spacing w:line="328" w:lineRule="auto"/>
        <w:ind w:left="478" w:right="0"/>
        <w:jc w:val="left"/>
      </w:pPr>
      <w:r>
        <w:rPr>
          <w:rFonts w:ascii="宋体" w:hAnsi="宋体" w:cs="宋体" w:eastAsia="宋体" w:hint="default"/>
          <w:spacing w:val="-3"/>
        </w:rPr>
        <w:t>416.37%</w:t>
      </w:r>
      <w:r>
        <w:rPr>
          <w:spacing w:val="-3"/>
        </w:rPr>
        <w:t>；⑤</w:t>
      </w:r>
      <w:r>
        <w:rPr>
          <w:rFonts w:ascii="宋体" w:hAnsi="宋体" w:cs="宋体" w:eastAsia="宋体" w:hint="default"/>
          <w:spacing w:val="-3"/>
        </w:rPr>
        <w:t>2010</w:t>
      </w:r>
      <w:r>
        <w:rPr>
          <w:rFonts w:ascii="宋体" w:hAnsi="宋体" w:cs="宋体" w:eastAsia="宋体" w:hint="default"/>
          <w:spacing w:val="-70"/>
        </w:rPr>
        <w:t> </w:t>
      </w:r>
      <w:r>
        <w:rPr/>
        <w:t>年公司收到增值税超税负返还收入</w:t>
      </w:r>
      <w:r>
        <w:rPr>
          <w:spacing w:val="-69"/>
        </w:rPr>
        <w:t> </w:t>
      </w:r>
      <w:r>
        <w:rPr>
          <w:rFonts w:ascii="宋体" w:hAnsi="宋体" w:cs="宋体" w:eastAsia="宋体" w:hint="default"/>
        </w:rPr>
        <w:t>1,257.60</w:t>
      </w:r>
      <w:r>
        <w:rPr>
          <w:rFonts w:ascii="宋体" w:hAnsi="宋体" w:cs="宋体" w:eastAsia="宋体" w:hint="default"/>
          <w:spacing w:val="-68"/>
        </w:rPr>
        <w:t> </w:t>
      </w:r>
      <w:r>
        <w:rPr/>
        <w:t>万元，</w:t>
      </w:r>
      <w:r>
        <w:rPr>
          <w:w w:val="100"/>
        </w:rPr>
        <w:t> </w:t>
      </w:r>
      <w:r>
        <w:rPr/>
        <w:t>较上年同期</w:t>
      </w:r>
      <w:r>
        <w:rPr>
          <w:spacing w:val="-73"/>
        </w:rPr>
        <w:t> </w:t>
      </w:r>
      <w:r>
        <w:rPr>
          <w:rFonts w:ascii="宋体" w:hAnsi="宋体" w:cs="宋体" w:eastAsia="宋体" w:hint="default"/>
        </w:rPr>
        <w:t>479.62</w:t>
      </w:r>
      <w:r>
        <w:rPr>
          <w:rFonts w:ascii="宋体" w:hAnsi="宋体" w:cs="宋体" w:eastAsia="宋体" w:hint="default"/>
          <w:spacing w:val="-71"/>
        </w:rPr>
        <w:t> </w:t>
      </w:r>
      <w:r>
        <w:rPr/>
        <w:t>万元同比增加了</w:t>
      </w:r>
      <w:r>
        <w:rPr>
          <w:spacing w:val="-73"/>
        </w:rPr>
        <w:t> </w:t>
      </w:r>
      <w:r>
        <w:rPr>
          <w:rFonts w:ascii="宋体" w:hAnsi="宋体" w:cs="宋体" w:eastAsia="宋体" w:hint="default"/>
        </w:rPr>
        <w:t>162.21%</w:t>
      </w:r>
      <w:r>
        <w:rPr/>
        <w:t>。</w:t>
      </w:r>
    </w:p>
    <w:p>
      <w:pPr>
        <w:pStyle w:val="Heading3"/>
        <w:spacing w:line="328" w:lineRule="auto"/>
        <w:ind w:left="478" w:right="491" w:firstLine="559"/>
        <w:jc w:val="both"/>
      </w:pPr>
      <w:r>
        <w:rPr/>
        <w:t>（</w:t>
      </w:r>
      <w:r>
        <w:rPr>
          <w:rFonts w:ascii="宋体" w:hAnsi="宋体" w:cs="宋体" w:eastAsia="宋体" w:hint="default"/>
        </w:rPr>
        <w:t>3</w:t>
      </w:r>
      <w:r>
        <w:rPr/>
        <w:t>）报告期内，归属于上市公司股东的扣除非经常性损益的净</w:t>
      </w:r>
      <w:r>
        <w:rPr>
          <w:w w:val="100"/>
        </w:rPr>
        <w:t> </w:t>
      </w:r>
      <w:r>
        <w:rPr/>
        <w:t>利润比上年同期增长</w:t>
      </w:r>
      <w:r>
        <w:rPr>
          <w:spacing w:val="41"/>
        </w:rPr>
        <w:t> </w:t>
      </w:r>
      <w:r>
        <w:rPr>
          <w:rFonts w:ascii="宋体" w:hAnsi="宋体" w:cs="宋体" w:eastAsia="宋体" w:hint="default"/>
        </w:rPr>
        <w:t>83.70%</w:t>
      </w:r>
      <w:r>
        <w:rPr/>
        <w:t>，主要原因是报告期内归属于母公司普</w:t>
      </w:r>
      <w:r>
        <w:rPr>
          <w:spacing w:val="-136"/>
        </w:rPr>
        <w:t> </w:t>
      </w:r>
      <w:r>
        <w:rPr>
          <w:spacing w:val="-136"/>
        </w:rPr>
      </w:r>
      <w:r>
        <w:rPr/>
        <w:t>通股股东净利润的非经常性损益比上年同期减少</w:t>
      </w:r>
      <w:r>
        <w:rPr>
          <w:spacing w:val="-77"/>
        </w:rPr>
        <w:t> </w:t>
      </w:r>
      <w:r>
        <w:rPr>
          <w:rFonts w:ascii="宋体" w:hAnsi="宋体" w:cs="宋体" w:eastAsia="宋体" w:hint="default"/>
        </w:rPr>
        <w:t>67.32%</w:t>
      </w:r>
      <w:r>
        <w:rPr/>
        <w:t>；</w:t>
      </w:r>
    </w:p>
    <w:p>
      <w:pPr>
        <w:pStyle w:val="Heading3"/>
        <w:spacing w:line="328" w:lineRule="auto"/>
        <w:ind w:left="478" w:right="489" w:firstLine="559"/>
        <w:jc w:val="both"/>
      </w:pPr>
      <w:r>
        <w:rPr/>
        <w:t>（</w:t>
      </w:r>
      <w:r>
        <w:rPr>
          <w:rFonts w:ascii="宋体" w:hAnsi="宋体" w:cs="宋体" w:eastAsia="宋体" w:hint="default"/>
        </w:rPr>
        <w:t>4</w:t>
      </w:r>
      <w:r>
        <w:rPr/>
        <w:t>）报告期内，经营活动产生的现金流量净额比上年同期减少</w:t>
      </w:r>
      <w:r>
        <w:rPr>
          <w:w w:val="100"/>
        </w:rPr>
        <w:t> </w:t>
      </w:r>
      <w:r>
        <w:rPr>
          <w:rFonts w:ascii="宋体" w:hAnsi="宋体" w:cs="宋体" w:eastAsia="宋体" w:hint="default"/>
        </w:rPr>
        <w:t>46.48%</w:t>
      </w:r>
      <w:r>
        <w:rPr/>
        <w:t>，主要原因是：公司经营活动现金流入增长</w:t>
      </w:r>
      <w:r>
        <w:rPr>
          <w:spacing w:val="38"/>
        </w:rPr>
        <w:t> </w:t>
      </w:r>
      <w:r>
        <w:rPr>
          <w:rFonts w:ascii="宋体" w:hAnsi="宋体" w:cs="宋体" w:eastAsia="宋体" w:hint="default"/>
        </w:rPr>
        <w:t>38.34%</w:t>
      </w:r>
      <w:r>
        <w:rPr/>
        <w:t>，经营活</w:t>
      </w:r>
      <w:r>
        <w:rPr>
          <w:spacing w:val="-135"/>
        </w:rPr>
        <w:t> </w:t>
      </w:r>
      <w:r>
        <w:rPr>
          <w:spacing w:val="-135"/>
        </w:rPr>
      </w:r>
      <w:r>
        <w:rPr/>
        <w:t>动现金流出增长</w:t>
      </w:r>
      <w:r>
        <w:rPr>
          <w:spacing w:val="42"/>
        </w:rPr>
        <w:t> </w:t>
      </w:r>
      <w:r>
        <w:rPr>
          <w:rFonts w:ascii="宋体" w:hAnsi="宋体" w:cs="宋体" w:eastAsia="宋体" w:hint="default"/>
        </w:rPr>
        <w:t>60.17%</w:t>
      </w:r>
      <w:r>
        <w:rPr/>
        <w:t>，经营活动现金流出增幅大于经营活动现金</w:t>
      </w:r>
      <w:r>
        <w:rPr>
          <w:spacing w:val="-136"/>
        </w:rPr>
        <w:t> </w:t>
      </w:r>
      <w:r>
        <w:rPr>
          <w:spacing w:val="-136"/>
        </w:rPr>
      </w:r>
      <w:r>
        <w:rPr/>
        <w:t>流入增幅；</w:t>
      </w:r>
    </w:p>
    <w:p>
      <w:pPr>
        <w:pStyle w:val="Heading3"/>
        <w:spacing w:line="240" w:lineRule="auto"/>
        <w:ind w:left="1037" w:right="0"/>
        <w:jc w:val="left"/>
      </w:pPr>
      <w:r>
        <w:rPr/>
        <w:t>（</w:t>
      </w:r>
      <w:r>
        <w:rPr>
          <w:rFonts w:ascii="宋体" w:hAnsi="宋体" w:cs="宋体" w:eastAsia="宋体" w:hint="default"/>
        </w:rPr>
        <w:t>5</w:t>
      </w:r>
      <w:r>
        <w:rPr/>
        <w:t>）报告期内，股本比上年同期增长</w:t>
      </w:r>
      <w:r>
        <w:rPr>
          <w:spacing w:val="46"/>
        </w:rPr>
        <w:t> </w:t>
      </w:r>
      <w:r>
        <w:rPr>
          <w:rFonts w:ascii="宋体" w:hAnsi="宋体" w:cs="宋体" w:eastAsia="宋体" w:hint="default"/>
        </w:rPr>
        <w:t>70%</w:t>
      </w:r>
      <w:r>
        <w:rPr/>
        <w:t>是因为公司在报告期</w:t>
      </w:r>
    </w:p>
    <w:p>
      <w:pPr>
        <w:spacing w:after="0" w:line="240" w:lineRule="auto"/>
        <w:jc w:val="left"/>
        <w:sectPr>
          <w:headerReference w:type="default" r:id="rId23"/>
          <w:pgSz w:w="11910" w:h="16840"/>
          <w:pgMar w:header="624" w:footer="1045" w:top="980" w:bottom="1240" w:left="1320" w:right="1300"/>
        </w:sectPr>
      </w:pPr>
    </w:p>
    <w:p>
      <w:pPr>
        <w:spacing w:line="240" w:lineRule="auto" w:before="11"/>
        <w:rPr>
          <w:rFonts w:ascii="宋体" w:hAnsi="宋体" w:cs="宋体" w:eastAsia="宋体" w:hint="default"/>
          <w:sz w:val="18"/>
          <w:szCs w:val="18"/>
        </w:r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624" w:footer="1045" w:top="980" w:bottom="1240" w:left="1200" w:right="1180"/>
        </w:sectPr>
      </w:pPr>
    </w:p>
    <w:p>
      <w:pPr>
        <w:spacing w:line="328" w:lineRule="auto" w:before="68"/>
        <w:ind w:left="739" w:right="139" w:hanging="142"/>
        <w:jc w:val="left"/>
        <w:rPr>
          <w:rFonts w:ascii="宋体" w:hAnsi="宋体" w:cs="宋体" w:eastAsia="宋体" w:hint="default"/>
          <w:sz w:val="28"/>
          <w:szCs w:val="28"/>
        </w:rPr>
      </w:pPr>
      <w:r>
        <w:rPr>
          <w:rFonts w:ascii="宋体" w:hAnsi="宋体" w:cs="宋体" w:eastAsia="宋体" w:hint="default"/>
          <w:sz w:val="28"/>
          <w:szCs w:val="28"/>
        </w:rPr>
        <w:t>内实施了</w:t>
      </w:r>
      <w:r>
        <w:rPr>
          <w:rFonts w:ascii="宋体" w:hAnsi="宋体" w:cs="宋体" w:eastAsia="宋体" w:hint="default"/>
          <w:spacing w:val="-71"/>
          <w:sz w:val="28"/>
          <w:szCs w:val="28"/>
        </w:rPr>
        <w:t> </w:t>
      </w:r>
      <w:r>
        <w:rPr>
          <w:rFonts w:ascii="宋体" w:hAnsi="宋体" w:cs="宋体" w:eastAsia="宋体" w:hint="default"/>
          <w:sz w:val="28"/>
          <w:szCs w:val="28"/>
        </w:rPr>
        <w:t>10</w:t>
      </w:r>
      <w:r>
        <w:rPr>
          <w:rFonts w:ascii="宋体" w:hAnsi="宋体" w:cs="宋体" w:eastAsia="宋体" w:hint="default"/>
          <w:spacing w:val="-70"/>
          <w:sz w:val="28"/>
          <w:szCs w:val="28"/>
        </w:rPr>
        <w:t> </w:t>
      </w:r>
      <w:r>
        <w:rPr>
          <w:rFonts w:ascii="宋体" w:hAnsi="宋体" w:cs="宋体" w:eastAsia="宋体" w:hint="default"/>
          <w:sz w:val="28"/>
          <w:szCs w:val="28"/>
        </w:rPr>
        <w:t>股送</w:t>
      </w:r>
      <w:r>
        <w:rPr>
          <w:rFonts w:ascii="宋体" w:hAnsi="宋体" w:cs="宋体" w:eastAsia="宋体" w:hint="default"/>
          <w:spacing w:val="-68"/>
          <w:sz w:val="28"/>
          <w:szCs w:val="28"/>
        </w:rPr>
        <w:t> </w:t>
      </w:r>
      <w:r>
        <w:rPr>
          <w:rFonts w:ascii="宋体" w:hAnsi="宋体" w:cs="宋体" w:eastAsia="宋体" w:hint="default"/>
          <w:sz w:val="28"/>
          <w:szCs w:val="28"/>
        </w:rPr>
        <w:t>7</w:t>
      </w:r>
      <w:r>
        <w:rPr>
          <w:rFonts w:ascii="宋体" w:hAnsi="宋体" w:cs="宋体" w:eastAsia="宋体" w:hint="default"/>
          <w:spacing w:val="-70"/>
          <w:sz w:val="28"/>
          <w:szCs w:val="28"/>
        </w:rPr>
        <w:t> </w:t>
      </w:r>
      <w:r>
        <w:rPr>
          <w:rFonts w:ascii="宋体" w:hAnsi="宋体" w:cs="宋体" w:eastAsia="宋体" w:hint="default"/>
          <w:sz w:val="28"/>
          <w:szCs w:val="28"/>
        </w:rPr>
        <w:t>股的配送方案。</w:t>
      </w:r>
      <w:r>
        <w:rPr>
          <w:rFonts w:ascii="宋体" w:hAnsi="宋体" w:cs="宋体" w:eastAsia="宋体" w:hint="default"/>
          <w:w w:val="100"/>
          <w:sz w:val="28"/>
          <w:szCs w:val="28"/>
        </w:rPr>
        <w:t> </w:t>
      </w:r>
      <w:r>
        <w:rPr>
          <w:rFonts w:ascii="宋体" w:hAnsi="宋体" w:cs="宋体" w:eastAsia="宋体" w:hint="default"/>
          <w:b/>
          <w:bCs/>
          <w:sz w:val="28"/>
          <w:szCs w:val="28"/>
        </w:rPr>
        <w:t>2</w:t>
      </w:r>
      <w:r>
        <w:rPr>
          <w:rFonts w:ascii="宋体" w:hAnsi="宋体" w:cs="宋体" w:eastAsia="宋体" w:hint="default"/>
          <w:b/>
          <w:bCs/>
          <w:sz w:val="28"/>
          <w:szCs w:val="28"/>
        </w:rPr>
        <w:t>、公司主营业务经营情况</w:t>
      </w:r>
      <w:r>
        <w:rPr>
          <w:rFonts w:ascii="宋体" w:hAnsi="宋体" w:cs="宋体" w:eastAsia="宋体" w:hint="default"/>
          <w:sz w:val="28"/>
          <w:szCs w:val="28"/>
        </w:rPr>
      </w:r>
    </w:p>
    <w:p>
      <w:pPr>
        <w:pStyle w:val="Heading2"/>
        <w:spacing w:line="240" w:lineRule="auto"/>
        <w:ind w:left="739" w:right="-19"/>
        <w:jc w:val="left"/>
        <w:rPr>
          <w:b w:val="0"/>
          <w:bCs w:val="0"/>
        </w:rPr>
      </w:pPr>
      <w:r>
        <w:rPr/>
        <w:t>（</w:t>
      </w:r>
      <w:r>
        <w:rPr>
          <w:rFonts w:ascii="宋体" w:hAnsi="宋体" w:cs="宋体" w:eastAsia="宋体" w:hint="default"/>
        </w:rPr>
        <w:t>1</w:t>
      </w:r>
      <w:r>
        <w:rPr/>
        <w:t>）主营业务分行业、分产品情况</w:t>
      </w:r>
      <w:r>
        <w:rPr>
          <w:b w:val="0"/>
          <w:bCs w:val="0"/>
        </w:rPr>
      </w:r>
    </w:p>
    <w:p>
      <w:pPr>
        <w:spacing w:line="240" w:lineRule="auto" w:before="0"/>
        <w:rPr>
          <w:rFonts w:ascii="宋体" w:hAnsi="宋体" w:cs="宋体" w:eastAsia="宋体" w:hint="default"/>
          <w:b/>
          <w:bCs/>
          <w:sz w:val="28"/>
          <w:szCs w:val="28"/>
        </w:rPr>
      </w:pPr>
      <w:r>
        <w:rPr/>
        <w:br w:type="column"/>
      </w:r>
      <w:r>
        <w:rPr>
          <w:rFonts w:ascii="宋体"/>
          <w:b/>
          <w:sz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35"/>
          <w:szCs w:val="35"/>
        </w:rPr>
      </w:pPr>
    </w:p>
    <w:p>
      <w:pPr>
        <w:pStyle w:val="Heading3"/>
        <w:spacing w:line="240" w:lineRule="auto" w:before="0"/>
        <w:ind w:left="598" w:right="0"/>
        <w:jc w:val="left"/>
      </w:pPr>
      <w:r>
        <w:rPr/>
        <w:pict>
          <v:shape style="position:absolute;margin-left:395.709991pt;margin-top:63.151573pt;width:69.05pt;height:20.55pt;mso-position-horizontal-relative:page;mso-position-vertical-relative:paragraph;z-index:-683152" type="#_x0000_t202" filled="false" stroked="false">
            <v:textbox inset="0,0,0,0">
              <w:txbxContent>
                <w:p>
                  <w:pPr>
                    <w:pStyle w:val="BodyText"/>
                    <w:spacing w:line="241" w:lineRule="exact"/>
                    <w:ind w:left="0" w:right="0"/>
                    <w:jc w:val="left"/>
                  </w:pPr>
                  <w:r>
                    <w:rPr>
                      <w:w w:val="100"/>
                    </w:rPr>
                    <w:t>）</w:t>
                  </w:r>
                </w:p>
              </w:txbxContent>
            </v:textbox>
            <w10:wrap type="none"/>
          </v:shape>
        </w:pict>
      </w:r>
      <w:r>
        <w:rPr/>
        <w:pict>
          <v:shape style="position:absolute;margin-left:459.579987pt;margin-top:63.151573pt;width:69pt;height:20.55pt;mso-position-horizontal-relative:page;mso-position-vertical-relative:paragraph;z-index:-683128" type="#_x0000_t202" filled="false" stroked="false">
            <v:textbox inset="0,0,0,0">
              <w:txbxContent>
                <w:p>
                  <w:pPr>
                    <w:pStyle w:val="BodyText"/>
                    <w:spacing w:line="241" w:lineRule="exact"/>
                    <w:ind w:left="0" w:right="0"/>
                    <w:jc w:val="left"/>
                  </w:pPr>
                  <w:r>
                    <w:rPr>
                      <w:w w:val="100"/>
                    </w:rPr>
                    <w:t>）</w:t>
                  </w:r>
                </w:p>
              </w:txbxContent>
            </v:textbox>
            <w10:wrap type="none"/>
          </v:shape>
        </w:pict>
      </w:r>
      <w:r>
        <w:rPr/>
        <w:t>单位：万元</w:t>
      </w:r>
    </w:p>
    <w:p>
      <w:pPr>
        <w:spacing w:after="0" w:line="240" w:lineRule="auto"/>
        <w:jc w:val="left"/>
        <w:sectPr>
          <w:type w:val="continuous"/>
          <w:pgSz w:w="11910" w:h="16840"/>
          <w:pgMar w:top="1240" w:bottom="1240" w:left="1200" w:right="1180"/>
          <w:cols w:num="2" w:equalWidth="0">
            <w:col w:w="5098" w:space="1815"/>
            <w:col w:w="2617"/>
          </w:cols>
        </w:sectPr>
      </w:pPr>
    </w:p>
    <w:p>
      <w:pPr>
        <w:spacing w:line="240" w:lineRule="auto" w:before="9"/>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342"/>
        <w:gridCol w:w="1133"/>
        <w:gridCol w:w="1075"/>
        <w:gridCol w:w="910"/>
        <w:gridCol w:w="1277"/>
        <w:gridCol w:w="1275"/>
        <w:gridCol w:w="1277"/>
      </w:tblGrid>
      <w:tr>
        <w:trPr>
          <w:trHeight w:val="418" w:hRule="exact"/>
        </w:trPr>
        <w:tc>
          <w:tcPr>
            <w:tcW w:w="92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23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0"/>
              <w:ind w:left="429"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0"/>
              <w:ind w:left="1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0"/>
              <w:ind w:left="1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133"/>
              <w:ind w:left="18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firstLine="84"/>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before="133"/>
              <w:ind w:left="21" w:right="0"/>
              <w:jc w:val="left"/>
              <w:rPr>
                <w:rFonts w:ascii="宋体" w:hAnsi="宋体" w:cs="宋体" w:eastAsia="宋体" w:hint="default"/>
                <w:sz w:val="21"/>
                <w:szCs w:val="21"/>
              </w:rPr>
            </w:pPr>
            <w:r>
              <w:rPr>
                <w:rFonts w:ascii="宋体" w:hAnsi="宋体" w:cs="宋体" w:eastAsia="宋体" w:hint="default"/>
                <w:spacing w:val="-8"/>
                <w:sz w:val="21"/>
                <w:szCs w:val="21"/>
              </w:rPr>
              <w:t>上年增减（</w:t>
            </w:r>
            <w:r>
              <w:rPr>
                <w:rFonts w:ascii="宋体" w:hAnsi="宋体" w:cs="宋体" w:eastAsia="宋体" w:hint="default"/>
                <w:spacing w:val="-8"/>
                <w:sz w:val="21"/>
                <w:szCs w:val="21"/>
              </w:rPr>
              <w:t>%</w:t>
            </w:r>
          </w:p>
        </w:tc>
        <w:tc>
          <w:tcPr>
            <w:tcW w:w="12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1" w:right="0" w:firstLine="84"/>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40" w:lineRule="auto" w:before="133"/>
              <w:ind w:left="21" w:right="0"/>
              <w:jc w:val="left"/>
              <w:rPr>
                <w:rFonts w:ascii="宋体" w:hAnsi="宋体" w:cs="宋体" w:eastAsia="宋体" w:hint="default"/>
                <w:sz w:val="21"/>
                <w:szCs w:val="21"/>
              </w:rPr>
            </w:pPr>
            <w:r>
              <w:rPr>
                <w:rFonts w:ascii="宋体" w:hAnsi="宋体" w:cs="宋体" w:eastAsia="宋体" w:hint="default"/>
                <w:spacing w:val="-8"/>
                <w:sz w:val="21"/>
                <w:szCs w:val="21"/>
              </w:rPr>
              <w:t>上年增减（</w:t>
            </w:r>
            <w:r>
              <w:rPr>
                <w:rFonts w:ascii="宋体" w:hAnsi="宋体" w:cs="宋体" w:eastAsia="宋体" w:hint="default"/>
                <w:spacing w:val="-8"/>
                <w:sz w:val="21"/>
                <w:szCs w:val="21"/>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5" w:right="0" w:firstLine="52"/>
              <w:jc w:val="left"/>
              <w:rPr>
                <w:rFonts w:ascii="宋体" w:hAnsi="宋体" w:cs="宋体" w:eastAsia="宋体" w:hint="default"/>
                <w:sz w:val="21"/>
                <w:szCs w:val="21"/>
              </w:rPr>
            </w:pPr>
            <w:r>
              <w:rPr>
                <w:rFonts w:ascii="宋体" w:hAnsi="宋体" w:cs="宋体" w:eastAsia="宋体" w:hint="default"/>
                <w:sz w:val="21"/>
                <w:szCs w:val="21"/>
              </w:rPr>
              <w:t>毛利率比上</w:t>
            </w:r>
          </w:p>
          <w:p>
            <w:pPr>
              <w:pStyle w:val="TableParagraph"/>
              <w:spacing w:line="240" w:lineRule="auto" w:before="133"/>
              <w:ind w:left="55"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418"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铁路通信信号行业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24,429.21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11,921.16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49.73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46.71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1.56</w:t>
            </w:r>
          </w:p>
        </w:tc>
      </w:tr>
      <w:tr>
        <w:trPr>
          <w:trHeight w:val="418" w:hRule="exact"/>
        </w:trPr>
        <w:tc>
          <w:tcPr>
            <w:tcW w:w="92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421"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铁路信号集中监测系统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16,276.88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8,197.70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49.64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26.78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32.85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-2.30</w:t>
            </w:r>
          </w:p>
        </w:tc>
      </w:tr>
      <w:tr>
        <w:trPr>
          <w:trHeight w:val="418"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1,163.23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429.08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63.11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-43.35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-9.46</w:t>
            </w:r>
          </w:p>
        </w:tc>
      </w:tr>
      <w:tr>
        <w:trPr>
          <w:trHeight w:val="418"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15,113.65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7,768.62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48.60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49.99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43.51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2.32</w:t>
            </w:r>
          </w:p>
        </w:tc>
      </w:tr>
      <w:tr>
        <w:trPr>
          <w:trHeight w:val="828"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无线调车机车信号和监</w:t>
            </w:r>
          </w:p>
          <w:p>
            <w:pPr>
              <w:pStyle w:val="TableParagraph"/>
              <w:spacing w:line="240" w:lineRule="auto" w:before="133"/>
              <w:ind w:left="21" w:right="0"/>
              <w:jc w:val="left"/>
              <w:rPr>
                <w:rFonts w:ascii="宋体" w:hAnsi="宋体" w:cs="宋体" w:eastAsia="宋体" w:hint="default"/>
                <w:sz w:val="21"/>
                <w:szCs w:val="21"/>
              </w:rPr>
            </w:pPr>
            <w:r>
              <w:rPr>
                <w:rFonts w:ascii="宋体" w:hAnsi="宋体" w:cs="宋体" w:eastAsia="宋体" w:hint="default"/>
                <w:sz w:val="21"/>
                <w:szCs w:val="21"/>
              </w:rPr>
              <w:t>测系统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9"/>
              <w:jc w:val="right"/>
              <w:rPr>
                <w:rFonts w:ascii="宋体" w:hAnsi="宋体" w:cs="宋体" w:eastAsia="宋体" w:hint="default"/>
                <w:sz w:val="21"/>
                <w:szCs w:val="21"/>
              </w:rPr>
            </w:pPr>
            <w:r>
              <w:rPr>
                <w:rFonts w:ascii="宋体"/>
                <w:spacing w:val="-1"/>
                <w:sz w:val="21"/>
              </w:rPr>
              <w:t>2,881.32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9"/>
              <w:jc w:val="right"/>
              <w:rPr>
                <w:rFonts w:ascii="宋体" w:hAnsi="宋体" w:cs="宋体" w:eastAsia="宋体" w:hint="default"/>
                <w:sz w:val="21"/>
                <w:szCs w:val="21"/>
              </w:rPr>
            </w:pPr>
            <w:r>
              <w:rPr>
                <w:rFonts w:ascii="宋体"/>
                <w:spacing w:val="-1"/>
                <w:sz w:val="21"/>
              </w:rPr>
              <w:t>1,350.84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1"/>
              <w:jc w:val="right"/>
              <w:rPr>
                <w:rFonts w:ascii="宋体" w:hAnsi="宋体" w:cs="宋体" w:eastAsia="宋体" w:hint="default"/>
                <w:sz w:val="21"/>
                <w:szCs w:val="21"/>
              </w:rPr>
            </w:pPr>
            <w:r>
              <w:rPr>
                <w:rFonts w:ascii="宋体"/>
                <w:sz w:val="21"/>
              </w:rPr>
              <w:t>53.12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3"/>
              <w:jc w:val="right"/>
              <w:rPr>
                <w:rFonts w:ascii="宋体" w:hAnsi="宋体" w:cs="宋体" w:eastAsia="宋体" w:hint="default"/>
                <w:sz w:val="21"/>
                <w:szCs w:val="21"/>
              </w:rPr>
            </w:pPr>
            <w:r>
              <w:rPr>
                <w:rFonts w:ascii="宋体"/>
                <w:sz w:val="21"/>
              </w:rPr>
              <w:t>97.66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0"/>
              <w:jc w:val="right"/>
              <w:rPr>
                <w:rFonts w:ascii="宋体" w:hAnsi="宋体" w:cs="宋体" w:eastAsia="宋体" w:hint="default"/>
                <w:sz w:val="21"/>
                <w:szCs w:val="21"/>
              </w:rPr>
            </w:pPr>
            <w:r>
              <w:rPr>
                <w:rFonts w:ascii="宋体"/>
                <w:sz w:val="21"/>
              </w:rPr>
              <w:t>51.28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9"/>
              <w:jc w:val="right"/>
              <w:rPr>
                <w:rFonts w:ascii="宋体" w:hAnsi="宋体" w:cs="宋体" w:eastAsia="宋体" w:hint="default"/>
                <w:sz w:val="21"/>
                <w:szCs w:val="21"/>
              </w:rPr>
            </w:pPr>
            <w:r>
              <w:rPr>
                <w:rFonts w:ascii="宋体"/>
                <w:sz w:val="21"/>
              </w:rPr>
              <w:t>14.38</w:t>
            </w:r>
          </w:p>
        </w:tc>
      </w:tr>
      <w:tr>
        <w:trPr>
          <w:trHeight w:val="420"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铁路防灾安全监控系统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宋体" w:hAnsi="宋体" w:cs="宋体" w:eastAsia="宋体" w:hint="default"/>
                <w:sz w:val="21"/>
                <w:szCs w:val="21"/>
              </w:rPr>
            </w:pPr>
            <w:r>
              <w:rPr>
                <w:rFonts w:ascii="宋体"/>
                <w:spacing w:val="-1"/>
                <w:sz w:val="21"/>
              </w:rPr>
              <w:t>3,414.31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宋体" w:hAnsi="宋体" w:cs="宋体" w:eastAsia="宋体" w:hint="default"/>
                <w:sz w:val="21"/>
                <w:szCs w:val="21"/>
              </w:rPr>
            </w:pPr>
            <w:r>
              <w:rPr>
                <w:rFonts w:ascii="宋体"/>
                <w:spacing w:val="-1"/>
                <w:sz w:val="21"/>
              </w:rPr>
              <w:t>1,549.41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54.62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w:t>
            </w:r>
          </w:p>
        </w:tc>
      </w:tr>
    </w:tbl>
    <w:p>
      <w:pPr>
        <w:pStyle w:val="Heading3"/>
        <w:spacing w:line="326" w:lineRule="auto" w:before="73"/>
        <w:ind w:left="598" w:right="611" w:firstLine="559"/>
        <w:jc w:val="both"/>
      </w:pPr>
      <w:r>
        <w:rPr>
          <w:spacing w:val="-5"/>
        </w:rPr>
        <w:t>报告期内，公司在保持主导产品铁路信号集中监测系统（注：原</w:t>
      </w:r>
      <w:r>
        <w:rPr>
          <w:w w:val="100"/>
        </w:rPr>
        <w:t> </w:t>
      </w:r>
      <w:r>
        <w:rPr>
          <w:spacing w:val="-4"/>
        </w:rPr>
        <w:t>铁路信号微机监测系统）销售增长的同时，推出了新产品铁路防灾安</w:t>
      </w:r>
      <w:r>
        <w:rPr>
          <w:spacing w:val="-111"/>
        </w:rPr>
        <w:t> </w:t>
      </w:r>
      <w:r>
        <w:rPr>
          <w:spacing w:val="-111"/>
        </w:rPr>
      </w:r>
      <w:r>
        <w:rPr>
          <w:spacing w:val="-4"/>
        </w:rPr>
        <w:t>全监控系统，占公司销售收入的</w:t>
      </w:r>
      <w:r>
        <w:rPr>
          <w:rFonts w:ascii="宋体" w:hAnsi="宋体" w:cs="宋体" w:eastAsia="宋体" w:hint="default"/>
          <w:spacing w:val="-4"/>
        </w:rPr>
        <w:t>13.64%</w:t>
      </w:r>
      <w:r>
        <w:rPr>
          <w:spacing w:val="-4"/>
        </w:rPr>
        <w:t>。报告期内，公司主营业务及</w:t>
      </w:r>
      <w:r>
        <w:rPr>
          <w:spacing w:val="-104"/>
        </w:rPr>
        <w:t> </w:t>
      </w:r>
      <w:r>
        <w:rPr>
          <w:spacing w:val="-104"/>
        </w:rPr>
      </w:r>
      <w:r>
        <w:rPr>
          <w:spacing w:val="-4"/>
        </w:rPr>
        <w:t>其结构、主营业务盈利能力未发生重大变化，公司主营业务市场、主</w:t>
      </w:r>
      <w:r>
        <w:rPr>
          <w:spacing w:val="-113"/>
        </w:rPr>
        <w:t> </w:t>
      </w:r>
      <w:r>
        <w:rPr>
          <w:spacing w:val="-113"/>
        </w:rPr>
      </w:r>
      <w:r>
        <w:rPr/>
        <w:t>营业务成本结构未发生重大变化。</w:t>
      </w:r>
    </w:p>
    <w:p>
      <w:pPr>
        <w:pStyle w:val="Heading2"/>
        <w:spacing w:line="240" w:lineRule="auto" w:before="32"/>
        <w:ind w:left="739" w:right="0"/>
        <w:jc w:val="left"/>
        <w:rPr>
          <w:b w:val="0"/>
          <w:bCs w:val="0"/>
        </w:rPr>
      </w:pPr>
      <w:r>
        <w:rPr/>
        <w:t>（</w:t>
      </w:r>
      <w:r>
        <w:rPr>
          <w:rFonts w:ascii="宋体" w:hAnsi="宋体" w:cs="宋体" w:eastAsia="宋体" w:hint="default"/>
        </w:rPr>
        <w:t>2</w:t>
      </w:r>
      <w:r>
        <w:rPr/>
        <w:t>）主营业务分地区情况</w:t>
      </w:r>
      <w:r>
        <w:rPr>
          <w:b w:val="0"/>
          <w:bCs w:val="0"/>
        </w:rPr>
      </w:r>
    </w:p>
    <w:p>
      <w:pPr>
        <w:spacing w:line="240" w:lineRule="auto" w:before="3"/>
        <w:rPr>
          <w:rFonts w:ascii="宋体" w:hAnsi="宋体" w:cs="宋体" w:eastAsia="宋体" w:hint="default"/>
          <w:b/>
          <w:bCs/>
          <w:sz w:val="9"/>
          <w:szCs w:val="9"/>
        </w:rPr>
      </w:pPr>
    </w:p>
    <w:p>
      <w:pPr>
        <w:pStyle w:val="Heading3"/>
        <w:spacing w:line="240" w:lineRule="auto" w:before="14"/>
        <w:ind w:left="0" w:right="611"/>
        <w:jc w:val="right"/>
      </w:pPr>
      <w:r>
        <w:rPr>
          <w:spacing w:val="-1"/>
        </w:rPr>
        <w:t>单位：万元</w:t>
      </w:r>
    </w:p>
    <w:p>
      <w:pPr>
        <w:spacing w:line="240" w:lineRule="auto" w:before="7"/>
        <w:rPr>
          <w:rFonts w:ascii="宋体" w:hAnsi="宋体" w:cs="宋体" w:eastAsia="宋体" w:hint="default"/>
          <w:sz w:val="4"/>
          <w:szCs w:val="4"/>
        </w:rPr>
      </w:pPr>
    </w:p>
    <w:tbl>
      <w:tblPr>
        <w:tblW w:w="0" w:type="auto"/>
        <w:jc w:val="left"/>
        <w:tblInd w:w="509" w:type="dxa"/>
        <w:tblLayout w:type="fixed"/>
        <w:tblCellMar>
          <w:top w:w="0" w:type="dxa"/>
          <w:left w:w="0" w:type="dxa"/>
          <w:bottom w:w="0" w:type="dxa"/>
          <w:right w:w="0" w:type="dxa"/>
        </w:tblCellMar>
        <w:tblLook w:val="01E0"/>
      </w:tblPr>
      <w:tblGrid>
        <w:gridCol w:w="2811"/>
        <w:gridCol w:w="2861"/>
        <w:gridCol w:w="2809"/>
      </w:tblGrid>
      <w:tr>
        <w:trPr>
          <w:trHeight w:val="478" w:hRule="exact"/>
        </w:trPr>
        <w:tc>
          <w:tcPr>
            <w:tcW w:w="28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945"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8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4"/>
              <w:jc w:val="right"/>
              <w:rPr>
                <w:rFonts w:ascii="宋体" w:hAnsi="宋体" w:cs="宋体" w:eastAsia="宋体" w:hint="default"/>
                <w:sz w:val="24"/>
                <w:szCs w:val="24"/>
              </w:rPr>
            </w:pPr>
            <w:r>
              <w:rPr>
                <w:rFonts w:ascii="宋体" w:hAnsi="宋体" w:cs="宋体" w:eastAsia="宋体" w:hint="default"/>
                <w:sz w:val="24"/>
                <w:szCs w:val="24"/>
              </w:rPr>
              <w:t>营业收入比上年增减（</w:t>
            </w:r>
            <w:r>
              <w:rPr>
                <w:rFonts w:ascii="宋体" w:hAnsi="宋体" w:cs="宋体" w:eastAsia="宋体" w:hint="default"/>
                <w:sz w:val="24"/>
                <w:szCs w:val="24"/>
              </w:rPr>
              <w:t>%</w:t>
            </w:r>
            <w:r>
              <w:rPr>
                <w:rFonts w:ascii="宋体" w:hAnsi="宋体" w:cs="宋体" w:eastAsia="宋体" w:hint="default"/>
                <w:sz w:val="24"/>
                <w:szCs w:val="24"/>
              </w:rPr>
              <w:t>）</w:t>
            </w:r>
          </w:p>
        </w:tc>
      </w:tr>
      <w:tr>
        <w:trPr>
          <w:trHeight w:val="475"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4"/>
                <w:szCs w:val="24"/>
              </w:rPr>
            </w:pPr>
            <w:r>
              <w:rPr>
                <w:rFonts w:ascii="宋体" w:hAnsi="宋体" w:cs="宋体" w:eastAsia="宋体" w:hint="default"/>
                <w:sz w:val="24"/>
                <w:szCs w:val="24"/>
              </w:rPr>
              <w:t>华东区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6,380.74</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2.52</w:t>
            </w:r>
          </w:p>
        </w:tc>
      </w:tr>
      <w:tr>
        <w:trPr>
          <w:trHeight w:val="478"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4"/>
                <w:szCs w:val="24"/>
              </w:rPr>
            </w:pPr>
            <w:r>
              <w:rPr>
                <w:rFonts w:ascii="宋体" w:hAnsi="宋体" w:cs="宋体" w:eastAsia="宋体" w:hint="default"/>
                <w:sz w:val="24"/>
                <w:szCs w:val="24"/>
              </w:rPr>
              <w:t>中南区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8,707.78</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92.44</w:t>
            </w:r>
          </w:p>
        </w:tc>
      </w:tr>
      <w:tr>
        <w:trPr>
          <w:trHeight w:val="478"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4"/>
                <w:szCs w:val="24"/>
              </w:rPr>
            </w:pPr>
            <w:r>
              <w:rPr>
                <w:rFonts w:ascii="宋体" w:hAnsi="宋体" w:cs="宋体" w:eastAsia="宋体" w:hint="default"/>
                <w:sz w:val="24"/>
                <w:szCs w:val="24"/>
              </w:rPr>
              <w:t>西北区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2,739.13</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0.71</w:t>
            </w:r>
          </w:p>
        </w:tc>
      </w:tr>
      <w:tr>
        <w:trPr>
          <w:trHeight w:val="475"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4"/>
                <w:szCs w:val="24"/>
              </w:rPr>
            </w:pPr>
            <w:r>
              <w:rPr>
                <w:rFonts w:ascii="宋体" w:hAnsi="宋体" w:cs="宋体" w:eastAsia="宋体" w:hint="default"/>
                <w:sz w:val="24"/>
                <w:szCs w:val="24"/>
              </w:rPr>
              <w:t>华北区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5,191.12</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540.27</w:t>
            </w:r>
          </w:p>
        </w:tc>
      </w:tr>
      <w:tr>
        <w:trPr>
          <w:trHeight w:val="478"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4"/>
                <w:szCs w:val="24"/>
              </w:rPr>
            </w:pPr>
            <w:r>
              <w:rPr>
                <w:rFonts w:ascii="宋体" w:hAnsi="宋体" w:cs="宋体" w:eastAsia="宋体" w:hint="default"/>
                <w:sz w:val="24"/>
                <w:szCs w:val="24"/>
              </w:rPr>
              <w:t>西南区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194.75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26.82</w:t>
            </w:r>
          </w:p>
        </w:tc>
      </w:tr>
      <w:tr>
        <w:trPr>
          <w:trHeight w:val="478"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4"/>
                <w:szCs w:val="24"/>
              </w:rPr>
            </w:pPr>
            <w:r>
              <w:rPr>
                <w:rFonts w:ascii="宋体" w:hAnsi="宋体" w:cs="宋体" w:eastAsia="宋体" w:hint="default"/>
                <w:sz w:val="24"/>
                <w:szCs w:val="24"/>
              </w:rPr>
              <w:t>东北区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689.60</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29.26</w:t>
            </w:r>
          </w:p>
        </w:tc>
      </w:tr>
      <w:tr>
        <w:trPr>
          <w:trHeight w:val="478"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4"/>
                <w:szCs w:val="24"/>
              </w:rPr>
            </w:pPr>
            <w:r>
              <w:rPr>
                <w:rFonts w:ascii="宋体" w:hAnsi="宋体" w:cs="宋体" w:eastAsia="宋体" w:hint="default"/>
                <w:sz w:val="24"/>
                <w:szCs w:val="24"/>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526.08</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14.57</w:t>
            </w:r>
          </w:p>
        </w:tc>
      </w:tr>
    </w:tbl>
    <w:p>
      <w:pPr>
        <w:spacing w:after="0" w:line="274" w:lineRule="exact"/>
        <w:jc w:val="right"/>
        <w:rPr>
          <w:rFonts w:ascii="宋体" w:hAnsi="宋体" w:cs="宋体" w:eastAsia="宋体" w:hint="default"/>
          <w:sz w:val="24"/>
          <w:szCs w:val="24"/>
        </w:rPr>
        <w:sectPr>
          <w:type w:val="continuous"/>
          <w:pgSz w:w="11910" w:h="16840"/>
          <w:pgMar w:top="1240" w:bottom="1240" w:left="1200" w:right="1180"/>
        </w:sectPr>
      </w:pPr>
    </w:p>
    <w:p>
      <w:pPr>
        <w:spacing w:line="240" w:lineRule="auto" w:before="6"/>
        <w:rPr>
          <w:rFonts w:ascii="宋体" w:hAnsi="宋体" w:cs="宋体" w:eastAsia="宋体" w:hint="default"/>
          <w:sz w:val="18"/>
          <w:szCs w:val="18"/>
        </w:rPr>
      </w:pPr>
    </w:p>
    <w:tbl>
      <w:tblPr>
        <w:tblW w:w="0" w:type="auto"/>
        <w:jc w:val="left"/>
        <w:tblInd w:w="169" w:type="dxa"/>
        <w:tblLayout w:type="fixed"/>
        <w:tblCellMar>
          <w:top w:w="0" w:type="dxa"/>
          <w:left w:w="0" w:type="dxa"/>
          <w:bottom w:w="0" w:type="dxa"/>
          <w:right w:w="0" w:type="dxa"/>
        </w:tblCellMar>
        <w:tblLook w:val="01E0"/>
      </w:tblPr>
      <w:tblGrid>
        <w:gridCol w:w="2811"/>
        <w:gridCol w:w="2861"/>
        <w:gridCol w:w="2809"/>
      </w:tblGrid>
      <w:tr>
        <w:trPr>
          <w:trHeight w:val="490" w:hRule="exact"/>
        </w:trPr>
        <w:tc>
          <w:tcPr>
            <w:tcW w:w="281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2861" w:type="dxa"/>
            <w:tcBorders>
              <w:top w:val="single" w:sz="10" w:space="0" w:color="000000"/>
              <w:left w:val="single" w:sz="4" w:space="0" w:color="000000"/>
              <w:bottom w:val="single" w:sz="4" w:space="0" w:color="000000"/>
              <w:right w:val="single" w:sz="4" w:space="0" w:color="000000"/>
            </w:tcBorders>
          </w:tcPr>
          <w:p>
            <w:pPr>
              <w:pStyle w:val="TableParagraph"/>
              <w:spacing w:line="279" w:lineRule="exact"/>
              <w:ind w:left="1747" w:right="0"/>
              <w:jc w:val="left"/>
              <w:rPr>
                <w:rFonts w:ascii="宋体" w:hAnsi="宋体" w:cs="宋体" w:eastAsia="宋体" w:hint="default"/>
                <w:sz w:val="24"/>
                <w:szCs w:val="24"/>
              </w:rPr>
            </w:pPr>
            <w:r>
              <w:rPr>
                <w:rFonts w:ascii="宋体"/>
                <w:sz w:val="24"/>
              </w:rPr>
              <w:t>24,429.21</w:t>
            </w:r>
          </w:p>
        </w:tc>
        <w:tc>
          <w:tcPr>
            <w:tcW w:w="2809" w:type="dxa"/>
            <w:tcBorders>
              <w:top w:val="single" w:sz="10" w:space="0" w:color="000000"/>
              <w:left w:val="single" w:sz="4" w:space="0" w:color="000000"/>
              <w:bottom w:val="single" w:sz="4" w:space="0" w:color="000000"/>
              <w:right w:val="single" w:sz="4" w:space="0" w:color="000000"/>
            </w:tcBorders>
          </w:tcPr>
          <w:p>
            <w:pPr>
              <w:pStyle w:val="TableParagraph"/>
              <w:spacing w:line="279" w:lineRule="exact"/>
              <w:ind w:right="23"/>
              <w:jc w:val="right"/>
              <w:rPr>
                <w:rFonts w:ascii="宋体" w:hAnsi="宋体" w:cs="宋体" w:eastAsia="宋体" w:hint="default"/>
                <w:sz w:val="24"/>
                <w:szCs w:val="24"/>
              </w:rPr>
            </w:pPr>
            <w:r>
              <w:rPr>
                <w:rFonts w:ascii="宋体"/>
                <w:sz w:val="24"/>
              </w:rPr>
              <w:t>51.40</w:t>
            </w:r>
          </w:p>
        </w:tc>
      </w:tr>
    </w:tbl>
    <w:p>
      <w:pPr>
        <w:spacing w:line="328" w:lineRule="auto" w:before="74"/>
        <w:ind w:left="258" w:right="113" w:firstLine="559"/>
        <w:jc w:val="left"/>
        <w:rPr>
          <w:rFonts w:ascii="宋体" w:hAnsi="宋体" w:cs="宋体" w:eastAsia="宋体" w:hint="default"/>
          <w:sz w:val="28"/>
          <w:szCs w:val="28"/>
        </w:rPr>
      </w:pPr>
      <w:r>
        <w:rPr>
          <w:rFonts w:ascii="宋体" w:hAnsi="宋体" w:cs="宋体" w:eastAsia="宋体" w:hint="default"/>
          <w:spacing w:val="-4"/>
          <w:sz w:val="28"/>
          <w:szCs w:val="28"/>
        </w:rPr>
        <w:t>报告期内，中南区同期增长</w:t>
      </w:r>
      <w:r>
        <w:rPr>
          <w:rFonts w:ascii="宋体" w:hAnsi="宋体" w:cs="宋体" w:eastAsia="宋体" w:hint="default"/>
          <w:spacing w:val="-4"/>
          <w:sz w:val="28"/>
          <w:szCs w:val="28"/>
        </w:rPr>
        <w:t>92.44%</w:t>
      </w:r>
      <w:r>
        <w:rPr>
          <w:rFonts w:ascii="宋体" w:hAnsi="宋体" w:cs="宋体" w:eastAsia="宋体" w:hint="default"/>
          <w:spacing w:val="-4"/>
          <w:sz w:val="28"/>
          <w:szCs w:val="28"/>
        </w:rPr>
        <w:t>，主要原因是报告期内公司中</w:t>
      </w:r>
      <w:r>
        <w:rPr>
          <w:rFonts w:ascii="宋体" w:hAnsi="宋体" w:cs="宋体" w:eastAsia="宋体" w:hint="default"/>
          <w:w w:val="100"/>
          <w:sz w:val="28"/>
          <w:szCs w:val="28"/>
        </w:rPr>
        <w:t> </w:t>
      </w:r>
      <w:r>
        <w:rPr>
          <w:rFonts w:ascii="宋体" w:hAnsi="宋体" w:cs="宋体" w:eastAsia="宋体" w:hint="default"/>
          <w:sz w:val="28"/>
          <w:szCs w:val="28"/>
        </w:rPr>
        <w:t>标海南东环防灾合同合计</w:t>
      </w:r>
      <w:r>
        <w:rPr>
          <w:rFonts w:ascii="宋体" w:hAnsi="宋体" w:cs="宋体" w:eastAsia="宋体" w:hint="default"/>
          <w:sz w:val="28"/>
          <w:szCs w:val="28"/>
        </w:rPr>
        <w:t>2,187</w:t>
      </w:r>
      <w:r>
        <w:rPr>
          <w:rFonts w:ascii="宋体" w:hAnsi="宋体" w:cs="宋体" w:eastAsia="宋体" w:hint="default"/>
          <w:sz w:val="28"/>
          <w:szCs w:val="28"/>
        </w:rPr>
        <w:t>万元。</w:t>
      </w:r>
      <w:r>
        <w:rPr>
          <w:rFonts w:ascii="宋体" w:hAnsi="宋体" w:cs="宋体" w:eastAsia="宋体" w:hint="default"/>
          <w:w w:val="100"/>
          <w:sz w:val="28"/>
          <w:szCs w:val="28"/>
        </w:rPr>
        <w:t> </w:t>
      </w:r>
      <w:r>
        <w:rPr>
          <w:rFonts w:ascii="宋体" w:hAnsi="宋体" w:cs="宋体" w:eastAsia="宋体" w:hint="default"/>
          <w:b/>
          <w:bCs/>
          <w:sz w:val="28"/>
          <w:szCs w:val="28"/>
        </w:rPr>
        <w:t>3</w:t>
      </w:r>
      <w:r>
        <w:rPr>
          <w:rFonts w:ascii="宋体" w:hAnsi="宋体" w:cs="宋体" w:eastAsia="宋体" w:hint="default"/>
          <w:b/>
          <w:bCs/>
          <w:sz w:val="28"/>
          <w:szCs w:val="28"/>
        </w:rPr>
        <w:t>、主要产品、原材料价格分析</w:t>
      </w:r>
      <w:r>
        <w:rPr>
          <w:rFonts w:ascii="宋体" w:hAnsi="宋体" w:cs="宋体" w:eastAsia="宋体" w:hint="default"/>
          <w:sz w:val="28"/>
          <w:szCs w:val="28"/>
        </w:rPr>
      </w:r>
    </w:p>
    <w:p>
      <w:pPr>
        <w:pStyle w:val="Heading3"/>
        <w:spacing w:line="326" w:lineRule="auto"/>
        <w:ind w:left="258" w:right="113" w:firstLine="559"/>
        <w:jc w:val="left"/>
      </w:pPr>
      <w:r>
        <w:rPr>
          <w:spacing w:val="-5"/>
        </w:rPr>
        <w:t>报告期内，公司主要产品价格或主要原材料、燃料价格变动幅度</w:t>
      </w:r>
      <w:r>
        <w:rPr>
          <w:w w:val="100"/>
        </w:rPr>
        <w:t> </w:t>
      </w:r>
      <w:r>
        <w:rPr/>
        <w:t>未达到</w:t>
      </w:r>
      <w:r>
        <w:rPr>
          <w:spacing w:val="-1"/>
        </w:rPr>
        <w:t> </w:t>
      </w:r>
      <w:r>
        <w:rPr>
          <w:rFonts w:ascii="宋体" w:hAnsi="宋体" w:cs="宋体" w:eastAsia="宋体" w:hint="default"/>
        </w:rPr>
        <w:t>30%</w:t>
      </w:r>
      <w:r>
        <w:rPr/>
        <w:t>以上。</w:t>
      </w:r>
    </w:p>
    <w:p>
      <w:pPr>
        <w:pStyle w:val="Heading2"/>
        <w:spacing w:line="240" w:lineRule="auto" w:before="34"/>
        <w:ind w:left="399" w:right="113"/>
        <w:jc w:val="left"/>
        <w:rPr>
          <w:b w:val="0"/>
          <w:bCs w:val="0"/>
        </w:rPr>
      </w:pPr>
      <w:r>
        <w:rPr>
          <w:rFonts w:ascii="宋体" w:hAnsi="宋体" w:cs="宋体" w:eastAsia="宋体" w:hint="default"/>
        </w:rPr>
        <w:t>4</w:t>
      </w:r>
      <w:r>
        <w:rPr/>
        <w:t>、订单情况</w:t>
      </w:r>
      <w:r>
        <w:rPr>
          <w:b w:val="0"/>
          <w:bCs w:val="0"/>
        </w:rPr>
      </w:r>
    </w:p>
    <w:p>
      <w:pPr>
        <w:spacing w:line="240" w:lineRule="auto" w:before="1"/>
        <w:rPr>
          <w:rFonts w:ascii="宋体" w:hAnsi="宋体" w:cs="宋体" w:eastAsia="宋体" w:hint="default"/>
          <w:b/>
          <w:bCs/>
          <w:sz w:val="9"/>
          <w:szCs w:val="9"/>
        </w:rPr>
      </w:pPr>
    </w:p>
    <w:p>
      <w:pPr>
        <w:pStyle w:val="Heading3"/>
        <w:spacing w:line="240" w:lineRule="auto" w:before="14"/>
        <w:ind w:left="0" w:right="191"/>
        <w:jc w:val="right"/>
      </w:pPr>
      <w:r>
        <w:rPr>
          <w:spacing w:val="-1"/>
        </w:rPr>
        <w:t>单位：万元</w:t>
      </w:r>
    </w:p>
    <w:p>
      <w:pPr>
        <w:spacing w:line="240" w:lineRule="auto" w:before="7"/>
        <w:rPr>
          <w:rFonts w:ascii="宋体" w:hAnsi="宋体" w:cs="宋体" w:eastAsia="宋体" w:hint="default"/>
          <w:sz w:val="4"/>
          <w:szCs w:val="4"/>
        </w:rPr>
      </w:pPr>
    </w:p>
    <w:tbl>
      <w:tblPr>
        <w:tblW w:w="0" w:type="auto"/>
        <w:jc w:val="left"/>
        <w:tblInd w:w="373" w:type="dxa"/>
        <w:tblLayout w:type="fixed"/>
        <w:tblCellMar>
          <w:top w:w="0" w:type="dxa"/>
          <w:left w:w="0" w:type="dxa"/>
          <w:bottom w:w="0" w:type="dxa"/>
          <w:right w:w="0" w:type="dxa"/>
        </w:tblCellMar>
        <w:tblLook w:val="01E0"/>
      </w:tblPr>
      <w:tblGrid>
        <w:gridCol w:w="3903"/>
        <w:gridCol w:w="1467"/>
        <w:gridCol w:w="1277"/>
        <w:gridCol w:w="1417"/>
      </w:tblGrid>
      <w:tr>
        <w:trPr>
          <w:trHeight w:val="831" w:hRule="exact"/>
        </w:trPr>
        <w:tc>
          <w:tcPr>
            <w:tcW w:w="3903" w:type="dxa"/>
            <w:tcBorders>
              <w:top w:val="single" w:sz="8" w:space="0" w:color="000000"/>
              <w:left w:val="single" w:sz="8" w:space="0" w:color="000000"/>
              <w:bottom w:val="single" w:sz="8" w:space="0" w:color="000000"/>
              <w:right w:val="single" w:sz="8" w:space="0" w:color="000000"/>
            </w:tcBorders>
          </w:tcPr>
          <w:p>
            <w:pPr>
              <w:pStyle w:val="TableParagraph"/>
              <w:tabs>
                <w:tab w:pos="725" w:val="left" w:leader="none"/>
              </w:tabs>
              <w:spacing w:line="240" w:lineRule="auto" w:before="133"/>
              <w:ind w:right="2"/>
              <w:jc w:val="center"/>
              <w:rPr>
                <w:rFonts w:ascii="宋体" w:hAnsi="宋体" w:cs="宋体" w:eastAsia="宋体" w:hint="default"/>
                <w:sz w:val="24"/>
                <w:szCs w:val="24"/>
              </w:rPr>
            </w:pPr>
            <w:r>
              <w:rPr>
                <w:rFonts w:ascii="宋体" w:hAnsi="宋体" w:cs="宋体" w:eastAsia="宋体" w:hint="default"/>
                <w:b/>
                <w:bCs/>
                <w:w w:val="95"/>
                <w:sz w:val="24"/>
                <w:szCs w:val="24"/>
              </w:rPr>
              <w:t>产</w:t>
              <w:tab/>
            </w:r>
            <w:r>
              <w:rPr>
                <w:rFonts w:ascii="宋体" w:hAnsi="宋体" w:cs="宋体" w:eastAsia="宋体" w:hint="default"/>
                <w:b/>
                <w:bCs/>
                <w:sz w:val="24"/>
                <w:szCs w:val="24"/>
              </w:rPr>
              <w:t>品</w:t>
            </w:r>
            <w:r>
              <w:rPr>
                <w:rFonts w:ascii="宋体" w:hAnsi="宋体" w:cs="宋体" w:eastAsia="宋体" w:hint="default"/>
                <w:sz w:val="24"/>
                <w:szCs w:val="24"/>
              </w:rPr>
            </w:r>
          </w:p>
        </w:tc>
        <w:tc>
          <w:tcPr>
            <w:tcW w:w="14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96" w:right="0"/>
              <w:jc w:val="left"/>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134"/>
              <w:jc w:val="right"/>
              <w:rPr>
                <w:rFonts w:ascii="宋体" w:hAnsi="宋体" w:cs="宋体" w:eastAsia="宋体" w:hint="default"/>
                <w:sz w:val="24"/>
                <w:szCs w:val="24"/>
              </w:rPr>
            </w:pPr>
            <w:r>
              <w:rPr>
                <w:rFonts w:ascii="宋体" w:hAnsi="宋体" w:cs="宋体" w:eastAsia="宋体" w:hint="default"/>
                <w:b/>
                <w:bCs/>
                <w:sz w:val="24"/>
                <w:szCs w:val="24"/>
              </w:rPr>
              <w:t>2009</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220" w:right="0"/>
              <w:jc w:val="left"/>
              <w:rPr>
                <w:rFonts w:ascii="宋体" w:hAnsi="宋体" w:cs="宋体" w:eastAsia="宋体" w:hint="default"/>
                <w:sz w:val="24"/>
                <w:szCs w:val="24"/>
              </w:rPr>
            </w:pPr>
            <w:r>
              <w:rPr>
                <w:rFonts w:ascii="宋体" w:hAnsi="宋体" w:cs="宋体" w:eastAsia="宋体" w:hint="default"/>
                <w:b/>
                <w:bCs/>
                <w:sz w:val="24"/>
                <w:szCs w:val="24"/>
              </w:rPr>
              <w:t>同比增长</w:t>
            </w:r>
            <w:r>
              <w:rPr>
                <w:rFonts w:ascii="宋体" w:hAnsi="宋体" w:cs="宋体" w:eastAsia="宋体" w:hint="default"/>
                <w:sz w:val="24"/>
                <w:szCs w:val="24"/>
              </w:rPr>
            </w:r>
          </w:p>
        </w:tc>
      </w:tr>
      <w:tr>
        <w:trPr>
          <w:trHeight w:val="487" w:hRule="exact"/>
        </w:trPr>
        <w:tc>
          <w:tcPr>
            <w:tcW w:w="3903"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铁路信号微机监测系统</w:t>
            </w:r>
          </w:p>
        </w:tc>
        <w:tc>
          <w:tcPr>
            <w:tcW w:w="1467"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80" w:right="0"/>
              <w:jc w:val="left"/>
              <w:rPr>
                <w:rFonts w:ascii="宋体" w:hAnsi="宋体" w:cs="宋体" w:eastAsia="宋体" w:hint="default"/>
                <w:sz w:val="24"/>
                <w:szCs w:val="24"/>
              </w:rPr>
            </w:pPr>
            <w:r>
              <w:rPr>
                <w:rFonts w:ascii="宋体"/>
                <w:sz w:val="24"/>
              </w:rPr>
              <w:t>23,150.25</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149"/>
              <w:jc w:val="right"/>
              <w:rPr>
                <w:rFonts w:ascii="宋体" w:hAnsi="宋体" w:cs="宋体" w:eastAsia="宋体" w:hint="default"/>
                <w:sz w:val="24"/>
                <w:szCs w:val="24"/>
              </w:rPr>
            </w:pPr>
            <w:r>
              <w:rPr>
                <w:rFonts w:ascii="宋体"/>
                <w:sz w:val="24"/>
              </w:rPr>
              <w:t>15,338.3</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50.93%</w:t>
            </w:r>
          </w:p>
        </w:tc>
      </w:tr>
      <w:tr>
        <w:trPr>
          <w:trHeight w:val="487" w:hRule="exact"/>
        </w:trPr>
        <w:tc>
          <w:tcPr>
            <w:tcW w:w="390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无线调车机车信号和监控系统</w:t>
            </w:r>
          </w:p>
        </w:tc>
        <w:tc>
          <w:tcPr>
            <w:tcW w:w="146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240" w:right="0"/>
              <w:jc w:val="left"/>
              <w:rPr>
                <w:rFonts w:ascii="宋体" w:hAnsi="宋体" w:cs="宋体" w:eastAsia="宋体" w:hint="default"/>
                <w:sz w:val="24"/>
                <w:szCs w:val="24"/>
              </w:rPr>
            </w:pPr>
            <w:r>
              <w:rPr>
                <w:rFonts w:ascii="宋体"/>
                <w:sz w:val="24"/>
              </w:rPr>
              <w:t>5,526.18</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149"/>
              <w:jc w:val="right"/>
              <w:rPr>
                <w:rFonts w:ascii="宋体" w:hAnsi="宋体" w:cs="宋体" w:eastAsia="宋体" w:hint="default"/>
                <w:sz w:val="24"/>
                <w:szCs w:val="24"/>
              </w:rPr>
            </w:pPr>
            <w:r>
              <w:rPr>
                <w:rFonts w:ascii="宋体"/>
                <w:sz w:val="24"/>
              </w:rPr>
              <w:t>1,339.05</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312.69%</w:t>
            </w:r>
          </w:p>
        </w:tc>
      </w:tr>
      <w:tr>
        <w:trPr>
          <w:trHeight w:val="487" w:hRule="exact"/>
        </w:trPr>
        <w:tc>
          <w:tcPr>
            <w:tcW w:w="390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铁路防灾安全监控系统</w:t>
            </w:r>
          </w:p>
        </w:tc>
        <w:tc>
          <w:tcPr>
            <w:tcW w:w="146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240" w:right="0"/>
              <w:jc w:val="left"/>
              <w:rPr>
                <w:rFonts w:ascii="宋体" w:hAnsi="宋体" w:cs="宋体" w:eastAsia="宋体" w:hint="default"/>
                <w:sz w:val="24"/>
                <w:szCs w:val="24"/>
              </w:rPr>
            </w:pPr>
            <w:r>
              <w:rPr>
                <w:rFonts w:ascii="宋体"/>
                <w:sz w:val="24"/>
              </w:rPr>
              <w:t>4,507.69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100%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2"/>
        <w:spacing w:line="240" w:lineRule="auto" w:before="14"/>
        <w:ind w:left="399" w:right="113"/>
        <w:jc w:val="left"/>
        <w:rPr>
          <w:b w:val="0"/>
          <w:bCs w:val="0"/>
        </w:rPr>
      </w:pPr>
      <w:r>
        <w:rPr>
          <w:rFonts w:ascii="宋体" w:hAnsi="宋体" w:cs="宋体" w:eastAsia="宋体" w:hint="default"/>
        </w:rPr>
        <w:t>5</w:t>
      </w:r>
      <w:r>
        <w:rPr/>
        <w:t>、销售毛利率情况</w:t>
      </w:r>
      <w:r>
        <w:rPr>
          <w:b w:val="0"/>
          <w:bCs w:val="0"/>
        </w:rPr>
      </w:r>
    </w:p>
    <w:p>
      <w:pPr>
        <w:spacing w:line="240" w:lineRule="auto" w:before="7"/>
        <w:rPr>
          <w:rFonts w:ascii="宋体" w:hAnsi="宋体" w:cs="宋体" w:eastAsia="宋体"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1702"/>
        <w:gridCol w:w="1702"/>
        <w:gridCol w:w="1702"/>
        <w:gridCol w:w="1699"/>
        <w:gridCol w:w="1702"/>
      </w:tblGrid>
      <w:tr>
        <w:trPr>
          <w:trHeight w:val="49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55"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54"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72"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54"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0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8"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58" w:right="0"/>
              <w:jc w:val="left"/>
              <w:rPr>
                <w:rFonts w:ascii="宋体" w:hAnsi="宋体" w:cs="宋体" w:eastAsia="宋体" w:hint="default"/>
                <w:sz w:val="21"/>
                <w:szCs w:val="21"/>
              </w:rPr>
            </w:pPr>
            <w:r>
              <w:rPr>
                <w:rFonts w:ascii="宋体"/>
                <w:sz w:val="21"/>
              </w:rPr>
              <w:t>51.18%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57" w:right="0"/>
              <w:jc w:val="left"/>
              <w:rPr>
                <w:rFonts w:ascii="宋体" w:hAnsi="宋体" w:cs="宋体" w:eastAsia="宋体" w:hint="default"/>
                <w:sz w:val="21"/>
                <w:szCs w:val="21"/>
              </w:rPr>
            </w:pPr>
            <w:r>
              <w:rPr>
                <w:rFonts w:ascii="宋体"/>
                <w:sz w:val="21"/>
              </w:rPr>
              <w:t>49.99%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60" w:right="0"/>
              <w:jc w:val="left"/>
              <w:rPr>
                <w:rFonts w:ascii="宋体" w:hAnsi="宋体" w:cs="宋体" w:eastAsia="宋体" w:hint="default"/>
                <w:sz w:val="21"/>
                <w:szCs w:val="21"/>
              </w:rPr>
            </w:pPr>
            <w:r>
              <w:rPr>
                <w:rFonts w:ascii="宋体"/>
                <w:sz w:val="21"/>
              </w:rPr>
              <w:t>1.19%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58" w:right="0"/>
              <w:jc w:val="left"/>
              <w:rPr>
                <w:rFonts w:ascii="宋体" w:hAnsi="宋体" w:cs="宋体" w:eastAsia="宋体" w:hint="default"/>
                <w:sz w:val="21"/>
                <w:szCs w:val="21"/>
              </w:rPr>
            </w:pPr>
            <w:r>
              <w:rPr>
                <w:rFonts w:ascii="宋体"/>
                <w:sz w:val="21"/>
              </w:rPr>
              <w:t>49.63%</w:t>
            </w:r>
          </w:p>
        </w:tc>
      </w:tr>
    </w:tbl>
    <w:p>
      <w:pPr>
        <w:pStyle w:val="Heading3"/>
        <w:spacing w:line="326" w:lineRule="auto" w:before="73"/>
        <w:ind w:left="258" w:right="113" w:firstLine="559"/>
        <w:jc w:val="left"/>
      </w:pPr>
      <w:r>
        <w:rPr>
          <w:spacing w:val="-5"/>
        </w:rPr>
        <w:t>近三年公司综合毛利率较为稳定并略有增长。报告期内，公司仍</w:t>
      </w:r>
      <w:r>
        <w:rPr>
          <w:w w:val="100"/>
        </w:rPr>
        <w:t> </w:t>
      </w:r>
      <w:r>
        <w:rPr/>
        <w:t>保持较高的盈利水平，</w:t>
      </w:r>
      <w:r>
        <w:rPr>
          <w:rFonts w:ascii="宋体" w:hAnsi="宋体" w:cs="宋体" w:eastAsia="宋体" w:hint="default"/>
        </w:rPr>
        <w:t>2010</w:t>
      </w:r>
      <w:r>
        <w:rPr/>
        <w:t>年综合毛利率为</w:t>
      </w:r>
      <w:r>
        <w:rPr>
          <w:rFonts w:ascii="宋体" w:hAnsi="宋体" w:cs="宋体" w:eastAsia="宋体" w:hint="default"/>
        </w:rPr>
        <w:t>51.18%</w:t>
      </w:r>
      <w:r>
        <w:rPr/>
        <w:t>，同比增长</w:t>
      </w:r>
      <w:r>
        <w:rPr>
          <w:rFonts w:ascii="宋体" w:hAnsi="宋体" w:cs="宋体" w:eastAsia="宋体" w:hint="default"/>
        </w:rPr>
        <w:t>1.19</w:t>
      </w:r>
      <w:r>
        <w:rPr>
          <w:rFonts w:ascii="宋体" w:hAnsi="宋体" w:cs="宋体" w:eastAsia="宋体" w:hint="default"/>
          <w:w w:val="100"/>
        </w:rPr>
        <w:t> </w:t>
      </w:r>
      <w:r>
        <w:rPr/>
        <w:t>个百分点。</w:t>
      </w:r>
    </w:p>
    <w:p>
      <w:pPr>
        <w:pStyle w:val="Heading2"/>
        <w:spacing w:line="240" w:lineRule="auto" w:before="34"/>
        <w:ind w:left="399" w:right="113"/>
        <w:jc w:val="left"/>
        <w:rPr>
          <w:b w:val="0"/>
          <w:bCs w:val="0"/>
        </w:rPr>
      </w:pPr>
      <w:r>
        <w:rPr>
          <w:rFonts w:ascii="宋体" w:hAnsi="宋体" w:cs="宋体" w:eastAsia="宋体" w:hint="default"/>
        </w:rPr>
        <w:t>6</w:t>
      </w:r>
      <w:r>
        <w:rPr/>
        <w:t>、公司主要客户、供应商情况</w:t>
      </w:r>
      <w:r>
        <w:rPr>
          <w:b w:val="0"/>
          <w:bCs w:val="0"/>
        </w:rPr>
      </w:r>
    </w:p>
    <w:p>
      <w:pPr>
        <w:spacing w:line="240" w:lineRule="auto" w:before="7"/>
        <w:rPr>
          <w:rFonts w:ascii="宋体" w:hAnsi="宋体" w:cs="宋体" w:eastAsia="宋体" w:hint="default"/>
          <w:b/>
          <w:bCs/>
          <w:sz w:val="4"/>
          <w:szCs w:val="4"/>
        </w:rPr>
      </w:pPr>
    </w:p>
    <w:tbl>
      <w:tblPr>
        <w:tblW w:w="0" w:type="auto"/>
        <w:jc w:val="left"/>
        <w:tblInd w:w="248" w:type="dxa"/>
        <w:tblLayout w:type="fixed"/>
        <w:tblCellMar>
          <w:top w:w="0" w:type="dxa"/>
          <w:left w:w="0" w:type="dxa"/>
          <w:bottom w:w="0" w:type="dxa"/>
          <w:right w:w="0" w:type="dxa"/>
        </w:tblCellMar>
        <w:tblLook w:val="01E0"/>
      </w:tblPr>
      <w:tblGrid>
        <w:gridCol w:w="2835"/>
        <w:gridCol w:w="1382"/>
        <w:gridCol w:w="1383"/>
        <w:gridCol w:w="1382"/>
        <w:gridCol w:w="1383"/>
      </w:tblGrid>
      <w:tr>
        <w:trPr>
          <w:trHeight w:val="739" w:hRule="exact"/>
        </w:trPr>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42"/>
              <w:ind w:left="470" w:right="98" w:hanging="264"/>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13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922" w:hRule="exact"/>
        </w:trPr>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355" w:lineRule="auto" w:before="9"/>
              <w:ind w:left="98" w:right="192"/>
              <w:jc w:val="left"/>
              <w:rPr>
                <w:rFonts w:ascii="宋体" w:hAnsi="宋体" w:cs="宋体" w:eastAsia="宋体" w:hint="default"/>
                <w:sz w:val="21"/>
                <w:szCs w:val="21"/>
              </w:rPr>
            </w:pPr>
            <w:r>
              <w:rPr>
                <w:rFonts w:ascii="宋体" w:hAnsi="宋体" w:cs="宋体" w:eastAsia="宋体" w:hint="default"/>
                <w:sz w:val="21"/>
                <w:szCs w:val="21"/>
              </w:rPr>
              <w:t>前五名供应商合计采购金额</w:t>
            </w:r>
            <w:r>
              <w:rPr>
                <w:rFonts w:ascii="宋体" w:hAnsi="宋体" w:cs="宋体" w:eastAsia="宋体" w:hint="default"/>
                <w:w w:val="100"/>
                <w:sz w:val="21"/>
                <w:szCs w:val="21"/>
              </w:rPr>
              <w:t> </w:t>
            </w:r>
            <w:r>
              <w:rPr>
                <w:rFonts w:ascii="宋体" w:hAnsi="宋体" w:cs="宋体" w:eastAsia="宋体" w:hint="default"/>
                <w:sz w:val="21"/>
                <w:szCs w:val="21"/>
              </w:rPr>
              <w:t>占年度采购总金额的比例</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95"/>
              <w:jc w:val="right"/>
              <w:rPr>
                <w:rFonts w:ascii="宋体" w:hAnsi="宋体" w:cs="宋体" w:eastAsia="宋体" w:hint="default"/>
                <w:sz w:val="21"/>
                <w:szCs w:val="21"/>
              </w:rPr>
            </w:pPr>
            <w:r>
              <w:rPr>
                <w:rFonts w:ascii="宋体"/>
                <w:sz w:val="21"/>
              </w:rPr>
              <w:t>23.86%</w:t>
            </w:r>
          </w:p>
        </w:tc>
        <w:tc>
          <w:tcPr>
            <w:tcW w:w="13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95"/>
              <w:jc w:val="right"/>
              <w:rPr>
                <w:rFonts w:ascii="宋体" w:hAnsi="宋体" w:cs="宋体" w:eastAsia="宋体" w:hint="default"/>
                <w:sz w:val="21"/>
                <w:szCs w:val="21"/>
              </w:rPr>
            </w:pPr>
            <w:r>
              <w:rPr>
                <w:rFonts w:ascii="宋体"/>
                <w:sz w:val="21"/>
              </w:rPr>
              <w:t>52.34%</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-28.48%</w:t>
            </w:r>
          </w:p>
        </w:tc>
        <w:tc>
          <w:tcPr>
            <w:tcW w:w="13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95"/>
              <w:jc w:val="right"/>
              <w:rPr>
                <w:rFonts w:ascii="宋体" w:hAnsi="宋体" w:cs="宋体" w:eastAsia="宋体" w:hint="default"/>
                <w:sz w:val="21"/>
                <w:szCs w:val="21"/>
              </w:rPr>
            </w:pPr>
            <w:r>
              <w:rPr>
                <w:rFonts w:ascii="宋体"/>
                <w:sz w:val="21"/>
              </w:rPr>
              <w:t>18.77%</w:t>
            </w:r>
          </w:p>
        </w:tc>
      </w:tr>
      <w:tr>
        <w:trPr>
          <w:trHeight w:val="838" w:hRule="exact"/>
        </w:trPr>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w:t>
            </w:r>
          </w:p>
          <w:p>
            <w:pPr>
              <w:pStyle w:val="TableParagraph"/>
              <w:spacing w:line="240" w:lineRule="auto" w:before="133"/>
              <w:ind w:left="98" w:right="0"/>
              <w:jc w:val="left"/>
              <w:rPr>
                <w:rFonts w:ascii="宋体" w:hAnsi="宋体" w:cs="宋体" w:eastAsia="宋体" w:hint="default"/>
                <w:sz w:val="21"/>
                <w:szCs w:val="21"/>
              </w:rPr>
            </w:pPr>
            <w:r>
              <w:rPr>
                <w:rFonts w:ascii="宋体" w:hAnsi="宋体" w:cs="宋体" w:eastAsia="宋体" w:hint="default"/>
                <w:sz w:val="21"/>
                <w:szCs w:val="21"/>
              </w:rPr>
              <w:t>年度销售总金额的比例</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0"/>
              <w:ind w:right="95"/>
              <w:jc w:val="right"/>
              <w:rPr>
                <w:rFonts w:ascii="宋体" w:hAnsi="宋体" w:cs="宋体" w:eastAsia="宋体" w:hint="default"/>
                <w:sz w:val="21"/>
                <w:szCs w:val="21"/>
              </w:rPr>
            </w:pPr>
            <w:r>
              <w:rPr>
                <w:rFonts w:ascii="宋体"/>
                <w:sz w:val="21"/>
              </w:rPr>
              <w:t>69.65%</w:t>
            </w:r>
          </w:p>
        </w:tc>
        <w:tc>
          <w:tcPr>
            <w:tcW w:w="13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0"/>
              <w:ind w:right="95"/>
              <w:jc w:val="right"/>
              <w:rPr>
                <w:rFonts w:ascii="宋体" w:hAnsi="宋体" w:cs="宋体" w:eastAsia="宋体" w:hint="default"/>
                <w:sz w:val="21"/>
                <w:szCs w:val="21"/>
              </w:rPr>
            </w:pPr>
            <w:r>
              <w:rPr>
                <w:rFonts w:ascii="宋体"/>
                <w:sz w:val="21"/>
              </w:rPr>
              <w:t>73.29%</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0"/>
              <w:ind w:right="95"/>
              <w:jc w:val="right"/>
              <w:rPr>
                <w:rFonts w:ascii="宋体" w:hAnsi="宋体" w:cs="宋体" w:eastAsia="宋体" w:hint="default"/>
                <w:sz w:val="21"/>
                <w:szCs w:val="21"/>
              </w:rPr>
            </w:pPr>
            <w:r>
              <w:rPr>
                <w:rFonts w:ascii="宋体"/>
                <w:sz w:val="21"/>
              </w:rPr>
              <w:t>-3.64%</w:t>
            </w:r>
          </w:p>
        </w:tc>
        <w:tc>
          <w:tcPr>
            <w:tcW w:w="13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0"/>
              <w:ind w:right="95"/>
              <w:jc w:val="right"/>
              <w:rPr>
                <w:rFonts w:ascii="宋体" w:hAnsi="宋体" w:cs="宋体" w:eastAsia="宋体" w:hint="default"/>
                <w:sz w:val="21"/>
                <w:szCs w:val="21"/>
              </w:rPr>
            </w:pPr>
            <w:r>
              <w:rPr>
                <w:rFonts w:ascii="宋体"/>
                <w:sz w:val="21"/>
              </w:rPr>
              <w:t>74.95%</w:t>
            </w:r>
          </w:p>
        </w:tc>
      </w:tr>
    </w:tbl>
    <w:p>
      <w:pPr>
        <w:pStyle w:val="Heading3"/>
        <w:spacing w:line="326" w:lineRule="auto" w:before="73"/>
        <w:ind w:left="258" w:right="113" w:firstLine="559"/>
        <w:jc w:val="left"/>
      </w:pPr>
      <w:r>
        <w:rPr>
          <w:spacing w:val="-5"/>
        </w:rPr>
        <w:t>报告期内，公司不存在向单一供应商或客户采购、销售比例超过</w:t>
      </w:r>
      <w:r>
        <w:rPr>
          <w:w w:val="100"/>
        </w:rPr>
        <w:t> </w:t>
      </w:r>
      <w:r>
        <w:rPr>
          <w:rFonts w:ascii="宋体" w:hAnsi="宋体" w:cs="宋体" w:eastAsia="宋体" w:hint="default"/>
        </w:rPr>
        <w:t>30%</w:t>
      </w:r>
      <w:r>
        <w:rPr/>
        <w:t>的情况。公司前五名供应商未发生重大变化。</w:t>
      </w:r>
    </w:p>
    <w:p>
      <w:pPr>
        <w:pStyle w:val="Heading3"/>
        <w:spacing w:line="240" w:lineRule="auto" w:before="34"/>
        <w:ind w:left="817" w:right="113"/>
        <w:jc w:val="left"/>
      </w:pPr>
      <w:r>
        <w:rPr>
          <w:spacing w:val="-5"/>
        </w:rPr>
        <w:t>报告期内，前五名客户集中度有所下降，得益于公司大力的市场</w:t>
      </w:r>
    </w:p>
    <w:p>
      <w:pPr>
        <w:spacing w:after="0" w:line="240" w:lineRule="auto"/>
        <w:jc w:val="left"/>
        <w:sectPr>
          <w:pgSz w:w="11910" w:h="16840"/>
          <w:pgMar w:header="624" w:footer="1045" w:top="980" w:bottom="1240" w:left="1540" w:right="1600"/>
        </w:sectPr>
      </w:pPr>
    </w:p>
    <w:p>
      <w:pPr>
        <w:spacing w:line="240" w:lineRule="auto" w:before="11"/>
        <w:rPr>
          <w:rFonts w:ascii="宋体" w:hAnsi="宋体" w:cs="宋体" w:eastAsia="宋体" w:hint="default"/>
          <w:sz w:val="18"/>
          <w:szCs w:val="18"/>
        </w:rPr>
      </w:pPr>
    </w:p>
    <w:p>
      <w:pPr>
        <w:spacing w:line="20" w:lineRule="exact"/>
        <w:ind w:left="32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pStyle w:val="Heading3"/>
        <w:spacing w:line="328" w:lineRule="auto" w:before="68"/>
        <w:ind w:left="358" w:right="0"/>
        <w:jc w:val="left"/>
      </w:pPr>
      <w:r>
        <w:rPr>
          <w:spacing w:val="-4"/>
        </w:rPr>
        <w:t>营销措施的开展，维护重点客户的同时，努力提高公司产品在新客户</w:t>
      </w:r>
      <w:r>
        <w:rPr>
          <w:spacing w:val="-113"/>
        </w:rPr>
        <w:t> </w:t>
      </w:r>
      <w:r>
        <w:rPr>
          <w:spacing w:val="-113"/>
        </w:rPr>
      </w:r>
      <w:r>
        <w:rPr/>
        <w:t>中的份额。</w:t>
      </w:r>
    </w:p>
    <w:p>
      <w:pPr>
        <w:pStyle w:val="Heading3"/>
        <w:spacing w:line="326" w:lineRule="auto"/>
        <w:ind w:left="358" w:right="0" w:firstLine="559"/>
        <w:jc w:val="left"/>
        <w:rPr>
          <w:rFonts w:ascii="宋体" w:hAnsi="宋体" w:cs="宋体" w:eastAsia="宋体" w:hint="default"/>
        </w:rPr>
      </w:pPr>
      <w:r>
        <w:rPr>
          <w:spacing w:val="-5"/>
        </w:rPr>
        <w:t>公司前五名供应商、客户与公司不存在关联关系。公司董事、监</w:t>
      </w:r>
      <w:r>
        <w:rPr>
          <w:w w:val="100"/>
        </w:rPr>
        <w:t> </w:t>
      </w:r>
      <w:r>
        <w:rPr>
          <w:spacing w:val="-4"/>
        </w:rPr>
        <w:t>事、高级管理人员、核心技术人员、持股</w:t>
      </w:r>
      <w:r>
        <w:rPr>
          <w:rFonts w:ascii="宋体" w:hAnsi="宋体" w:cs="宋体" w:eastAsia="宋体" w:hint="default"/>
          <w:spacing w:val="-4"/>
        </w:rPr>
        <w:t>5%</w:t>
      </w:r>
      <w:r>
        <w:rPr>
          <w:spacing w:val="-4"/>
        </w:rPr>
        <w:t>以上股东、实际控制人和</w:t>
      </w:r>
      <w:r>
        <w:rPr>
          <w:spacing w:val="-108"/>
        </w:rPr>
        <w:t> </w:t>
      </w:r>
      <w:r>
        <w:rPr>
          <w:spacing w:val="-108"/>
        </w:rPr>
      </w:r>
      <w:r>
        <w:rPr/>
        <w:t>其他关联方在主要客户、供应商中不拥有直接和间接权益。</w:t>
      </w:r>
      <w:r>
        <w:rPr>
          <w:w w:val="100"/>
        </w:rPr>
        <w:t> </w:t>
      </w:r>
      <w:r>
        <w:rPr>
          <w:rFonts w:ascii="宋体" w:hAnsi="宋体" w:cs="宋体" w:eastAsia="宋体" w:hint="default"/>
          <w:b/>
          <w:bCs/>
        </w:rPr>
        <w:t>7</w:t>
      </w:r>
      <w:r>
        <w:rPr>
          <w:rFonts w:ascii="宋体" w:hAnsi="宋体" w:cs="宋体" w:eastAsia="宋体" w:hint="default"/>
          <w:b/>
          <w:bCs/>
        </w:rPr>
        <w:t>、公司非经常性损益项目</w:t>
      </w:r>
      <w:r>
        <w:rPr>
          <w:rFonts w:ascii="宋体" w:hAnsi="宋体" w:cs="宋体" w:eastAsia="宋体" w:hint="default"/>
        </w:rPr>
      </w:r>
    </w:p>
    <w:p>
      <w:pPr>
        <w:pStyle w:val="Heading3"/>
        <w:spacing w:line="328" w:lineRule="auto" w:before="32"/>
        <w:ind w:left="358" w:right="356" w:firstLine="559"/>
        <w:jc w:val="both"/>
      </w:pPr>
      <w:r>
        <w:rPr>
          <w:spacing w:val="-5"/>
        </w:rPr>
        <w:t>报告期内，公司主营业务均为国家鼓励发展的高新技术产品，受</w:t>
      </w:r>
      <w:r>
        <w:rPr>
          <w:w w:val="100"/>
        </w:rPr>
        <w:t> </w:t>
      </w:r>
      <w:r>
        <w:rPr>
          <w:spacing w:val="-5"/>
        </w:rPr>
        <w:t>到多项国家政策支持。报告期内，公司收到及前期收到并在本期列入</w:t>
      </w:r>
      <w:r>
        <w:rPr>
          <w:spacing w:val="-87"/>
        </w:rPr>
        <w:t> </w:t>
      </w:r>
      <w:r>
        <w:rPr>
          <w:spacing w:val="-87"/>
        </w:rPr>
      </w:r>
      <w:r>
        <w:rPr/>
        <w:t>非经常性损益的政府补助共计</w:t>
      </w:r>
      <w:r>
        <w:rPr>
          <w:rFonts w:ascii="宋体" w:hAnsi="宋体" w:cs="宋体" w:eastAsia="宋体" w:hint="default"/>
        </w:rPr>
        <w:t>4,670,000.00</w:t>
      </w:r>
      <w:r>
        <w:rPr/>
        <w:t>元。</w:t>
      </w:r>
    </w:p>
    <w:p>
      <w:pPr>
        <w:pStyle w:val="Heading3"/>
        <w:spacing w:line="240" w:lineRule="auto"/>
        <w:ind w:left="0" w:right="351"/>
        <w:jc w:val="right"/>
      </w:pPr>
      <w:r>
        <w:rPr/>
        <w:t>单位：元</w:t>
      </w:r>
    </w:p>
    <w:p>
      <w:pPr>
        <w:spacing w:line="240" w:lineRule="auto" w:before="9"/>
        <w:rPr>
          <w:rFonts w:ascii="宋体" w:hAnsi="宋体" w:cs="宋体" w:eastAsia="宋体" w:hint="default"/>
          <w:sz w:val="4"/>
          <w:szCs w:val="4"/>
        </w:rPr>
      </w:pPr>
    </w:p>
    <w:tbl>
      <w:tblPr>
        <w:tblW w:w="0" w:type="auto"/>
        <w:jc w:val="left"/>
        <w:tblInd w:w="127" w:type="dxa"/>
        <w:tblLayout w:type="fixed"/>
        <w:tblCellMar>
          <w:top w:w="0" w:type="dxa"/>
          <w:left w:w="0" w:type="dxa"/>
          <w:bottom w:w="0" w:type="dxa"/>
          <w:right w:w="0" w:type="dxa"/>
        </w:tblCellMar>
        <w:tblLook w:val="01E0"/>
      </w:tblPr>
      <w:tblGrid>
        <w:gridCol w:w="6733"/>
        <w:gridCol w:w="2026"/>
      </w:tblGrid>
      <w:tr>
        <w:trPr>
          <w:trHeight w:val="418" w:hRule="exact"/>
        </w:trPr>
        <w:tc>
          <w:tcPr>
            <w:tcW w:w="6733"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6"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480" w:right="0"/>
              <w:jc w:val="left"/>
              <w:rPr>
                <w:rFonts w:ascii="宋体" w:hAnsi="宋体" w:cs="宋体" w:eastAsia="宋体" w:hint="default"/>
                <w:sz w:val="21"/>
                <w:szCs w:val="21"/>
              </w:rPr>
            </w:pPr>
            <w:r>
              <w:rPr>
                <w:rFonts w:ascii="宋体" w:hAnsi="宋体" w:cs="宋体" w:eastAsia="宋体" w:hint="default"/>
                <w:sz w:val="21"/>
                <w:szCs w:val="21"/>
              </w:rPr>
              <w:t>本年发生额</w:t>
            </w:r>
          </w:p>
        </w:tc>
      </w:tr>
      <w:tr>
        <w:trPr>
          <w:trHeight w:val="413" w:hRule="exact"/>
        </w:trPr>
        <w:tc>
          <w:tcPr>
            <w:tcW w:w="673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z w:val="21"/>
              </w:rPr>
              <w:t>353.62</w:t>
            </w:r>
          </w:p>
        </w:tc>
      </w:tr>
      <w:tr>
        <w:trPr>
          <w:trHeight w:val="679" w:hRule="exact"/>
        </w:trPr>
        <w:tc>
          <w:tcPr>
            <w:tcW w:w="6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计入当期损益的政府补助（与公司正常经营业务密切相关，符合国家政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策规定、按照一定标准定额或定量持续享受的政府补助除外）</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4,670,000.00</w:t>
            </w:r>
          </w:p>
        </w:tc>
      </w:tr>
      <w:tr>
        <w:trPr>
          <w:trHeight w:val="413" w:hRule="exact"/>
        </w:trPr>
        <w:tc>
          <w:tcPr>
            <w:tcW w:w="673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pacing w:val="-1"/>
                <w:sz w:val="21"/>
              </w:rPr>
              <w:t>-1,061,570.32</w:t>
            </w:r>
          </w:p>
        </w:tc>
      </w:tr>
      <w:tr>
        <w:trPr>
          <w:trHeight w:val="413" w:hRule="exact"/>
        </w:trPr>
        <w:tc>
          <w:tcPr>
            <w:tcW w:w="67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-541,317.50</w:t>
            </w:r>
          </w:p>
        </w:tc>
      </w:tr>
      <w:tr>
        <w:trPr>
          <w:trHeight w:val="418" w:hRule="exact"/>
        </w:trPr>
        <w:tc>
          <w:tcPr>
            <w:tcW w:w="6733"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1783" w:right="0"/>
              <w:jc w:val="left"/>
              <w:rPr>
                <w:rFonts w:ascii="宋体" w:hAnsi="宋体" w:cs="宋体" w:eastAsia="宋体" w:hint="default"/>
                <w:sz w:val="21"/>
                <w:szCs w:val="21"/>
              </w:rPr>
            </w:pPr>
            <w:r>
              <w:rPr>
                <w:rFonts w:ascii="宋体" w:hAnsi="宋体" w:cs="宋体" w:eastAsia="宋体" w:hint="default"/>
                <w:sz w:val="21"/>
                <w:szCs w:val="21"/>
              </w:rPr>
              <w:t>非经常性损益净额（影响净利润）</w:t>
            </w:r>
          </w:p>
        </w:tc>
        <w:tc>
          <w:tcPr>
            <w:tcW w:w="2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3,067,465.80</w:t>
            </w:r>
          </w:p>
        </w:tc>
      </w:tr>
    </w:tbl>
    <w:p>
      <w:pPr>
        <w:spacing w:line="240" w:lineRule="auto" w:before="10"/>
        <w:rPr>
          <w:rFonts w:ascii="宋体" w:hAnsi="宋体" w:cs="宋体" w:eastAsia="宋体" w:hint="default"/>
          <w:sz w:val="4"/>
          <w:szCs w:val="4"/>
        </w:rPr>
      </w:pPr>
    </w:p>
    <w:p>
      <w:pPr>
        <w:pStyle w:val="Heading3"/>
        <w:spacing w:line="326" w:lineRule="auto" w:before="14"/>
        <w:ind w:left="358" w:right="0" w:firstLine="559"/>
        <w:jc w:val="left"/>
      </w:pPr>
      <w:r>
        <w:rPr>
          <w:spacing w:val="-5"/>
        </w:rPr>
        <w:t>报告期内，公司不存在非经常性损益项目的绝对值超过公司净利</w:t>
      </w:r>
      <w:r>
        <w:rPr>
          <w:w w:val="100"/>
        </w:rPr>
        <w:t> </w:t>
      </w:r>
      <w:r>
        <w:rPr/>
        <w:t>润绝对值的情况。</w:t>
      </w:r>
    </w:p>
    <w:p>
      <w:pPr>
        <w:pStyle w:val="Heading2"/>
        <w:spacing w:line="240" w:lineRule="auto" w:before="32"/>
        <w:ind w:left="499" w:right="0"/>
        <w:jc w:val="left"/>
        <w:rPr>
          <w:b w:val="0"/>
          <w:bCs w:val="0"/>
        </w:rPr>
      </w:pPr>
      <w:r>
        <w:rPr>
          <w:rFonts w:ascii="宋体" w:hAnsi="宋体" w:cs="宋体" w:eastAsia="宋体" w:hint="default"/>
        </w:rPr>
        <w:t>8</w:t>
      </w:r>
      <w:r>
        <w:rPr/>
        <w:t>、经营环境影响</w:t>
      </w:r>
      <w:r>
        <w:rPr>
          <w:b w:val="0"/>
          <w:bCs w:val="0"/>
        </w:rPr>
      </w:r>
    </w:p>
    <w:p>
      <w:pPr>
        <w:spacing w:line="240" w:lineRule="auto" w:before="9"/>
        <w:rPr>
          <w:rFonts w:ascii="宋体" w:hAnsi="宋体" w:cs="宋体" w:eastAsia="宋体" w:hint="default"/>
          <w:b/>
          <w:bCs/>
          <w:sz w:val="4"/>
          <w:szCs w:val="4"/>
        </w:rPr>
      </w:pPr>
    </w:p>
    <w:tbl>
      <w:tblPr>
        <w:tblW w:w="0" w:type="auto"/>
        <w:jc w:val="left"/>
        <w:tblInd w:w="118" w:type="dxa"/>
        <w:tblLayout w:type="fixed"/>
        <w:tblCellMar>
          <w:top w:w="0" w:type="dxa"/>
          <w:left w:w="0" w:type="dxa"/>
          <w:bottom w:w="0" w:type="dxa"/>
          <w:right w:w="0" w:type="dxa"/>
        </w:tblCellMar>
        <w:tblLook w:val="01E0"/>
      </w:tblPr>
      <w:tblGrid>
        <w:gridCol w:w="1942"/>
        <w:gridCol w:w="2281"/>
        <w:gridCol w:w="2280"/>
        <w:gridCol w:w="2283"/>
      </w:tblGrid>
      <w:tr>
        <w:trPr>
          <w:trHeight w:val="418"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影响</w:t>
            </w:r>
            <w:r>
              <w:rPr>
                <w:rFonts w:ascii="宋体" w:hAnsi="宋体" w:cs="宋体" w:eastAsia="宋体" w:hint="default"/>
                <w:spacing w:val="-54"/>
                <w:sz w:val="21"/>
                <w:szCs w:val="21"/>
              </w:rPr>
              <w:t> </w:t>
            </w:r>
            <w:r>
              <w:rPr>
                <w:rFonts w:ascii="宋体" w:hAnsi="宋体" w:cs="宋体" w:eastAsia="宋体" w:hint="default"/>
                <w:b/>
                <w:bCs/>
                <w:sz w:val="21"/>
                <w:szCs w:val="21"/>
              </w:rPr>
              <w:t>2010</w:t>
            </w:r>
            <w:r>
              <w:rPr>
                <w:rFonts w:ascii="宋体" w:hAnsi="宋体" w:cs="宋体" w:eastAsia="宋体" w:hint="default"/>
                <w:b/>
                <w:bCs/>
                <w:spacing w:val="-51"/>
                <w:sz w:val="21"/>
                <w:szCs w:val="21"/>
              </w:rPr>
              <w:t> </w:t>
            </w:r>
            <w:r>
              <w:rPr>
                <w:rFonts w:ascii="宋体" w:hAnsi="宋体" w:cs="宋体" w:eastAsia="宋体" w:hint="default"/>
                <w:sz w:val="21"/>
                <w:szCs w:val="21"/>
              </w:rPr>
              <w:t>年业绩情况</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影响</w:t>
            </w:r>
            <w:r>
              <w:rPr>
                <w:rFonts w:ascii="宋体" w:hAnsi="宋体" w:cs="宋体" w:eastAsia="宋体" w:hint="default"/>
                <w:spacing w:val="-55"/>
                <w:sz w:val="21"/>
                <w:szCs w:val="21"/>
              </w:rPr>
              <w:t> </w:t>
            </w:r>
            <w:r>
              <w:rPr>
                <w:rFonts w:ascii="宋体" w:hAnsi="宋体" w:cs="宋体" w:eastAsia="宋体" w:hint="default"/>
                <w:b/>
                <w:bCs/>
                <w:sz w:val="21"/>
                <w:szCs w:val="21"/>
              </w:rPr>
              <w:t>2011</w:t>
            </w:r>
            <w:r>
              <w:rPr>
                <w:rFonts w:ascii="宋体" w:hAnsi="宋体" w:cs="宋体" w:eastAsia="宋体" w:hint="default"/>
                <w:b/>
                <w:bCs/>
                <w:spacing w:val="-51"/>
                <w:sz w:val="21"/>
                <w:szCs w:val="21"/>
              </w:rPr>
              <w:t> </w:t>
            </w:r>
            <w:r>
              <w:rPr>
                <w:rFonts w:ascii="宋体" w:hAnsi="宋体" w:cs="宋体" w:eastAsia="宋体" w:hint="default"/>
                <w:sz w:val="21"/>
                <w:szCs w:val="21"/>
              </w:rPr>
              <w:t>年业绩情况</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影响承诺事项情况</w:t>
            </w:r>
          </w:p>
        </w:tc>
      </w:tr>
      <w:tr>
        <w:trPr>
          <w:trHeight w:val="42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国外市场形势</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无影响</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影响较小</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无影响</w:t>
            </w:r>
          </w:p>
        </w:tc>
      </w:tr>
      <w:tr>
        <w:trPr>
          <w:trHeight w:val="418"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国内市场形势</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影响较大</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影响较大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无影响</w:t>
            </w:r>
          </w:p>
        </w:tc>
      </w:tr>
      <w:tr>
        <w:trPr>
          <w:trHeight w:val="418"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信贷政策调整</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影响较小</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影响较小</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无影响</w:t>
            </w:r>
          </w:p>
        </w:tc>
      </w:tr>
      <w:tr>
        <w:trPr>
          <w:trHeight w:val="42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利率变动</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增加财务费用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影响较小</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无影响</w:t>
            </w:r>
          </w:p>
        </w:tc>
      </w:tr>
      <w:tr>
        <w:trPr>
          <w:trHeight w:val="418"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无影响</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无影响</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无影响</w:t>
            </w:r>
          </w:p>
        </w:tc>
      </w:tr>
      <w:tr>
        <w:trPr>
          <w:trHeight w:val="418"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成本要素价格变化</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影响较小</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影响较小</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无影响</w:t>
            </w:r>
          </w:p>
        </w:tc>
      </w:tr>
      <w:tr>
        <w:trPr>
          <w:trHeight w:val="42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自然灾害</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影响较小</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影响较小</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无影响</w:t>
            </w:r>
          </w:p>
        </w:tc>
      </w:tr>
      <w:tr>
        <w:trPr>
          <w:trHeight w:val="418"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通货膨胀</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影响较小</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影响较小</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无影响</w:t>
            </w:r>
          </w:p>
        </w:tc>
      </w:tr>
    </w:tbl>
    <w:p>
      <w:pPr>
        <w:pStyle w:val="Heading3"/>
        <w:spacing w:line="328" w:lineRule="auto" w:before="73"/>
        <w:ind w:left="917" w:right="0" w:hanging="418"/>
        <w:jc w:val="left"/>
      </w:pPr>
      <w:r>
        <w:rPr>
          <w:rFonts w:ascii="宋体" w:hAnsi="宋体" w:cs="宋体" w:eastAsia="宋体" w:hint="default"/>
          <w:b/>
          <w:bCs/>
        </w:rPr>
        <w:t>9</w:t>
      </w:r>
      <w:r>
        <w:rPr>
          <w:rFonts w:ascii="宋体" w:hAnsi="宋体" w:cs="宋体" w:eastAsia="宋体" w:hint="default"/>
          <w:b/>
          <w:bCs/>
        </w:rPr>
        <w:t>、薪酬分析</w:t>
      </w:r>
      <w:r>
        <w:rPr>
          <w:rFonts w:ascii="宋体" w:hAnsi="宋体" w:cs="宋体" w:eastAsia="宋体" w:hint="default"/>
          <w:b/>
          <w:bCs/>
          <w:w w:val="99"/>
        </w:rPr>
        <w:t> </w:t>
      </w:r>
      <w:r>
        <w:rPr>
          <w:spacing w:val="-4"/>
        </w:rPr>
        <w:t>报告期内，公司董事、监事、高级管理人员的薪酬情况详见第四</w:t>
      </w:r>
    </w:p>
    <w:p>
      <w:pPr>
        <w:spacing w:after="0" w:line="328" w:lineRule="auto"/>
        <w:jc w:val="left"/>
        <w:sectPr>
          <w:footerReference w:type="default" r:id="rId24"/>
          <w:pgSz w:w="11910" w:h="16840"/>
          <w:pgMar w:footer="1045" w:header="624" w:top="980" w:bottom="1240" w:left="1440" w:right="1440"/>
          <w:pgNumType w:start="33"/>
        </w:sectPr>
      </w:pPr>
    </w:p>
    <w:p>
      <w:pPr>
        <w:spacing w:line="328" w:lineRule="auto" w:before="73"/>
        <w:ind w:left="258" w:right="0" w:firstLine="0"/>
        <w:jc w:val="left"/>
        <w:rPr>
          <w:rFonts w:ascii="宋体" w:hAnsi="宋体" w:cs="宋体" w:eastAsia="宋体" w:hint="default"/>
          <w:sz w:val="28"/>
          <w:szCs w:val="28"/>
        </w:rPr>
      </w:pPr>
      <w:r>
        <w:rPr>
          <w:rFonts w:ascii="宋体" w:hAnsi="宋体" w:cs="宋体" w:eastAsia="宋体" w:hint="default"/>
          <w:spacing w:val="-4"/>
          <w:sz w:val="28"/>
          <w:szCs w:val="28"/>
        </w:rPr>
        <w:t>节“董事、监事、高级管理人员和员工情况”之一（一）董事、监事</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4"/>
          <w:sz w:val="28"/>
          <w:szCs w:val="28"/>
        </w:rPr>
        <w:t>和高级管理人员持股变动及报酬情况。</w:t>
      </w:r>
      <w:r>
        <w:rPr>
          <w:rFonts w:ascii="宋体" w:hAnsi="宋体" w:cs="宋体" w:eastAsia="宋体" w:hint="default"/>
          <w:spacing w:val="-4"/>
          <w:sz w:val="28"/>
          <w:szCs w:val="28"/>
        </w:rPr>
        <w:t>2010</w:t>
      </w:r>
      <w:r>
        <w:rPr>
          <w:rFonts w:ascii="宋体" w:hAnsi="宋体" w:cs="宋体" w:eastAsia="宋体" w:hint="default"/>
          <w:spacing w:val="-4"/>
          <w:sz w:val="28"/>
          <w:szCs w:val="28"/>
        </w:rPr>
        <w:t>年，公司董事、监事及高</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级管理人员的薪酬总额为</w:t>
      </w:r>
      <w:r>
        <w:rPr>
          <w:rFonts w:ascii="宋体" w:hAnsi="宋体" w:cs="宋体" w:eastAsia="宋体" w:hint="default"/>
          <w:sz w:val="28"/>
          <w:szCs w:val="28"/>
        </w:rPr>
        <w:t>170.83</w:t>
      </w:r>
      <w:r>
        <w:rPr>
          <w:rFonts w:ascii="宋体" w:hAnsi="宋体" w:cs="宋体" w:eastAsia="宋体" w:hint="default"/>
          <w:sz w:val="28"/>
          <w:szCs w:val="28"/>
        </w:rPr>
        <w:t>万元，比上年增长</w:t>
      </w:r>
      <w:r>
        <w:rPr>
          <w:rFonts w:ascii="宋体" w:hAnsi="宋体" w:cs="宋体" w:eastAsia="宋体" w:hint="default"/>
          <w:sz w:val="28"/>
          <w:szCs w:val="28"/>
        </w:rPr>
        <w:t>22.85%</w:t>
      </w:r>
      <w:r>
        <w:rPr>
          <w:rFonts w:ascii="宋体" w:hAnsi="宋体" w:cs="宋体" w:eastAsia="宋体" w:hint="default"/>
          <w:sz w:val="28"/>
          <w:szCs w:val="28"/>
        </w:rPr>
        <w:t>。</w:t>
      </w:r>
      <w:r>
        <w:rPr>
          <w:rFonts w:ascii="宋体" w:hAnsi="宋体" w:cs="宋体" w:eastAsia="宋体" w:hint="default"/>
          <w:w w:val="100"/>
          <w:sz w:val="28"/>
          <w:szCs w:val="28"/>
        </w:rPr>
        <w:t> </w:t>
      </w:r>
      <w:r>
        <w:rPr>
          <w:rFonts w:ascii="宋体" w:hAnsi="宋体" w:cs="宋体" w:eastAsia="宋体" w:hint="default"/>
          <w:b/>
          <w:bCs/>
          <w:sz w:val="28"/>
          <w:szCs w:val="28"/>
        </w:rPr>
        <w:t>10</w:t>
      </w:r>
      <w:r>
        <w:rPr>
          <w:rFonts w:ascii="宋体" w:hAnsi="宋体" w:cs="宋体" w:eastAsia="宋体" w:hint="default"/>
          <w:b/>
          <w:bCs/>
          <w:sz w:val="28"/>
          <w:szCs w:val="28"/>
        </w:rPr>
        <w:t>、报告期内，公司未发生主要会计政策、会计估计及会计核算方</w:t>
      </w:r>
      <w:r>
        <w:rPr>
          <w:rFonts w:ascii="宋体" w:hAnsi="宋体" w:cs="宋体" w:eastAsia="宋体" w:hint="default"/>
          <w:b/>
          <w:bCs/>
          <w:w w:val="99"/>
          <w:sz w:val="28"/>
          <w:szCs w:val="28"/>
        </w:rPr>
        <w:t> </w:t>
      </w:r>
      <w:r>
        <w:rPr>
          <w:rFonts w:ascii="宋体" w:hAnsi="宋体" w:cs="宋体" w:eastAsia="宋体" w:hint="default"/>
          <w:b/>
          <w:bCs/>
          <w:sz w:val="28"/>
          <w:szCs w:val="28"/>
        </w:rPr>
        <w:t>法变更和重大前期会计差错的内容及更正情况。</w:t>
      </w:r>
      <w:r>
        <w:rPr>
          <w:rFonts w:ascii="宋体" w:hAnsi="宋体" w:cs="宋体" w:eastAsia="宋体" w:hint="default"/>
          <w:sz w:val="28"/>
          <w:szCs w:val="28"/>
        </w:rPr>
      </w:r>
    </w:p>
    <w:p>
      <w:pPr>
        <w:pStyle w:val="Heading2"/>
        <w:spacing w:line="273" w:lineRule="exact" w:before="0"/>
        <w:ind w:left="258" w:right="0"/>
        <w:jc w:val="left"/>
        <w:rPr>
          <w:b w:val="0"/>
          <w:bCs w:val="0"/>
        </w:rPr>
      </w:pPr>
      <w:r>
        <w:rPr/>
        <w:t>（二）公司资产构成情况分析</w:t>
      </w:r>
      <w:r>
        <w:rPr>
          <w:b w:val="0"/>
          <w:bCs w:val="0"/>
        </w:rPr>
      </w:r>
    </w:p>
    <w:p>
      <w:pPr>
        <w:pStyle w:val="Heading2"/>
        <w:spacing w:line="240" w:lineRule="auto" w:before="178"/>
        <w:ind w:left="258" w:right="0"/>
        <w:jc w:val="left"/>
        <w:rPr>
          <w:b w:val="0"/>
          <w:bCs w:val="0"/>
        </w:rPr>
      </w:pPr>
      <w:r>
        <w:rPr>
          <w:rFonts w:ascii="宋体" w:hAnsi="宋体" w:cs="宋体" w:eastAsia="宋体" w:hint="default"/>
        </w:rPr>
        <w:t>1</w:t>
      </w:r>
      <w:r>
        <w:rPr/>
        <w:t>、公司资产构成情况</w:t>
      </w:r>
      <w:r>
        <w:rPr>
          <w:b w:val="0"/>
          <w:bCs w:val="0"/>
        </w:rPr>
      </w:r>
    </w:p>
    <w:p>
      <w:pPr>
        <w:spacing w:line="240" w:lineRule="auto" w:before="7"/>
        <w:rPr>
          <w:rFonts w:ascii="宋体" w:hAnsi="宋体" w:cs="宋体" w:eastAsia="宋体" w:hint="default"/>
          <w:b/>
          <w:bCs/>
          <w:sz w:val="12"/>
          <w:szCs w:val="12"/>
        </w:rPr>
      </w:pPr>
    </w:p>
    <w:p>
      <w:pPr>
        <w:pStyle w:val="Heading3"/>
        <w:spacing w:line="240" w:lineRule="auto" w:before="14"/>
        <w:ind w:left="0" w:right="271"/>
        <w:jc w:val="right"/>
      </w:pPr>
      <w:r>
        <w:rPr/>
        <w:t>单位：元</w:t>
      </w:r>
    </w:p>
    <w:p>
      <w:pPr>
        <w:spacing w:line="240" w:lineRule="auto" w:before="5"/>
        <w:rPr>
          <w:rFonts w:ascii="宋体" w:hAnsi="宋体" w:cs="宋体" w:eastAsia="宋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1958"/>
        <w:gridCol w:w="1685"/>
        <w:gridCol w:w="1080"/>
        <w:gridCol w:w="1687"/>
        <w:gridCol w:w="1081"/>
        <w:gridCol w:w="1080"/>
      </w:tblGrid>
      <w:tr>
        <w:trPr>
          <w:trHeight w:val="315" w:hRule="exact"/>
        </w:trPr>
        <w:tc>
          <w:tcPr>
            <w:tcW w:w="1958" w:type="dxa"/>
            <w:vMerge w:val="restart"/>
            <w:tcBorders>
              <w:top w:val="single" w:sz="12" w:space="0" w:color="000000"/>
              <w:left w:val="single" w:sz="12" w:space="0" w:color="000000"/>
              <w:right w:val="single" w:sz="12" w:space="0" w:color="000000"/>
            </w:tcBorders>
          </w:tcPr>
          <w:p>
            <w:pPr>
              <w:pStyle w:val="TableParagraph"/>
              <w:spacing w:line="240" w:lineRule="auto" w:before="129"/>
              <w:ind w:right="2"/>
              <w:jc w:val="center"/>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2766"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495"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76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496"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080" w:type="dxa"/>
            <w:vMerge w:val="restart"/>
            <w:tcBorders>
              <w:top w:val="single" w:sz="12" w:space="0" w:color="000000"/>
              <w:left w:val="single" w:sz="12" w:space="0" w:color="000000"/>
              <w:right w:val="single" w:sz="12" w:space="0" w:color="000000"/>
            </w:tcBorders>
          </w:tcPr>
          <w:p>
            <w:pPr>
              <w:pStyle w:val="TableParagraph"/>
              <w:spacing w:line="268" w:lineRule="exact"/>
              <w:ind w:right="2"/>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14" w:hRule="exact"/>
        </w:trPr>
        <w:tc>
          <w:tcPr>
            <w:tcW w:w="1958" w:type="dxa"/>
            <w:vMerge/>
            <w:tcBorders>
              <w:left w:val="single" w:sz="12" w:space="0" w:color="000000"/>
              <w:bottom w:val="single" w:sz="12" w:space="0" w:color="000000"/>
              <w:right w:val="single" w:sz="12" w:space="0" w:color="000000"/>
            </w:tcBorders>
          </w:tcPr>
          <w:p>
            <w:pP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406"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5"/>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407"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7"/>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080" w:type="dxa"/>
            <w:vMerge/>
            <w:tcBorders>
              <w:left w:val="single" w:sz="12" w:space="0" w:color="000000"/>
              <w:bottom w:val="single" w:sz="12" w:space="0" w:color="000000"/>
              <w:right w:val="single" w:sz="12" w:space="0" w:color="000000"/>
            </w:tcBorders>
          </w:tcPr>
          <w:p>
            <w:pPr/>
          </w:p>
        </w:tc>
      </w:tr>
      <w:tr>
        <w:trPr>
          <w:trHeight w:val="314"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85" w:type="dxa"/>
            <w:tcBorders>
              <w:top w:val="single" w:sz="12" w:space="0" w:color="000000"/>
              <w:left w:val="single" w:sz="12" w:space="0" w:color="000000"/>
              <w:bottom w:val="single" w:sz="12" w:space="0" w:color="000000"/>
              <w:right w:val="single" w:sz="12" w:space="0" w:color="000000"/>
            </w:tcBorders>
          </w:tcPr>
          <w:p>
            <w:pPr/>
          </w:p>
        </w:tc>
        <w:tc>
          <w:tcPr>
            <w:tcW w:w="1080" w:type="dxa"/>
            <w:tcBorders>
              <w:top w:val="single" w:sz="12" w:space="0" w:color="000000"/>
              <w:left w:val="single" w:sz="12" w:space="0" w:color="000000"/>
              <w:bottom w:val="single" w:sz="12" w:space="0" w:color="000000"/>
              <w:right w:val="single" w:sz="12" w:space="0" w:color="000000"/>
            </w:tcBorders>
          </w:tcPr>
          <w:p>
            <w:pPr/>
          </w:p>
        </w:tc>
        <w:tc>
          <w:tcPr>
            <w:tcW w:w="1687" w:type="dxa"/>
            <w:tcBorders>
              <w:top w:val="single" w:sz="12" w:space="0" w:color="000000"/>
              <w:left w:val="single" w:sz="12" w:space="0" w:color="000000"/>
              <w:bottom w:val="single" w:sz="12" w:space="0" w:color="000000"/>
              <w:right w:val="single" w:sz="12" w:space="0" w:color="000000"/>
            </w:tcBorders>
          </w:tcPr>
          <w:p>
            <w:pPr/>
          </w:p>
        </w:tc>
        <w:tc>
          <w:tcPr>
            <w:tcW w:w="1081" w:type="dxa"/>
            <w:tcBorders>
              <w:top w:val="single" w:sz="12" w:space="0" w:color="000000"/>
              <w:left w:val="single" w:sz="12" w:space="0" w:color="000000"/>
              <w:bottom w:val="single" w:sz="12" w:space="0" w:color="000000"/>
              <w:right w:val="single" w:sz="12" w:space="0" w:color="000000"/>
            </w:tcBorders>
          </w:tcPr>
          <w:p>
            <w:pPr/>
          </w:p>
        </w:tc>
        <w:tc>
          <w:tcPr>
            <w:tcW w:w="1080" w:type="dxa"/>
            <w:tcBorders>
              <w:top w:val="single" w:sz="12" w:space="0" w:color="000000"/>
              <w:left w:val="single" w:sz="12" w:space="0" w:color="000000"/>
              <w:bottom w:val="single" w:sz="12" w:space="0" w:color="000000"/>
              <w:right w:val="single" w:sz="12" w:space="0" w:color="000000"/>
            </w:tcBorders>
          </w:tcPr>
          <w:p>
            <w:pPr/>
          </w:p>
        </w:tc>
      </w:tr>
      <w:tr>
        <w:trPr>
          <w:trHeight w:val="317"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left="30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89"/>
              <w:jc w:val="right"/>
              <w:rPr>
                <w:rFonts w:ascii="宋体" w:hAnsi="宋体" w:cs="宋体" w:eastAsia="宋体" w:hint="default"/>
                <w:sz w:val="21"/>
                <w:szCs w:val="21"/>
              </w:rPr>
            </w:pPr>
            <w:r>
              <w:rPr>
                <w:rFonts w:ascii="宋体"/>
                <w:spacing w:val="-1"/>
                <w:sz w:val="21"/>
              </w:rPr>
              <w:t>393,267,608.28</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89"/>
              <w:jc w:val="right"/>
              <w:rPr>
                <w:rFonts w:ascii="宋体" w:hAnsi="宋体" w:cs="宋体" w:eastAsia="宋体" w:hint="default"/>
                <w:sz w:val="21"/>
                <w:szCs w:val="21"/>
              </w:rPr>
            </w:pPr>
            <w:r>
              <w:rPr>
                <w:rFonts w:ascii="宋体"/>
                <w:sz w:val="21"/>
              </w:rPr>
              <w:t>52.67</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89"/>
              <w:jc w:val="right"/>
              <w:rPr>
                <w:rFonts w:ascii="宋体" w:hAnsi="宋体" w:cs="宋体" w:eastAsia="宋体" w:hint="default"/>
                <w:sz w:val="21"/>
                <w:szCs w:val="21"/>
              </w:rPr>
            </w:pPr>
            <w:r>
              <w:rPr>
                <w:rFonts w:ascii="宋体"/>
                <w:spacing w:val="-1"/>
                <w:sz w:val="21"/>
              </w:rPr>
              <w:t>458,958,039.73</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94"/>
              <w:jc w:val="right"/>
              <w:rPr>
                <w:rFonts w:ascii="宋体" w:hAnsi="宋体" w:cs="宋体" w:eastAsia="宋体" w:hint="default"/>
                <w:sz w:val="21"/>
                <w:szCs w:val="21"/>
              </w:rPr>
            </w:pPr>
            <w:r>
              <w:rPr>
                <w:rFonts w:ascii="宋体"/>
                <w:sz w:val="21"/>
              </w:rPr>
              <w:t>64.67</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91"/>
              <w:jc w:val="right"/>
              <w:rPr>
                <w:rFonts w:ascii="宋体" w:hAnsi="宋体" w:cs="宋体" w:eastAsia="宋体" w:hint="default"/>
                <w:sz w:val="21"/>
                <w:szCs w:val="21"/>
              </w:rPr>
            </w:pPr>
            <w:r>
              <w:rPr>
                <w:rFonts w:ascii="宋体"/>
                <w:sz w:val="21"/>
              </w:rPr>
              <w:t>-14.31</w:t>
            </w:r>
          </w:p>
        </w:tc>
      </w:tr>
      <w:tr>
        <w:trPr>
          <w:trHeight w:val="314"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30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4,149,250.00</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z w:val="21"/>
              </w:rPr>
              <w:t>0.56</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2,421,368.70</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4"/>
              <w:jc w:val="right"/>
              <w:rPr>
                <w:rFonts w:ascii="宋体" w:hAnsi="宋体" w:cs="宋体" w:eastAsia="宋体" w:hint="default"/>
                <w:sz w:val="21"/>
                <w:szCs w:val="21"/>
              </w:rPr>
            </w:pPr>
            <w:r>
              <w:rPr>
                <w:rFonts w:ascii="宋体"/>
                <w:sz w:val="21"/>
              </w:rPr>
              <w:t>0.34</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71.36</w:t>
            </w:r>
          </w:p>
        </w:tc>
      </w:tr>
      <w:tr>
        <w:trPr>
          <w:trHeight w:val="314"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30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157,782,043.91</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z w:val="21"/>
              </w:rPr>
              <w:t>21.13</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95,335,455.28</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4"/>
              <w:jc w:val="right"/>
              <w:rPr>
                <w:rFonts w:ascii="宋体" w:hAnsi="宋体" w:cs="宋体" w:eastAsia="宋体" w:hint="default"/>
                <w:sz w:val="21"/>
                <w:szCs w:val="21"/>
              </w:rPr>
            </w:pPr>
            <w:r>
              <w:rPr>
                <w:rFonts w:ascii="宋体"/>
                <w:sz w:val="21"/>
              </w:rPr>
              <w:t>13.43</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65.50</w:t>
            </w:r>
          </w:p>
        </w:tc>
      </w:tr>
      <w:tr>
        <w:trPr>
          <w:trHeight w:val="314"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30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12,589,008.78</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z w:val="21"/>
              </w:rPr>
              <w:t>1.69</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9,992,934.69</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4"/>
              <w:jc w:val="right"/>
              <w:rPr>
                <w:rFonts w:ascii="宋体" w:hAnsi="宋体" w:cs="宋体" w:eastAsia="宋体" w:hint="default"/>
                <w:sz w:val="21"/>
                <w:szCs w:val="21"/>
              </w:rPr>
            </w:pPr>
            <w:r>
              <w:rPr>
                <w:rFonts w:ascii="宋体"/>
                <w:sz w:val="21"/>
              </w:rPr>
              <w:t>1.41</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25.98</w:t>
            </w:r>
          </w:p>
        </w:tc>
      </w:tr>
      <w:tr>
        <w:trPr>
          <w:trHeight w:val="317"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89"/>
              <w:jc w:val="right"/>
              <w:rPr>
                <w:rFonts w:ascii="宋体" w:hAnsi="宋体" w:cs="宋体" w:eastAsia="宋体" w:hint="default"/>
                <w:sz w:val="21"/>
                <w:szCs w:val="21"/>
              </w:rPr>
            </w:pPr>
            <w:r>
              <w:rPr>
                <w:rFonts w:ascii="宋体"/>
                <w:spacing w:val="-1"/>
                <w:sz w:val="21"/>
              </w:rPr>
              <w:t>3,522,368.57</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89"/>
              <w:jc w:val="right"/>
              <w:rPr>
                <w:rFonts w:ascii="宋体" w:hAnsi="宋体" w:cs="宋体" w:eastAsia="宋体" w:hint="default"/>
                <w:sz w:val="21"/>
                <w:szCs w:val="21"/>
              </w:rPr>
            </w:pPr>
            <w:r>
              <w:rPr>
                <w:rFonts w:ascii="宋体"/>
                <w:sz w:val="21"/>
              </w:rPr>
              <w:t>0.47</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89"/>
              <w:jc w:val="right"/>
              <w:rPr>
                <w:rFonts w:ascii="宋体" w:hAnsi="宋体" w:cs="宋体" w:eastAsia="宋体" w:hint="default"/>
                <w:sz w:val="21"/>
                <w:szCs w:val="21"/>
              </w:rPr>
            </w:pPr>
            <w:r>
              <w:rPr>
                <w:rFonts w:ascii="宋体"/>
                <w:spacing w:val="-1"/>
                <w:sz w:val="21"/>
              </w:rPr>
              <w:t>3,205,548.68</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94"/>
              <w:jc w:val="right"/>
              <w:rPr>
                <w:rFonts w:ascii="宋体" w:hAnsi="宋体" w:cs="宋体" w:eastAsia="宋体" w:hint="default"/>
                <w:sz w:val="21"/>
                <w:szCs w:val="21"/>
              </w:rPr>
            </w:pPr>
            <w:r>
              <w:rPr>
                <w:rFonts w:ascii="宋体"/>
                <w:sz w:val="21"/>
              </w:rPr>
              <w:t>0.45</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94"/>
              <w:jc w:val="right"/>
              <w:rPr>
                <w:rFonts w:ascii="宋体" w:hAnsi="宋体" w:cs="宋体" w:eastAsia="宋体" w:hint="default"/>
                <w:sz w:val="21"/>
                <w:szCs w:val="21"/>
              </w:rPr>
            </w:pPr>
            <w:r>
              <w:rPr>
                <w:rFonts w:ascii="宋体"/>
                <w:sz w:val="21"/>
              </w:rPr>
              <w:t>9.88</w:t>
            </w:r>
          </w:p>
        </w:tc>
      </w:tr>
      <w:tr>
        <w:trPr>
          <w:trHeight w:val="314"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30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72,097,829.34</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z w:val="21"/>
              </w:rPr>
              <w:t>9.66</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60,767,871.94</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4"/>
              <w:jc w:val="right"/>
              <w:rPr>
                <w:rFonts w:ascii="宋体" w:hAnsi="宋体" w:cs="宋体" w:eastAsia="宋体" w:hint="default"/>
                <w:sz w:val="21"/>
                <w:szCs w:val="21"/>
              </w:rPr>
            </w:pPr>
            <w:r>
              <w:rPr>
                <w:rFonts w:ascii="宋体"/>
                <w:sz w:val="21"/>
              </w:rPr>
              <w:t>8.56</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18.64</w:t>
            </w:r>
          </w:p>
        </w:tc>
      </w:tr>
      <w:tr>
        <w:trPr>
          <w:trHeight w:val="314"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643,408,108.88</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z w:val="21"/>
              </w:rPr>
              <w:t>86.17</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630,681,219.02</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4"/>
              <w:jc w:val="right"/>
              <w:rPr>
                <w:rFonts w:ascii="宋体" w:hAnsi="宋体" w:cs="宋体" w:eastAsia="宋体" w:hint="default"/>
                <w:sz w:val="21"/>
                <w:szCs w:val="21"/>
              </w:rPr>
            </w:pPr>
            <w:r>
              <w:rPr>
                <w:rFonts w:ascii="宋体"/>
                <w:sz w:val="21"/>
              </w:rPr>
              <w:t>88.87</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4"/>
              <w:jc w:val="right"/>
              <w:rPr>
                <w:rFonts w:ascii="宋体" w:hAnsi="宋体" w:cs="宋体" w:eastAsia="宋体" w:hint="default"/>
                <w:sz w:val="21"/>
                <w:szCs w:val="21"/>
              </w:rPr>
            </w:pPr>
            <w:r>
              <w:rPr>
                <w:rFonts w:ascii="宋体"/>
                <w:sz w:val="21"/>
              </w:rPr>
              <w:t>2.02</w:t>
            </w:r>
          </w:p>
        </w:tc>
      </w:tr>
      <w:tr>
        <w:trPr>
          <w:trHeight w:val="314"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85" w:type="dxa"/>
            <w:tcBorders>
              <w:top w:val="single" w:sz="12" w:space="0" w:color="000000"/>
              <w:left w:val="single" w:sz="12" w:space="0" w:color="000000"/>
              <w:bottom w:val="single" w:sz="12" w:space="0" w:color="000000"/>
              <w:right w:val="single" w:sz="12" w:space="0" w:color="000000"/>
            </w:tcBorders>
          </w:tcPr>
          <w:p>
            <w:pPr/>
          </w:p>
        </w:tc>
        <w:tc>
          <w:tcPr>
            <w:tcW w:w="1080" w:type="dxa"/>
            <w:tcBorders>
              <w:top w:val="single" w:sz="12" w:space="0" w:color="000000"/>
              <w:left w:val="single" w:sz="12" w:space="0" w:color="000000"/>
              <w:bottom w:val="single" w:sz="12" w:space="0" w:color="000000"/>
              <w:right w:val="single" w:sz="12" w:space="0" w:color="000000"/>
            </w:tcBorders>
          </w:tcPr>
          <w:p>
            <w:pPr/>
          </w:p>
        </w:tc>
        <w:tc>
          <w:tcPr>
            <w:tcW w:w="1687" w:type="dxa"/>
            <w:tcBorders>
              <w:top w:val="single" w:sz="12" w:space="0" w:color="000000"/>
              <w:left w:val="single" w:sz="12" w:space="0" w:color="000000"/>
              <w:bottom w:val="single" w:sz="12" w:space="0" w:color="000000"/>
              <w:right w:val="single" w:sz="12" w:space="0" w:color="000000"/>
            </w:tcBorders>
          </w:tcPr>
          <w:p>
            <w:pPr/>
          </w:p>
        </w:tc>
        <w:tc>
          <w:tcPr>
            <w:tcW w:w="1081" w:type="dxa"/>
            <w:tcBorders>
              <w:top w:val="single" w:sz="12" w:space="0" w:color="000000"/>
              <w:left w:val="single" w:sz="12" w:space="0" w:color="000000"/>
              <w:bottom w:val="single" w:sz="12" w:space="0" w:color="000000"/>
              <w:right w:val="single" w:sz="12" w:space="0" w:color="000000"/>
            </w:tcBorders>
          </w:tcPr>
          <w:p>
            <w:pPr/>
          </w:p>
        </w:tc>
        <w:tc>
          <w:tcPr>
            <w:tcW w:w="1080" w:type="dxa"/>
            <w:tcBorders>
              <w:top w:val="single" w:sz="12" w:space="0" w:color="000000"/>
              <w:left w:val="single" w:sz="12" w:space="0" w:color="000000"/>
              <w:bottom w:val="single" w:sz="12" w:space="0" w:color="000000"/>
              <w:right w:val="single" w:sz="12" w:space="0" w:color="000000"/>
            </w:tcBorders>
          </w:tcPr>
          <w:p>
            <w:pPr/>
          </w:p>
        </w:tc>
      </w:tr>
      <w:tr>
        <w:trPr>
          <w:trHeight w:val="317"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left="30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89"/>
              <w:jc w:val="right"/>
              <w:rPr>
                <w:rFonts w:ascii="宋体" w:hAnsi="宋体" w:cs="宋体" w:eastAsia="宋体" w:hint="default"/>
                <w:sz w:val="21"/>
                <w:szCs w:val="21"/>
              </w:rPr>
            </w:pPr>
            <w:r>
              <w:rPr>
                <w:rFonts w:ascii="宋体"/>
                <w:spacing w:val="-1"/>
                <w:sz w:val="21"/>
              </w:rPr>
              <w:t>46,315,141.40</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89"/>
              <w:jc w:val="right"/>
              <w:rPr>
                <w:rFonts w:ascii="宋体" w:hAnsi="宋体" w:cs="宋体" w:eastAsia="宋体" w:hint="default"/>
                <w:sz w:val="21"/>
                <w:szCs w:val="21"/>
              </w:rPr>
            </w:pPr>
            <w:r>
              <w:rPr>
                <w:rFonts w:ascii="宋体"/>
                <w:sz w:val="21"/>
              </w:rPr>
              <w:t>6.20</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89"/>
              <w:jc w:val="right"/>
              <w:rPr>
                <w:rFonts w:ascii="宋体" w:hAnsi="宋体" w:cs="宋体" w:eastAsia="宋体" w:hint="default"/>
                <w:sz w:val="21"/>
                <w:szCs w:val="21"/>
              </w:rPr>
            </w:pPr>
            <w:r>
              <w:rPr>
                <w:rFonts w:ascii="宋体"/>
                <w:spacing w:val="-1"/>
                <w:sz w:val="21"/>
              </w:rPr>
              <w:t>25,899,642.83</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94"/>
              <w:jc w:val="right"/>
              <w:rPr>
                <w:rFonts w:ascii="宋体" w:hAnsi="宋体" w:cs="宋体" w:eastAsia="宋体" w:hint="default"/>
                <w:sz w:val="21"/>
                <w:szCs w:val="21"/>
              </w:rPr>
            </w:pPr>
            <w:r>
              <w:rPr>
                <w:rFonts w:ascii="宋体"/>
                <w:sz w:val="21"/>
              </w:rPr>
              <w:t>3.65</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95"/>
              <w:jc w:val="right"/>
              <w:rPr>
                <w:rFonts w:ascii="宋体" w:hAnsi="宋体" w:cs="宋体" w:eastAsia="宋体" w:hint="default"/>
                <w:sz w:val="21"/>
                <w:szCs w:val="21"/>
              </w:rPr>
            </w:pPr>
            <w:r>
              <w:rPr>
                <w:rFonts w:ascii="宋体"/>
                <w:sz w:val="21"/>
              </w:rPr>
              <w:t>78.83</w:t>
            </w:r>
          </w:p>
        </w:tc>
      </w:tr>
      <w:tr>
        <w:trPr>
          <w:trHeight w:val="315"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30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41,570,185.07</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z w:val="21"/>
              </w:rPr>
              <w:t>5.57</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39,241,902.54</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4"/>
              <w:jc w:val="right"/>
              <w:rPr>
                <w:rFonts w:ascii="宋体" w:hAnsi="宋体" w:cs="宋体" w:eastAsia="宋体" w:hint="default"/>
                <w:sz w:val="21"/>
                <w:szCs w:val="21"/>
              </w:rPr>
            </w:pPr>
            <w:r>
              <w:rPr>
                <w:rFonts w:ascii="宋体"/>
                <w:sz w:val="21"/>
              </w:rPr>
              <w:t>5.53</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4"/>
              <w:jc w:val="right"/>
              <w:rPr>
                <w:rFonts w:ascii="宋体" w:hAnsi="宋体" w:cs="宋体" w:eastAsia="宋体" w:hint="default"/>
                <w:sz w:val="21"/>
                <w:szCs w:val="21"/>
              </w:rPr>
            </w:pPr>
            <w:r>
              <w:rPr>
                <w:rFonts w:ascii="宋体"/>
                <w:sz w:val="21"/>
              </w:rPr>
              <w:t>5.93</w:t>
            </w:r>
          </w:p>
        </w:tc>
      </w:tr>
      <w:tr>
        <w:trPr>
          <w:trHeight w:val="314"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30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730,655.95</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z w:val="21"/>
              </w:rPr>
              <w:t>0.10</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1,602,006.01</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4"/>
              <w:jc w:val="right"/>
              <w:rPr>
                <w:rFonts w:ascii="宋体" w:hAnsi="宋体" w:cs="宋体" w:eastAsia="宋体" w:hint="default"/>
                <w:sz w:val="21"/>
                <w:szCs w:val="21"/>
              </w:rPr>
            </w:pPr>
            <w:r>
              <w:rPr>
                <w:rFonts w:ascii="宋体"/>
                <w:sz w:val="21"/>
              </w:rPr>
              <w:t>0.23</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1"/>
              <w:jc w:val="right"/>
              <w:rPr>
                <w:rFonts w:ascii="宋体" w:hAnsi="宋体" w:cs="宋体" w:eastAsia="宋体" w:hint="default"/>
                <w:sz w:val="21"/>
                <w:szCs w:val="21"/>
              </w:rPr>
            </w:pPr>
            <w:r>
              <w:rPr>
                <w:rFonts w:ascii="宋体"/>
                <w:sz w:val="21"/>
              </w:rPr>
              <w:t>-54.39</w:t>
            </w:r>
          </w:p>
        </w:tc>
      </w:tr>
      <w:tr>
        <w:trPr>
          <w:trHeight w:val="314"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left="30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5,381,346.65</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z w:val="21"/>
              </w:rPr>
              <w:t>0.72</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89"/>
              <w:jc w:val="right"/>
              <w:rPr>
                <w:rFonts w:ascii="宋体" w:hAnsi="宋体" w:cs="宋体" w:eastAsia="宋体" w:hint="default"/>
                <w:sz w:val="21"/>
                <w:szCs w:val="21"/>
              </w:rPr>
            </w:pPr>
            <w:r>
              <w:rPr>
                <w:rFonts w:ascii="宋体"/>
                <w:spacing w:val="-1"/>
                <w:sz w:val="21"/>
              </w:rPr>
              <w:t>5,700,451.49</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4"/>
              <w:jc w:val="right"/>
              <w:rPr>
                <w:rFonts w:ascii="宋体" w:hAnsi="宋体" w:cs="宋体" w:eastAsia="宋体" w:hint="default"/>
                <w:sz w:val="21"/>
                <w:szCs w:val="21"/>
              </w:rPr>
            </w:pPr>
            <w:r>
              <w:rPr>
                <w:rFonts w:ascii="宋体"/>
                <w:sz w:val="21"/>
              </w:rPr>
              <w:t>0.80</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8" w:lineRule="exact"/>
              <w:ind w:right="94"/>
              <w:jc w:val="right"/>
              <w:rPr>
                <w:rFonts w:ascii="宋体" w:hAnsi="宋体" w:cs="宋体" w:eastAsia="宋体" w:hint="default"/>
                <w:sz w:val="21"/>
                <w:szCs w:val="21"/>
              </w:rPr>
            </w:pPr>
            <w:r>
              <w:rPr>
                <w:rFonts w:ascii="宋体"/>
                <w:sz w:val="21"/>
              </w:rPr>
              <w:t>-5.60</w:t>
            </w:r>
          </w:p>
        </w:tc>
      </w:tr>
      <w:tr>
        <w:trPr>
          <w:trHeight w:val="511"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1"/>
              <w:ind w:left="30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1"/>
              <w:ind w:right="89"/>
              <w:jc w:val="right"/>
              <w:rPr>
                <w:rFonts w:ascii="宋体" w:hAnsi="宋体" w:cs="宋体" w:eastAsia="宋体" w:hint="default"/>
                <w:sz w:val="21"/>
                <w:szCs w:val="21"/>
              </w:rPr>
            </w:pPr>
            <w:r>
              <w:rPr>
                <w:rFonts w:ascii="宋体"/>
                <w:spacing w:val="-1"/>
                <w:sz w:val="21"/>
              </w:rPr>
              <w:t>9,284,330.55</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1"/>
              <w:ind w:right="89"/>
              <w:jc w:val="right"/>
              <w:rPr>
                <w:rFonts w:ascii="宋体" w:hAnsi="宋体" w:cs="宋体" w:eastAsia="宋体" w:hint="default"/>
                <w:sz w:val="21"/>
                <w:szCs w:val="21"/>
              </w:rPr>
            </w:pPr>
            <w:r>
              <w:rPr>
                <w:rFonts w:ascii="宋体"/>
                <w:sz w:val="21"/>
              </w:rPr>
              <w:t>1.24</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1"/>
              <w:ind w:right="89"/>
              <w:jc w:val="right"/>
              <w:rPr>
                <w:rFonts w:ascii="宋体" w:hAnsi="宋体" w:cs="宋体" w:eastAsia="宋体" w:hint="default"/>
                <w:sz w:val="21"/>
                <w:szCs w:val="21"/>
              </w:rPr>
            </w:pPr>
            <w:r>
              <w:rPr>
                <w:rFonts w:ascii="宋体"/>
                <w:spacing w:val="-1"/>
                <w:sz w:val="21"/>
              </w:rPr>
              <w:t>6,519,934.72</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1"/>
              <w:ind w:right="94"/>
              <w:jc w:val="right"/>
              <w:rPr>
                <w:rFonts w:ascii="宋体" w:hAnsi="宋体" w:cs="宋体" w:eastAsia="宋体" w:hint="default"/>
                <w:sz w:val="21"/>
                <w:szCs w:val="21"/>
              </w:rPr>
            </w:pPr>
            <w:r>
              <w:rPr>
                <w:rFonts w:ascii="宋体"/>
                <w:sz w:val="21"/>
              </w:rPr>
              <w:t>0.92</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1"/>
              <w:ind w:right="95"/>
              <w:jc w:val="right"/>
              <w:rPr>
                <w:rFonts w:ascii="宋体" w:hAnsi="宋体" w:cs="宋体" w:eastAsia="宋体" w:hint="default"/>
                <w:sz w:val="21"/>
                <w:szCs w:val="21"/>
              </w:rPr>
            </w:pPr>
            <w:r>
              <w:rPr>
                <w:rFonts w:ascii="宋体"/>
                <w:sz w:val="21"/>
              </w:rPr>
              <w:t>42.40</w:t>
            </w:r>
          </w:p>
        </w:tc>
      </w:tr>
      <w:tr>
        <w:trPr>
          <w:trHeight w:val="509"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1"/>
              <w:ind w:left="9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1"/>
              <w:ind w:right="89"/>
              <w:jc w:val="right"/>
              <w:rPr>
                <w:rFonts w:ascii="宋体" w:hAnsi="宋体" w:cs="宋体" w:eastAsia="宋体" w:hint="default"/>
                <w:sz w:val="21"/>
                <w:szCs w:val="21"/>
              </w:rPr>
            </w:pPr>
            <w:r>
              <w:rPr>
                <w:rFonts w:ascii="宋体"/>
                <w:spacing w:val="-1"/>
                <w:sz w:val="21"/>
              </w:rPr>
              <w:t>103,281,659.62</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1"/>
              <w:ind w:right="89"/>
              <w:jc w:val="right"/>
              <w:rPr>
                <w:rFonts w:ascii="宋体" w:hAnsi="宋体" w:cs="宋体" w:eastAsia="宋体" w:hint="default"/>
                <w:sz w:val="21"/>
                <w:szCs w:val="21"/>
              </w:rPr>
            </w:pPr>
            <w:r>
              <w:rPr>
                <w:rFonts w:ascii="宋体"/>
                <w:sz w:val="21"/>
              </w:rPr>
              <w:t>13.83</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1"/>
              <w:ind w:right="89"/>
              <w:jc w:val="right"/>
              <w:rPr>
                <w:rFonts w:ascii="宋体" w:hAnsi="宋体" w:cs="宋体" w:eastAsia="宋体" w:hint="default"/>
                <w:sz w:val="21"/>
                <w:szCs w:val="21"/>
              </w:rPr>
            </w:pPr>
            <w:r>
              <w:rPr>
                <w:rFonts w:ascii="宋体"/>
                <w:spacing w:val="-1"/>
                <w:sz w:val="21"/>
              </w:rPr>
              <w:t>78,963,937.59</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1"/>
              <w:ind w:right="94"/>
              <w:jc w:val="right"/>
              <w:rPr>
                <w:rFonts w:ascii="宋体" w:hAnsi="宋体" w:cs="宋体" w:eastAsia="宋体" w:hint="default"/>
                <w:sz w:val="21"/>
                <w:szCs w:val="21"/>
              </w:rPr>
            </w:pPr>
            <w:r>
              <w:rPr>
                <w:rFonts w:ascii="宋体"/>
                <w:sz w:val="21"/>
              </w:rPr>
              <w:t>11.13</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1"/>
              <w:ind w:right="95"/>
              <w:jc w:val="right"/>
              <w:rPr>
                <w:rFonts w:ascii="宋体" w:hAnsi="宋体" w:cs="宋体" w:eastAsia="宋体" w:hint="default"/>
                <w:sz w:val="21"/>
                <w:szCs w:val="21"/>
              </w:rPr>
            </w:pPr>
            <w:r>
              <w:rPr>
                <w:rFonts w:ascii="宋体"/>
                <w:sz w:val="21"/>
              </w:rPr>
              <w:t>30.80</w:t>
            </w:r>
          </w:p>
        </w:tc>
      </w:tr>
      <w:tr>
        <w:trPr>
          <w:trHeight w:val="314" w:hRule="exact"/>
        </w:trPr>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left="54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85"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89"/>
              <w:jc w:val="right"/>
              <w:rPr>
                <w:rFonts w:ascii="宋体" w:hAnsi="宋体" w:cs="宋体" w:eastAsia="宋体" w:hint="default"/>
                <w:sz w:val="21"/>
                <w:szCs w:val="21"/>
              </w:rPr>
            </w:pPr>
            <w:r>
              <w:rPr>
                <w:rFonts w:ascii="宋体"/>
                <w:spacing w:val="-1"/>
                <w:sz w:val="21"/>
              </w:rPr>
              <w:t>746,689,768.50</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89"/>
              <w:jc w:val="right"/>
              <w:rPr>
                <w:rFonts w:ascii="宋体" w:hAnsi="宋体" w:cs="宋体" w:eastAsia="宋体" w:hint="default"/>
                <w:sz w:val="21"/>
                <w:szCs w:val="21"/>
              </w:rPr>
            </w:pPr>
            <w:r>
              <w:rPr>
                <w:rFonts w:ascii="宋体"/>
                <w:sz w:val="21"/>
              </w:rPr>
              <w:t>100.00</w:t>
            </w:r>
          </w:p>
        </w:tc>
        <w:tc>
          <w:tcPr>
            <w:tcW w:w="1687"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89"/>
              <w:jc w:val="right"/>
              <w:rPr>
                <w:rFonts w:ascii="宋体" w:hAnsi="宋体" w:cs="宋体" w:eastAsia="宋体" w:hint="default"/>
                <w:sz w:val="21"/>
                <w:szCs w:val="21"/>
              </w:rPr>
            </w:pPr>
            <w:r>
              <w:rPr>
                <w:rFonts w:ascii="宋体"/>
                <w:spacing w:val="-1"/>
                <w:sz w:val="21"/>
              </w:rPr>
              <w:t>709,645,156.61</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left="323" w:right="0"/>
              <w:jc w:val="left"/>
              <w:rPr>
                <w:rFonts w:ascii="宋体" w:hAnsi="宋体" w:cs="宋体" w:eastAsia="宋体" w:hint="default"/>
                <w:sz w:val="21"/>
                <w:szCs w:val="21"/>
              </w:rPr>
            </w:pPr>
            <w:r>
              <w:rPr>
                <w:rFonts w:ascii="宋体"/>
                <w:sz w:val="21"/>
              </w:rPr>
              <w:t>100.00</w:t>
            </w:r>
          </w:p>
        </w:tc>
        <w:tc>
          <w:tcPr>
            <w:tcW w:w="1080" w:type="dxa"/>
            <w:tcBorders>
              <w:top w:val="single" w:sz="12" w:space="0" w:color="000000"/>
              <w:left w:val="single" w:sz="12" w:space="0" w:color="000000"/>
              <w:bottom w:val="single" w:sz="12" w:space="0" w:color="000000"/>
              <w:right w:val="single" w:sz="12" w:space="0" w:color="000000"/>
            </w:tcBorders>
          </w:tcPr>
          <w:p>
            <w:pPr>
              <w:pStyle w:val="TableParagraph"/>
              <w:spacing w:line="250" w:lineRule="exact"/>
              <w:ind w:right="94"/>
              <w:jc w:val="right"/>
              <w:rPr>
                <w:rFonts w:ascii="宋体" w:hAnsi="宋体" w:cs="宋体" w:eastAsia="宋体" w:hint="default"/>
                <w:sz w:val="21"/>
                <w:szCs w:val="21"/>
              </w:rPr>
            </w:pPr>
            <w:r>
              <w:rPr>
                <w:rFonts w:ascii="宋体"/>
                <w:sz w:val="21"/>
              </w:rPr>
              <w:t>5.22</w:t>
            </w:r>
          </w:p>
        </w:tc>
      </w:tr>
    </w:tbl>
    <w:p>
      <w:pPr>
        <w:spacing w:line="240" w:lineRule="auto" w:before="7"/>
        <w:rPr>
          <w:rFonts w:ascii="宋体" w:hAnsi="宋体" w:cs="宋体" w:eastAsia="宋体" w:hint="default"/>
          <w:sz w:val="28"/>
          <w:szCs w:val="28"/>
        </w:rPr>
      </w:pPr>
    </w:p>
    <w:p>
      <w:pPr>
        <w:pStyle w:val="Heading3"/>
        <w:spacing w:line="326" w:lineRule="auto" w:before="14"/>
        <w:ind w:left="258" w:right="0" w:firstLine="599"/>
        <w:jc w:val="left"/>
      </w:pPr>
      <w:r>
        <w:rPr>
          <w:spacing w:val="-4"/>
        </w:rPr>
        <w:t>（</w:t>
      </w:r>
      <w:r>
        <w:rPr>
          <w:rFonts w:ascii="宋体" w:hAnsi="宋体" w:cs="宋体" w:eastAsia="宋体" w:hint="default"/>
          <w:spacing w:val="-4"/>
        </w:rPr>
        <w:t>1</w:t>
      </w:r>
      <w:r>
        <w:rPr>
          <w:spacing w:val="-4"/>
        </w:rPr>
        <w:t>）报告期内，应收票据同比年初增长</w:t>
      </w:r>
      <w:r>
        <w:rPr>
          <w:spacing w:val="-30"/>
        </w:rPr>
        <w:t> </w:t>
      </w:r>
      <w:r>
        <w:rPr>
          <w:rFonts w:ascii="宋体" w:hAnsi="宋体" w:cs="宋体" w:eastAsia="宋体" w:hint="default"/>
          <w:spacing w:val="-3"/>
        </w:rPr>
        <w:t>71.36%</w:t>
      </w:r>
      <w:r>
        <w:rPr>
          <w:spacing w:val="-3"/>
        </w:rPr>
        <w:t>，主要系公司收</w:t>
      </w:r>
      <w:r>
        <w:rPr>
          <w:w w:val="100"/>
        </w:rPr>
        <w:t> </w:t>
      </w:r>
      <w:r>
        <w:rPr/>
        <w:t>到银行承兑票据增加所致。</w:t>
      </w:r>
    </w:p>
    <w:p>
      <w:pPr>
        <w:pStyle w:val="Heading3"/>
        <w:spacing w:line="326" w:lineRule="auto" w:before="34"/>
        <w:ind w:left="258" w:right="385" w:firstLine="700"/>
        <w:jc w:val="left"/>
      </w:pPr>
      <w:r>
        <w:rPr/>
        <w:t>（</w:t>
      </w:r>
      <w:r>
        <w:rPr>
          <w:rFonts w:ascii="宋体" w:hAnsi="宋体" w:cs="宋体" w:eastAsia="宋体" w:hint="default"/>
        </w:rPr>
        <w:t>2</w:t>
      </w:r>
      <w:r>
        <w:rPr/>
        <w:t>）报告期内，应收账款同比年初增长</w:t>
      </w:r>
      <w:r>
        <w:rPr>
          <w:spacing w:val="-77"/>
        </w:rPr>
        <w:t> </w:t>
      </w:r>
      <w:r>
        <w:rPr>
          <w:rFonts w:ascii="宋体" w:hAnsi="宋体" w:cs="宋体" w:eastAsia="宋体" w:hint="default"/>
        </w:rPr>
        <w:t>65.50%</w:t>
      </w:r>
      <w:r>
        <w:rPr/>
        <w:t>，大于营业收</w:t>
      </w:r>
      <w:r>
        <w:rPr>
          <w:w w:val="100"/>
        </w:rPr>
        <w:t> </w:t>
      </w:r>
      <w:r>
        <w:rPr/>
        <w:t>入的增长率</w:t>
      </w:r>
      <w:r>
        <w:rPr>
          <w:spacing w:val="-77"/>
        </w:rPr>
        <w:t> </w:t>
      </w:r>
      <w:r>
        <w:rPr>
          <w:rFonts w:ascii="宋体" w:hAnsi="宋体" w:cs="宋体" w:eastAsia="宋体" w:hint="default"/>
        </w:rPr>
        <w:t>50.45%</w:t>
      </w:r>
      <w:r>
        <w:rPr/>
        <w:t>，主要系报告期内销售回款率下降造成的。</w:t>
      </w:r>
    </w:p>
    <w:p>
      <w:pPr>
        <w:pStyle w:val="Heading3"/>
        <w:spacing w:line="328" w:lineRule="auto" w:before="32"/>
        <w:ind w:left="258" w:right="385" w:firstLine="700"/>
        <w:jc w:val="left"/>
      </w:pPr>
      <w:r>
        <w:rPr/>
        <w:t>（</w:t>
      </w:r>
      <w:r>
        <w:rPr>
          <w:rFonts w:ascii="宋体" w:hAnsi="宋体" w:cs="宋体" w:eastAsia="宋体" w:hint="default"/>
        </w:rPr>
        <w:t>3</w:t>
      </w:r>
      <w:r>
        <w:rPr/>
        <w:t>）报告期内，固定资产同比年初增长</w:t>
      </w:r>
      <w:r>
        <w:rPr>
          <w:spacing w:val="-77"/>
        </w:rPr>
        <w:t> </w:t>
      </w:r>
      <w:r>
        <w:rPr>
          <w:rFonts w:ascii="宋体" w:hAnsi="宋体" w:cs="宋体" w:eastAsia="宋体" w:hint="default"/>
        </w:rPr>
        <w:t>78.83%</w:t>
      </w:r>
      <w:r>
        <w:rPr/>
        <w:t>，原因是报告</w:t>
      </w:r>
      <w:r>
        <w:rPr>
          <w:w w:val="100"/>
        </w:rPr>
        <w:t> </w:t>
      </w:r>
      <w:r>
        <w:rPr/>
        <w:t>期内公司研发楼建成使用转固资所致。</w:t>
      </w:r>
    </w:p>
    <w:p>
      <w:pPr>
        <w:pStyle w:val="Heading3"/>
        <w:spacing w:line="240" w:lineRule="auto"/>
        <w:ind w:left="817" w:right="0"/>
        <w:jc w:val="left"/>
      </w:pPr>
      <w:r>
        <w:rPr>
          <w:spacing w:val="-2"/>
        </w:rPr>
        <w:t>（</w:t>
      </w:r>
      <w:r>
        <w:rPr>
          <w:rFonts w:ascii="宋体" w:hAnsi="宋体" w:cs="宋体" w:eastAsia="宋体" w:hint="default"/>
          <w:spacing w:val="-2"/>
        </w:rPr>
        <w:t>4</w:t>
      </w:r>
      <w:r>
        <w:rPr>
          <w:spacing w:val="-2"/>
        </w:rPr>
        <w:t>）报告期内，工程物资同比年初减少</w:t>
      </w:r>
      <w:r>
        <w:rPr>
          <w:spacing w:val="-33"/>
        </w:rPr>
        <w:t> </w:t>
      </w:r>
      <w:r>
        <w:rPr>
          <w:rFonts w:ascii="宋体" w:hAnsi="宋体" w:cs="宋体" w:eastAsia="宋体" w:hint="default"/>
          <w:spacing w:val="-2"/>
        </w:rPr>
        <w:t>54.39%</w:t>
      </w:r>
      <w:r>
        <w:rPr>
          <w:spacing w:val="-2"/>
        </w:rPr>
        <w:t>，原因是报告期</w:t>
      </w:r>
    </w:p>
    <w:p>
      <w:pPr>
        <w:spacing w:after="0" w:line="240" w:lineRule="auto"/>
        <w:jc w:val="left"/>
        <w:sectPr>
          <w:headerReference w:type="default" r:id="rId25"/>
          <w:footerReference w:type="default" r:id="rId26"/>
          <w:pgSz w:w="11910" w:h="16840"/>
          <w:pgMar w:header="624" w:footer="1045" w:top="1240" w:bottom="1240" w:left="1540" w:right="1520"/>
          <w:pgNumType w:start="34"/>
        </w:sectPr>
      </w:pPr>
    </w:p>
    <w:p>
      <w:pPr>
        <w:pStyle w:val="Heading3"/>
        <w:spacing w:line="240" w:lineRule="auto" w:before="73"/>
        <w:ind w:left="518" w:right="519"/>
        <w:jc w:val="left"/>
      </w:pPr>
      <w:r>
        <w:rPr/>
        <w:t>内募投项目领用转入在建工程所致。</w:t>
      </w:r>
    </w:p>
    <w:p>
      <w:pPr>
        <w:pStyle w:val="Heading3"/>
        <w:spacing w:line="326" w:lineRule="auto" w:before="135"/>
        <w:ind w:left="518" w:right="519" w:firstLine="559"/>
        <w:jc w:val="left"/>
      </w:pPr>
      <w:r>
        <w:rPr/>
        <w:t>（</w:t>
      </w:r>
      <w:r>
        <w:rPr>
          <w:rFonts w:ascii="宋体" w:hAnsi="宋体" w:cs="宋体" w:eastAsia="宋体" w:hint="default"/>
        </w:rPr>
        <w:t>5</w:t>
      </w:r>
      <w:r>
        <w:rPr/>
        <w:t>）报告期内，递延资产所得税同比年初增长</w:t>
      </w:r>
      <w:r>
        <w:rPr>
          <w:spacing w:val="-90"/>
        </w:rPr>
        <w:t> </w:t>
      </w:r>
      <w:r>
        <w:rPr>
          <w:rFonts w:ascii="宋体" w:hAnsi="宋体" w:cs="宋体" w:eastAsia="宋体" w:hint="default"/>
        </w:rPr>
        <w:t>42.40%</w:t>
      </w:r>
      <w:r>
        <w:rPr/>
        <w:t>，原因系</w:t>
      </w:r>
      <w:r>
        <w:rPr>
          <w:w w:val="100"/>
        </w:rPr>
        <w:t> </w:t>
      </w:r>
      <w:r>
        <w:rPr/>
        <w:t>报告期内应纳税时间性差异增加所致。</w:t>
      </w:r>
    </w:p>
    <w:p>
      <w:pPr>
        <w:pStyle w:val="Heading2"/>
        <w:spacing w:line="240" w:lineRule="auto" w:before="32"/>
        <w:ind w:left="518" w:right="519"/>
        <w:jc w:val="left"/>
        <w:rPr>
          <w:b w:val="0"/>
          <w:bCs w:val="0"/>
        </w:rPr>
      </w:pPr>
      <w:r>
        <w:rPr>
          <w:rFonts w:ascii="宋体" w:hAnsi="宋体" w:cs="宋体" w:eastAsia="宋体" w:hint="default"/>
        </w:rPr>
        <w:t>2</w:t>
      </w:r>
      <w:r>
        <w:rPr/>
        <w:t>、存货分类列示如下</w:t>
      </w:r>
      <w:r>
        <w:rPr>
          <w:b w:val="0"/>
          <w:bCs w:val="0"/>
        </w:rPr>
      </w:r>
    </w:p>
    <w:p>
      <w:pPr>
        <w:spacing w:line="240" w:lineRule="auto" w:before="3"/>
        <w:rPr>
          <w:rFonts w:ascii="宋体" w:hAnsi="宋体" w:cs="宋体" w:eastAsia="宋体" w:hint="default"/>
          <w:b/>
          <w:bCs/>
          <w:sz w:val="9"/>
          <w:szCs w:val="9"/>
        </w:rPr>
      </w:pPr>
    </w:p>
    <w:p>
      <w:pPr>
        <w:pStyle w:val="Heading3"/>
        <w:spacing w:line="240" w:lineRule="auto" w:before="14"/>
        <w:ind w:left="0" w:right="531"/>
        <w:jc w:val="right"/>
      </w:pPr>
      <w:r>
        <w:rPr/>
        <w:t>单位：元</w:t>
      </w:r>
    </w:p>
    <w:p>
      <w:pPr>
        <w:spacing w:line="240" w:lineRule="auto" w:before="7"/>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1800"/>
        <w:gridCol w:w="1441"/>
        <w:gridCol w:w="871"/>
        <w:gridCol w:w="1296"/>
        <w:gridCol w:w="1457"/>
        <w:gridCol w:w="896"/>
        <w:gridCol w:w="1368"/>
      </w:tblGrid>
      <w:tr>
        <w:trPr>
          <w:trHeight w:val="420" w:hRule="exact"/>
        </w:trPr>
        <w:tc>
          <w:tcPr>
            <w:tcW w:w="1800" w:type="dxa"/>
            <w:vMerge w:val="restart"/>
            <w:tcBorders>
              <w:top w:val="single" w:sz="12"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tabs>
                <w:tab w:pos="1051" w:val="left" w:leader="none"/>
              </w:tabs>
              <w:spacing w:line="240" w:lineRule="auto"/>
              <w:ind w:left="5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0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116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72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122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410" w:hRule="exact"/>
        </w:trPr>
        <w:tc>
          <w:tcPr>
            <w:tcW w:w="1800" w:type="dxa"/>
            <w:vMerge/>
            <w:tcBorders>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2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499"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27,687,449.86</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27,687,449.</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86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3"/>
              <w:jc w:val="right"/>
              <w:rPr>
                <w:rFonts w:ascii="Times New Roman" w:hAnsi="Times New Roman" w:cs="Times New Roman" w:eastAsia="Times New Roman" w:hint="default"/>
                <w:sz w:val="21"/>
                <w:szCs w:val="21"/>
              </w:rPr>
            </w:pPr>
            <w:r>
              <w:rPr>
                <w:rFonts w:ascii="Times New Roman"/>
                <w:spacing w:val="-1"/>
                <w:sz w:val="21"/>
              </w:rPr>
              <w:t>15,692,723.21</w:t>
            </w:r>
          </w:p>
        </w:tc>
        <w:tc>
          <w:tcPr>
            <w:tcW w:w="8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15,692,723.2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497"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spacing w:val="-1"/>
                <w:sz w:val="21"/>
              </w:rPr>
              <w:t>33,726,165.32</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33,726,165.</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32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3"/>
              <w:jc w:val="right"/>
              <w:rPr>
                <w:rFonts w:ascii="Times New Roman" w:hAnsi="Times New Roman" w:cs="Times New Roman" w:eastAsia="Times New Roman" w:hint="default"/>
                <w:sz w:val="21"/>
                <w:szCs w:val="21"/>
              </w:rPr>
            </w:pPr>
            <w:r>
              <w:rPr>
                <w:rFonts w:ascii="Times New Roman"/>
                <w:spacing w:val="-1"/>
                <w:sz w:val="21"/>
              </w:rPr>
              <w:t>24,712,892.53</w:t>
            </w:r>
          </w:p>
        </w:tc>
        <w:tc>
          <w:tcPr>
            <w:tcW w:w="8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24,712,892.5</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50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6,789,783.21</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6,789,783.2</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3"/>
              <w:jc w:val="right"/>
              <w:rPr>
                <w:rFonts w:ascii="Times New Roman" w:hAnsi="Times New Roman" w:cs="Times New Roman" w:eastAsia="Times New Roman" w:hint="default"/>
                <w:sz w:val="21"/>
                <w:szCs w:val="21"/>
              </w:rPr>
            </w:pPr>
            <w:r>
              <w:rPr>
                <w:rFonts w:ascii="Times New Roman"/>
                <w:spacing w:val="-1"/>
                <w:sz w:val="21"/>
              </w:rPr>
              <w:t>6,093,887.74</w:t>
            </w:r>
          </w:p>
        </w:tc>
        <w:tc>
          <w:tcPr>
            <w:tcW w:w="8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8" w:right="0"/>
              <w:jc w:val="center"/>
              <w:rPr>
                <w:rFonts w:ascii="Times New Roman" w:hAnsi="Times New Roman" w:cs="Times New Roman" w:eastAsia="Times New Roman" w:hint="default"/>
                <w:sz w:val="21"/>
                <w:szCs w:val="21"/>
              </w:rPr>
            </w:pPr>
            <w:r>
              <w:rPr>
                <w:rFonts w:ascii="Times New Roman"/>
                <w:sz w:val="21"/>
              </w:rPr>
              <w:t>6,093,887.74</w:t>
            </w:r>
          </w:p>
        </w:tc>
      </w:tr>
      <w:tr>
        <w:trPr>
          <w:trHeight w:val="497"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spacing w:val="-1"/>
                <w:sz w:val="21"/>
              </w:rPr>
              <w:t>3,894,430.95</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3,894,430.9</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3"/>
              <w:jc w:val="right"/>
              <w:rPr>
                <w:rFonts w:ascii="Times New Roman" w:hAnsi="Times New Roman" w:cs="Times New Roman" w:eastAsia="Times New Roman" w:hint="default"/>
                <w:sz w:val="21"/>
                <w:szCs w:val="21"/>
              </w:rPr>
            </w:pPr>
            <w:r>
              <w:rPr>
                <w:rFonts w:ascii="Times New Roman"/>
                <w:spacing w:val="-1"/>
                <w:sz w:val="21"/>
              </w:rPr>
              <w:t>14,268,368.46</w:t>
            </w:r>
          </w:p>
        </w:tc>
        <w:tc>
          <w:tcPr>
            <w:tcW w:w="8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14,268,368.4</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6</w:t>
            </w:r>
          </w:p>
        </w:tc>
      </w:tr>
      <w:tr>
        <w:trPr>
          <w:trHeight w:val="499"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tabs>
                <w:tab w:pos="1048" w:val="left" w:leader="none"/>
              </w:tabs>
              <w:spacing w:line="240" w:lineRule="auto" w:before="74"/>
              <w:ind w:left="62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72,097,829.34</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72,097,829.</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34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3"/>
              <w:jc w:val="right"/>
              <w:rPr>
                <w:rFonts w:ascii="Times New Roman" w:hAnsi="Times New Roman" w:cs="Times New Roman" w:eastAsia="Times New Roman" w:hint="default"/>
                <w:sz w:val="21"/>
                <w:szCs w:val="21"/>
              </w:rPr>
            </w:pPr>
            <w:r>
              <w:rPr>
                <w:rFonts w:ascii="Times New Roman"/>
                <w:spacing w:val="-1"/>
                <w:sz w:val="21"/>
              </w:rPr>
              <w:t>60,767,871.94</w:t>
            </w:r>
          </w:p>
        </w:tc>
        <w:tc>
          <w:tcPr>
            <w:tcW w:w="8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60,767,871.9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r>
        <w:trPr>
          <w:trHeight w:val="413"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存</w:t>
            </w:r>
            <w:r>
              <w:rPr>
                <w:rFonts w:ascii="宋体" w:hAnsi="宋体" w:cs="宋体" w:eastAsia="宋体" w:hint="default"/>
                <w:w w:val="100"/>
                <w:sz w:val="21"/>
                <w:szCs w:val="21"/>
              </w:rPr>
              <w:t>货</w:t>
            </w:r>
            <w:r>
              <w:rPr>
                <w:rFonts w:ascii="宋体" w:hAnsi="宋体" w:cs="宋体" w:eastAsia="宋体" w:hint="default"/>
                <w:spacing w:val="-3"/>
                <w:w w:val="100"/>
                <w:sz w:val="21"/>
                <w:szCs w:val="21"/>
              </w:rPr>
              <w:t>跌</w:t>
            </w:r>
            <w:r>
              <w:rPr>
                <w:rFonts w:ascii="宋体" w:hAnsi="宋体" w:cs="宋体" w:eastAsia="宋体" w:hint="default"/>
                <w:w w:val="100"/>
                <w:sz w:val="21"/>
                <w:szCs w:val="21"/>
              </w:rPr>
              <w:t>价</w:t>
            </w:r>
            <w:r>
              <w:rPr>
                <w:rFonts w:ascii="宋体" w:hAnsi="宋体" w:cs="宋体" w:eastAsia="宋体" w:hint="default"/>
                <w:spacing w:val="-3"/>
                <w:w w:val="100"/>
                <w:sz w:val="21"/>
                <w:szCs w:val="21"/>
              </w:rPr>
              <w:t>准</w:t>
            </w:r>
            <w:r>
              <w:rPr>
                <w:rFonts w:ascii="宋体" w:hAnsi="宋体" w:cs="宋体" w:eastAsia="宋体" w:hint="default"/>
                <w:w w:val="100"/>
                <w:sz w:val="21"/>
                <w:szCs w:val="21"/>
              </w:rPr>
              <w:t>备</w:t>
            </w:r>
          </w:p>
        </w:tc>
        <w:tc>
          <w:tcPr>
            <w:tcW w:w="144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r>
      <w:tr>
        <w:trPr>
          <w:trHeight w:val="504" w:hRule="exact"/>
        </w:trPr>
        <w:tc>
          <w:tcPr>
            <w:tcW w:w="1800" w:type="dxa"/>
            <w:tcBorders>
              <w:top w:val="single" w:sz="6" w:space="0" w:color="000000"/>
              <w:left w:val="single" w:sz="6" w:space="0" w:color="000000"/>
              <w:bottom w:val="single" w:sz="12" w:space="0" w:color="000000"/>
              <w:right w:val="single" w:sz="6" w:space="0" w:color="000000"/>
            </w:tcBorders>
          </w:tcPr>
          <w:p>
            <w:pPr>
              <w:pStyle w:val="TableParagraph"/>
              <w:tabs>
                <w:tab w:pos="1051" w:val="left" w:leader="none"/>
              </w:tabs>
              <w:spacing w:line="240" w:lineRule="auto" w:before="71"/>
              <w:ind w:left="52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spacing w:val="-1"/>
                <w:sz w:val="21"/>
              </w:rPr>
              <w:t>72,097,829.34</w:t>
            </w:r>
          </w:p>
        </w:tc>
        <w:tc>
          <w:tcPr>
            <w:tcW w:w="871" w:type="dxa"/>
            <w:tcBorders>
              <w:top w:val="single" w:sz="6" w:space="0" w:color="000000"/>
              <w:left w:val="single" w:sz="6" w:space="0" w:color="000000"/>
              <w:bottom w:val="single" w:sz="12" w:space="0" w:color="000000"/>
              <w:right w:val="single" w:sz="6" w:space="0" w:color="000000"/>
            </w:tcBorders>
          </w:tcPr>
          <w:p>
            <w:pP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34" w:lineRule="exact"/>
              <w:ind w:right="96"/>
              <w:jc w:val="right"/>
              <w:rPr>
                <w:rFonts w:ascii="Times New Roman" w:hAnsi="Times New Roman" w:cs="Times New Roman" w:eastAsia="Times New Roman" w:hint="default"/>
                <w:sz w:val="21"/>
                <w:szCs w:val="21"/>
              </w:rPr>
            </w:pPr>
            <w:r>
              <w:rPr>
                <w:rFonts w:ascii="Times New Roman"/>
                <w:spacing w:val="-1"/>
                <w:sz w:val="21"/>
              </w:rPr>
              <w:t>72,097,829.</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34</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3"/>
              <w:ind w:right="93"/>
              <w:jc w:val="right"/>
              <w:rPr>
                <w:rFonts w:ascii="Times New Roman" w:hAnsi="Times New Roman" w:cs="Times New Roman" w:eastAsia="Times New Roman" w:hint="default"/>
                <w:sz w:val="21"/>
                <w:szCs w:val="21"/>
              </w:rPr>
            </w:pPr>
            <w:r>
              <w:rPr>
                <w:rFonts w:ascii="Times New Roman"/>
                <w:spacing w:val="-1"/>
                <w:sz w:val="21"/>
              </w:rPr>
              <w:t>60,767,871.94</w:t>
            </w:r>
          </w:p>
        </w:tc>
        <w:tc>
          <w:tcPr>
            <w:tcW w:w="896"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pacing w:val="-1"/>
                <w:sz w:val="21"/>
              </w:rPr>
              <w:t>60,767,871.9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bl>
    <w:p>
      <w:pPr>
        <w:spacing w:line="240" w:lineRule="auto" w:before="10"/>
        <w:rPr>
          <w:rFonts w:ascii="宋体" w:hAnsi="宋体" w:cs="宋体" w:eastAsia="宋体" w:hint="default"/>
          <w:sz w:val="4"/>
          <w:szCs w:val="4"/>
        </w:rPr>
      </w:pPr>
    </w:p>
    <w:p>
      <w:pPr>
        <w:pStyle w:val="Heading3"/>
        <w:spacing w:line="326" w:lineRule="auto" w:before="14"/>
        <w:ind w:left="518" w:right="519" w:firstLine="559"/>
        <w:jc w:val="left"/>
      </w:pPr>
      <w:r>
        <w:rPr>
          <w:spacing w:val="-5"/>
        </w:rPr>
        <w:t>公司存货年末余额中无借款费用资本化金额。年末存货可收回净</w:t>
      </w:r>
      <w:r>
        <w:rPr>
          <w:w w:val="100"/>
        </w:rPr>
        <w:t> </w:t>
      </w:r>
      <w:r>
        <w:rPr/>
        <w:t>值高于账面价值，无需计提跌价准备。</w:t>
      </w:r>
    </w:p>
    <w:p>
      <w:pPr>
        <w:pStyle w:val="Heading2"/>
        <w:spacing w:line="240" w:lineRule="auto" w:before="32"/>
        <w:ind w:left="518" w:right="519"/>
        <w:jc w:val="left"/>
        <w:rPr>
          <w:b w:val="0"/>
          <w:bCs w:val="0"/>
        </w:rPr>
      </w:pPr>
      <w:r>
        <w:rPr/>
        <w:t>（三）公司债务及偿债能力分析</w:t>
      </w:r>
      <w:r>
        <w:rPr>
          <w:b w:val="0"/>
          <w:bCs w:val="0"/>
        </w:rPr>
      </w:r>
    </w:p>
    <w:p>
      <w:pPr>
        <w:pStyle w:val="Heading2"/>
        <w:spacing w:line="240" w:lineRule="auto" w:before="135"/>
        <w:ind w:left="518" w:right="519"/>
        <w:jc w:val="left"/>
        <w:rPr>
          <w:b w:val="0"/>
          <w:bCs w:val="0"/>
        </w:rPr>
      </w:pPr>
      <w:r>
        <w:rPr>
          <w:rFonts w:ascii="宋体" w:hAnsi="宋体" w:cs="宋体" w:eastAsia="宋体" w:hint="default"/>
        </w:rPr>
        <w:t>1</w:t>
      </w:r>
      <w:r>
        <w:rPr/>
        <w:t>、债务构成情况分析</w:t>
      </w:r>
      <w:r>
        <w:rPr>
          <w:b w:val="0"/>
          <w:bCs w:val="0"/>
        </w:rPr>
      </w:r>
    </w:p>
    <w:p>
      <w:pPr>
        <w:pStyle w:val="Heading3"/>
        <w:spacing w:line="240" w:lineRule="auto" w:before="10"/>
        <w:ind w:left="0" w:right="531"/>
        <w:jc w:val="right"/>
      </w:pPr>
      <w:r>
        <w:rPr/>
        <w:t>单位：元</w:t>
      </w:r>
    </w:p>
    <w:p>
      <w:pPr>
        <w:spacing w:line="240" w:lineRule="auto" w:before="5"/>
        <w:rPr>
          <w:rFonts w:ascii="宋体" w:hAnsi="宋体" w:cs="宋体" w:eastAsia="宋体" w:hint="default"/>
          <w:sz w:val="17"/>
          <w:szCs w:val="17"/>
        </w:rPr>
      </w:pPr>
    </w:p>
    <w:tbl>
      <w:tblPr>
        <w:tblW w:w="0" w:type="auto"/>
        <w:jc w:val="left"/>
        <w:tblInd w:w="371" w:type="dxa"/>
        <w:tblLayout w:type="fixed"/>
        <w:tblCellMar>
          <w:top w:w="0" w:type="dxa"/>
          <w:left w:w="0" w:type="dxa"/>
          <w:bottom w:w="0" w:type="dxa"/>
          <w:right w:w="0" w:type="dxa"/>
        </w:tblCellMar>
        <w:tblLook w:val="01E0"/>
      </w:tblPr>
      <w:tblGrid>
        <w:gridCol w:w="2107"/>
        <w:gridCol w:w="1755"/>
        <w:gridCol w:w="876"/>
        <w:gridCol w:w="1757"/>
        <w:gridCol w:w="987"/>
        <w:gridCol w:w="1094"/>
      </w:tblGrid>
      <w:tr>
        <w:trPr>
          <w:trHeight w:val="454" w:hRule="exact"/>
        </w:trPr>
        <w:tc>
          <w:tcPr>
            <w:tcW w:w="2107" w:type="dxa"/>
            <w:vMerge w:val="restart"/>
            <w:tcBorders>
              <w:top w:val="single" w:sz="12" w:space="0" w:color="000000"/>
              <w:left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b/>
                <w:bCs/>
                <w:sz w:val="21"/>
                <w:szCs w:val="21"/>
              </w:rPr>
              <w:t>负债和股东权益</w:t>
            </w:r>
            <w:r>
              <w:rPr>
                <w:rFonts w:ascii="宋体" w:hAnsi="宋体" w:cs="宋体" w:eastAsia="宋体" w:hint="default"/>
                <w:sz w:val="21"/>
                <w:szCs w:val="21"/>
              </w:rPr>
            </w:r>
          </w:p>
        </w:tc>
        <w:tc>
          <w:tcPr>
            <w:tcW w:w="263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7"/>
              <w:ind w:left="427"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74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7"/>
              <w:ind w:left="93"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094" w:type="dxa"/>
            <w:vMerge w:val="restart"/>
            <w:tcBorders>
              <w:top w:val="single" w:sz="12" w:space="0" w:color="000000"/>
              <w:left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456" w:hRule="exact"/>
        </w:trPr>
        <w:tc>
          <w:tcPr>
            <w:tcW w:w="2107" w:type="dxa"/>
            <w:vMerge/>
            <w:tcBorders>
              <w:left w:val="single" w:sz="12" w:space="0" w:color="000000"/>
              <w:bottom w:val="single" w:sz="12" w:space="0" w:color="000000"/>
              <w:right w:val="single" w:sz="12" w:space="0" w:color="000000"/>
            </w:tcBorders>
          </w:tcPr>
          <w:p>
            <w:pPr/>
          </w:p>
        </w:tc>
        <w:tc>
          <w:tcPr>
            <w:tcW w:w="17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left="439"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8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left="441"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left="266"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094" w:type="dxa"/>
            <w:vMerge/>
            <w:tcBorders>
              <w:left w:val="single" w:sz="12" w:space="0" w:color="000000"/>
              <w:bottom w:val="single" w:sz="12" w:space="0" w:color="000000"/>
              <w:right w:val="single" w:sz="12" w:space="0" w:color="000000"/>
            </w:tcBorders>
          </w:tcPr>
          <w:p>
            <w:pPr/>
          </w:p>
        </w:tc>
      </w:tr>
      <w:tr>
        <w:trPr>
          <w:trHeight w:val="456"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55" w:type="dxa"/>
            <w:tcBorders>
              <w:top w:val="single" w:sz="12" w:space="0" w:color="000000"/>
              <w:left w:val="single" w:sz="12" w:space="0" w:color="000000"/>
              <w:bottom w:val="single" w:sz="12" w:space="0" w:color="000000"/>
              <w:right w:val="single" w:sz="12" w:space="0" w:color="000000"/>
            </w:tcBorders>
          </w:tcPr>
          <w:p>
            <w:pPr/>
          </w:p>
        </w:tc>
        <w:tc>
          <w:tcPr>
            <w:tcW w:w="876" w:type="dxa"/>
            <w:tcBorders>
              <w:top w:val="single" w:sz="12" w:space="0" w:color="000000"/>
              <w:left w:val="single" w:sz="12" w:space="0" w:color="000000"/>
              <w:bottom w:val="single" w:sz="12" w:space="0" w:color="000000"/>
              <w:right w:val="single" w:sz="12" w:space="0" w:color="000000"/>
            </w:tcBorders>
          </w:tcPr>
          <w:p>
            <w:pPr/>
          </w:p>
        </w:tc>
        <w:tc>
          <w:tcPr>
            <w:tcW w:w="1757" w:type="dxa"/>
            <w:tcBorders>
              <w:top w:val="single" w:sz="12" w:space="0" w:color="000000"/>
              <w:left w:val="single" w:sz="12" w:space="0" w:color="000000"/>
              <w:bottom w:val="single" w:sz="12" w:space="0" w:color="000000"/>
              <w:right w:val="single" w:sz="12" w:space="0" w:color="000000"/>
            </w:tcBorders>
          </w:tcPr>
          <w:p>
            <w:pPr/>
          </w:p>
        </w:tc>
        <w:tc>
          <w:tcPr>
            <w:tcW w:w="987" w:type="dxa"/>
            <w:tcBorders>
              <w:top w:val="single" w:sz="12" w:space="0" w:color="000000"/>
              <w:left w:val="single" w:sz="12" w:space="0" w:color="000000"/>
              <w:bottom w:val="single" w:sz="12" w:space="0" w:color="000000"/>
              <w:right w:val="single" w:sz="12" w:space="0" w:color="000000"/>
            </w:tcBorders>
          </w:tcPr>
          <w:p>
            <w:pPr/>
          </w:p>
        </w:tc>
        <w:tc>
          <w:tcPr>
            <w:tcW w:w="1094" w:type="dxa"/>
            <w:tcBorders>
              <w:top w:val="single" w:sz="12" w:space="0" w:color="000000"/>
              <w:left w:val="single" w:sz="12" w:space="0" w:color="000000"/>
              <w:bottom w:val="single" w:sz="12" w:space="0" w:color="000000"/>
              <w:right w:val="single" w:sz="12" w:space="0" w:color="000000"/>
            </w:tcBorders>
          </w:tcPr>
          <w:p>
            <w:pPr/>
          </w:p>
        </w:tc>
      </w:tr>
      <w:tr>
        <w:trPr>
          <w:trHeight w:val="454"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7"/>
              <w:ind w:left="30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55" w:type="dxa"/>
            <w:tcBorders>
              <w:top w:val="single" w:sz="12" w:space="0" w:color="000000"/>
              <w:left w:val="single" w:sz="12" w:space="0" w:color="000000"/>
              <w:bottom w:val="single" w:sz="12" w:space="0" w:color="000000"/>
              <w:right w:val="single" w:sz="12" w:space="0" w:color="000000"/>
            </w:tcBorders>
          </w:tcPr>
          <w:p>
            <w:pPr/>
          </w:p>
        </w:tc>
        <w:tc>
          <w:tcPr>
            <w:tcW w:w="876" w:type="dxa"/>
            <w:tcBorders>
              <w:top w:val="single" w:sz="12" w:space="0" w:color="000000"/>
              <w:left w:val="single" w:sz="12" w:space="0" w:color="000000"/>
              <w:bottom w:val="single" w:sz="12" w:space="0" w:color="000000"/>
              <w:right w:val="single" w:sz="12" w:space="0" w:color="000000"/>
            </w:tcBorders>
          </w:tcPr>
          <w:p>
            <w:pP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2"/>
                <w:szCs w:val="22"/>
              </w:rPr>
            </w:pPr>
            <w:r>
              <w:rPr>
                <w:rFonts w:ascii="宋体"/>
                <w:spacing w:val="-1"/>
                <w:sz w:val="22"/>
              </w:rPr>
              <w:t>30,000,000.00</w:t>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92"/>
              <w:jc w:val="right"/>
              <w:rPr>
                <w:rFonts w:ascii="宋体" w:hAnsi="宋体" w:cs="宋体" w:eastAsia="宋体" w:hint="default"/>
                <w:sz w:val="22"/>
                <w:szCs w:val="22"/>
              </w:rPr>
            </w:pPr>
            <w:r>
              <w:rPr>
                <w:rFonts w:ascii="宋体"/>
                <w:sz w:val="22"/>
              </w:rPr>
              <w:t>23.86%</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2"/>
                <w:szCs w:val="22"/>
              </w:rPr>
            </w:pPr>
            <w:r>
              <w:rPr>
                <w:rFonts w:ascii="宋体"/>
                <w:sz w:val="22"/>
              </w:rPr>
              <w:t>-100.00%</w:t>
            </w:r>
          </w:p>
        </w:tc>
      </w:tr>
      <w:tr>
        <w:trPr>
          <w:trHeight w:val="456"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left="30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89"/>
              <w:jc w:val="right"/>
              <w:rPr>
                <w:rFonts w:ascii="宋体" w:hAnsi="宋体" w:cs="宋体" w:eastAsia="宋体" w:hint="default"/>
                <w:sz w:val="22"/>
                <w:szCs w:val="22"/>
              </w:rPr>
            </w:pPr>
            <w:r>
              <w:rPr>
                <w:rFonts w:ascii="宋体"/>
                <w:spacing w:val="-1"/>
                <w:sz w:val="22"/>
              </w:rPr>
              <w:t>12,081,178.24</w:t>
            </w:r>
          </w:p>
        </w:tc>
        <w:tc>
          <w:tcPr>
            <w:tcW w:w="8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left="2" w:right="0"/>
              <w:jc w:val="center"/>
              <w:rPr>
                <w:rFonts w:ascii="宋体" w:hAnsi="宋体" w:cs="宋体" w:eastAsia="宋体" w:hint="default"/>
                <w:sz w:val="22"/>
                <w:szCs w:val="22"/>
              </w:rPr>
            </w:pPr>
            <w:r>
              <w:rPr>
                <w:rFonts w:ascii="宋体"/>
                <w:sz w:val="22"/>
              </w:rPr>
              <w:t>10.06%</w:t>
            </w: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89"/>
              <w:jc w:val="right"/>
              <w:rPr>
                <w:rFonts w:ascii="宋体" w:hAnsi="宋体" w:cs="宋体" w:eastAsia="宋体" w:hint="default"/>
                <w:sz w:val="22"/>
                <w:szCs w:val="22"/>
              </w:rPr>
            </w:pPr>
            <w:r>
              <w:rPr>
                <w:rFonts w:ascii="宋体"/>
                <w:spacing w:val="-1"/>
                <w:sz w:val="22"/>
              </w:rPr>
              <w:t>14,710,034.96</w:t>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92"/>
              <w:jc w:val="right"/>
              <w:rPr>
                <w:rFonts w:ascii="宋体" w:hAnsi="宋体" w:cs="宋体" w:eastAsia="宋体" w:hint="default"/>
                <w:sz w:val="22"/>
                <w:szCs w:val="22"/>
              </w:rPr>
            </w:pPr>
            <w:r>
              <w:rPr>
                <w:rFonts w:ascii="宋体"/>
                <w:sz w:val="22"/>
              </w:rPr>
              <w:t>11.70%</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91"/>
              <w:jc w:val="right"/>
              <w:rPr>
                <w:rFonts w:ascii="宋体" w:hAnsi="宋体" w:cs="宋体" w:eastAsia="宋体" w:hint="default"/>
                <w:sz w:val="22"/>
                <w:szCs w:val="22"/>
              </w:rPr>
            </w:pPr>
            <w:r>
              <w:rPr>
                <w:rFonts w:ascii="宋体"/>
                <w:sz w:val="22"/>
              </w:rPr>
              <w:t>-17.87%</w:t>
            </w:r>
          </w:p>
        </w:tc>
      </w:tr>
      <w:tr>
        <w:trPr>
          <w:trHeight w:val="454"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7"/>
              <w:ind w:left="30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2"/>
                <w:szCs w:val="22"/>
              </w:rPr>
            </w:pPr>
            <w:r>
              <w:rPr>
                <w:rFonts w:ascii="宋体"/>
                <w:spacing w:val="-1"/>
                <w:sz w:val="22"/>
              </w:rPr>
              <w:t>46,351,797.17</w:t>
            </w:r>
          </w:p>
        </w:tc>
        <w:tc>
          <w:tcPr>
            <w:tcW w:w="8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2" w:right="0"/>
              <w:jc w:val="center"/>
              <w:rPr>
                <w:rFonts w:ascii="宋体" w:hAnsi="宋体" w:cs="宋体" w:eastAsia="宋体" w:hint="default"/>
                <w:sz w:val="22"/>
                <w:szCs w:val="22"/>
              </w:rPr>
            </w:pPr>
            <w:r>
              <w:rPr>
                <w:rFonts w:ascii="宋体"/>
                <w:sz w:val="22"/>
              </w:rPr>
              <w:t>38.59%</w:t>
            </w: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2"/>
                <w:szCs w:val="22"/>
              </w:rPr>
            </w:pPr>
            <w:r>
              <w:rPr>
                <w:rFonts w:ascii="宋体"/>
                <w:spacing w:val="-1"/>
                <w:sz w:val="22"/>
              </w:rPr>
              <w:t>37,389,401.87</w:t>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92"/>
              <w:jc w:val="right"/>
              <w:rPr>
                <w:rFonts w:ascii="宋体" w:hAnsi="宋体" w:cs="宋体" w:eastAsia="宋体" w:hint="default"/>
                <w:sz w:val="22"/>
                <w:szCs w:val="22"/>
              </w:rPr>
            </w:pPr>
            <w:r>
              <w:rPr>
                <w:rFonts w:ascii="宋体"/>
                <w:sz w:val="22"/>
              </w:rPr>
              <w:t>29.73%</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91"/>
              <w:jc w:val="right"/>
              <w:rPr>
                <w:rFonts w:ascii="宋体" w:hAnsi="宋体" w:cs="宋体" w:eastAsia="宋体" w:hint="default"/>
                <w:sz w:val="22"/>
                <w:szCs w:val="22"/>
              </w:rPr>
            </w:pPr>
            <w:r>
              <w:rPr>
                <w:rFonts w:ascii="宋体"/>
                <w:sz w:val="22"/>
              </w:rPr>
              <w:t>23.97%</w:t>
            </w:r>
          </w:p>
        </w:tc>
      </w:tr>
      <w:tr>
        <w:trPr>
          <w:trHeight w:val="456"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left="30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89"/>
              <w:jc w:val="right"/>
              <w:rPr>
                <w:rFonts w:ascii="宋体" w:hAnsi="宋体" w:cs="宋体" w:eastAsia="宋体" w:hint="default"/>
                <w:sz w:val="22"/>
                <w:szCs w:val="22"/>
              </w:rPr>
            </w:pPr>
            <w:r>
              <w:rPr>
                <w:rFonts w:ascii="宋体"/>
                <w:spacing w:val="-1"/>
                <w:sz w:val="22"/>
              </w:rPr>
              <w:t>10,861,592.20</w:t>
            </w:r>
          </w:p>
        </w:tc>
        <w:tc>
          <w:tcPr>
            <w:tcW w:w="8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left="112" w:right="0"/>
              <w:jc w:val="center"/>
              <w:rPr>
                <w:rFonts w:ascii="宋体" w:hAnsi="宋体" w:cs="宋体" w:eastAsia="宋体" w:hint="default"/>
                <w:sz w:val="22"/>
                <w:szCs w:val="22"/>
              </w:rPr>
            </w:pPr>
            <w:r>
              <w:rPr>
                <w:rFonts w:ascii="宋体"/>
                <w:sz w:val="22"/>
              </w:rPr>
              <w:t>9.04%</w:t>
            </w: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89"/>
              <w:jc w:val="right"/>
              <w:rPr>
                <w:rFonts w:ascii="宋体" w:hAnsi="宋体" w:cs="宋体" w:eastAsia="宋体" w:hint="default"/>
                <w:sz w:val="22"/>
                <w:szCs w:val="22"/>
              </w:rPr>
            </w:pPr>
            <w:r>
              <w:rPr>
                <w:rFonts w:ascii="宋体"/>
                <w:spacing w:val="-1"/>
                <w:sz w:val="22"/>
              </w:rPr>
              <w:t>12,019,335.08</w:t>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92"/>
              <w:jc w:val="right"/>
              <w:rPr>
                <w:rFonts w:ascii="宋体" w:hAnsi="宋体" w:cs="宋体" w:eastAsia="宋体" w:hint="default"/>
                <w:sz w:val="22"/>
                <w:szCs w:val="22"/>
              </w:rPr>
            </w:pPr>
            <w:r>
              <w:rPr>
                <w:rFonts w:ascii="宋体"/>
                <w:sz w:val="22"/>
              </w:rPr>
              <w:t>9.56%</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91"/>
              <w:jc w:val="right"/>
              <w:rPr>
                <w:rFonts w:ascii="宋体" w:hAnsi="宋体" w:cs="宋体" w:eastAsia="宋体" w:hint="default"/>
                <w:sz w:val="22"/>
                <w:szCs w:val="22"/>
              </w:rPr>
            </w:pPr>
            <w:r>
              <w:rPr>
                <w:rFonts w:ascii="宋体"/>
                <w:sz w:val="22"/>
              </w:rPr>
              <w:t>-9.63%</w:t>
            </w:r>
          </w:p>
        </w:tc>
      </w:tr>
      <w:tr>
        <w:trPr>
          <w:trHeight w:val="454"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7"/>
              <w:ind w:left="30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2"/>
                <w:szCs w:val="22"/>
              </w:rPr>
            </w:pPr>
            <w:r>
              <w:rPr>
                <w:rFonts w:ascii="宋体"/>
                <w:spacing w:val="-1"/>
                <w:sz w:val="22"/>
              </w:rPr>
              <w:t>4,775,377.48</w:t>
            </w:r>
          </w:p>
        </w:tc>
        <w:tc>
          <w:tcPr>
            <w:tcW w:w="8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112" w:right="0"/>
              <w:jc w:val="center"/>
              <w:rPr>
                <w:rFonts w:ascii="宋体" w:hAnsi="宋体" w:cs="宋体" w:eastAsia="宋体" w:hint="default"/>
                <w:sz w:val="22"/>
                <w:szCs w:val="22"/>
              </w:rPr>
            </w:pPr>
            <w:r>
              <w:rPr>
                <w:rFonts w:ascii="宋体"/>
                <w:sz w:val="22"/>
              </w:rPr>
              <w:t>3.98%</w:t>
            </w: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2"/>
                <w:szCs w:val="22"/>
              </w:rPr>
            </w:pPr>
            <w:r>
              <w:rPr>
                <w:rFonts w:ascii="宋体"/>
                <w:spacing w:val="-1"/>
                <w:sz w:val="22"/>
              </w:rPr>
              <w:t>3,203,905.67</w:t>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92"/>
              <w:jc w:val="right"/>
              <w:rPr>
                <w:rFonts w:ascii="宋体" w:hAnsi="宋体" w:cs="宋体" w:eastAsia="宋体" w:hint="default"/>
                <w:sz w:val="22"/>
                <w:szCs w:val="22"/>
              </w:rPr>
            </w:pPr>
            <w:r>
              <w:rPr>
                <w:rFonts w:ascii="宋体"/>
                <w:sz w:val="22"/>
              </w:rPr>
              <w:t>2.55%</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91"/>
              <w:jc w:val="right"/>
              <w:rPr>
                <w:rFonts w:ascii="宋体" w:hAnsi="宋体" w:cs="宋体" w:eastAsia="宋体" w:hint="default"/>
                <w:sz w:val="22"/>
                <w:szCs w:val="22"/>
              </w:rPr>
            </w:pPr>
            <w:r>
              <w:rPr>
                <w:rFonts w:ascii="宋体"/>
                <w:sz w:val="22"/>
              </w:rPr>
              <w:t>49.05%</w:t>
            </w:r>
          </w:p>
        </w:tc>
      </w:tr>
      <w:tr>
        <w:trPr>
          <w:trHeight w:val="456"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left="30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89"/>
              <w:jc w:val="right"/>
              <w:rPr>
                <w:rFonts w:ascii="宋体" w:hAnsi="宋体" w:cs="宋体" w:eastAsia="宋体" w:hint="default"/>
                <w:sz w:val="22"/>
                <w:szCs w:val="22"/>
              </w:rPr>
            </w:pPr>
            <w:r>
              <w:rPr>
                <w:rFonts w:ascii="宋体"/>
                <w:spacing w:val="-1"/>
                <w:sz w:val="22"/>
              </w:rPr>
              <w:t>19,208,492.96</w:t>
            </w:r>
          </w:p>
        </w:tc>
        <w:tc>
          <w:tcPr>
            <w:tcW w:w="8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left="2" w:right="0"/>
              <w:jc w:val="center"/>
              <w:rPr>
                <w:rFonts w:ascii="宋体" w:hAnsi="宋体" w:cs="宋体" w:eastAsia="宋体" w:hint="default"/>
                <w:sz w:val="22"/>
                <w:szCs w:val="22"/>
              </w:rPr>
            </w:pPr>
            <w:r>
              <w:rPr>
                <w:rFonts w:ascii="宋体"/>
                <w:sz w:val="22"/>
              </w:rPr>
              <w:t>15.99%</w:t>
            </w: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89"/>
              <w:jc w:val="right"/>
              <w:rPr>
                <w:rFonts w:ascii="宋体" w:hAnsi="宋体" w:cs="宋体" w:eastAsia="宋体" w:hint="default"/>
                <w:sz w:val="22"/>
                <w:szCs w:val="22"/>
              </w:rPr>
            </w:pPr>
            <w:r>
              <w:rPr>
                <w:rFonts w:ascii="宋体"/>
                <w:spacing w:val="-1"/>
                <w:sz w:val="22"/>
              </w:rPr>
              <w:t>6,484,083.77</w:t>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92"/>
              <w:jc w:val="right"/>
              <w:rPr>
                <w:rFonts w:ascii="宋体" w:hAnsi="宋体" w:cs="宋体" w:eastAsia="宋体" w:hint="default"/>
                <w:sz w:val="22"/>
                <w:szCs w:val="22"/>
              </w:rPr>
            </w:pPr>
            <w:r>
              <w:rPr>
                <w:rFonts w:ascii="宋体"/>
                <w:sz w:val="22"/>
              </w:rPr>
              <w:t>5.16%</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91"/>
              <w:jc w:val="right"/>
              <w:rPr>
                <w:rFonts w:ascii="宋体" w:hAnsi="宋体" w:cs="宋体" w:eastAsia="宋体" w:hint="default"/>
                <w:sz w:val="22"/>
                <w:szCs w:val="22"/>
              </w:rPr>
            </w:pPr>
            <w:r>
              <w:rPr>
                <w:rFonts w:ascii="宋体"/>
                <w:sz w:val="22"/>
              </w:rPr>
              <w:t>196.24%</w:t>
            </w:r>
          </w:p>
        </w:tc>
      </w:tr>
      <w:tr>
        <w:trPr>
          <w:trHeight w:val="454"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left="30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55" w:type="dxa"/>
            <w:tcBorders>
              <w:top w:val="single" w:sz="12" w:space="0" w:color="000000"/>
              <w:left w:val="single" w:sz="12" w:space="0" w:color="000000"/>
              <w:bottom w:val="single" w:sz="12" w:space="0" w:color="000000"/>
              <w:right w:val="single" w:sz="12" w:space="0" w:color="000000"/>
            </w:tcBorders>
          </w:tcPr>
          <w:p>
            <w:pPr/>
          </w:p>
        </w:tc>
        <w:tc>
          <w:tcPr>
            <w:tcW w:w="876" w:type="dxa"/>
            <w:tcBorders>
              <w:top w:val="single" w:sz="12" w:space="0" w:color="000000"/>
              <w:left w:val="single" w:sz="12" w:space="0" w:color="000000"/>
              <w:bottom w:val="single" w:sz="12" w:space="0" w:color="000000"/>
              <w:right w:val="single" w:sz="12" w:space="0" w:color="000000"/>
            </w:tcBorders>
          </w:tcPr>
          <w:p>
            <w:pP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7"/>
              <w:ind w:right="89"/>
              <w:jc w:val="right"/>
              <w:rPr>
                <w:rFonts w:ascii="宋体" w:hAnsi="宋体" w:cs="宋体" w:eastAsia="宋体" w:hint="default"/>
                <w:sz w:val="22"/>
                <w:szCs w:val="22"/>
              </w:rPr>
            </w:pPr>
            <w:r>
              <w:rPr>
                <w:rFonts w:ascii="宋体"/>
                <w:sz w:val="22"/>
              </w:rPr>
              <w:t>39,825.00</w:t>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7"/>
              <w:ind w:right="92"/>
              <w:jc w:val="right"/>
              <w:rPr>
                <w:rFonts w:ascii="宋体" w:hAnsi="宋体" w:cs="宋体" w:eastAsia="宋体" w:hint="default"/>
                <w:sz w:val="22"/>
                <w:szCs w:val="22"/>
              </w:rPr>
            </w:pPr>
            <w:r>
              <w:rPr>
                <w:rFonts w:ascii="宋体"/>
                <w:sz w:val="22"/>
              </w:rPr>
              <w:t>0.03%</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7"/>
              <w:ind w:right="89"/>
              <w:jc w:val="right"/>
              <w:rPr>
                <w:rFonts w:ascii="宋体" w:hAnsi="宋体" w:cs="宋体" w:eastAsia="宋体" w:hint="default"/>
                <w:sz w:val="22"/>
                <w:szCs w:val="22"/>
              </w:rPr>
            </w:pPr>
            <w:r>
              <w:rPr>
                <w:rFonts w:ascii="宋体"/>
                <w:sz w:val="22"/>
              </w:rPr>
              <w:t>-100.00%</w:t>
            </w:r>
          </w:p>
        </w:tc>
      </w:tr>
    </w:tbl>
    <w:p>
      <w:pPr>
        <w:spacing w:after="0" w:line="240" w:lineRule="auto"/>
        <w:jc w:val="right"/>
        <w:rPr>
          <w:rFonts w:ascii="宋体" w:hAnsi="宋体" w:cs="宋体" w:eastAsia="宋体" w:hint="default"/>
          <w:sz w:val="22"/>
          <w:szCs w:val="22"/>
        </w:rPr>
        <w:sectPr>
          <w:pgSz w:w="11910" w:h="16840"/>
          <w:pgMar w:header="624" w:footer="1045" w:top="1240" w:bottom="1240" w:left="1280" w:right="1260"/>
        </w:sectPr>
      </w:pPr>
    </w:p>
    <w:p>
      <w:pPr>
        <w:spacing w:line="240" w:lineRule="auto" w:before="5"/>
        <w:rPr>
          <w:rFonts w:ascii="宋体" w:hAnsi="宋体" w:cs="宋体" w:eastAsia="宋体" w:hint="default"/>
          <w:sz w:val="19"/>
          <w:szCs w:val="19"/>
        </w:rPr>
      </w:pPr>
    </w:p>
    <w:tbl>
      <w:tblPr>
        <w:tblW w:w="0" w:type="auto"/>
        <w:jc w:val="left"/>
        <w:tblInd w:w="151" w:type="dxa"/>
        <w:tblLayout w:type="fixed"/>
        <w:tblCellMar>
          <w:top w:w="0" w:type="dxa"/>
          <w:left w:w="0" w:type="dxa"/>
          <w:bottom w:w="0" w:type="dxa"/>
          <w:right w:w="0" w:type="dxa"/>
        </w:tblCellMar>
        <w:tblLook w:val="01E0"/>
      </w:tblPr>
      <w:tblGrid>
        <w:gridCol w:w="2107"/>
        <w:gridCol w:w="1755"/>
        <w:gridCol w:w="876"/>
        <w:gridCol w:w="1757"/>
        <w:gridCol w:w="987"/>
        <w:gridCol w:w="1094"/>
      </w:tblGrid>
      <w:tr>
        <w:trPr>
          <w:trHeight w:val="463"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30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5"/>
              <w:ind w:right="89"/>
              <w:jc w:val="right"/>
              <w:rPr>
                <w:rFonts w:ascii="宋体" w:hAnsi="宋体" w:cs="宋体" w:eastAsia="宋体" w:hint="default"/>
                <w:sz w:val="22"/>
                <w:szCs w:val="22"/>
              </w:rPr>
            </w:pPr>
            <w:r>
              <w:rPr>
                <w:rFonts w:ascii="宋体"/>
                <w:spacing w:val="-1"/>
                <w:sz w:val="22"/>
              </w:rPr>
              <w:t>2,574,984.47</w:t>
            </w:r>
          </w:p>
        </w:tc>
        <w:tc>
          <w:tcPr>
            <w:tcW w:w="8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5"/>
              <w:ind w:left="112" w:right="0"/>
              <w:jc w:val="center"/>
              <w:rPr>
                <w:rFonts w:ascii="宋体" w:hAnsi="宋体" w:cs="宋体" w:eastAsia="宋体" w:hint="default"/>
                <w:sz w:val="22"/>
                <w:szCs w:val="22"/>
              </w:rPr>
            </w:pPr>
            <w:r>
              <w:rPr>
                <w:rFonts w:ascii="宋体"/>
                <w:sz w:val="22"/>
              </w:rPr>
              <w:t>2.14%</w:t>
            </w: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5"/>
              <w:ind w:right="89"/>
              <w:jc w:val="right"/>
              <w:rPr>
                <w:rFonts w:ascii="宋体" w:hAnsi="宋体" w:cs="宋体" w:eastAsia="宋体" w:hint="default"/>
                <w:sz w:val="22"/>
                <w:szCs w:val="22"/>
              </w:rPr>
            </w:pPr>
            <w:r>
              <w:rPr>
                <w:rFonts w:ascii="宋体"/>
                <w:spacing w:val="-1"/>
                <w:sz w:val="22"/>
              </w:rPr>
              <w:t>2,566,786.94</w:t>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5"/>
              <w:ind w:right="92"/>
              <w:jc w:val="right"/>
              <w:rPr>
                <w:rFonts w:ascii="宋体" w:hAnsi="宋体" w:cs="宋体" w:eastAsia="宋体" w:hint="default"/>
                <w:sz w:val="22"/>
                <w:szCs w:val="22"/>
              </w:rPr>
            </w:pPr>
            <w:r>
              <w:rPr>
                <w:rFonts w:ascii="宋体"/>
                <w:sz w:val="22"/>
              </w:rPr>
              <w:t>2.04%</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5"/>
              <w:ind w:right="91"/>
              <w:jc w:val="right"/>
              <w:rPr>
                <w:rFonts w:ascii="宋体" w:hAnsi="宋体" w:cs="宋体" w:eastAsia="宋体" w:hint="default"/>
                <w:sz w:val="22"/>
                <w:szCs w:val="22"/>
              </w:rPr>
            </w:pPr>
            <w:r>
              <w:rPr>
                <w:rFonts w:ascii="宋体"/>
                <w:sz w:val="22"/>
              </w:rPr>
              <w:t>0.32%</w:t>
            </w:r>
          </w:p>
        </w:tc>
      </w:tr>
      <w:tr>
        <w:trPr>
          <w:trHeight w:val="454"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7"/>
              <w:ind w:left="515"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7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89"/>
              <w:jc w:val="right"/>
              <w:rPr>
                <w:rFonts w:ascii="宋体" w:hAnsi="宋体" w:cs="宋体" w:eastAsia="宋体" w:hint="default"/>
                <w:sz w:val="22"/>
                <w:szCs w:val="22"/>
              </w:rPr>
            </w:pPr>
            <w:r>
              <w:rPr>
                <w:rFonts w:ascii="宋体"/>
                <w:spacing w:val="-1"/>
                <w:sz w:val="22"/>
              </w:rPr>
              <w:t>95,853,422.52</w:t>
            </w:r>
          </w:p>
        </w:tc>
        <w:tc>
          <w:tcPr>
            <w:tcW w:w="8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left="2" w:right="0"/>
              <w:jc w:val="center"/>
              <w:rPr>
                <w:rFonts w:ascii="宋体" w:hAnsi="宋体" w:cs="宋体" w:eastAsia="宋体" w:hint="default"/>
                <w:sz w:val="22"/>
                <w:szCs w:val="22"/>
              </w:rPr>
            </w:pPr>
            <w:r>
              <w:rPr>
                <w:rFonts w:ascii="宋体"/>
                <w:sz w:val="22"/>
              </w:rPr>
              <w:t>79.79%</w:t>
            </w: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89"/>
              <w:jc w:val="right"/>
              <w:rPr>
                <w:rFonts w:ascii="宋体" w:hAnsi="宋体" w:cs="宋体" w:eastAsia="宋体" w:hint="default"/>
                <w:sz w:val="22"/>
                <w:szCs w:val="22"/>
              </w:rPr>
            </w:pPr>
            <w:r>
              <w:rPr>
                <w:rFonts w:ascii="宋体"/>
                <w:spacing w:val="-1"/>
                <w:sz w:val="22"/>
              </w:rPr>
              <w:t>106,413,373.29</w:t>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92"/>
              <w:jc w:val="right"/>
              <w:rPr>
                <w:rFonts w:ascii="宋体" w:hAnsi="宋体" w:cs="宋体" w:eastAsia="宋体" w:hint="default"/>
                <w:sz w:val="22"/>
                <w:szCs w:val="22"/>
              </w:rPr>
            </w:pPr>
            <w:r>
              <w:rPr>
                <w:rFonts w:ascii="宋体"/>
                <w:sz w:val="22"/>
              </w:rPr>
              <w:t>84.62%</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6"/>
              <w:ind w:right="91"/>
              <w:jc w:val="right"/>
              <w:rPr>
                <w:rFonts w:ascii="宋体" w:hAnsi="宋体" w:cs="宋体" w:eastAsia="宋体" w:hint="default"/>
                <w:sz w:val="22"/>
                <w:szCs w:val="22"/>
              </w:rPr>
            </w:pPr>
            <w:r>
              <w:rPr>
                <w:rFonts w:ascii="宋体"/>
                <w:sz w:val="22"/>
              </w:rPr>
              <w:t>-9.92%</w:t>
            </w:r>
          </w:p>
        </w:tc>
      </w:tr>
      <w:tr>
        <w:trPr>
          <w:trHeight w:val="456"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55" w:type="dxa"/>
            <w:tcBorders>
              <w:top w:val="single" w:sz="12" w:space="0" w:color="000000"/>
              <w:left w:val="single" w:sz="12" w:space="0" w:color="000000"/>
              <w:bottom w:val="single" w:sz="12" w:space="0" w:color="000000"/>
              <w:right w:val="single" w:sz="12" w:space="0" w:color="000000"/>
            </w:tcBorders>
          </w:tcPr>
          <w:p>
            <w:pPr/>
          </w:p>
        </w:tc>
        <w:tc>
          <w:tcPr>
            <w:tcW w:w="876" w:type="dxa"/>
            <w:tcBorders>
              <w:top w:val="single" w:sz="12" w:space="0" w:color="000000"/>
              <w:left w:val="single" w:sz="12" w:space="0" w:color="000000"/>
              <w:bottom w:val="single" w:sz="12" w:space="0" w:color="000000"/>
              <w:right w:val="single" w:sz="12" w:space="0" w:color="000000"/>
            </w:tcBorders>
          </w:tcPr>
          <w:p>
            <w:pPr/>
          </w:p>
        </w:tc>
        <w:tc>
          <w:tcPr>
            <w:tcW w:w="1757" w:type="dxa"/>
            <w:tcBorders>
              <w:top w:val="single" w:sz="12" w:space="0" w:color="000000"/>
              <w:left w:val="single" w:sz="12" w:space="0" w:color="000000"/>
              <w:bottom w:val="single" w:sz="12" w:space="0" w:color="000000"/>
              <w:right w:val="single" w:sz="12" w:space="0" w:color="000000"/>
            </w:tcBorders>
          </w:tcPr>
          <w:p>
            <w:pPr/>
          </w:p>
        </w:tc>
        <w:tc>
          <w:tcPr>
            <w:tcW w:w="987" w:type="dxa"/>
            <w:tcBorders>
              <w:top w:val="single" w:sz="12" w:space="0" w:color="000000"/>
              <w:left w:val="single" w:sz="12" w:space="0" w:color="000000"/>
              <w:bottom w:val="single" w:sz="12" w:space="0" w:color="000000"/>
              <w:right w:val="single" w:sz="12" w:space="0" w:color="000000"/>
            </w:tcBorders>
          </w:tcPr>
          <w:p>
            <w:pPr/>
          </w:p>
        </w:tc>
        <w:tc>
          <w:tcPr>
            <w:tcW w:w="1094" w:type="dxa"/>
            <w:tcBorders>
              <w:top w:val="single" w:sz="12" w:space="0" w:color="000000"/>
              <w:left w:val="single" w:sz="12" w:space="0" w:color="000000"/>
              <w:bottom w:val="single" w:sz="12" w:space="0" w:color="000000"/>
              <w:right w:val="single" w:sz="12" w:space="0" w:color="000000"/>
            </w:tcBorders>
          </w:tcPr>
          <w:p>
            <w:pPr/>
          </w:p>
        </w:tc>
      </w:tr>
      <w:tr>
        <w:trPr>
          <w:trHeight w:val="456"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7"/>
              <w:ind w:left="30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7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2"/>
                <w:szCs w:val="22"/>
              </w:rPr>
            </w:pPr>
            <w:r>
              <w:rPr>
                <w:rFonts w:ascii="宋体"/>
                <w:spacing w:val="-1"/>
                <w:sz w:val="22"/>
              </w:rPr>
              <w:t>4,474,602.44</w:t>
            </w:r>
          </w:p>
        </w:tc>
        <w:tc>
          <w:tcPr>
            <w:tcW w:w="8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112" w:right="0"/>
              <w:jc w:val="center"/>
              <w:rPr>
                <w:rFonts w:ascii="宋体" w:hAnsi="宋体" w:cs="宋体" w:eastAsia="宋体" w:hint="default"/>
                <w:sz w:val="22"/>
                <w:szCs w:val="22"/>
              </w:rPr>
            </w:pPr>
            <w:r>
              <w:rPr>
                <w:rFonts w:ascii="宋体"/>
                <w:sz w:val="22"/>
              </w:rPr>
              <w:t>3.72%</w:t>
            </w: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2"/>
                <w:szCs w:val="22"/>
              </w:rPr>
            </w:pPr>
            <w:r>
              <w:rPr>
                <w:rFonts w:ascii="宋体"/>
                <w:spacing w:val="-1"/>
                <w:sz w:val="22"/>
              </w:rPr>
              <w:t>3,938,322.23</w:t>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92"/>
              <w:jc w:val="right"/>
              <w:rPr>
                <w:rFonts w:ascii="宋体" w:hAnsi="宋体" w:cs="宋体" w:eastAsia="宋体" w:hint="default"/>
                <w:sz w:val="22"/>
                <w:szCs w:val="22"/>
              </w:rPr>
            </w:pPr>
            <w:r>
              <w:rPr>
                <w:rFonts w:ascii="宋体"/>
                <w:sz w:val="22"/>
              </w:rPr>
              <w:t>3.13%</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91"/>
              <w:jc w:val="right"/>
              <w:rPr>
                <w:rFonts w:ascii="宋体" w:hAnsi="宋体" w:cs="宋体" w:eastAsia="宋体" w:hint="default"/>
                <w:sz w:val="22"/>
                <w:szCs w:val="22"/>
              </w:rPr>
            </w:pPr>
            <w:r>
              <w:rPr>
                <w:rFonts w:ascii="宋体"/>
                <w:sz w:val="22"/>
              </w:rPr>
              <w:t>13.62%</w:t>
            </w:r>
          </w:p>
        </w:tc>
      </w:tr>
      <w:tr>
        <w:trPr>
          <w:trHeight w:val="454"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7"/>
              <w:ind w:right="88"/>
              <w:jc w:val="right"/>
              <w:rPr>
                <w:rFonts w:ascii="宋体" w:hAnsi="宋体" w:cs="宋体" w:eastAsia="宋体" w:hint="default"/>
                <w:sz w:val="21"/>
                <w:szCs w:val="21"/>
              </w:rPr>
            </w:pPr>
            <w:r>
              <w:rPr>
                <w:rFonts w:ascii="宋体" w:hAnsi="宋体" w:cs="宋体" w:eastAsia="宋体" w:hint="default"/>
                <w:spacing w:val="-2"/>
                <w:sz w:val="21"/>
                <w:szCs w:val="21"/>
              </w:rPr>
              <w:t>其他非流动性负债</w:t>
            </w:r>
          </w:p>
        </w:tc>
        <w:tc>
          <w:tcPr>
            <w:tcW w:w="17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2"/>
                <w:szCs w:val="22"/>
              </w:rPr>
            </w:pPr>
            <w:r>
              <w:rPr>
                <w:rFonts w:ascii="宋体"/>
                <w:spacing w:val="-1"/>
                <w:sz w:val="22"/>
              </w:rPr>
              <w:t>19,800,000.00</w:t>
            </w:r>
          </w:p>
        </w:tc>
        <w:tc>
          <w:tcPr>
            <w:tcW w:w="8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2" w:right="0"/>
              <w:jc w:val="center"/>
              <w:rPr>
                <w:rFonts w:ascii="宋体" w:hAnsi="宋体" w:cs="宋体" w:eastAsia="宋体" w:hint="default"/>
                <w:sz w:val="22"/>
                <w:szCs w:val="22"/>
              </w:rPr>
            </w:pPr>
            <w:r>
              <w:rPr>
                <w:rFonts w:ascii="宋体"/>
                <w:sz w:val="22"/>
              </w:rPr>
              <w:t>16.48%</w:t>
            </w: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2"/>
                <w:szCs w:val="22"/>
              </w:rPr>
            </w:pPr>
            <w:r>
              <w:rPr>
                <w:rFonts w:ascii="宋体"/>
                <w:spacing w:val="-1"/>
                <w:sz w:val="22"/>
              </w:rPr>
              <w:t>15,400,000.00</w:t>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92"/>
              <w:jc w:val="right"/>
              <w:rPr>
                <w:rFonts w:ascii="宋体" w:hAnsi="宋体" w:cs="宋体" w:eastAsia="宋体" w:hint="default"/>
                <w:sz w:val="22"/>
                <w:szCs w:val="22"/>
              </w:rPr>
            </w:pPr>
            <w:r>
              <w:rPr>
                <w:rFonts w:ascii="宋体"/>
                <w:sz w:val="22"/>
              </w:rPr>
              <w:t>12.25%</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91"/>
              <w:jc w:val="right"/>
              <w:rPr>
                <w:rFonts w:ascii="宋体" w:hAnsi="宋体" w:cs="宋体" w:eastAsia="宋体" w:hint="default"/>
                <w:sz w:val="22"/>
                <w:szCs w:val="22"/>
              </w:rPr>
            </w:pPr>
            <w:r>
              <w:rPr>
                <w:rFonts w:ascii="宋体"/>
                <w:sz w:val="22"/>
              </w:rPr>
              <w:t>28.57%</w:t>
            </w:r>
          </w:p>
        </w:tc>
      </w:tr>
      <w:tr>
        <w:trPr>
          <w:trHeight w:val="456"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right="88"/>
              <w:jc w:val="right"/>
              <w:rPr>
                <w:rFonts w:ascii="宋体" w:hAnsi="宋体" w:cs="宋体" w:eastAsia="宋体" w:hint="default"/>
                <w:sz w:val="21"/>
                <w:szCs w:val="21"/>
              </w:rPr>
            </w:pPr>
            <w:r>
              <w:rPr>
                <w:rFonts w:ascii="宋体" w:hAnsi="宋体" w:cs="宋体" w:eastAsia="宋体" w:hint="default"/>
                <w:spacing w:val="-2"/>
                <w:sz w:val="21"/>
                <w:szCs w:val="21"/>
              </w:rPr>
              <w:t>非流动负债合计</w:t>
            </w:r>
          </w:p>
        </w:tc>
        <w:tc>
          <w:tcPr>
            <w:tcW w:w="17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89"/>
              <w:jc w:val="right"/>
              <w:rPr>
                <w:rFonts w:ascii="宋体" w:hAnsi="宋体" w:cs="宋体" w:eastAsia="宋体" w:hint="default"/>
                <w:sz w:val="22"/>
                <w:szCs w:val="22"/>
              </w:rPr>
            </w:pPr>
            <w:r>
              <w:rPr>
                <w:rFonts w:ascii="宋体"/>
                <w:spacing w:val="-1"/>
                <w:sz w:val="22"/>
              </w:rPr>
              <w:t>24,274,602.44</w:t>
            </w:r>
          </w:p>
        </w:tc>
        <w:tc>
          <w:tcPr>
            <w:tcW w:w="8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left="2" w:right="0"/>
              <w:jc w:val="center"/>
              <w:rPr>
                <w:rFonts w:ascii="宋体" w:hAnsi="宋体" w:cs="宋体" w:eastAsia="宋体" w:hint="default"/>
                <w:sz w:val="22"/>
                <w:szCs w:val="22"/>
              </w:rPr>
            </w:pPr>
            <w:r>
              <w:rPr>
                <w:rFonts w:ascii="宋体"/>
                <w:sz w:val="22"/>
              </w:rPr>
              <w:t>20.21%</w:t>
            </w: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89"/>
              <w:jc w:val="right"/>
              <w:rPr>
                <w:rFonts w:ascii="宋体" w:hAnsi="宋体" w:cs="宋体" w:eastAsia="宋体" w:hint="default"/>
                <w:sz w:val="22"/>
                <w:szCs w:val="22"/>
              </w:rPr>
            </w:pPr>
            <w:r>
              <w:rPr>
                <w:rFonts w:ascii="宋体"/>
                <w:spacing w:val="-1"/>
                <w:sz w:val="22"/>
              </w:rPr>
              <w:t>19,338,322.23</w:t>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92"/>
              <w:jc w:val="right"/>
              <w:rPr>
                <w:rFonts w:ascii="宋体" w:hAnsi="宋体" w:cs="宋体" w:eastAsia="宋体" w:hint="default"/>
                <w:sz w:val="22"/>
                <w:szCs w:val="22"/>
              </w:rPr>
            </w:pPr>
            <w:r>
              <w:rPr>
                <w:rFonts w:ascii="宋体"/>
                <w:sz w:val="22"/>
              </w:rPr>
              <w:t>15.38%</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8"/>
              <w:ind w:right="91"/>
              <w:jc w:val="right"/>
              <w:rPr>
                <w:rFonts w:ascii="宋体" w:hAnsi="宋体" w:cs="宋体" w:eastAsia="宋体" w:hint="default"/>
                <w:sz w:val="22"/>
                <w:szCs w:val="22"/>
              </w:rPr>
            </w:pPr>
            <w:r>
              <w:rPr>
                <w:rFonts w:ascii="宋体"/>
                <w:sz w:val="22"/>
              </w:rPr>
              <w:t>25.53%</w:t>
            </w:r>
          </w:p>
        </w:tc>
      </w:tr>
      <w:tr>
        <w:trPr>
          <w:trHeight w:val="454" w:hRule="exact"/>
        </w:trPr>
        <w:tc>
          <w:tcPr>
            <w:tcW w:w="21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7"/>
              <w:ind w:left="93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7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2"/>
                <w:szCs w:val="22"/>
              </w:rPr>
            </w:pPr>
            <w:r>
              <w:rPr>
                <w:rFonts w:ascii="宋体"/>
                <w:spacing w:val="-1"/>
                <w:sz w:val="22"/>
              </w:rPr>
              <w:t>120,128,024.96</w:t>
            </w:r>
          </w:p>
        </w:tc>
        <w:tc>
          <w:tcPr>
            <w:tcW w:w="8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218" w:right="0"/>
              <w:jc w:val="center"/>
              <w:rPr>
                <w:rFonts w:ascii="宋体" w:hAnsi="宋体" w:cs="宋体" w:eastAsia="宋体" w:hint="default"/>
                <w:sz w:val="22"/>
                <w:szCs w:val="22"/>
              </w:rPr>
            </w:pPr>
            <w:r>
              <w:rPr>
                <w:rFonts w:ascii="宋体"/>
                <w:sz w:val="22"/>
              </w:rPr>
              <w:t>100%</w:t>
            </w: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2"/>
                <w:szCs w:val="22"/>
              </w:rPr>
            </w:pPr>
            <w:r>
              <w:rPr>
                <w:rFonts w:ascii="宋体"/>
                <w:spacing w:val="-1"/>
                <w:sz w:val="22"/>
              </w:rPr>
              <w:t>125,751,695.52</w:t>
            </w:r>
          </w:p>
        </w:tc>
        <w:tc>
          <w:tcPr>
            <w:tcW w:w="9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89"/>
              <w:jc w:val="right"/>
              <w:rPr>
                <w:rFonts w:ascii="宋体" w:hAnsi="宋体" w:cs="宋体" w:eastAsia="宋体" w:hint="default"/>
                <w:sz w:val="22"/>
                <w:szCs w:val="22"/>
              </w:rPr>
            </w:pPr>
            <w:r>
              <w:rPr>
                <w:rFonts w:ascii="宋体"/>
                <w:sz w:val="22"/>
              </w:rPr>
              <w:t>100.00%</w:t>
            </w:r>
          </w:p>
        </w:tc>
        <w:tc>
          <w:tcPr>
            <w:tcW w:w="10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right="91"/>
              <w:jc w:val="right"/>
              <w:rPr>
                <w:rFonts w:ascii="宋体" w:hAnsi="宋体" w:cs="宋体" w:eastAsia="宋体" w:hint="default"/>
                <w:sz w:val="22"/>
                <w:szCs w:val="22"/>
              </w:rPr>
            </w:pPr>
            <w:r>
              <w:rPr>
                <w:rFonts w:ascii="宋体"/>
                <w:sz w:val="22"/>
              </w:rPr>
              <w:t>-4.47%</w:t>
            </w:r>
          </w:p>
        </w:tc>
      </w:tr>
    </w:tbl>
    <w:p>
      <w:pPr>
        <w:spacing w:line="240" w:lineRule="auto" w:before="10"/>
        <w:rPr>
          <w:rFonts w:ascii="宋体" w:hAnsi="宋体" w:cs="宋体" w:eastAsia="宋体" w:hint="default"/>
          <w:sz w:val="4"/>
          <w:szCs w:val="4"/>
        </w:rPr>
      </w:pPr>
    </w:p>
    <w:p>
      <w:pPr>
        <w:pStyle w:val="Heading3"/>
        <w:spacing w:line="326" w:lineRule="auto" w:before="14"/>
        <w:ind w:left="298" w:right="0" w:firstLine="501"/>
        <w:jc w:val="left"/>
      </w:pPr>
      <w:r>
        <w:rPr>
          <w:spacing w:val="-1"/>
        </w:rPr>
        <w:t>（</w:t>
      </w:r>
      <w:r>
        <w:rPr>
          <w:rFonts w:ascii="宋体" w:hAnsi="宋体" w:cs="宋体" w:eastAsia="宋体" w:hint="default"/>
          <w:spacing w:val="-1"/>
        </w:rPr>
        <w:t>1</w:t>
      </w:r>
      <w:r>
        <w:rPr>
          <w:spacing w:val="-1"/>
        </w:rPr>
        <w:t>）报告期内，短期借款同比年初减少</w:t>
      </w:r>
      <w:r>
        <w:rPr>
          <w:rFonts w:ascii="宋体" w:hAnsi="宋体" w:cs="宋体" w:eastAsia="宋体" w:hint="default"/>
          <w:spacing w:val="-1"/>
        </w:rPr>
        <w:t>100%</w:t>
      </w:r>
      <w:r>
        <w:rPr>
          <w:spacing w:val="-1"/>
        </w:rPr>
        <w:t>，原因为公司报告</w:t>
      </w:r>
      <w:r>
        <w:rPr>
          <w:w w:val="100"/>
        </w:rPr>
        <w:t> </w:t>
      </w:r>
      <w:r>
        <w:rPr/>
        <w:t>期内将银行贷款全部归还。</w:t>
      </w:r>
    </w:p>
    <w:p>
      <w:pPr>
        <w:pStyle w:val="Heading3"/>
        <w:spacing w:line="328" w:lineRule="auto" w:before="32"/>
        <w:ind w:left="298" w:right="0" w:firstLine="700"/>
        <w:jc w:val="left"/>
      </w:pPr>
      <w:r>
        <w:rPr>
          <w:spacing w:val="-4"/>
        </w:rPr>
        <w:t>（</w:t>
      </w:r>
      <w:r>
        <w:rPr>
          <w:rFonts w:ascii="宋体" w:hAnsi="宋体" w:cs="宋体" w:eastAsia="宋体" w:hint="default"/>
          <w:spacing w:val="-4"/>
        </w:rPr>
        <w:t>2</w:t>
      </w:r>
      <w:r>
        <w:rPr>
          <w:spacing w:val="-4"/>
        </w:rPr>
        <w:t>）报告期内，应付职工薪酬同比年初增长</w:t>
      </w:r>
      <w:r>
        <w:rPr>
          <w:rFonts w:ascii="宋体" w:hAnsi="宋体" w:cs="宋体" w:eastAsia="宋体" w:hint="default"/>
          <w:spacing w:val="-4"/>
        </w:rPr>
        <w:t>49.05%</w:t>
      </w:r>
      <w:r>
        <w:rPr>
          <w:spacing w:val="-4"/>
        </w:rPr>
        <w:t>，原因系报</w:t>
      </w:r>
      <w:r>
        <w:rPr>
          <w:w w:val="100"/>
        </w:rPr>
        <w:t> </w:t>
      </w:r>
      <w:r>
        <w:rPr/>
        <w:t>告期内公司员工薪酬增长所致。</w:t>
      </w:r>
    </w:p>
    <w:p>
      <w:pPr>
        <w:pStyle w:val="Heading3"/>
        <w:spacing w:line="326" w:lineRule="auto"/>
        <w:ind w:left="298" w:right="0" w:firstLine="559"/>
        <w:jc w:val="left"/>
      </w:pPr>
      <w:r>
        <w:rPr>
          <w:spacing w:val="-4"/>
        </w:rPr>
        <w:t>（</w:t>
      </w:r>
      <w:r>
        <w:rPr>
          <w:rFonts w:ascii="宋体" w:hAnsi="宋体" w:cs="宋体" w:eastAsia="宋体" w:hint="default"/>
          <w:spacing w:val="-4"/>
        </w:rPr>
        <w:t>3</w:t>
      </w:r>
      <w:r>
        <w:rPr>
          <w:spacing w:val="-4"/>
        </w:rPr>
        <w:t>）报告期内，应交税费同比年初增长</w:t>
      </w:r>
      <w:r>
        <w:rPr>
          <w:rFonts w:ascii="宋体" w:hAnsi="宋体" w:cs="宋体" w:eastAsia="宋体" w:hint="default"/>
          <w:spacing w:val="-4"/>
        </w:rPr>
        <w:t>196.24%</w:t>
      </w:r>
      <w:r>
        <w:rPr>
          <w:spacing w:val="-4"/>
        </w:rPr>
        <w:t>，主要原因系报</w:t>
      </w:r>
      <w:r>
        <w:rPr>
          <w:w w:val="100"/>
        </w:rPr>
        <w:t> </w:t>
      </w:r>
      <w:r>
        <w:rPr/>
        <w:t>告期内主营业务收入比上年同期增长所致。</w:t>
      </w:r>
    </w:p>
    <w:p>
      <w:pPr>
        <w:pStyle w:val="Heading3"/>
        <w:spacing w:line="326" w:lineRule="auto" w:before="34"/>
        <w:ind w:left="298" w:right="0" w:firstLine="559"/>
        <w:jc w:val="left"/>
      </w:pPr>
      <w:r>
        <w:rPr>
          <w:spacing w:val="-1"/>
        </w:rPr>
        <w:t>（</w:t>
      </w:r>
      <w:r>
        <w:rPr>
          <w:rFonts w:ascii="宋体" w:hAnsi="宋体" w:cs="宋体" w:eastAsia="宋体" w:hint="default"/>
          <w:spacing w:val="-1"/>
        </w:rPr>
        <w:t>4</w:t>
      </w:r>
      <w:r>
        <w:rPr>
          <w:spacing w:val="-1"/>
        </w:rPr>
        <w:t>）报告期内，应付利息同比年初减少</w:t>
      </w:r>
      <w:r>
        <w:rPr>
          <w:rFonts w:ascii="宋体" w:hAnsi="宋体" w:cs="宋体" w:eastAsia="宋体" w:hint="default"/>
          <w:spacing w:val="-1"/>
        </w:rPr>
        <w:t>100%</w:t>
      </w:r>
      <w:r>
        <w:rPr>
          <w:spacing w:val="-1"/>
        </w:rPr>
        <w:t>，原因是报告期内</w:t>
      </w:r>
      <w:r>
        <w:rPr>
          <w:w w:val="100"/>
        </w:rPr>
        <w:t> </w:t>
      </w:r>
      <w:r>
        <w:rPr/>
        <w:t>无银行借款。</w:t>
      </w:r>
    </w:p>
    <w:p>
      <w:pPr>
        <w:pStyle w:val="Heading2"/>
        <w:spacing w:line="240" w:lineRule="auto" w:before="32"/>
        <w:ind w:left="298" w:right="0"/>
        <w:jc w:val="left"/>
        <w:rPr>
          <w:b w:val="0"/>
          <w:bCs w:val="0"/>
        </w:rPr>
      </w:pPr>
      <w:r>
        <w:rPr>
          <w:rFonts w:ascii="宋体" w:hAnsi="宋体" w:cs="宋体" w:eastAsia="宋体" w:hint="default"/>
        </w:rPr>
        <w:t>2</w:t>
      </w:r>
      <w:r>
        <w:rPr/>
        <w:t>、偿债能力分析</w:t>
      </w:r>
      <w:r>
        <w:rPr>
          <w:b w:val="0"/>
          <w:bCs w:val="0"/>
        </w:rPr>
      </w:r>
    </w:p>
    <w:p>
      <w:pPr>
        <w:spacing w:line="240" w:lineRule="auto" w:before="9"/>
        <w:rPr>
          <w:rFonts w:ascii="宋体" w:hAnsi="宋体" w:cs="宋体" w:eastAsia="宋体" w:hint="default"/>
          <w:b/>
          <w:bCs/>
          <w:sz w:val="4"/>
          <w:szCs w:val="4"/>
        </w:rPr>
      </w:pPr>
    </w:p>
    <w:tbl>
      <w:tblPr>
        <w:tblW w:w="0" w:type="auto"/>
        <w:jc w:val="left"/>
        <w:tblInd w:w="276" w:type="dxa"/>
        <w:tblLayout w:type="fixed"/>
        <w:tblCellMar>
          <w:top w:w="0" w:type="dxa"/>
          <w:left w:w="0" w:type="dxa"/>
          <w:bottom w:w="0" w:type="dxa"/>
          <w:right w:w="0" w:type="dxa"/>
        </w:tblCellMar>
        <w:tblLook w:val="01E0"/>
      </w:tblPr>
      <w:tblGrid>
        <w:gridCol w:w="2871"/>
        <w:gridCol w:w="1536"/>
        <w:gridCol w:w="1702"/>
        <w:gridCol w:w="1561"/>
      </w:tblGrid>
      <w:tr>
        <w:trPr>
          <w:trHeight w:val="427" w:hRule="exact"/>
        </w:trPr>
        <w:tc>
          <w:tcPr>
            <w:tcW w:w="2871"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6"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02"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1"/>
                <w:sz w:val="21"/>
                <w:szCs w:val="21"/>
              </w:rPr>
              <w:t> </w:t>
            </w:r>
            <w:r>
              <w:rPr>
                <w:rFonts w:ascii="宋体" w:hAnsi="宋体" w:cs="宋体" w:eastAsia="宋体" w:hint="default"/>
                <w:sz w:val="21"/>
                <w:szCs w:val="21"/>
              </w:rPr>
              <w:t>年</w:t>
            </w:r>
          </w:p>
        </w:tc>
        <w:tc>
          <w:tcPr>
            <w:tcW w:w="1561"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1"/>
                <w:sz w:val="21"/>
                <w:szCs w:val="21"/>
              </w:rPr>
              <w:t> </w:t>
            </w:r>
            <w:r>
              <w:rPr>
                <w:rFonts w:ascii="宋体" w:hAnsi="宋体" w:cs="宋体" w:eastAsia="宋体" w:hint="default"/>
                <w:sz w:val="21"/>
                <w:szCs w:val="21"/>
              </w:rPr>
              <w:t>年</w:t>
            </w:r>
          </w:p>
        </w:tc>
      </w:tr>
      <w:tr>
        <w:trPr>
          <w:trHeight w:val="430" w:hRule="exact"/>
        </w:trPr>
        <w:tc>
          <w:tcPr>
            <w:tcW w:w="2871"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sz w:val="21"/>
                <w:szCs w:val="21"/>
              </w:rPr>
              <w:t>母公司）（</w:t>
            </w:r>
            <w:r>
              <w:rPr>
                <w:rFonts w:ascii="宋体" w:hAnsi="宋体" w:cs="宋体" w:eastAsia="宋体" w:hint="default"/>
                <w:sz w:val="21"/>
                <w:szCs w:val="21"/>
              </w:rPr>
              <w:t>%</w:t>
            </w:r>
            <w:r>
              <w:rPr>
                <w:rFonts w:ascii="宋体" w:hAnsi="宋体" w:cs="宋体" w:eastAsia="宋体" w:hint="default"/>
                <w:sz w:val="21"/>
                <w:szCs w:val="21"/>
              </w:rPr>
              <w:t>）</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95"/>
              <w:jc w:val="right"/>
              <w:rPr>
                <w:rFonts w:ascii="宋体" w:hAnsi="宋体" w:cs="宋体" w:eastAsia="宋体" w:hint="default"/>
                <w:sz w:val="21"/>
                <w:szCs w:val="21"/>
              </w:rPr>
            </w:pPr>
            <w:r>
              <w:rPr>
                <w:rFonts w:ascii="宋体"/>
                <w:sz w:val="21"/>
              </w:rPr>
              <w:t>28.20%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95"/>
              <w:jc w:val="right"/>
              <w:rPr>
                <w:rFonts w:ascii="宋体" w:hAnsi="宋体" w:cs="宋体" w:eastAsia="宋体" w:hint="default"/>
                <w:sz w:val="21"/>
                <w:szCs w:val="21"/>
              </w:rPr>
            </w:pPr>
            <w:r>
              <w:rPr>
                <w:rFonts w:ascii="宋体"/>
                <w:sz w:val="21"/>
              </w:rPr>
              <w:t>25.40%</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94"/>
              <w:jc w:val="right"/>
              <w:rPr>
                <w:rFonts w:ascii="宋体" w:hAnsi="宋体" w:cs="宋体" w:eastAsia="宋体" w:hint="default"/>
                <w:sz w:val="21"/>
                <w:szCs w:val="21"/>
              </w:rPr>
            </w:pPr>
            <w:r>
              <w:rPr>
                <w:rFonts w:ascii="宋体"/>
                <w:sz w:val="21"/>
              </w:rPr>
              <w:t>52.36%</w:t>
            </w:r>
          </w:p>
        </w:tc>
      </w:tr>
      <w:tr>
        <w:trPr>
          <w:trHeight w:val="427" w:hRule="exact"/>
        </w:trPr>
        <w:tc>
          <w:tcPr>
            <w:tcW w:w="287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流动比率 （倍）</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6.71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5.93</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2.29</w:t>
            </w:r>
          </w:p>
        </w:tc>
      </w:tr>
      <w:tr>
        <w:trPr>
          <w:trHeight w:val="430" w:hRule="exact"/>
        </w:trPr>
        <w:tc>
          <w:tcPr>
            <w:tcW w:w="287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速动比率（倍）</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5.96</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5.36</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1.67</w:t>
            </w:r>
          </w:p>
        </w:tc>
      </w:tr>
    </w:tbl>
    <w:p>
      <w:pPr>
        <w:pStyle w:val="Heading3"/>
        <w:spacing w:line="326" w:lineRule="auto" w:before="73"/>
        <w:ind w:left="298" w:right="314" w:firstLine="559"/>
        <w:jc w:val="both"/>
      </w:pPr>
      <w:r>
        <w:rPr>
          <w:spacing w:val="-5"/>
        </w:rPr>
        <w:t>公司各项偿债能力指标均较为合理。近三年期末流动比率呈逐年</w:t>
      </w:r>
      <w:r>
        <w:rPr>
          <w:w w:val="100"/>
        </w:rPr>
        <w:t> </w:t>
      </w:r>
      <w:r>
        <w:rPr/>
        <w:t>上升的趋势并连续两年保持在</w:t>
      </w:r>
      <w:r>
        <w:rPr>
          <w:spacing w:val="-64"/>
        </w:rPr>
        <w:t> </w:t>
      </w:r>
      <w:r>
        <w:rPr>
          <w:rFonts w:ascii="宋体" w:hAnsi="宋体" w:cs="宋体" w:eastAsia="宋体" w:hint="default"/>
        </w:rPr>
        <w:t>2</w:t>
      </w:r>
      <w:r>
        <w:rPr>
          <w:rFonts w:ascii="宋体" w:hAnsi="宋体" w:cs="宋体" w:eastAsia="宋体" w:hint="default"/>
          <w:spacing w:val="-62"/>
        </w:rPr>
        <w:t> </w:t>
      </w:r>
      <w:r>
        <w:rPr>
          <w:spacing w:val="-7"/>
        </w:rPr>
        <w:t>倍以上；同时，公司报告期各期末的</w:t>
      </w:r>
      <w:r>
        <w:rPr>
          <w:w w:val="100"/>
        </w:rPr>
        <w:t> </w:t>
      </w:r>
      <w:r>
        <w:rPr/>
        <w:t>速动比率均高于</w:t>
      </w:r>
      <w:r>
        <w:rPr>
          <w:spacing w:val="-90"/>
        </w:rPr>
        <w:t> </w:t>
      </w:r>
      <w:r>
        <w:rPr>
          <w:rFonts w:ascii="宋体" w:hAnsi="宋体" w:cs="宋体" w:eastAsia="宋体" w:hint="default"/>
        </w:rPr>
        <w:t>1</w:t>
      </w:r>
      <w:r>
        <w:rPr/>
        <w:t>，反映出公司具有较强的短期偿债能力，特别是具</w:t>
      </w:r>
      <w:r>
        <w:rPr>
          <w:w w:val="100"/>
        </w:rPr>
        <w:t> </w:t>
      </w:r>
      <w:r>
        <w:rPr/>
        <w:t>有较强的即期偿债能力。</w:t>
      </w:r>
    </w:p>
    <w:p>
      <w:pPr>
        <w:pStyle w:val="Heading2"/>
        <w:spacing w:line="240" w:lineRule="auto" w:before="34"/>
        <w:ind w:left="439" w:right="0"/>
        <w:jc w:val="left"/>
        <w:rPr>
          <w:b w:val="0"/>
          <w:bCs w:val="0"/>
        </w:rPr>
      </w:pPr>
      <w:r>
        <w:rPr/>
        <w:t>（四）公司费用构成情况</w:t>
      </w:r>
      <w:r>
        <w:rPr>
          <w:b w:val="0"/>
          <w:bCs w:val="0"/>
        </w:rPr>
      </w:r>
    </w:p>
    <w:p>
      <w:pPr>
        <w:pStyle w:val="Heading3"/>
        <w:spacing w:line="240" w:lineRule="auto" w:before="11"/>
        <w:ind w:left="0" w:right="311"/>
        <w:jc w:val="right"/>
      </w:pPr>
      <w:r>
        <w:rPr/>
        <w:t>单位：元</w:t>
      </w:r>
    </w:p>
    <w:p>
      <w:pPr>
        <w:spacing w:line="240" w:lineRule="auto" w:before="5"/>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341"/>
        <w:gridCol w:w="1781"/>
        <w:gridCol w:w="1778"/>
        <w:gridCol w:w="1781"/>
      </w:tblGrid>
      <w:tr>
        <w:trPr>
          <w:trHeight w:val="977" w:hRule="exact"/>
        </w:trPr>
        <w:tc>
          <w:tcPr>
            <w:tcW w:w="33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470" w:hRule="exact"/>
        </w:trPr>
        <w:tc>
          <w:tcPr>
            <w:tcW w:w="334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95" w:right="0"/>
              <w:jc w:val="left"/>
              <w:rPr>
                <w:rFonts w:ascii="宋体" w:hAnsi="宋体" w:cs="宋体" w:eastAsia="宋体" w:hint="default"/>
                <w:sz w:val="21"/>
                <w:szCs w:val="21"/>
              </w:rPr>
            </w:pPr>
            <w:r>
              <w:rPr>
                <w:rFonts w:ascii="宋体"/>
                <w:sz w:val="21"/>
              </w:rPr>
              <w:t>13,815,460.15</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95" w:right="0"/>
              <w:jc w:val="left"/>
              <w:rPr>
                <w:rFonts w:ascii="宋体" w:hAnsi="宋体" w:cs="宋体" w:eastAsia="宋体" w:hint="default"/>
                <w:sz w:val="21"/>
                <w:szCs w:val="21"/>
              </w:rPr>
            </w:pPr>
            <w:r>
              <w:rPr>
                <w:rFonts w:ascii="宋体"/>
                <w:sz w:val="21"/>
              </w:rPr>
              <w:t>10,196,007.67</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032" w:right="0"/>
              <w:jc w:val="left"/>
              <w:rPr>
                <w:rFonts w:ascii="宋体" w:hAnsi="宋体" w:cs="宋体" w:eastAsia="宋体" w:hint="default"/>
                <w:sz w:val="21"/>
                <w:szCs w:val="21"/>
              </w:rPr>
            </w:pPr>
            <w:r>
              <w:rPr>
                <w:rFonts w:ascii="宋体"/>
                <w:sz w:val="21"/>
              </w:rPr>
              <w:t>35.50%</w:t>
            </w:r>
          </w:p>
        </w:tc>
      </w:tr>
    </w:tbl>
    <w:p>
      <w:pPr>
        <w:spacing w:after="0" w:line="262" w:lineRule="exact"/>
        <w:jc w:val="left"/>
        <w:rPr>
          <w:rFonts w:ascii="宋体" w:hAnsi="宋体" w:cs="宋体" w:eastAsia="宋体" w:hint="default"/>
          <w:sz w:val="21"/>
          <w:szCs w:val="21"/>
        </w:rPr>
        <w:sectPr>
          <w:headerReference w:type="default" r:id="rId27"/>
          <w:pgSz w:w="11910" w:h="16840"/>
          <w:pgMar w:header="624" w:footer="1045" w:top="980" w:bottom="1240" w:left="1500" w:right="1480"/>
        </w:sectPr>
      </w:pPr>
    </w:p>
    <w:p>
      <w:pPr>
        <w:spacing w:line="240" w:lineRule="auto" w:before="11"/>
        <w:rPr>
          <w:rFonts w:ascii="宋体" w:hAnsi="宋体" w:cs="宋体" w:eastAsia="宋体" w:hint="default"/>
          <w:sz w:val="18"/>
          <w:szCs w:val="18"/>
        </w:rPr>
      </w:pPr>
    </w:p>
    <w:tbl>
      <w:tblPr>
        <w:tblW w:w="0" w:type="auto"/>
        <w:jc w:val="left"/>
        <w:tblInd w:w="443" w:type="dxa"/>
        <w:tblLayout w:type="fixed"/>
        <w:tblCellMar>
          <w:top w:w="0" w:type="dxa"/>
          <w:left w:w="0" w:type="dxa"/>
          <w:bottom w:w="0" w:type="dxa"/>
          <w:right w:w="0" w:type="dxa"/>
        </w:tblCellMar>
        <w:tblLook w:val="01E0"/>
      </w:tblPr>
      <w:tblGrid>
        <w:gridCol w:w="3341"/>
        <w:gridCol w:w="1781"/>
        <w:gridCol w:w="1778"/>
        <w:gridCol w:w="1781"/>
      </w:tblGrid>
      <w:tr>
        <w:trPr>
          <w:trHeight w:val="468" w:hRule="exact"/>
        </w:trPr>
        <w:tc>
          <w:tcPr>
            <w:tcW w:w="3341" w:type="dxa"/>
            <w:tcBorders>
              <w:top w:val="single" w:sz="6"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6"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31,134,491.53</w:t>
            </w:r>
          </w:p>
        </w:tc>
        <w:tc>
          <w:tcPr>
            <w:tcW w:w="1778" w:type="dxa"/>
            <w:tcBorders>
              <w:top w:val="single" w:sz="6"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22,896,990.66</w:t>
            </w:r>
          </w:p>
        </w:tc>
        <w:tc>
          <w:tcPr>
            <w:tcW w:w="1781" w:type="dxa"/>
            <w:tcBorders>
              <w:top w:val="single" w:sz="6"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35.98%</w:t>
            </w:r>
          </w:p>
        </w:tc>
      </w:tr>
      <w:tr>
        <w:trPr>
          <w:trHeight w:val="471" w:hRule="exact"/>
        </w:trPr>
        <w:tc>
          <w:tcPr>
            <w:tcW w:w="3341"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-5,265,612.76</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1,664,389.17</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-416.37%</w:t>
            </w:r>
          </w:p>
        </w:tc>
      </w:tr>
      <w:tr>
        <w:trPr>
          <w:trHeight w:val="468" w:hRule="exact"/>
        </w:trPr>
        <w:tc>
          <w:tcPr>
            <w:tcW w:w="334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期间费用合计</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39,684,338.92</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34,757,387.50</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14.18%</w:t>
            </w:r>
          </w:p>
        </w:tc>
      </w:tr>
      <w:tr>
        <w:trPr>
          <w:trHeight w:val="473" w:hRule="exact"/>
        </w:trPr>
        <w:tc>
          <w:tcPr>
            <w:tcW w:w="334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11,201,395.76</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7,489,490.12</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49.56%</w:t>
            </w:r>
          </w:p>
        </w:tc>
      </w:tr>
    </w:tbl>
    <w:p>
      <w:pPr>
        <w:pStyle w:val="Heading3"/>
        <w:spacing w:line="326" w:lineRule="auto" w:before="73"/>
        <w:ind w:left="638" w:right="649" w:firstLine="700"/>
        <w:jc w:val="both"/>
      </w:pPr>
      <w:r>
        <w:rPr>
          <w:rFonts w:ascii="宋体" w:hAnsi="宋体" w:cs="宋体" w:eastAsia="宋体" w:hint="default"/>
          <w:spacing w:val="-4"/>
        </w:rPr>
        <w:t>1</w:t>
      </w:r>
      <w:r>
        <w:rPr>
          <w:spacing w:val="-4"/>
        </w:rPr>
        <w:t>、报告期内，销售费用同比增长</w:t>
      </w:r>
      <w:r>
        <w:rPr>
          <w:rFonts w:ascii="宋体" w:hAnsi="宋体" w:cs="宋体" w:eastAsia="宋体" w:hint="default"/>
          <w:spacing w:val="-4"/>
        </w:rPr>
        <w:t>35.50%</w:t>
      </w:r>
      <w:r>
        <w:rPr>
          <w:spacing w:val="-4"/>
        </w:rPr>
        <w:t>，主要原因是随着公司</w:t>
      </w:r>
      <w:r>
        <w:rPr>
          <w:w w:val="100"/>
        </w:rPr>
        <w:t> </w:t>
      </w:r>
      <w:r>
        <w:rPr>
          <w:spacing w:val="-4"/>
        </w:rPr>
        <w:t>业务的不断发展扩大，工资及福利费、差旅费、业务费都有不同程度</w:t>
      </w:r>
      <w:r>
        <w:rPr>
          <w:spacing w:val="-113"/>
        </w:rPr>
        <w:t> </w:t>
      </w:r>
      <w:r>
        <w:rPr>
          <w:spacing w:val="-113"/>
        </w:rPr>
      </w:r>
      <w:r>
        <w:rPr/>
        <w:t>提高；另外广告费、业务宣传费比上年增长了</w:t>
      </w:r>
      <w:r>
        <w:rPr>
          <w:rFonts w:ascii="宋体" w:hAnsi="宋体" w:cs="宋体" w:eastAsia="宋体" w:hint="default"/>
        </w:rPr>
        <w:t>240%,</w:t>
      </w:r>
      <w:r>
        <w:rPr/>
        <w:t>咨询费、代理费</w:t>
      </w:r>
      <w:r>
        <w:rPr>
          <w:w w:val="100"/>
        </w:rPr>
        <w:t> </w:t>
      </w:r>
      <w:r>
        <w:rPr/>
        <w:t>比上年增长了</w:t>
      </w:r>
      <w:r>
        <w:rPr>
          <w:rFonts w:ascii="宋体" w:hAnsi="宋体" w:cs="宋体" w:eastAsia="宋体" w:hint="default"/>
        </w:rPr>
        <w:t>284%</w:t>
      </w:r>
      <w:r>
        <w:rPr/>
        <w:t>。</w:t>
      </w:r>
    </w:p>
    <w:p>
      <w:pPr>
        <w:pStyle w:val="Heading3"/>
        <w:spacing w:line="328" w:lineRule="auto" w:before="32"/>
        <w:ind w:left="638" w:right="649" w:firstLine="700"/>
        <w:jc w:val="both"/>
      </w:pPr>
      <w:r>
        <w:rPr>
          <w:rFonts w:ascii="宋体" w:hAnsi="宋体" w:cs="宋体" w:eastAsia="宋体" w:hint="default"/>
          <w:spacing w:val="-4"/>
        </w:rPr>
        <w:t>2</w:t>
      </w:r>
      <w:r>
        <w:rPr>
          <w:spacing w:val="-4"/>
        </w:rPr>
        <w:t>、报告期内，管理费用同比增长</w:t>
      </w:r>
      <w:r>
        <w:rPr>
          <w:rFonts w:ascii="宋体" w:hAnsi="宋体" w:cs="宋体" w:eastAsia="宋体" w:hint="default"/>
          <w:spacing w:val="-4"/>
        </w:rPr>
        <w:t>35.98%</w:t>
      </w:r>
      <w:r>
        <w:rPr>
          <w:spacing w:val="-4"/>
        </w:rPr>
        <w:t>，主要是由于员工人数</w:t>
      </w:r>
      <w:r>
        <w:rPr>
          <w:w w:val="100"/>
        </w:rPr>
        <w:t> </w:t>
      </w:r>
      <w:r>
        <w:rPr>
          <w:spacing w:val="-4"/>
        </w:rPr>
        <w:t>增加、员工收入增加，相应的人工成本费用大幅度增加所致；另外由</w:t>
      </w:r>
      <w:r>
        <w:rPr>
          <w:spacing w:val="-113"/>
        </w:rPr>
        <w:t> </w:t>
      </w:r>
      <w:r>
        <w:rPr>
          <w:spacing w:val="-113"/>
        </w:rPr>
      </w:r>
      <w:r>
        <w:rPr>
          <w:spacing w:val="-4"/>
        </w:rPr>
        <w:t>于公司经营规模的扩大、固定资产的增加使得差旅费、办公费、物料</w:t>
      </w:r>
      <w:r>
        <w:rPr>
          <w:spacing w:val="-113"/>
        </w:rPr>
        <w:t> </w:t>
      </w:r>
      <w:r>
        <w:rPr>
          <w:spacing w:val="-113"/>
        </w:rPr>
      </w:r>
      <w:r>
        <w:rPr/>
        <w:t>消耗、折旧费也都有大幅度的增长。</w:t>
      </w:r>
    </w:p>
    <w:p>
      <w:pPr>
        <w:pStyle w:val="Heading3"/>
        <w:spacing w:line="328" w:lineRule="auto"/>
        <w:ind w:left="638" w:right="652" w:firstLine="559"/>
        <w:jc w:val="both"/>
      </w:pPr>
      <w:r>
        <w:rPr>
          <w:rFonts w:ascii="宋体" w:hAnsi="宋体" w:cs="宋体" w:eastAsia="宋体" w:hint="default"/>
          <w:spacing w:val="-4"/>
        </w:rPr>
        <w:t>3</w:t>
      </w:r>
      <w:r>
        <w:rPr>
          <w:spacing w:val="-4"/>
        </w:rPr>
        <w:t>、报告期内，财务费用同比减少</w:t>
      </w:r>
      <w:r>
        <w:rPr>
          <w:rFonts w:ascii="宋体" w:hAnsi="宋体" w:cs="宋体" w:eastAsia="宋体" w:hint="default"/>
          <w:spacing w:val="-4"/>
        </w:rPr>
        <w:t>416.37%</w:t>
      </w:r>
      <w:r>
        <w:rPr>
          <w:spacing w:val="-4"/>
        </w:rPr>
        <w:t>，原因系公司在报告期</w:t>
      </w:r>
      <w:r>
        <w:rPr>
          <w:w w:val="100"/>
        </w:rPr>
        <w:t> </w:t>
      </w:r>
      <w:r>
        <w:rPr/>
        <w:t>内银行存款利息</w:t>
      </w:r>
      <w:r>
        <w:rPr>
          <w:rFonts w:ascii="宋体" w:hAnsi="宋体" w:cs="宋体" w:eastAsia="宋体" w:hint="default"/>
        </w:rPr>
        <w:t>526</w:t>
      </w:r>
      <w:r>
        <w:rPr/>
        <w:t>万元，而无贷款所致。</w:t>
      </w:r>
    </w:p>
    <w:p>
      <w:pPr>
        <w:pStyle w:val="Heading3"/>
        <w:spacing w:line="328" w:lineRule="auto"/>
        <w:ind w:left="638" w:right="656" w:firstLine="559"/>
        <w:jc w:val="both"/>
      </w:pPr>
      <w:r>
        <w:rPr>
          <w:rFonts w:ascii="宋体" w:hAnsi="宋体" w:cs="宋体" w:eastAsia="宋体" w:hint="default"/>
        </w:rPr>
        <w:t>4</w:t>
      </w:r>
      <w:r>
        <w:rPr/>
        <w:t>、报告期内，所得税费用同比增加</w:t>
      </w:r>
      <w:r>
        <w:rPr>
          <w:rFonts w:ascii="宋体" w:hAnsi="宋体" w:cs="宋体" w:eastAsia="宋体" w:hint="default"/>
        </w:rPr>
        <w:t>49.56%</w:t>
      </w:r>
      <w:r>
        <w:rPr/>
        <w:t>，主要是因为公司营</w:t>
      </w:r>
      <w:r>
        <w:rPr>
          <w:w w:val="100"/>
        </w:rPr>
        <w:t> </w:t>
      </w:r>
      <w:r>
        <w:rPr>
          <w:spacing w:val="-5"/>
        </w:rPr>
        <w:t>业收入增加，导致报告期内按税法及相关规定计算的当期所得税同比</w:t>
      </w:r>
      <w:r>
        <w:rPr>
          <w:spacing w:val="-87"/>
        </w:rPr>
        <w:t> </w:t>
      </w:r>
      <w:r>
        <w:rPr>
          <w:spacing w:val="-87"/>
        </w:rPr>
      </w:r>
      <w:r>
        <w:rPr/>
        <w:t>增长</w:t>
      </w:r>
      <w:r>
        <w:rPr>
          <w:rFonts w:ascii="宋体" w:hAnsi="宋体" w:cs="宋体" w:eastAsia="宋体" w:hint="default"/>
        </w:rPr>
        <w:t>217.27%</w:t>
      </w:r>
      <w:r>
        <w:rPr/>
        <w:t>。</w:t>
      </w:r>
    </w:p>
    <w:p>
      <w:pPr>
        <w:spacing w:line="326" w:lineRule="auto" w:before="29"/>
        <w:ind w:left="1197" w:right="0" w:hanging="560"/>
        <w:jc w:val="left"/>
        <w:rPr>
          <w:rFonts w:ascii="宋体" w:hAnsi="宋体" w:cs="宋体" w:eastAsia="宋体" w:hint="default"/>
          <w:sz w:val="28"/>
          <w:szCs w:val="28"/>
        </w:rPr>
      </w:pPr>
      <w:r>
        <w:rPr>
          <w:rFonts w:ascii="宋体" w:hAnsi="宋体" w:cs="宋体" w:eastAsia="宋体" w:hint="default"/>
          <w:b/>
          <w:bCs/>
          <w:sz w:val="28"/>
          <w:szCs w:val="28"/>
        </w:rPr>
        <w:t>（五）研发情况</w:t>
      </w:r>
      <w:r>
        <w:rPr>
          <w:rFonts w:ascii="宋体" w:hAnsi="宋体" w:cs="宋体" w:eastAsia="宋体" w:hint="default"/>
          <w:b/>
          <w:bCs/>
          <w:w w:val="99"/>
          <w:sz w:val="28"/>
          <w:szCs w:val="28"/>
        </w:rPr>
        <w:t> </w:t>
      </w:r>
      <w:r>
        <w:rPr>
          <w:rFonts w:ascii="宋体" w:hAnsi="宋体" w:cs="宋体" w:eastAsia="宋体" w:hint="default"/>
          <w:spacing w:val="-5"/>
          <w:sz w:val="28"/>
          <w:szCs w:val="28"/>
        </w:rPr>
        <w:t>报告期内，公司注重自主研发，不断加大研发投入力度，报告期</w:t>
      </w:r>
    </w:p>
    <w:p>
      <w:pPr>
        <w:pStyle w:val="Heading3"/>
        <w:spacing w:line="240" w:lineRule="auto" w:before="34"/>
        <w:ind w:left="638" w:right="0"/>
        <w:jc w:val="left"/>
      </w:pPr>
      <w:r>
        <w:rPr/>
        <w:t>内公司共投入研发经费</w:t>
      </w:r>
      <w:r>
        <w:rPr>
          <w:rFonts w:ascii="宋体" w:hAnsi="宋体" w:cs="宋体" w:eastAsia="宋体" w:hint="default"/>
        </w:rPr>
        <w:t>12,703,104.79</w:t>
      </w:r>
      <w:r>
        <w:rPr/>
        <w:t>元，占当期营业收入的</w:t>
      </w:r>
      <w:r>
        <w:rPr>
          <w:rFonts w:ascii="宋体" w:hAnsi="宋体" w:cs="宋体" w:eastAsia="宋体" w:hint="default"/>
        </w:rPr>
        <w:t>5.08%</w:t>
      </w:r>
      <w:r>
        <w:rPr/>
        <w:t>。</w:t>
      </w:r>
    </w:p>
    <w:p>
      <w:pPr>
        <w:pStyle w:val="Heading3"/>
        <w:spacing w:line="240" w:lineRule="auto" w:before="132"/>
        <w:ind w:left="0" w:right="651"/>
        <w:jc w:val="right"/>
      </w:pPr>
      <w:r>
        <w:rPr/>
        <w:t>单位：元</w:t>
      </w:r>
    </w:p>
    <w:p>
      <w:pPr>
        <w:spacing w:line="240" w:lineRule="auto" w:before="6"/>
        <w:rPr>
          <w:rFonts w:ascii="宋体" w:hAnsi="宋体" w:cs="宋体" w:eastAsia="宋体" w:hint="default"/>
          <w:sz w:val="7"/>
          <w:szCs w:val="7"/>
        </w:rPr>
      </w:pPr>
    </w:p>
    <w:tbl>
      <w:tblPr>
        <w:tblW w:w="0" w:type="auto"/>
        <w:jc w:val="left"/>
        <w:tblInd w:w="616" w:type="dxa"/>
        <w:tblLayout w:type="fixed"/>
        <w:tblCellMar>
          <w:top w:w="0" w:type="dxa"/>
          <w:left w:w="0" w:type="dxa"/>
          <w:bottom w:w="0" w:type="dxa"/>
          <w:right w:w="0" w:type="dxa"/>
        </w:tblCellMar>
        <w:tblLook w:val="01E0"/>
      </w:tblPr>
      <w:tblGrid>
        <w:gridCol w:w="1997"/>
        <w:gridCol w:w="2127"/>
        <w:gridCol w:w="2129"/>
        <w:gridCol w:w="2127"/>
      </w:tblGrid>
      <w:tr>
        <w:trPr>
          <w:trHeight w:val="418" w:hRule="exact"/>
        </w:trPr>
        <w:tc>
          <w:tcPr>
            <w:tcW w:w="199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2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1" w:lineRule="exact"/>
              <w:ind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2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1" w:lineRule="exact"/>
              <w:ind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2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1" w:lineRule="exact"/>
              <w:ind w:right="2"/>
              <w:jc w:val="center"/>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39" w:hRule="exact"/>
        </w:trPr>
        <w:tc>
          <w:tcPr>
            <w:tcW w:w="1997"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3"/>
              <w:jc w:val="right"/>
              <w:rPr>
                <w:rFonts w:ascii="宋体" w:hAnsi="宋体" w:cs="宋体" w:eastAsia="宋体" w:hint="default"/>
                <w:sz w:val="21"/>
                <w:szCs w:val="21"/>
              </w:rPr>
            </w:pPr>
            <w:r>
              <w:rPr>
                <w:rFonts w:ascii="宋体"/>
                <w:spacing w:val="-1"/>
                <w:sz w:val="21"/>
              </w:rPr>
              <w:t>250,287,117.56</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166,358,343.74</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133,574,575.05</w:t>
            </w:r>
          </w:p>
        </w:tc>
      </w:tr>
      <w:tr>
        <w:trPr>
          <w:trHeight w:val="439" w:hRule="exact"/>
        </w:trPr>
        <w:tc>
          <w:tcPr>
            <w:tcW w:w="1997"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研发投入</w:t>
            </w:r>
            <w:r>
              <w:rPr>
                <w:rFonts w:ascii="宋体" w:hAnsi="宋体" w:cs="宋体" w:eastAsia="宋体" w:hint="default"/>
                <w:sz w:val="21"/>
                <w:szCs w:val="21"/>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12,703,104.79</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10,567,581.01</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8,615,547.82</w:t>
            </w:r>
          </w:p>
        </w:tc>
      </w:tr>
      <w:tr>
        <w:trPr>
          <w:trHeight w:val="442" w:hRule="exact"/>
        </w:trPr>
        <w:tc>
          <w:tcPr>
            <w:tcW w:w="199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z w:val="21"/>
              </w:rPr>
              <w:t>5.08%</w:t>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6.35%</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6.45%</w:t>
            </w:r>
          </w:p>
        </w:tc>
      </w:tr>
    </w:tbl>
    <w:p>
      <w:pPr>
        <w:pStyle w:val="Heading3"/>
        <w:spacing w:line="318" w:lineRule="exact" w:before="0"/>
        <w:ind w:left="1197" w:right="0"/>
        <w:jc w:val="left"/>
      </w:pPr>
      <w:r>
        <w:rPr/>
        <w:t>报告期内，公司获得专利授权</w:t>
      </w:r>
      <w:r>
        <w:rPr>
          <w:rFonts w:ascii="宋体" w:hAnsi="宋体" w:cs="宋体" w:eastAsia="宋体" w:hint="default"/>
        </w:rPr>
        <w:t>1</w:t>
      </w:r>
      <w:r>
        <w:rPr/>
        <w:t>项，如下表：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569"/>
        <w:gridCol w:w="1699"/>
        <w:gridCol w:w="1160"/>
        <w:gridCol w:w="955"/>
        <w:gridCol w:w="1714"/>
        <w:gridCol w:w="1277"/>
        <w:gridCol w:w="1133"/>
        <w:gridCol w:w="852"/>
      </w:tblGrid>
      <w:tr>
        <w:trPr>
          <w:trHeight w:val="298" w:hRule="exact"/>
        </w:trPr>
        <w:tc>
          <w:tcPr>
            <w:tcW w:w="569" w:type="dxa"/>
            <w:tcBorders>
              <w:top w:val="single" w:sz="8" w:space="0" w:color="000000"/>
              <w:left w:val="single" w:sz="8" w:space="0" w:color="000000"/>
              <w:bottom w:val="single" w:sz="6" w:space="0" w:color="000000"/>
              <w:right w:val="single" w:sz="6" w:space="0" w:color="000000"/>
            </w:tcBorders>
          </w:tcPr>
          <w:p>
            <w:pPr>
              <w:pStyle w:val="TableParagraph"/>
              <w:spacing w:line="253" w:lineRule="exact"/>
              <w:ind w:right="2"/>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699"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left="419" w:right="0"/>
              <w:jc w:val="left"/>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160"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955"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left="47"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714"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left="530" w:right="0"/>
              <w:jc w:val="left"/>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277"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申请日</w:t>
            </w:r>
            <w:r>
              <w:rPr>
                <w:rFonts w:ascii="宋体" w:hAnsi="宋体" w:cs="宋体" w:eastAsia="宋体" w:hint="default"/>
                <w:sz w:val="21"/>
                <w:szCs w:val="21"/>
              </w:rPr>
            </w:r>
          </w:p>
        </w:tc>
        <w:tc>
          <w:tcPr>
            <w:tcW w:w="1133"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right="2"/>
              <w:jc w:val="center"/>
              <w:rPr>
                <w:rFonts w:ascii="宋体" w:hAnsi="宋体" w:cs="宋体" w:eastAsia="宋体" w:hint="default"/>
                <w:sz w:val="21"/>
                <w:szCs w:val="21"/>
              </w:rPr>
            </w:pPr>
            <w:r>
              <w:rPr>
                <w:rFonts w:ascii="宋体" w:hAnsi="宋体" w:cs="宋体" w:eastAsia="宋体" w:hint="default"/>
                <w:b/>
                <w:bCs/>
                <w:sz w:val="21"/>
                <w:szCs w:val="21"/>
              </w:rPr>
              <w:t>公告日</w:t>
            </w:r>
            <w:r>
              <w:rPr>
                <w:rFonts w:ascii="宋体" w:hAnsi="宋体" w:cs="宋体" w:eastAsia="宋体" w:hint="default"/>
                <w:sz w:val="21"/>
                <w:szCs w:val="21"/>
              </w:rPr>
            </w:r>
          </w:p>
        </w:tc>
        <w:tc>
          <w:tcPr>
            <w:tcW w:w="852" w:type="dxa"/>
            <w:tcBorders>
              <w:top w:val="single" w:sz="8" w:space="0" w:color="000000"/>
              <w:left w:val="single" w:sz="6" w:space="0" w:color="000000"/>
              <w:bottom w:val="single" w:sz="6" w:space="0" w:color="000000"/>
              <w:right w:val="single" w:sz="8"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r>
      <w:tr>
        <w:trPr>
          <w:trHeight w:val="298" w:hRule="exact"/>
        </w:trPr>
        <w:tc>
          <w:tcPr>
            <w:tcW w:w="569" w:type="dxa"/>
            <w:tcBorders>
              <w:top w:val="single" w:sz="6" w:space="0" w:color="000000"/>
              <w:left w:val="single" w:sz="8" w:space="0" w:color="000000"/>
              <w:bottom w:val="single" w:sz="8" w:space="0" w:color="000000"/>
              <w:right w:val="single" w:sz="6" w:space="0" w:color="000000"/>
            </w:tcBorders>
          </w:tcPr>
          <w:p>
            <w:pPr>
              <w:pStyle w:val="TableParagraph"/>
              <w:spacing w:line="253" w:lineRule="exact"/>
              <w:ind w:right="2"/>
              <w:jc w:val="center"/>
              <w:rPr>
                <w:rFonts w:ascii="宋体" w:hAnsi="宋体" w:cs="宋体" w:eastAsia="宋体" w:hint="default"/>
                <w:sz w:val="21"/>
                <w:szCs w:val="21"/>
              </w:rPr>
            </w:pPr>
            <w:r>
              <w:rPr>
                <w:rFonts w:ascii="宋体"/>
                <w:b/>
                <w:w w:val="99"/>
                <w:sz w:val="21"/>
              </w:rPr>
              <w:t>1</w:t>
            </w:r>
            <w:r>
              <w:rPr>
                <w:rFonts w:ascii="宋体"/>
                <w:sz w:val="21"/>
              </w:rPr>
            </w:r>
          </w:p>
        </w:tc>
        <w:tc>
          <w:tcPr>
            <w:tcW w:w="1699" w:type="dxa"/>
            <w:tcBorders>
              <w:top w:val="single" w:sz="6" w:space="0" w:color="000000"/>
              <w:left w:val="single" w:sz="6" w:space="0" w:color="000000"/>
              <w:bottom w:val="single" w:sz="8" w:space="0" w:color="000000"/>
              <w:right w:val="single" w:sz="6" w:space="0" w:color="000000"/>
            </w:tcBorders>
          </w:tcPr>
          <w:p>
            <w:pPr>
              <w:pStyle w:val="TableParagraph"/>
              <w:spacing w:line="246" w:lineRule="exact"/>
              <w:ind w:left="35" w:right="0"/>
              <w:jc w:val="left"/>
              <w:rPr>
                <w:rFonts w:ascii="宋体" w:hAnsi="宋体" w:cs="宋体" w:eastAsia="宋体" w:hint="default"/>
                <w:sz w:val="21"/>
                <w:szCs w:val="21"/>
              </w:rPr>
            </w:pPr>
            <w:r>
              <w:rPr>
                <w:rFonts w:ascii="宋体" w:hAnsi="宋体" w:cs="宋体" w:eastAsia="宋体" w:hint="default"/>
                <w:sz w:val="21"/>
                <w:szCs w:val="21"/>
              </w:rPr>
              <w:t>防错矩形连接器</w:t>
            </w:r>
          </w:p>
        </w:tc>
        <w:tc>
          <w:tcPr>
            <w:tcW w:w="1160" w:type="dxa"/>
            <w:tcBorders>
              <w:top w:val="single" w:sz="6" w:space="0" w:color="000000"/>
              <w:left w:val="single" w:sz="6" w:space="0" w:color="000000"/>
              <w:bottom w:val="single" w:sz="8"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55" w:type="dxa"/>
            <w:tcBorders>
              <w:top w:val="single" w:sz="6" w:space="0" w:color="000000"/>
              <w:left w:val="single" w:sz="6" w:space="0" w:color="000000"/>
              <w:bottom w:val="single" w:sz="8" w:space="0" w:color="000000"/>
              <w:right w:val="single" w:sz="6" w:space="0" w:color="000000"/>
            </w:tcBorders>
          </w:tcPr>
          <w:p>
            <w:pPr>
              <w:pStyle w:val="TableParagraph"/>
              <w:spacing w:line="253" w:lineRule="exact"/>
              <w:ind w:left="5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14" w:type="dxa"/>
            <w:tcBorders>
              <w:top w:val="single" w:sz="6" w:space="0" w:color="000000"/>
              <w:left w:val="single" w:sz="6" w:space="0" w:color="000000"/>
              <w:bottom w:val="single" w:sz="8" w:space="0" w:color="000000"/>
              <w:right w:val="single" w:sz="6" w:space="0" w:color="000000"/>
            </w:tcBorders>
          </w:tcPr>
          <w:p>
            <w:pPr>
              <w:pStyle w:val="TableParagraph"/>
              <w:spacing w:line="246" w:lineRule="exact"/>
              <w:ind w:left="36" w:right="0"/>
              <w:jc w:val="left"/>
              <w:rPr>
                <w:rFonts w:ascii="宋体" w:hAnsi="宋体" w:cs="宋体" w:eastAsia="宋体" w:hint="default"/>
                <w:sz w:val="21"/>
                <w:szCs w:val="21"/>
              </w:rPr>
            </w:pPr>
            <w:r>
              <w:rPr>
                <w:rFonts w:ascii="宋体"/>
                <w:sz w:val="21"/>
              </w:rPr>
              <w:t>200920090143.0</w:t>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2009.5.8</w:t>
            </w:r>
          </w:p>
        </w:tc>
        <w:tc>
          <w:tcPr>
            <w:tcW w:w="1133" w:type="dxa"/>
            <w:tcBorders>
              <w:top w:val="single" w:sz="6" w:space="0" w:color="000000"/>
              <w:left w:val="single" w:sz="6" w:space="0" w:color="000000"/>
              <w:bottom w:val="single" w:sz="8"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2010.7.21</w:t>
            </w:r>
          </w:p>
        </w:tc>
        <w:tc>
          <w:tcPr>
            <w:tcW w:w="852" w:type="dxa"/>
            <w:tcBorders>
              <w:top w:val="single" w:sz="6" w:space="0" w:color="000000"/>
              <w:left w:val="single" w:sz="6" w:space="0" w:color="000000"/>
              <w:bottom w:val="single" w:sz="8" w:space="0" w:color="000000"/>
              <w:right w:val="single" w:sz="8"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after="0" w:line="253" w:lineRule="exact"/>
        <w:jc w:val="center"/>
        <w:rPr>
          <w:rFonts w:ascii="宋体" w:hAnsi="宋体" w:cs="宋体" w:eastAsia="宋体" w:hint="default"/>
          <w:sz w:val="21"/>
          <w:szCs w:val="21"/>
        </w:rPr>
        <w:sectPr>
          <w:pgSz w:w="11910" w:h="16840"/>
          <w:pgMar w:header="624" w:footer="1045" w:top="980" w:bottom="1240" w:left="1160" w:right="1140"/>
        </w:sectPr>
      </w:pPr>
    </w:p>
    <w:p>
      <w:pPr>
        <w:spacing w:line="240" w:lineRule="auto" w:before="11"/>
        <w:rPr>
          <w:rFonts w:ascii="宋体" w:hAnsi="宋体" w:cs="宋体" w:eastAsia="宋体" w:hint="default"/>
          <w:sz w:val="18"/>
          <w:szCs w:val="18"/>
        </w:rPr>
      </w:pPr>
    </w:p>
    <w:p>
      <w:pPr>
        <w:spacing w:line="20" w:lineRule="exact"/>
        <w:ind w:left="5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pStyle w:val="Heading3"/>
        <w:spacing w:line="312" w:lineRule="exact" w:before="0"/>
        <w:ind w:left="1097" w:right="0"/>
        <w:jc w:val="left"/>
      </w:pPr>
      <w:r>
        <w:rPr>
          <w:w w:val="100"/>
        </w:rPr>
        <w:t>报告期内</w:t>
      </w:r>
      <w:r>
        <w:rPr>
          <w:spacing w:val="-116"/>
          <w:w w:val="100"/>
        </w:rPr>
        <w:t>，</w:t>
      </w:r>
      <w:r>
        <w:rPr>
          <w:spacing w:val="-3"/>
          <w:w w:val="100"/>
        </w:rPr>
        <w:t>公</w:t>
      </w:r>
      <w:r>
        <w:rPr>
          <w:w w:val="100"/>
        </w:rPr>
        <w:t>司</w:t>
      </w:r>
      <w:r>
        <w:rPr>
          <w:spacing w:val="-2"/>
          <w:w w:val="100"/>
        </w:rPr>
        <w:t>有</w:t>
      </w:r>
      <w:r>
        <w:rPr>
          <w:rFonts w:ascii="宋体" w:hAnsi="宋体" w:cs="宋体" w:eastAsia="宋体" w:hint="default"/>
          <w:spacing w:val="1"/>
          <w:w w:val="100"/>
        </w:rPr>
        <w:t>4</w:t>
      </w:r>
      <w:r>
        <w:rPr>
          <w:rFonts w:ascii="宋体" w:hAnsi="宋体" w:cs="宋体" w:eastAsia="宋体" w:hint="default"/>
          <w:spacing w:val="-2"/>
          <w:w w:val="100"/>
        </w:rPr>
        <w:t>2</w:t>
      </w:r>
      <w:r>
        <w:rPr>
          <w:w w:val="100"/>
        </w:rPr>
        <w:t>项专利</w:t>
      </w:r>
      <w:r>
        <w:rPr>
          <w:spacing w:val="-3"/>
          <w:w w:val="100"/>
        </w:rPr>
        <w:t>获</w:t>
      </w:r>
      <w:r>
        <w:rPr>
          <w:w w:val="100"/>
        </w:rPr>
        <w:t>得了</w:t>
      </w:r>
      <w:r>
        <w:rPr>
          <w:spacing w:val="-3"/>
          <w:w w:val="100"/>
        </w:rPr>
        <w:t>国家</w:t>
      </w:r>
      <w:r>
        <w:rPr>
          <w:w w:val="100"/>
        </w:rPr>
        <w:t>知识产</w:t>
      </w:r>
      <w:r>
        <w:rPr>
          <w:spacing w:val="-3"/>
          <w:w w:val="100"/>
        </w:rPr>
        <w:t>权</w:t>
      </w:r>
      <w:r>
        <w:rPr>
          <w:w w:val="100"/>
        </w:rPr>
        <w:t>局受理</w:t>
      </w:r>
      <w:r>
        <w:rPr>
          <w:spacing w:val="-116"/>
          <w:w w:val="100"/>
        </w:rPr>
        <w:t>，</w:t>
      </w:r>
      <w:r>
        <w:rPr>
          <w:spacing w:val="-3"/>
          <w:w w:val="100"/>
        </w:rPr>
        <w:t>如</w:t>
      </w:r>
      <w:r>
        <w:rPr>
          <w:w w:val="100"/>
        </w:rPr>
        <w:t>下</w:t>
      </w:r>
      <w:r>
        <w:rPr>
          <w:spacing w:val="-3"/>
          <w:w w:val="100"/>
        </w:rPr>
        <w:t>表</w:t>
      </w:r>
      <w:r>
        <w:rPr>
          <w:w w:val="100"/>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523"/>
        <w:gridCol w:w="2396"/>
        <w:gridCol w:w="955"/>
        <w:gridCol w:w="991"/>
        <w:gridCol w:w="1844"/>
        <w:gridCol w:w="1277"/>
        <w:gridCol w:w="1159"/>
      </w:tblGrid>
      <w:tr>
        <w:trPr>
          <w:trHeight w:val="298" w:hRule="exact"/>
        </w:trPr>
        <w:tc>
          <w:tcPr>
            <w:tcW w:w="523" w:type="dxa"/>
            <w:tcBorders>
              <w:top w:val="single" w:sz="8"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396"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left="767" w:right="0"/>
              <w:jc w:val="left"/>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955"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991"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844"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277"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申请日</w:t>
            </w:r>
            <w:r>
              <w:rPr>
                <w:rFonts w:ascii="宋体" w:hAnsi="宋体" w:cs="宋体" w:eastAsia="宋体" w:hint="default"/>
                <w:sz w:val="21"/>
                <w:szCs w:val="21"/>
              </w:rPr>
            </w:r>
          </w:p>
        </w:tc>
        <w:tc>
          <w:tcPr>
            <w:tcW w:w="1159" w:type="dxa"/>
            <w:tcBorders>
              <w:top w:val="single" w:sz="8" w:space="0" w:color="000000"/>
              <w:left w:val="single" w:sz="6" w:space="0" w:color="000000"/>
              <w:bottom w:val="single" w:sz="6" w:space="0" w:color="000000"/>
              <w:right w:val="single" w:sz="8"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公告日</w:t>
            </w:r>
            <w:r>
              <w:rPr>
                <w:rFonts w:ascii="宋体" w:hAnsi="宋体" w:cs="宋体" w:eastAsia="宋体" w:hint="default"/>
                <w:sz w:val="21"/>
                <w:szCs w:val="21"/>
              </w:rPr>
            </w:r>
          </w:p>
        </w:tc>
      </w:tr>
      <w:tr>
        <w:trPr>
          <w:trHeight w:val="559"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b/>
                <w:w w:val="99"/>
                <w:sz w:val="21"/>
              </w:rPr>
              <w:t>1</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安全脉冲产生装置及其</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z w:val="21"/>
                <w:szCs w:val="21"/>
              </w:rPr>
              <w:t>产生方法</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201010261269.7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2010.8.24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2010.8.24</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w w:val="99"/>
                <w:sz w:val="21"/>
              </w:rPr>
              <w:t>2</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列车位置动态跟踪方法</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201010261270.X</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2010.8.24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2010.8.24</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w w:val="99"/>
                <w:sz w:val="21"/>
              </w:rPr>
              <w:t>3</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列车股道分配方法</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201010261286.0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2010.8.24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2010.8.24</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w w:val="99"/>
                <w:sz w:val="21"/>
              </w:rPr>
              <w:t>4</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列车车速模拟装置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201010278432.0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2010.9.13</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w w:val="99"/>
                <w:sz w:val="21"/>
              </w:rPr>
              <w:t>5</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连接器防差错编码方法</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201010278451.3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2010.9.13</w:t>
            </w:r>
          </w:p>
        </w:tc>
      </w:tr>
      <w:tr>
        <w:trPr>
          <w:trHeight w:val="559"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b/>
                <w:w w:val="99"/>
                <w:sz w:val="21"/>
              </w:rPr>
              <w:t>6</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转辙机动作电流曲线检</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z w:val="21"/>
                <w:szCs w:val="21"/>
              </w:rPr>
              <w:t>测方法</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201010287753.7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2010.9.20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2010.9.20</w:t>
            </w:r>
          </w:p>
        </w:tc>
      </w:tr>
      <w:tr>
        <w:trPr>
          <w:trHeight w:val="559"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b/>
                <w:w w:val="99"/>
                <w:sz w:val="21"/>
              </w:rPr>
              <w:t>7</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大型环网中实现核心网</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z w:val="21"/>
                <w:szCs w:val="21"/>
              </w:rPr>
              <w:t>络设备的冗余方法</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201010295760.1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2010.9.29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2010.9.29</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b/>
                <w:w w:val="99"/>
                <w:sz w:val="21"/>
              </w:rPr>
              <w:t>8</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摄像机多方式检索方法</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201010296167.9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sz w:val="21"/>
              </w:rPr>
              <w:t>2010.9.29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sz w:val="21"/>
              </w:rPr>
              <w:t>2010.9.29</w:t>
            </w:r>
          </w:p>
        </w:tc>
      </w:tr>
      <w:tr>
        <w:trPr>
          <w:trHeight w:val="560"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b/>
                <w:w w:val="99"/>
                <w:sz w:val="21"/>
              </w:rPr>
              <w:t>9</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多机牵引道岔的电子模</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z w:val="21"/>
                <w:szCs w:val="21"/>
              </w:rPr>
              <w:t>块化控制装置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201010296946.9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1" w:right="0"/>
              <w:jc w:val="center"/>
              <w:rPr>
                <w:rFonts w:ascii="宋体" w:hAnsi="宋体" w:cs="宋体" w:eastAsia="宋体" w:hint="default"/>
                <w:sz w:val="21"/>
                <w:szCs w:val="21"/>
              </w:rPr>
            </w:pPr>
            <w:r>
              <w:rPr>
                <w:rFonts w:ascii="宋体"/>
                <w:sz w:val="21"/>
              </w:rPr>
              <w:t>2010.9.30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3"/>
              <w:ind w:left="2" w:right="0"/>
              <w:jc w:val="center"/>
              <w:rPr>
                <w:rFonts w:ascii="宋体" w:hAnsi="宋体" w:cs="宋体" w:eastAsia="宋体" w:hint="default"/>
                <w:sz w:val="21"/>
                <w:szCs w:val="21"/>
              </w:rPr>
            </w:pPr>
            <w:r>
              <w:rPr>
                <w:rFonts w:ascii="宋体"/>
                <w:sz w:val="21"/>
              </w:rPr>
              <w:t>2010.9.30</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b/>
                <w:sz w:val="21"/>
              </w:rPr>
              <w:t>10</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安全脉冲产生装置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201020502753.X</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sz w:val="21"/>
              </w:rPr>
              <w:t>2010.8.24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sz w:val="21"/>
              </w:rPr>
              <w:t>2010.8.24</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b/>
                <w:sz w:val="21"/>
              </w:rPr>
              <w:t>11</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列车进路犯错办装置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201020502761.4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sz w:val="21"/>
              </w:rPr>
              <w:t>2010.8.24</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sz w:val="21"/>
              </w:rPr>
              <w:t>2010.8.24</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sz w:val="21"/>
              </w:rPr>
              <w:t>12</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列车车速模拟装置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201020525219.0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2010.9.13</w:t>
            </w:r>
          </w:p>
        </w:tc>
      </w:tr>
      <w:tr>
        <w:trPr>
          <w:trHeight w:val="559"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b/>
                <w:sz w:val="21"/>
              </w:rPr>
              <w:t>13</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短延时自动收发控制的</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z w:val="21"/>
                <w:szCs w:val="21"/>
              </w:rPr>
              <w:t>485</w:t>
            </w:r>
            <w:r>
              <w:rPr>
                <w:rFonts w:ascii="宋体" w:hAnsi="宋体" w:cs="宋体" w:eastAsia="宋体" w:hint="default"/>
                <w:sz w:val="21"/>
                <w:szCs w:val="21"/>
              </w:rPr>
              <w:t>通信电路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201020525384.6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sz w:val="21"/>
              </w:rPr>
              <w:t>2010.9.13</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b/>
                <w:sz w:val="21"/>
              </w:rPr>
              <w:t>14</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铁路信号设备巡查装置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201020525344.1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sz w:val="21"/>
              </w:rPr>
              <w:t>2010.9.13</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b/>
                <w:sz w:val="21"/>
              </w:rPr>
              <w:t>15</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自动调压充电器</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201020525322.5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sz w:val="21"/>
              </w:rPr>
              <w:t>2010.9.13</w:t>
            </w:r>
          </w:p>
        </w:tc>
      </w:tr>
      <w:tr>
        <w:trPr>
          <w:trHeight w:val="559"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b/>
                <w:sz w:val="21"/>
              </w:rPr>
              <w:t>16</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铁路信号设备的新型控</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z w:val="21"/>
                <w:szCs w:val="21"/>
              </w:rPr>
              <w:t>制模块</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201020525298.5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sz w:val="21"/>
              </w:rPr>
              <w:t>2010.9.13</w:t>
            </w:r>
          </w:p>
        </w:tc>
      </w:tr>
      <w:tr>
        <w:trPr>
          <w:trHeight w:val="562"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b/>
                <w:sz w:val="21"/>
              </w:rPr>
              <w:t>17</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多机牵引道岔分表示显</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sz w:val="21"/>
                <w:szCs w:val="21"/>
              </w:rPr>
              <w:t>示装置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201020525354.5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sz w:val="21"/>
              </w:rPr>
              <w:t>2010.9.13</w:t>
            </w:r>
          </w:p>
        </w:tc>
      </w:tr>
      <w:tr>
        <w:trPr>
          <w:trHeight w:val="296"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sz w:val="21"/>
              </w:rPr>
              <w:t>18</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8" w:right="0"/>
              <w:jc w:val="left"/>
              <w:rPr>
                <w:rFonts w:ascii="宋体" w:hAnsi="宋体" w:cs="宋体" w:eastAsia="宋体" w:hint="default"/>
                <w:sz w:val="21"/>
                <w:szCs w:val="21"/>
              </w:rPr>
            </w:pPr>
            <w:r>
              <w:rPr>
                <w:rFonts w:ascii="宋体" w:hAnsi="宋体" w:cs="宋体" w:eastAsia="宋体" w:hint="default"/>
                <w:sz w:val="21"/>
                <w:szCs w:val="21"/>
              </w:rPr>
              <w:t>火车车轮偏移模拟装置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201020525232.6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2010.9.13</w:t>
            </w:r>
          </w:p>
        </w:tc>
      </w:tr>
      <w:tr>
        <w:trPr>
          <w:trHeight w:val="559"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b/>
                <w:sz w:val="21"/>
              </w:rPr>
              <w:t>19</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卡式磁头的电压调整装</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w w:val="100"/>
                <w:sz w:val="21"/>
                <w:szCs w:val="21"/>
              </w:rPr>
              <w:t>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201020525241.5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2010.9.13</w:t>
            </w:r>
          </w:p>
        </w:tc>
      </w:tr>
      <w:tr>
        <w:trPr>
          <w:trHeight w:val="559"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b/>
                <w:sz w:val="21"/>
              </w:rPr>
              <w:t>20</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火车车速模拟装置用遮</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sz w:val="21"/>
                <w:szCs w:val="21"/>
              </w:rPr>
              <w:t>挡片</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201020525245.3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2010.9.13</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sz w:val="21"/>
              </w:rPr>
              <w:t>21</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新型车轮传感器</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201020525247.2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2010.9.13</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sz w:val="21"/>
              </w:rPr>
              <w:t>22</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新型轴信号生成电路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201020525250.4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2010.9.13</w:t>
            </w:r>
          </w:p>
        </w:tc>
      </w:tr>
      <w:tr>
        <w:trPr>
          <w:trHeight w:val="559"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b/>
                <w:sz w:val="21"/>
              </w:rPr>
              <w:t>23</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用于区间计轴系统的远</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sz w:val="21"/>
                <w:szCs w:val="21"/>
              </w:rPr>
              <w:t>程通讯装置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201020525258.0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2010.9.13</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sz w:val="21"/>
              </w:rPr>
              <w:t>24</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交流转辙机采集装置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201020525260.8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2010.9.10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2010.9.13</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sz w:val="21"/>
              </w:rPr>
              <w:t>25</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远程控制接地闸刀装置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201020536694.8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2010.9.20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2010.9.20</w:t>
            </w:r>
          </w:p>
        </w:tc>
      </w:tr>
      <w:tr>
        <w:trPr>
          <w:trHeight w:val="559"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b/>
                <w:sz w:val="21"/>
              </w:rPr>
              <w:t>26</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连接器端子故障检测装</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w w:val="100"/>
                <w:sz w:val="21"/>
                <w:szCs w:val="21"/>
              </w:rPr>
              <w:t>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201020536695.2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2010.9.20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2010.9.20</w:t>
            </w:r>
          </w:p>
        </w:tc>
      </w:tr>
      <w:tr>
        <w:trPr>
          <w:trHeight w:val="560"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b/>
                <w:sz w:val="21"/>
              </w:rPr>
              <w:t>27</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直流电压信号隔离放大</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z w:val="21"/>
                <w:szCs w:val="21"/>
              </w:rPr>
              <w:t>电路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201020536696.7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2010.9.20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2010.9.20</w:t>
            </w:r>
          </w:p>
        </w:tc>
      </w:tr>
      <w:tr>
        <w:trPr>
          <w:trHeight w:val="559"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b/>
                <w:sz w:val="21"/>
              </w:rPr>
              <w:t>28</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耐压仪器输出脉冲宽度</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z w:val="21"/>
                <w:szCs w:val="21"/>
              </w:rPr>
              <w:t>可调制电路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201020536690.X</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 w:right="0"/>
              <w:jc w:val="center"/>
              <w:rPr>
                <w:rFonts w:ascii="宋体" w:hAnsi="宋体" w:cs="宋体" w:eastAsia="宋体" w:hint="default"/>
                <w:sz w:val="21"/>
                <w:szCs w:val="21"/>
              </w:rPr>
            </w:pPr>
            <w:r>
              <w:rPr>
                <w:rFonts w:ascii="宋体"/>
                <w:sz w:val="21"/>
              </w:rPr>
              <w:t>2010.9.20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sz w:val="21"/>
              </w:rPr>
              <w:t>2010.9.20</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b/>
                <w:sz w:val="21"/>
              </w:rPr>
              <w:t>29</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开关量稳定输出电路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201020536691.4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sz w:val="21"/>
              </w:rPr>
              <w:t>2010.9.20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sz w:val="21"/>
              </w:rPr>
              <w:t>2010.9.20</w:t>
            </w:r>
          </w:p>
        </w:tc>
      </w:tr>
      <w:tr>
        <w:trPr>
          <w:trHeight w:val="562"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b/>
                <w:sz w:val="21"/>
              </w:rPr>
              <w:t>30</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hAnsi="宋体" w:cs="宋体" w:eastAsia="宋体" w:hint="default"/>
                <w:sz w:val="21"/>
                <w:szCs w:val="21"/>
              </w:rPr>
              <w:t>采集板面板（微机监测系</w:t>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sz w:val="21"/>
                <w:szCs w:val="21"/>
              </w:rPr>
              <w:t>统）</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201030526125.0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 w:right="0"/>
              <w:jc w:val="center"/>
              <w:rPr>
                <w:rFonts w:ascii="宋体" w:hAnsi="宋体" w:cs="宋体" w:eastAsia="宋体" w:hint="default"/>
                <w:sz w:val="21"/>
                <w:szCs w:val="21"/>
              </w:rPr>
            </w:pPr>
            <w:r>
              <w:rPr>
                <w:rFonts w:ascii="宋体"/>
                <w:sz w:val="21"/>
              </w:rPr>
              <w:t>2010.9.20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sz w:val="21"/>
              </w:rPr>
              <w:t>2010.9.20</w:t>
            </w:r>
          </w:p>
        </w:tc>
      </w:tr>
      <w:tr>
        <w:trPr>
          <w:trHeight w:val="298" w:hRule="exact"/>
        </w:trPr>
        <w:tc>
          <w:tcPr>
            <w:tcW w:w="523" w:type="dxa"/>
            <w:tcBorders>
              <w:top w:val="single" w:sz="6" w:space="0" w:color="000000"/>
              <w:left w:val="single" w:sz="8" w:space="0" w:color="000000"/>
              <w:bottom w:val="single" w:sz="8"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sz w:val="21"/>
              </w:rPr>
              <w:t>31</w:t>
            </w:r>
            <w:r>
              <w:rPr>
                <w:rFonts w:ascii="宋体"/>
                <w:sz w:val="21"/>
              </w:rPr>
            </w:r>
          </w:p>
        </w:tc>
        <w:tc>
          <w:tcPr>
            <w:tcW w:w="2396" w:type="dxa"/>
            <w:tcBorders>
              <w:top w:val="single" w:sz="6" w:space="0" w:color="000000"/>
              <w:left w:val="single" w:sz="6" w:space="0" w:color="000000"/>
              <w:bottom w:val="single" w:sz="8" w:space="0" w:color="000000"/>
              <w:right w:val="single" w:sz="6" w:space="0" w:color="000000"/>
            </w:tcBorders>
          </w:tcPr>
          <w:p>
            <w:pPr>
              <w:pStyle w:val="TableParagraph"/>
              <w:spacing w:line="243" w:lineRule="exact"/>
              <w:ind w:left="38" w:right="0"/>
              <w:jc w:val="left"/>
              <w:rPr>
                <w:rFonts w:ascii="宋体" w:hAnsi="宋体" w:cs="宋体" w:eastAsia="宋体" w:hint="default"/>
                <w:sz w:val="21"/>
                <w:szCs w:val="21"/>
              </w:rPr>
            </w:pPr>
            <w:r>
              <w:rPr>
                <w:rFonts w:ascii="宋体" w:hAnsi="宋体" w:cs="宋体" w:eastAsia="宋体" w:hint="default"/>
                <w:sz w:val="21"/>
                <w:szCs w:val="21"/>
              </w:rPr>
              <w:t>电压采集衰耗配线端子</w:t>
            </w:r>
          </w:p>
        </w:tc>
        <w:tc>
          <w:tcPr>
            <w:tcW w:w="955" w:type="dxa"/>
            <w:tcBorders>
              <w:top w:val="single" w:sz="6" w:space="0" w:color="000000"/>
              <w:left w:val="single" w:sz="6" w:space="0" w:color="000000"/>
              <w:bottom w:val="single" w:sz="8"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8"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201020536687.8</w:t>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2010.9.20</w:t>
            </w:r>
          </w:p>
        </w:tc>
        <w:tc>
          <w:tcPr>
            <w:tcW w:w="1159" w:type="dxa"/>
            <w:tcBorders>
              <w:top w:val="single" w:sz="6" w:space="0" w:color="000000"/>
              <w:left w:val="single" w:sz="6" w:space="0" w:color="000000"/>
              <w:bottom w:val="single" w:sz="8" w:space="0" w:color="000000"/>
              <w:right w:val="single" w:sz="8"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2010.9.20</w:t>
            </w:r>
          </w:p>
        </w:tc>
      </w:tr>
    </w:tbl>
    <w:p>
      <w:pPr>
        <w:spacing w:after="0" w:line="253" w:lineRule="exact"/>
        <w:jc w:val="center"/>
        <w:rPr>
          <w:rFonts w:ascii="宋体" w:hAnsi="宋体" w:cs="宋体" w:eastAsia="宋体" w:hint="default"/>
          <w:sz w:val="21"/>
          <w:szCs w:val="21"/>
        </w:rPr>
        <w:sectPr>
          <w:pgSz w:w="11910" w:h="16840"/>
          <w:pgMar w:header="624" w:footer="1045" w:top="980" w:bottom="1240" w:left="1260" w:right="1260"/>
        </w:sectPr>
      </w:pPr>
    </w:p>
    <w:p>
      <w:pPr>
        <w:spacing w:line="240" w:lineRule="auto" w:before="2"/>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523"/>
        <w:gridCol w:w="2396"/>
        <w:gridCol w:w="955"/>
        <w:gridCol w:w="991"/>
        <w:gridCol w:w="1844"/>
        <w:gridCol w:w="1277"/>
        <w:gridCol w:w="1159"/>
      </w:tblGrid>
      <w:tr>
        <w:trPr>
          <w:trHeight w:val="581" w:hRule="exact"/>
        </w:trPr>
        <w:tc>
          <w:tcPr>
            <w:tcW w:w="523" w:type="dxa"/>
            <w:tcBorders>
              <w:top w:val="single" w:sz="8" w:space="0" w:color="000000"/>
              <w:left w:val="single" w:sz="8" w:space="0" w:color="000000"/>
              <w:bottom w:val="single" w:sz="6" w:space="0" w:color="000000"/>
              <w:right w:val="single" w:sz="6"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b/>
                <w:sz w:val="21"/>
              </w:rPr>
              <w:t>32</w:t>
            </w:r>
            <w:r>
              <w:rPr>
                <w:rFonts w:ascii="宋体"/>
                <w:sz w:val="21"/>
              </w:rPr>
            </w:r>
          </w:p>
        </w:tc>
        <w:tc>
          <w:tcPr>
            <w:tcW w:w="2396" w:type="dxa"/>
            <w:tcBorders>
              <w:top w:val="single" w:sz="13" w:space="0" w:color="000000"/>
              <w:left w:val="single" w:sz="6" w:space="0" w:color="000000"/>
              <w:bottom w:val="single" w:sz="6" w:space="0" w:color="000000"/>
              <w:right w:val="single" w:sz="6" w:space="0" w:color="000000"/>
            </w:tcBorders>
          </w:tcPr>
          <w:p>
            <w:pPr>
              <w:pStyle w:val="TableParagraph"/>
              <w:spacing w:line="272" w:lineRule="exact" w:before="5"/>
              <w:ind w:left="38" w:right="12"/>
              <w:jc w:val="left"/>
              <w:rPr>
                <w:rFonts w:ascii="宋体" w:hAnsi="宋体" w:cs="宋体" w:eastAsia="宋体" w:hint="default"/>
                <w:sz w:val="21"/>
                <w:szCs w:val="21"/>
              </w:rPr>
            </w:pPr>
            <w:r>
              <w:rPr>
                <w:rFonts w:ascii="宋体" w:hAnsi="宋体" w:cs="宋体" w:eastAsia="宋体" w:hint="default"/>
                <w:spacing w:val="18"/>
                <w:sz w:val="21"/>
                <w:szCs w:val="21"/>
              </w:rPr>
              <w:t>多路交流信号放大抬升</w:t>
            </w:r>
            <w:r>
              <w:rPr>
                <w:rFonts w:ascii="宋体" w:hAnsi="宋体" w:cs="宋体" w:eastAsia="宋体" w:hint="default"/>
                <w:spacing w:val="-85"/>
                <w:sz w:val="21"/>
                <w:szCs w:val="21"/>
              </w:rPr>
              <w:t> </w:t>
            </w:r>
            <w:r>
              <w:rPr>
                <w:rFonts w:ascii="宋体" w:hAnsi="宋体" w:cs="宋体" w:eastAsia="宋体" w:hint="default"/>
                <w:sz w:val="21"/>
                <w:szCs w:val="21"/>
              </w:rPr>
              <w:t>电路</w:t>
            </w:r>
          </w:p>
        </w:tc>
        <w:tc>
          <w:tcPr>
            <w:tcW w:w="955"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122"/>
              <w:ind w:left="5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122"/>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sz w:val="21"/>
              </w:rPr>
              <w:t>201020536693.3</w:t>
            </w:r>
          </w:p>
        </w:tc>
        <w:tc>
          <w:tcPr>
            <w:tcW w:w="1277" w:type="dxa"/>
            <w:tcBorders>
              <w:top w:val="single" w:sz="13"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sz w:val="21"/>
              </w:rPr>
              <w:t>2010.9.20</w:t>
            </w:r>
          </w:p>
        </w:tc>
        <w:tc>
          <w:tcPr>
            <w:tcW w:w="1159" w:type="dxa"/>
            <w:tcBorders>
              <w:top w:val="single" w:sz="13" w:space="0" w:color="000000"/>
              <w:left w:val="single" w:sz="6" w:space="0" w:color="000000"/>
              <w:bottom w:val="single" w:sz="6" w:space="0" w:color="000000"/>
              <w:right w:val="single" w:sz="8" w:space="0" w:color="000000"/>
            </w:tcBorders>
          </w:tcPr>
          <w:p>
            <w:pPr>
              <w:pStyle w:val="TableParagraph"/>
              <w:spacing w:line="240" w:lineRule="auto" w:before="122"/>
              <w:ind w:left="98" w:right="0"/>
              <w:jc w:val="left"/>
              <w:rPr>
                <w:rFonts w:ascii="宋体" w:hAnsi="宋体" w:cs="宋体" w:eastAsia="宋体" w:hint="default"/>
                <w:sz w:val="21"/>
                <w:szCs w:val="21"/>
              </w:rPr>
            </w:pPr>
            <w:r>
              <w:rPr>
                <w:rFonts w:ascii="宋体"/>
                <w:sz w:val="21"/>
              </w:rPr>
              <w:t>2010.9.20</w:t>
            </w:r>
          </w:p>
        </w:tc>
      </w:tr>
      <w:tr>
        <w:trPr>
          <w:trHeight w:val="560"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b/>
                <w:sz w:val="21"/>
              </w:rPr>
              <w:t>33</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半自动闭塞阻容盒放电</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sz w:val="21"/>
                <w:szCs w:val="21"/>
              </w:rPr>
              <w:t>曲线检测模块</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5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201020536692.9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2010.9.20</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sz w:val="21"/>
              </w:rPr>
              <w:t>2010.9.20</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sz w:val="21"/>
              </w:rPr>
              <w:t>34</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异物侵限监测电路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201020546890.3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2010.9.29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sz w:val="21"/>
              </w:rPr>
              <w:t>2010.9.29</w:t>
            </w:r>
          </w:p>
        </w:tc>
      </w:tr>
      <w:tr>
        <w:trPr>
          <w:trHeight w:val="559"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b/>
                <w:sz w:val="21"/>
              </w:rPr>
              <w:t>35</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铁路防灾系统侵限倾角</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sz w:val="21"/>
                <w:szCs w:val="21"/>
              </w:rPr>
              <w:t>监测装置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5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201020546889.0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2010.9.29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sz w:val="21"/>
              </w:rPr>
              <w:t>2010.9.29</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sz w:val="21"/>
              </w:rPr>
              <w:t>36</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房管悬臂</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201020546888.6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2010.9.29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sz w:val="21"/>
              </w:rPr>
              <w:t>2010.9.29</w:t>
            </w:r>
          </w:p>
        </w:tc>
      </w:tr>
      <w:tr>
        <w:trPr>
          <w:trHeight w:val="559"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b/>
                <w:sz w:val="21"/>
              </w:rPr>
              <w:t>37</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铁路防灾系统异物侵限</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z w:val="21"/>
                <w:szCs w:val="21"/>
              </w:rPr>
              <w:t>位移监测装置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5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201020546911.1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2010.9.29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sz w:val="21"/>
              </w:rPr>
              <w:t>2010.9.29</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sz w:val="21"/>
              </w:rPr>
              <w:t>38</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雪深监测装置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201020546943.1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2010.9.29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sz w:val="21"/>
              </w:rPr>
              <w:t>2010.9.29</w:t>
            </w:r>
          </w:p>
        </w:tc>
      </w:tr>
      <w:tr>
        <w:trPr>
          <w:trHeight w:val="559"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b/>
                <w:sz w:val="21"/>
              </w:rPr>
              <w:t>39</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串联式电压信号采集衰</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z w:val="21"/>
                <w:szCs w:val="21"/>
              </w:rPr>
              <w:t>耗装置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5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201020546950.1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2010.9.29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sz w:val="21"/>
              </w:rPr>
              <w:t>2010.9.29</w:t>
            </w:r>
          </w:p>
        </w:tc>
      </w:tr>
      <w:tr>
        <w:trPr>
          <w:trHeight w:val="295"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b/>
                <w:sz w:val="21"/>
              </w:rPr>
              <w:t>40</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8" w:right="0"/>
              <w:jc w:val="left"/>
              <w:rPr>
                <w:rFonts w:ascii="宋体" w:hAnsi="宋体" w:cs="宋体" w:eastAsia="宋体" w:hint="default"/>
                <w:sz w:val="21"/>
                <w:szCs w:val="21"/>
              </w:rPr>
            </w:pPr>
            <w:r>
              <w:rPr>
                <w:rFonts w:ascii="宋体" w:hAnsi="宋体" w:cs="宋体" w:eastAsia="宋体" w:hint="default"/>
                <w:sz w:val="21"/>
                <w:szCs w:val="21"/>
              </w:rPr>
              <w:t>信号电缆绝缘测试装置</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201020546949.9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2010.9.29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sz w:val="21"/>
              </w:rPr>
              <w:t>2010.9.29</w:t>
            </w:r>
          </w:p>
        </w:tc>
      </w:tr>
      <w:tr>
        <w:trPr>
          <w:trHeight w:val="560" w:hRule="exact"/>
        </w:trPr>
        <w:tc>
          <w:tcPr>
            <w:tcW w:w="523"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b/>
                <w:sz w:val="21"/>
              </w:rPr>
              <w:t>41</w:t>
            </w:r>
            <w:r>
              <w:rPr>
                <w:rFonts w:ascii="宋体"/>
                <w:sz w:val="21"/>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绝缘漏流测试设备监控</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5" w:lineRule="exact"/>
              <w:ind w:left="38" w:right="0"/>
              <w:jc w:val="left"/>
              <w:rPr>
                <w:rFonts w:ascii="宋体" w:hAnsi="宋体" w:cs="宋体" w:eastAsia="宋体" w:hint="default"/>
                <w:sz w:val="21"/>
                <w:szCs w:val="21"/>
              </w:rPr>
            </w:pPr>
            <w:r>
              <w:rPr>
                <w:rFonts w:ascii="宋体" w:hAnsi="宋体" w:cs="宋体" w:eastAsia="宋体" w:hint="default"/>
                <w:sz w:val="21"/>
                <w:szCs w:val="21"/>
              </w:rPr>
              <w:t>电路</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5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201020547406.9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2010.9.29</w:t>
            </w:r>
          </w:p>
        </w:tc>
        <w:tc>
          <w:tcPr>
            <w:tcW w:w="115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sz w:val="21"/>
              </w:rPr>
              <w:t>2010.9.29</w:t>
            </w:r>
          </w:p>
        </w:tc>
      </w:tr>
      <w:tr>
        <w:trPr>
          <w:trHeight w:val="564" w:hRule="exact"/>
        </w:trPr>
        <w:tc>
          <w:tcPr>
            <w:tcW w:w="523" w:type="dxa"/>
            <w:tcBorders>
              <w:top w:val="single" w:sz="6" w:space="0" w:color="000000"/>
              <w:left w:val="single" w:sz="8" w:space="0" w:color="000000"/>
              <w:bottom w:val="single" w:sz="8" w:space="0" w:color="000000"/>
              <w:right w:val="single" w:sz="6"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b/>
                <w:sz w:val="21"/>
              </w:rPr>
              <w:t>42</w:t>
            </w:r>
            <w:r>
              <w:rPr>
                <w:rFonts w:ascii="宋体"/>
                <w:sz w:val="21"/>
              </w:rPr>
            </w:r>
          </w:p>
        </w:tc>
        <w:tc>
          <w:tcPr>
            <w:tcW w:w="2396" w:type="dxa"/>
            <w:tcBorders>
              <w:top w:val="single" w:sz="6" w:space="0" w:color="000000"/>
              <w:left w:val="single" w:sz="6" w:space="0" w:color="000000"/>
              <w:bottom w:val="single" w:sz="8" w:space="0" w:color="000000"/>
              <w:right w:val="single" w:sz="6"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hAnsi="宋体" w:cs="宋体" w:eastAsia="宋体" w:hint="default"/>
                <w:spacing w:val="18"/>
                <w:sz w:val="21"/>
                <w:szCs w:val="21"/>
              </w:rPr>
              <w:t>多机牵引道岔的电子模</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38" w:right="0"/>
              <w:jc w:val="left"/>
              <w:rPr>
                <w:rFonts w:ascii="宋体" w:hAnsi="宋体" w:cs="宋体" w:eastAsia="宋体" w:hint="default"/>
                <w:sz w:val="21"/>
                <w:szCs w:val="21"/>
              </w:rPr>
            </w:pPr>
            <w:r>
              <w:rPr>
                <w:rFonts w:ascii="宋体" w:hAnsi="宋体" w:cs="宋体" w:eastAsia="宋体" w:hint="default"/>
                <w:sz w:val="21"/>
                <w:szCs w:val="21"/>
              </w:rPr>
              <w:t>块化控制系统</w:t>
            </w:r>
          </w:p>
        </w:tc>
        <w:tc>
          <w:tcPr>
            <w:tcW w:w="95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2"/>
              <w:ind w:left="5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99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2"/>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201020548471.3</w:t>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2"/>
              <w:ind w:left="1" w:right="0"/>
              <w:jc w:val="center"/>
              <w:rPr>
                <w:rFonts w:ascii="宋体" w:hAnsi="宋体" w:cs="宋体" w:eastAsia="宋体" w:hint="default"/>
                <w:sz w:val="21"/>
                <w:szCs w:val="21"/>
              </w:rPr>
            </w:pPr>
            <w:r>
              <w:rPr>
                <w:rFonts w:ascii="宋体"/>
                <w:sz w:val="21"/>
              </w:rPr>
              <w:t>2010.9.30</w:t>
            </w:r>
          </w:p>
        </w:tc>
        <w:tc>
          <w:tcPr>
            <w:tcW w:w="1159"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12"/>
              <w:ind w:left="98" w:right="0"/>
              <w:jc w:val="left"/>
              <w:rPr>
                <w:rFonts w:ascii="宋体" w:hAnsi="宋体" w:cs="宋体" w:eastAsia="宋体" w:hint="default"/>
                <w:sz w:val="21"/>
                <w:szCs w:val="21"/>
              </w:rPr>
            </w:pPr>
            <w:r>
              <w:rPr>
                <w:rFonts w:ascii="宋体"/>
                <w:sz w:val="21"/>
              </w:rPr>
              <w:t>2010.9.30</w:t>
            </w:r>
          </w:p>
        </w:tc>
      </w:tr>
    </w:tbl>
    <w:p>
      <w:pPr>
        <w:spacing w:line="240" w:lineRule="auto" w:before="0"/>
        <w:rPr>
          <w:rFonts w:ascii="宋体" w:hAnsi="宋体" w:cs="宋体" w:eastAsia="宋体" w:hint="default"/>
          <w:sz w:val="20"/>
          <w:szCs w:val="20"/>
        </w:rPr>
      </w:pPr>
    </w:p>
    <w:p>
      <w:pPr>
        <w:pStyle w:val="Heading2"/>
        <w:spacing w:line="240" w:lineRule="auto" w:before="155"/>
        <w:ind w:left="679" w:right="0"/>
        <w:jc w:val="left"/>
        <w:rPr>
          <w:b w:val="0"/>
          <w:bCs w:val="0"/>
        </w:rPr>
      </w:pPr>
      <w:r>
        <w:rPr/>
        <w:t>（六）现金流量构成情况</w:t>
      </w:r>
      <w:r>
        <w:rPr>
          <w:b w:val="0"/>
          <w:bCs w:val="0"/>
        </w:rPr>
      </w:r>
    </w:p>
    <w:p>
      <w:pPr>
        <w:spacing w:line="240" w:lineRule="auto" w:before="7"/>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441"/>
        <w:gridCol w:w="1814"/>
        <w:gridCol w:w="1702"/>
        <w:gridCol w:w="1274"/>
        <w:gridCol w:w="1844"/>
      </w:tblGrid>
      <w:tr>
        <w:trPr>
          <w:trHeight w:val="439" w:hRule="exact"/>
        </w:trPr>
        <w:tc>
          <w:tcPr>
            <w:tcW w:w="2441" w:type="dxa"/>
            <w:tcBorders>
              <w:top w:val="single" w:sz="8" w:space="0" w:color="000000"/>
              <w:left w:val="single" w:sz="8" w:space="0" w:color="000000"/>
              <w:bottom w:val="single" w:sz="6" w:space="0" w:color="000000"/>
              <w:right w:val="single" w:sz="6"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14" w:type="dxa"/>
            <w:tcBorders>
              <w:top w:val="single" w:sz="8" w:space="0" w:color="000000"/>
              <w:left w:val="single" w:sz="6" w:space="0" w:color="000000"/>
              <w:bottom w:val="single" w:sz="6" w:space="0" w:color="000000"/>
              <w:right w:val="single" w:sz="6"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02" w:type="dxa"/>
            <w:tcBorders>
              <w:top w:val="single" w:sz="8" w:space="0" w:color="000000"/>
              <w:left w:val="single" w:sz="6" w:space="0" w:color="000000"/>
              <w:bottom w:val="single" w:sz="6" w:space="0" w:color="000000"/>
              <w:right w:val="single" w:sz="6" w:space="0" w:color="000000"/>
            </w:tcBorders>
          </w:tcPr>
          <w:p>
            <w:pPr>
              <w:pStyle w:val="TableParagraph"/>
              <w:spacing w:line="248"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274" w:type="dxa"/>
            <w:tcBorders>
              <w:top w:val="single" w:sz="8"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c>
          <w:tcPr>
            <w:tcW w:w="1844" w:type="dxa"/>
            <w:tcBorders>
              <w:top w:val="single" w:sz="8" w:space="0" w:color="000000"/>
              <w:left w:val="single" w:sz="6" w:space="0" w:color="000000"/>
              <w:bottom w:val="single" w:sz="6" w:space="0" w:color="000000"/>
              <w:right w:val="single" w:sz="8" w:space="0" w:color="000000"/>
            </w:tcBorders>
          </w:tcPr>
          <w:p>
            <w:pPr>
              <w:pStyle w:val="TableParagraph"/>
              <w:spacing w:line="248" w:lineRule="exact"/>
              <w:ind w:left="466"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830" w:hRule="exact"/>
        </w:trPr>
        <w:tc>
          <w:tcPr>
            <w:tcW w:w="2441"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7"/>
                <w:w w:val="100"/>
                <w:sz w:val="21"/>
                <w:szCs w:val="21"/>
              </w:rPr>
              <w:t>、</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活</w:t>
            </w:r>
            <w:r>
              <w:rPr>
                <w:rFonts w:ascii="宋体" w:hAnsi="宋体" w:cs="宋体" w:eastAsia="宋体" w:hint="default"/>
                <w:spacing w:val="-3"/>
                <w:w w:val="100"/>
                <w:sz w:val="21"/>
                <w:szCs w:val="21"/>
              </w:rPr>
              <w:t>动</w:t>
            </w:r>
            <w:r>
              <w:rPr>
                <w:rFonts w:ascii="宋体" w:hAnsi="宋体" w:cs="宋体" w:eastAsia="宋体" w:hint="default"/>
                <w:w w:val="100"/>
                <w:sz w:val="21"/>
                <w:szCs w:val="21"/>
              </w:rPr>
              <w:t>产</w:t>
            </w:r>
            <w:r>
              <w:rPr>
                <w:rFonts w:ascii="宋体" w:hAnsi="宋体" w:cs="宋体" w:eastAsia="宋体" w:hint="default"/>
                <w:spacing w:val="-3"/>
                <w:w w:val="100"/>
                <w:sz w:val="21"/>
                <w:szCs w:val="21"/>
              </w:rPr>
              <w:t>生</w:t>
            </w:r>
            <w:r>
              <w:rPr>
                <w:rFonts w:ascii="宋体" w:hAnsi="宋体" w:cs="宋体" w:eastAsia="宋体" w:hint="default"/>
                <w:w w:val="100"/>
                <w:sz w:val="21"/>
                <w:szCs w:val="21"/>
              </w:rPr>
              <w:t>的</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p>
          <w:p>
            <w:pPr>
              <w:pStyle w:val="TableParagraph"/>
              <w:spacing w:line="240" w:lineRule="auto" w:before="133"/>
              <w:ind w:left="98"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19,335,363.85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6"/>
              <w:jc w:val="right"/>
              <w:rPr>
                <w:rFonts w:ascii="宋体" w:hAnsi="宋体" w:cs="宋体" w:eastAsia="宋体" w:hint="default"/>
                <w:sz w:val="21"/>
                <w:szCs w:val="21"/>
              </w:rPr>
            </w:pPr>
            <w:r>
              <w:rPr>
                <w:rFonts w:ascii="宋体"/>
                <w:spacing w:val="-1"/>
                <w:sz w:val="21"/>
              </w:rPr>
              <w:t>36,126,328.32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pacing w:val="-1"/>
                <w:sz w:val="21"/>
              </w:rPr>
              <w:t>-46.48%</w:t>
            </w:r>
          </w:p>
        </w:tc>
        <w:tc>
          <w:tcPr>
            <w:tcW w:w="184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70"/>
              <w:ind w:right="93"/>
              <w:jc w:val="right"/>
              <w:rPr>
                <w:rFonts w:ascii="宋体" w:hAnsi="宋体" w:cs="宋体" w:eastAsia="宋体" w:hint="default"/>
                <w:sz w:val="21"/>
                <w:szCs w:val="21"/>
              </w:rPr>
            </w:pPr>
            <w:r>
              <w:rPr>
                <w:rFonts w:ascii="宋体"/>
                <w:spacing w:val="-1"/>
                <w:sz w:val="21"/>
              </w:rPr>
              <w:t>20,378,339.48</w:t>
            </w:r>
          </w:p>
        </w:tc>
      </w:tr>
      <w:tr>
        <w:trPr>
          <w:trHeight w:val="425" w:hRule="exact"/>
        </w:trPr>
        <w:tc>
          <w:tcPr>
            <w:tcW w:w="2441" w:type="dxa"/>
            <w:tcBorders>
              <w:top w:val="single" w:sz="6" w:space="0" w:color="000000"/>
              <w:left w:val="single" w:sz="8" w:space="0" w:color="000000"/>
              <w:bottom w:val="single" w:sz="6" w:space="0" w:color="000000"/>
              <w:right w:val="single" w:sz="6" w:space="0" w:color="000000"/>
            </w:tcBorders>
          </w:tcPr>
          <w:p>
            <w:pPr>
              <w:pStyle w:val="TableParagraph"/>
              <w:spacing w:line="243" w:lineRule="exact"/>
              <w:ind w:right="123"/>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244,092,353.88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176,448,097.46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38.34%</w:t>
            </w:r>
          </w:p>
        </w:tc>
        <w:tc>
          <w:tcPr>
            <w:tcW w:w="1844" w:type="dxa"/>
            <w:tcBorders>
              <w:top w:val="single" w:sz="6" w:space="0" w:color="000000"/>
              <w:left w:val="single" w:sz="6" w:space="0" w:color="000000"/>
              <w:bottom w:val="single" w:sz="6" w:space="0" w:color="000000"/>
              <w:right w:val="single" w:sz="8"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152,779,900.74</w:t>
            </w:r>
          </w:p>
        </w:tc>
      </w:tr>
      <w:tr>
        <w:trPr>
          <w:trHeight w:val="423" w:hRule="exact"/>
        </w:trPr>
        <w:tc>
          <w:tcPr>
            <w:tcW w:w="2441"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right="123"/>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224,756,990.03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140,321,769.14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60.17%</w:t>
            </w:r>
          </w:p>
        </w:tc>
        <w:tc>
          <w:tcPr>
            <w:tcW w:w="1844"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132,401,561.26</w:t>
            </w:r>
          </w:p>
        </w:tc>
      </w:tr>
      <w:tr>
        <w:trPr>
          <w:trHeight w:val="833" w:hRule="exact"/>
        </w:trPr>
        <w:tc>
          <w:tcPr>
            <w:tcW w:w="2441" w:type="dxa"/>
            <w:tcBorders>
              <w:top w:val="single" w:sz="6" w:space="0" w:color="000000"/>
              <w:left w:val="single" w:sz="8"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7"/>
                <w:w w:val="100"/>
                <w:sz w:val="21"/>
                <w:szCs w:val="21"/>
              </w:rPr>
              <w:t>、</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活</w:t>
            </w:r>
            <w:r>
              <w:rPr>
                <w:rFonts w:ascii="宋体" w:hAnsi="宋体" w:cs="宋体" w:eastAsia="宋体" w:hint="default"/>
                <w:spacing w:val="-3"/>
                <w:w w:val="100"/>
                <w:sz w:val="21"/>
                <w:szCs w:val="21"/>
              </w:rPr>
              <w:t>动</w:t>
            </w:r>
            <w:r>
              <w:rPr>
                <w:rFonts w:ascii="宋体" w:hAnsi="宋体" w:cs="宋体" w:eastAsia="宋体" w:hint="default"/>
                <w:w w:val="100"/>
                <w:sz w:val="21"/>
                <w:szCs w:val="21"/>
              </w:rPr>
              <w:t>产</w:t>
            </w:r>
            <w:r>
              <w:rPr>
                <w:rFonts w:ascii="宋体" w:hAnsi="宋体" w:cs="宋体" w:eastAsia="宋体" w:hint="default"/>
                <w:spacing w:val="-3"/>
                <w:w w:val="100"/>
                <w:sz w:val="21"/>
                <w:szCs w:val="21"/>
              </w:rPr>
              <w:t>生</w:t>
            </w:r>
            <w:r>
              <w:rPr>
                <w:rFonts w:ascii="宋体" w:hAnsi="宋体" w:cs="宋体" w:eastAsia="宋体" w:hint="default"/>
                <w:w w:val="100"/>
                <w:sz w:val="21"/>
                <w:szCs w:val="21"/>
              </w:rPr>
              <w:t>的</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p>
          <w:p>
            <w:pPr>
              <w:pStyle w:val="TableParagraph"/>
              <w:spacing w:line="240" w:lineRule="auto" w:before="133"/>
              <w:ind w:left="98"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right="98"/>
              <w:jc w:val="right"/>
              <w:rPr>
                <w:rFonts w:ascii="宋体" w:hAnsi="宋体" w:cs="宋体" w:eastAsia="宋体" w:hint="default"/>
                <w:sz w:val="21"/>
                <w:szCs w:val="21"/>
              </w:rPr>
            </w:pPr>
            <w:r>
              <w:rPr>
                <w:rFonts w:ascii="宋体"/>
                <w:spacing w:val="-1"/>
                <w:sz w:val="21"/>
              </w:rPr>
              <w:t>-26,314,289.15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right="96"/>
              <w:jc w:val="right"/>
              <w:rPr>
                <w:rFonts w:ascii="宋体" w:hAnsi="宋体" w:cs="宋体" w:eastAsia="宋体" w:hint="default"/>
                <w:sz w:val="21"/>
                <w:szCs w:val="21"/>
              </w:rPr>
            </w:pPr>
            <w:r>
              <w:rPr>
                <w:rFonts w:ascii="宋体"/>
                <w:spacing w:val="-1"/>
                <w:sz w:val="21"/>
              </w:rPr>
              <w:t>-22,290,047.26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right="98"/>
              <w:jc w:val="right"/>
              <w:rPr>
                <w:rFonts w:ascii="宋体" w:hAnsi="宋体" w:cs="宋体" w:eastAsia="宋体" w:hint="default"/>
                <w:sz w:val="21"/>
                <w:szCs w:val="21"/>
              </w:rPr>
            </w:pPr>
            <w:r>
              <w:rPr>
                <w:rFonts w:ascii="宋体"/>
                <w:sz w:val="21"/>
              </w:rPr>
              <w:t>18.05%</w:t>
            </w:r>
          </w:p>
        </w:tc>
        <w:tc>
          <w:tcPr>
            <w:tcW w:w="184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72"/>
              <w:ind w:right="93"/>
              <w:jc w:val="right"/>
              <w:rPr>
                <w:rFonts w:ascii="宋体" w:hAnsi="宋体" w:cs="宋体" w:eastAsia="宋体" w:hint="default"/>
                <w:sz w:val="21"/>
                <w:szCs w:val="21"/>
              </w:rPr>
            </w:pPr>
            <w:r>
              <w:rPr>
                <w:rFonts w:ascii="宋体"/>
                <w:spacing w:val="-1"/>
                <w:sz w:val="21"/>
              </w:rPr>
              <w:t>-15,292,199.43</w:t>
            </w:r>
          </w:p>
        </w:tc>
      </w:tr>
      <w:tr>
        <w:trPr>
          <w:trHeight w:val="422" w:hRule="exact"/>
        </w:trPr>
        <w:tc>
          <w:tcPr>
            <w:tcW w:w="2441"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right="123"/>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169,900.00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-88.82%</w:t>
            </w:r>
          </w:p>
        </w:tc>
        <w:tc>
          <w:tcPr>
            <w:tcW w:w="1844"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12,033.00</w:t>
            </w:r>
          </w:p>
        </w:tc>
      </w:tr>
      <w:tr>
        <w:trPr>
          <w:trHeight w:val="425" w:hRule="exact"/>
        </w:trPr>
        <w:tc>
          <w:tcPr>
            <w:tcW w:w="2441" w:type="dxa"/>
            <w:tcBorders>
              <w:top w:val="single" w:sz="6" w:space="0" w:color="000000"/>
              <w:left w:val="single" w:sz="8" w:space="0" w:color="000000"/>
              <w:bottom w:val="single" w:sz="6" w:space="0" w:color="000000"/>
              <w:right w:val="single" w:sz="6" w:space="0" w:color="000000"/>
            </w:tcBorders>
          </w:tcPr>
          <w:p>
            <w:pPr>
              <w:pStyle w:val="TableParagraph"/>
              <w:spacing w:line="243" w:lineRule="exact"/>
              <w:ind w:right="123"/>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26,333,289.15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22,459,947.26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17.25%</w:t>
            </w:r>
          </w:p>
        </w:tc>
        <w:tc>
          <w:tcPr>
            <w:tcW w:w="1844" w:type="dxa"/>
            <w:tcBorders>
              <w:top w:val="single" w:sz="6" w:space="0" w:color="000000"/>
              <w:left w:val="single" w:sz="6" w:space="0" w:color="000000"/>
              <w:bottom w:val="single" w:sz="6" w:space="0" w:color="000000"/>
              <w:right w:val="single" w:sz="8"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15,304,232.43</w:t>
            </w:r>
          </w:p>
        </w:tc>
      </w:tr>
      <w:tr>
        <w:trPr>
          <w:trHeight w:val="833" w:hRule="exact"/>
        </w:trPr>
        <w:tc>
          <w:tcPr>
            <w:tcW w:w="2441"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87"/>
                <w:w w:val="100"/>
                <w:sz w:val="21"/>
                <w:szCs w:val="21"/>
              </w:rPr>
              <w:t>、</w:t>
            </w:r>
            <w:r>
              <w:rPr>
                <w:rFonts w:ascii="宋体" w:hAnsi="宋体" w:cs="宋体" w:eastAsia="宋体" w:hint="default"/>
                <w:w w:val="100"/>
                <w:sz w:val="21"/>
                <w:szCs w:val="21"/>
              </w:rPr>
              <w:t>筹</w:t>
            </w:r>
            <w:r>
              <w:rPr>
                <w:rFonts w:ascii="宋体" w:hAnsi="宋体" w:cs="宋体" w:eastAsia="宋体" w:hint="default"/>
                <w:spacing w:val="-3"/>
                <w:w w:val="100"/>
                <w:sz w:val="21"/>
                <w:szCs w:val="21"/>
              </w:rPr>
              <w:t>资</w:t>
            </w:r>
            <w:r>
              <w:rPr>
                <w:rFonts w:ascii="宋体" w:hAnsi="宋体" w:cs="宋体" w:eastAsia="宋体" w:hint="default"/>
                <w:w w:val="100"/>
                <w:sz w:val="21"/>
                <w:szCs w:val="21"/>
              </w:rPr>
              <w:t>活</w:t>
            </w:r>
            <w:r>
              <w:rPr>
                <w:rFonts w:ascii="宋体" w:hAnsi="宋体" w:cs="宋体" w:eastAsia="宋体" w:hint="default"/>
                <w:spacing w:val="-3"/>
                <w:w w:val="100"/>
                <w:sz w:val="21"/>
                <w:szCs w:val="21"/>
              </w:rPr>
              <w:t>动</w:t>
            </w:r>
            <w:r>
              <w:rPr>
                <w:rFonts w:ascii="宋体" w:hAnsi="宋体" w:cs="宋体" w:eastAsia="宋体" w:hint="default"/>
                <w:w w:val="100"/>
                <w:sz w:val="21"/>
                <w:szCs w:val="21"/>
              </w:rPr>
              <w:t>产</w:t>
            </w:r>
            <w:r>
              <w:rPr>
                <w:rFonts w:ascii="宋体" w:hAnsi="宋体" w:cs="宋体" w:eastAsia="宋体" w:hint="default"/>
                <w:spacing w:val="-3"/>
                <w:w w:val="100"/>
                <w:sz w:val="21"/>
                <w:szCs w:val="21"/>
              </w:rPr>
              <w:t>生</w:t>
            </w:r>
            <w:r>
              <w:rPr>
                <w:rFonts w:ascii="宋体" w:hAnsi="宋体" w:cs="宋体" w:eastAsia="宋体" w:hint="default"/>
                <w:w w:val="100"/>
                <w:sz w:val="21"/>
                <w:szCs w:val="21"/>
              </w:rPr>
              <w:t>的</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p>
          <w:p>
            <w:pPr>
              <w:pStyle w:val="TableParagraph"/>
              <w:spacing w:line="240" w:lineRule="auto" w:before="133"/>
              <w:ind w:left="98"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-65,685,125.00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6"/>
              <w:jc w:val="right"/>
              <w:rPr>
                <w:rFonts w:ascii="宋体" w:hAnsi="宋体" w:cs="宋体" w:eastAsia="宋体" w:hint="default"/>
                <w:sz w:val="21"/>
                <w:szCs w:val="21"/>
              </w:rPr>
            </w:pPr>
            <w:r>
              <w:rPr>
                <w:rFonts w:ascii="宋体"/>
                <w:spacing w:val="-1"/>
                <w:sz w:val="21"/>
              </w:rPr>
              <w:t>381,035,922.67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pacing w:val="-1"/>
                <w:sz w:val="21"/>
              </w:rPr>
              <w:t>-117.24%</w:t>
            </w:r>
          </w:p>
        </w:tc>
        <w:tc>
          <w:tcPr>
            <w:tcW w:w="184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70"/>
              <w:ind w:right="93"/>
              <w:jc w:val="right"/>
              <w:rPr>
                <w:rFonts w:ascii="宋体" w:hAnsi="宋体" w:cs="宋体" w:eastAsia="宋体" w:hint="default"/>
                <w:sz w:val="21"/>
                <w:szCs w:val="21"/>
              </w:rPr>
            </w:pPr>
            <w:r>
              <w:rPr>
                <w:rFonts w:ascii="宋体"/>
                <w:spacing w:val="-1"/>
                <w:sz w:val="21"/>
              </w:rPr>
              <w:t>659,186.50</w:t>
            </w:r>
          </w:p>
        </w:tc>
      </w:tr>
      <w:tr>
        <w:trPr>
          <w:trHeight w:val="422" w:hRule="exact"/>
        </w:trPr>
        <w:tc>
          <w:tcPr>
            <w:tcW w:w="2441"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right="123"/>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426,900,000.00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-98.17%</w:t>
            </w:r>
          </w:p>
        </w:tc>
        <w:tc>
          <w:tcPr>
            <w:tcW w:w="1844"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17,450,000.00</w:t>
            </w:r>
          </w:p>
        </w:tc>
      </w:tr>
      <w:tr>
        <w:trPr>
          <w:trHeight w:val="422" w:hRule="exact"/>
        </w:trPr>
        <w:tc>
          <w:tcPr>
            <w:tcW w:w="2441" w:type="dxa"/>
            <w:tcBorders>
              <w:top w:val="single" w:sz="6" w:space="0" w:color="000000"/>
              <w:left w:val="single" w:sz="8" w:space="0" w:color="000000"/>
              <w:bottom w:val="single" w:sz="6" w:space="0" w:color="000000"/>
              <w:right w:val="single" w:sz="6" w:space="0" w:color="000000"/>
            </w:tcBorders>
          </w:tcPr>
          <w:p>
            <w:pPr>
              <w:pStyle w:val="TableParagraph"/>
              <w:spacing w:line="241" w:lineRule="exact"/>
              <w:ind w:right="123"/>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73,485,125.00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45,864,077.33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60.22%</w:t>
            </w:r>
          </w:p>
        </w:tc>
        <w:tc>
          <w:tcPr>
            <w:tcW w:w="1844" w:type="dxa"/>
            <w:tcBorders>
              <w:top w:val="single" w:sz="6" w:space="0" w:color="000000"/>
              <w:left w:val="single" w:sz="6" w:space="0" w:color="000000"/>
              <w:bottom w:val="single" w:sz="6" w:space="0" w:color="000000"/>
              <w:right w:val="single" w:sz="8"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16,790,813.50</w:t>
            </w:r>
          </w:p>
        </w:tc>
      </w:tr>
      <w:tr>
        <w:trPr>
          <w:trHeight w:val="833" w:hRule="exact"/>
        </w:trPr>
        <w:tc>
          <w:tcPr>
            <w:tcW w:w="2441" w:type="dxa"/>
            <w:tcBorders>
              <w:top w:val="single" w:sz="6" w:space="0" w:color="000000"/>
              <w:left w:val="single" w:sz="8"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87"/>
                <w:w w:val="100"/>
                <w:sz w:val="21"/>
                <w:szCs w:val="21"/>
              </w:rPr>
              <w:t>、</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及</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等</w:t>
            </w:r>
            <w:r>
              <w:rPr>
                <w:rFonts w:ascii="宋体" w:hAnsi="宋体" w:cs="宋体" w:eastAsia="宋体" w:hint="default"/>
                <w:w w:val="100"/>
                <w:sz w:val="21"/>
                <w:szCs w:val="21"/>
              </w:rPr>
              <w:t>价</w:t>
            </w:r>
            <w:r>
              <w:rPr>
                <w:rFonts w:ascii="宋体" w:hAnsi="宋体" w:cs="宋体" w:eastAsia="宋体" w:hint="default"/>
                <w:spacing w:val="-3"/>
                <w:w w:val="100"/>
                <w:sz w:val="21"/>
                <w:szCs w:val="21"/>
              </w:rPr>
              <w:t>物</w:t>
            </w:r>
            <w:r>
              <w:rPr>
                <w:rFonts w:ascii="宋体" w:hAnsi="宋体" w:cs="宋体" w:eastAsia="宋体" w:hint="default"/>
                <w:w w:val="100"/>
                <w:sz w:val="21"/>
                <w:szCs w:val="21"/>
              </w:rPr>
              <w:t>净</w:t>
            </w:r>
          </w:p>
          <w:p>
            <w:pPr>
              <w:pStyle w:val="TableParagraph"/>
              <w:spacing w:line="240" w:lineRule="auto" w:before="133"/>
              <w:ind w:left="98"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right="98"/>
              <w:jc w:val="right"/>
              <w:rPr>
                <w:rFonts w:ascii="宋体" w:hAnsi="宋体" w:cs="宋体" w:eastAsia="宋体" w:hint="default"/>
                <w:sz w:val="21"/>
                <w:szCs w:val="21"/>
              </w:rPr>
            </w:pPr>
            <w:r>
              <w:rPr>
                <w:rFonts w:ascii="宋体"/>
                <w:spacing w:val="-1"/>
                <w:sz w:val="21"/>
              </w:rPr>
              <w:t>-72,664,050.30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right="96"/>
              <w:jc w:val="right"/>
              <w:rPr>
                <w:rFonts w:ascii="宋体" w:hAnsi="宋体" w:cs="宋体" w:eastAsia="宋体" w:hint="default"/>
                <w:sz w:val="21"/>
                <w:szCs w:val="21"/>
              </w:rPr>
            </w:pPr>
            <w:r>
              <w:rPr>
                <w:rFonts w:ascii="宋体"/>
                <w:spacing w:val="-1"/>
                <w:sz w:val="21"/>
              </w:rPr>
              <w:t>394,872,203.73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right="101"/>
              <w:jc w:val="right"/>
              <w:rPr>
                <w:rFonts w:ascii="宋体" w:hAnsi="宋体" w:cs="宋体" w:eastAsia="宋体" w:hint="default"/>
                <w:sz w:val="21"/>
                <w:szCs w:val="21"/>
              </w:rPr>
            </w:pPr>
            <w:r>
              <w:rPr>
                <w:rFonts w:ascii="宋体"/>
                <w:spacing w:val="-1"/>
                <w:sz w:val="21"/>
              </w:rPr>
              <w:t>-118.40%</w:t>
            </w:r>
          </w:p>
        </w:tc>
        <w:tc>
          <w:tcPr>
            <w:tcW w:w="1844"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173"/>
              <w:ind w:right="93"/>
              <w:jc w:val="right"/>
              <w:rPr>
                <w:rFonts w:ascii="宋体" w:hAnsi="宋体" w:cs="宋体" w:eastAsia="宋体" w:hint="default"/>
                <w:sz w:val="21"/>
                <w:szCs w:val="21"/>
              </w:rPr>
            </w:pPr>
            <w:r>
              <w:rPr>
                <w:rFonts w:ascii="宋体"/>
                <w:spacing w:val="-1"/>
                <w:sz w:val="21"/>
              </w:rPr>
              <w:t>5,745,326.55</w:t>
            </w:r>
          </w:p>
        </w:tc>
      </w:tr>
      <w:tr>
        <w:trPr>
          <w:trHeight w:val="835" w:hRule="exact"/>
        </w:trPr>
        <w:tc>
          <w:tcPr>
            <w:tcW w:w="2441" w:type="dxa"/>
            <w:tcBorders>
              <w:top w:val="single" w:sz="6" w:space="0" w:color="000000"/>
              <w:left w:val="single" w:sz="8" w:space="0" w:color="000000"/>
              <w:bottom w:val="single" w:sz="8"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7"/>
                <w:w w:val="100"/>
                <w:sz w:val="21"/>
                <w:szCs w:val="21"/>
              </w:rPr>
              <w:t>、</w:t>
            </w:r>
            <w:r>
              <w:rPr>
                <w:rFonts w:ascii="宋体" w:hAnsi="宋体" w:cs="宋体" w:eastAsia="宋体" w:hint="default"/>
                <w:w w:val="100"/>
                <w:sz w:val="21"/>
                <w:szCs w:val="21"/>
              </w:rPr>
              <w:t>期</w:t>
            </w:r>
            <w:r>
              <w:rPr>
                <w:rFonts w:ascii="宋体" w:hAnsi="宋体" w:cs="宋体" w:eastAsia="宋体" w:hint="default"/>
                <w:spacing w:val="-3"/>
                <w:w w:val="100"/>
                <w:sz w:val="21"/>
                <w:szCs w:val="21"/>
              </w:rPr>
              <w:t>末</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及</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等</w:t>
            </w:r>
            <w:r>
              <w:rPr>
                <w:rFonts w:ascii="宋体" w:hAnsi="宋体" w:cs="宋体" w:eastAsia="宋体" w:hint="default"/>
                <w:w w:val="100"/>
                <w:sz w:val="21"/>
                <w:szCs w:val="21"/>
              </w:rPr>
              <w:t>价</w:t>
            </w:r>
          </w:p>
          <w:p>
            <w:pPr>
              <w:pStyle w:val="TableParagraph"/>
              <w:spacing w:line="240" w:lineRule="auto" w:before="135"/>
              <w:ind w:left="98" w:right="0"/>
              <w:jc w:val="left"/>
              <w:rPr>
                <w:rFonts w:ascii="宋体" w:hAnsi="宋体" w:cs="宋体" w:eastAsia="宋体" w:hint="default"/>
                <w:sz w:val="21"/>
                <w:szCs w:val="21"/>
              </w:rPr>
            </w:pPr>
            <w:r>
              <w:rPr>
                <w:rFonts w:ascii="宋体" w:hAnsi="宋体" w:cs="宋体" w:eastAsia="宋体" w:hint="default"/>
                <w:sz w:val="21"/>
                <w:szCs w:val="21"/>
              </w:rPr>
              <w:t>物余额</w:t>
            </w:r>
          </w:p>
        </w:tc>
        <w:tc>
          <w:tcPr>
            <w:tcW w:w="181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2"/>
              <w:ind w:right="98"/>
              <w:jc w:val="right"/>
              <w:rPr>
                <w:rFonts w:ascii="宋体" w:hAnsi="宋体" w:cs="宋体" w:eastAsia="宋体" w:hint="default"/>
                <w:sz w:val="21"/>
                <w:szCs w:val="21"/>
              </w:rPr>
            </w:pPr>
            <w:r>
              <w:rPr>
                <w:rFonts w:ascii="宋体"/>
                <w:spacing w:val="-1"/>
                <w:sz w:val="21"/>
              </w:rPr>
              <w:t>379,583,886.30</w:t>
            </w:r>
          </w:p>
        </w:tc>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2"/>
              <w:ind w:right="96"/>
              <w:jc w:val="right"/>
              <w:rPr>
                <w:rFonts w:ascii="宋体" w:hAnsi="宋体" w:cs="宋体" w:eastAsia="宋体" w:hint="default"/>
                <w:sz w:val="21"/>
                <w:szCs w:val="21"/>
              </w:rPr>
            </w:pPr>
            <w:r>
              <w:rPr>
                <w:rFonts w:ascii="宋体"/>
                <w:spacing w:val="-1"/>
                <w:sz w:val="21"/>
              </w:rPr>
              <w:t>452,247,936.60</w:t>
            </w:r>
          </w:p>
        </w:tc>
        <w:tc>
          <w:tcPr>
            <w:tcW w:w="127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2"/>
              <w:ind w:right="101"/>
              <w:jc w:val="right"/>
              <w:rPr>
                <w:rFonts w:ascii="宋体" w:hAnsi="宋体" w:cs="宋体" w:eastAsia="宋体" w:hint="default"/>
                <w:sz w:val="21"/>
                <w:szCs w:val="21"/>
              </w:rPr>
            </w:pPr>
            <w:r>
              <w:rPr>
                <w:rFonts w:ascii="宋体"/>
                <w:spacing w:val="-1"/>
                <w:sz w:val="21"/>
              </w:rPr>
              <w:t>-16.07%</w:t>
            </w:r>
          </w:p>
        </w:tc>
        <w:tc>
          <w:tcPr>
            <w:tcW w:w="1844"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72"/>
              <w:ind w:right="93"/>
              <w:jc w:val="right"/>
              <w:rPr>
                <w:rFonts w:ascii="宋体" w:hAnsi="宋体" w:cs="宋体" w:eastAsia="宋体" w:hint="default"/>
                <w:sz w:val="21"/>
                <w:szCs w:val="21"/>
              </w:rPr>
            </w:pPr>
            <w:r>
              <w:rPr>
                <w:rFonts w:ascii="宋体"/>
                <w:spacing w:val="-1"/>
                <w:sz w:val="21"/>
              </w:rPr>
              <w:t>57,375,732.87</w:t>
            </w:r>
          </w:p>
        </w:tc>
      </w:tr>
    </w:tbl>
    <w:p>
      <w:pPr>
        <w:pStyle w:val="Heading3"/>
        <w:spacing w:line="240" w:lineRule="auto" w:before="73"/>
        <w:ind w:left="1238" w:right="0"/>
        <w:jc w:val="left"/>
      </w:pPr>
      <w:r>
        <w:rPr>
          <w:rFonts w:ascii="宋体" w:hAnsi="宋体" w:cs="宋体" w:eastAsia="宋体" w:hint="default"/>
          <w:spacing w:val="-4"/>
        </w:rPr>
        <w:t>1</w:t>
      </w:r>
      <w:r>
        <w:rPr>
          <w:spacing w:val="-4"/>
        </w:rPr>
        <w:t>、报告期内公司经营活动现金流入同比增长</w:t>
      </w:r>
      <w:r>
        <w:rPr>
          <w:rFonts w:ascii="宋体" w:hAnsi="宋体" w:cs="宋体" w:eastAsia="宋体" w:hint="default"/>
          <w:spacing w:val="-4"/>
        </w:rPr>
        <w:t>38.34%</w:t>
      </w:r>
      <w:r>
        <w:rPr>
          <w:spacing w:val="-4"/>
        </w:rPr>
        <w:t>。主要系公</w:t>
      </w:r>
    </w:p>
    <w:p>
      <w:pPr>
        <w:spacing w:after="0" w:line="240" w:lineRule="auto"/>
        <w:jc w:val="left"/>
        <w:sectPr>
          <w:pgSz w:w="11910" w:h="16840"/>
          <w:pgMar w:header="624" w:footer="1045" w:top="980" w:bottom="1240" w:left="1260" w:right="1260"/>
        </w:sectPr>
      </w:pPr>
    </w:p>
    <w:p>
      <w:pPr>
        <w:spacing w:line="240" w:lineRule="auto" w:before="11"/>
        <w:rPr>
          <w:rFonts w:ascii="宋体" w:hAnsi="宋体" w:cs="宋体" w:eastAsia="宋体" w:hint="default"/>
          <w:sz w:val="18"/>
          <w:szCs w:val="18"/>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pStyle w:val="Heading3"/>
        <w:spacing w:line="328" w:lineRule="auto" w:before="68"/>
        <w:ind w:right="460"/>
        <w:jc w:val="left"/>
      </w:pPr>
      <w:r>
        <w:rPr>
          <w:spacing w:val="-1"/>
        </w:rPr>
        <w:t>司报告期内销售回款增加以及当期收到退税款同比增长</w:t>
      </w:r>
      <w:r>
        <w:rPr>
          <w:rFonts w:ascii="宋体" w:hAnsi="宋体" w:cs="宋体" w:eastAsia="宋体" w:hint="default"/>
          <w:spacing w:val="-1"/>
        </w:rPr>
        <w:t>162.21%</w:t>
      </w:r>
      <w:r>
        <w:rPr>
          <w:spacing w:val="-1"/>
        </w:rPr>
        <w:t>所</w:t>
      </w:r>
      <w:r>
        <w:rPr>
          <w:spacing w:val="-115"/>
        </w:rPr>
        <w:t> </w:t>
      </w:r>
      <w:r>
        <w:rPr/>
        <w:t>致。</w:t>
      </w:r>
    </w:p>
    <w:p>
      <w:pPr>
        <w:pStyle w:val="Heading3"/>
        <w:spacing w:line="328" w:lineRule="auto"/>
        <w:ind w:right="460" w:firstLine="559"/>
        <w:jc w:val="left"/>
      </w:pPr>
      <w:r>
        <w:rPr>
          <w:rFonts w:ascii="宋体" w:hAnsi="宋体" w:cs="宋体" w:eastAsia="宋体" w:hint="default"/>
          <w:spacing w:val="-1"/>
        </w:rPr>
        <w:t>2</w:t>
      </w:r>
      <w:r>
        <w:rPr>
          <w:spacing w:val="-1"/>
        </w:rPr>
        <w:t>、报告期内，公司经营活动现金流出同比增长</w:t>
      </w:r>
      <w:r>
        <w:rPr>
          <w:rFonts w:ascii="宋体" w:hAnsi="宋体" w:cs="宋体" w:eastAsia="宋体" w:hint="default"/>
          <w:spacing w:val="-1"/>
        </w:rPr>
        <w:t>60.17%</w:t>
      </w:r>
      <w:r>
        <w:rPr>
          <w:spacing w:val="-1"/>
        </w:rPr>
        <w:t>。主要系</w:t>
      </w:r>
      <w:r>
        <w:rPr>
          <w:w w:val="100"/>
        </w:rPr>
        <w:t> </w:t>
      </w:r>
      <w:r>
        <w:rPr/>
        <w:t>公司报告期内材料采购支出大幅度增加和上交增值税等各项税费所</w:t>
      </w:r>
      <w:r>
        <w:rPr>
          <w:w w:val="100"/>
        </w:rPr>
        <w:t> </w:t>
      </w:r>
      <w:r>
        <w:rPr/>
        <w:t>致。</w:t>
      </w:r>
    </w:p>
    <w:p>
      <w:pPr>
        <w:pStyle w:val="Heading3"/>
        <w:spacing w:line="326" w:lineRule="auto"/>
        <w:ind w:right="460" w:firstLine="559"/>
        <w:jc w:val="left"/>
      </w:pPr>
      <w:r>
        <w:rPr>
          <w:rFonts w:ascii="宋体" w:hAnsi="宋体" w:cs="宋体" w:eastAsia="宋体" w:hint="default"/>
          <w:spacing w:val="-1"/>
        </w:rPr>
        <w:t>3</w:t>
      </w:r>
      <w:r>
        <w:rPr>
          <w:spacing w:val="-1"/>
        </w:rPr>
        <w:t>、报告期内，投资活动现金流入同比减少</w:t>
      </w:r>
      <w:r>
        <w:rPr>
          <w:rFonts w:ascii="宋体" w:hAnsi="宋体" w:cs="宋体" w:eastAsia="宋体" w:hint="default"/>
          <w:spacing w:val="-1"/>
        </w:rPr>
        <w:t>88.82%</w:t>
      </w:r>
      <w:r>
        <w:rPr>
          <w:spacing w:val="-1"/>
        </w:rPr>
        <w:t>，主要是上年</w:t>
      </w:r>
      <w:r>
        <w:rPr>
          <w:w w:val="100"/>
        </w:rPr>
        <w:t> </w:t>
      </w:r>
      <w:r>
        <w:rPr/>
        <w:t>同期处置一辆别克车收入</w:t>
      </w:r>
      <w:r>
        <w:rPr>
          <w:rFonts w:ascii="宋体" w:hAnsi="宋体" w:cs="宋体" w:eastAsia="宋体" w:hint="default"/>
        </w:rPr>
        <w:t>15.9</w:t>
      </w:r>
      <w:r>
        <w:rPr/>
        <w:t>万元。</w:t>
      </w:r>
    </w:p>
    <w:p>
      <w:pPr>
        <w:pStyle w:val="Heading3"/>
        <w:spacing w:line="326" w:lineRule="auto" w:before="34"/>
        <w:ind w:right="460" w:firstLine="559"/>
        <w:jc w:val="left"/>
      </w:pPr>
      <w:r>
        <w:rPr>
          <w:rFonts w:ascii="宋体" w:hAnsi="宋体" w:cs="宋体" w:eastAsia="宋体" w:hint="default"/>
        </w:rPr>
        <w:t>4</w:t>
      </w:r>
      <w:r>
        <w:rPr/>
        <w:t>、报告期内，公司筹资活动现金流入同比减少</w:t>
      </w:r>
      <w:r>
        <w:rPr>
          <w:rFonts w:ascii="宋体" w:hAnsi="宋体" w:cs="宋体" w:eastAsia="宋体" w:hint="default"/>
        </w:rPr>
        <w:t>98.17%</w:t>
      </w:r>
      <w:r>
        <w:rPr/>
        <w:t>，主要系</w:t>
      </w:r>
      <w:r>
        <w:rPr>
          <w:w w:val="100"/>
        </w:rPr>
        <w:t> </w:t>
      </w:r>
      <w:r>
        <w:rPr>
          <w:spacing w:val="-4"/>
        </w:rPr>
        <w:t>公司在上年同期收到募投资金</w:t>
      </w:r>
      <w:r>
        <w:rPr>
          <w:rFonts w:ascii="宋体" w:hAnsi="宋体" w:cs="宋体" w:eastAsia="宋体" w:hint="default"/>
          <w:spacing w:val="-4"/>
        </w:rPr>
        <w:t>37,850</w:t>
      </w:r>
      <w:r>
        <w:rPr>
          <w:spacing w:val="-4"/>
        </w:rPr>
        <w:t>万元，金融机构借款</w:t>
      </w:r>
      <w:r>
        <w:rPr>
          <w:rFonts w:ascii="宋体" w:hAnsi="宋体" w:cs="宋体" w:eastAsia="宋体" w:hint="default"/>
          <w:spacing w:val="-4"/>
        </w:rPr>
        <w:t>3,500</w:t>
      </w:r>
      <w:r>
        <w:rPr>
          <w:spacing w:val="-4"/>
        </w:rPr>
        <w:t>万元。</w:t>
      </w:r>
    </w:p>
    <w:p>
      <w:pPr>
        <w:pStyle w:val="Heading3"/>
        <w:spacing w:line="328" w:lineRule="auto" w:before="32"/>
        <w:ind w:right="460" w:firstLine="559"/>
        <w:jc w:val="left"/>
      </w:pPr>
      <w:r>
        <w:rPr>
          <w:rFonts w:ascii="宋体" w:hAnsi="宋体" w:cs="宋体" w:eastAsia="宋体" w:hint="default"/>
          <w:spacing w:val="-1"/>
        </w:rPr>
        <w:t>5</w:t>
      </w:r>
      <w:r>
        <w:rPr>
          <w:spacing w:val="-1"/>
        </w:rPr>
        <w:t>、报告期内，公司筹资活动现金流出同比增加</w:t>
      </w:r>
      <w:r>
        <w:rPr>
          <w:rFonts w:ascii="宋体" w:hAnsi="宋体" w:cs="宋体" w:eastAsia="宋体" w:hint="default"/>
          <w:spacing w:val="-1"/>
        </w:rPr>
        <w:t>60.22%</w:t>
      </w:r>
      <w:r>
        <w:rPr>
          <w:spacing w:val="-1"/>
        </w:rPr>
        <w:t>，主要系</w:t>
      </w:r>
      <w:r>
        <w:rPr>
          <w:w w:val="100"/>
        </w:rPr>
        <w:t> </w:t>
      </w:r>
      <w:r>
        <w:rPr/>
        <w:t>公司在报告期内用现金分配股利</w:t>
      </w:r>
      <w:r>
        <w:rPr>
          <w:rFonts w:ascii="宋体" w:hAnsi="宋体" w:cs="宋体" w:eastAsia="宋体" w:hint="default"/>
        </w:rPr>
        <w:t>4,348.51</w:t>
      </w:r>
      <w:r>
        <w:rPr/>
        <w:t>万元所致。</w:t>
      </w:r>
    </w:p>
    <w:p>
      <w:pPr>
        <w:pStyle w:val="Heading2"/>
        <w:spacing w:line="240" w:lineRule="auto"/>
        <w:ind w:left="279" w:right="460"/>
        <w:jc w:val="left"/>
        <w:rPr>
          <w:b w:val="0"/>
          <w:bCs w:val="0"/>
        </w:rPr>
      </w:pPr>
      <w:r>
        <w:rPr/>
        <w:t>（七）资产周转能力分析</w:t>
      </w:r>
      <w:r>
        <w:rPr>
          <w:b w:val="0"/>
          <w:bCs w:val="0"/>
        </w:rPr>
      </w:r>
    </w:p>
    <w:p>
      <w:pPr>
        <w:spacing w:line="240" w:lineRule="auto" w:before="8"/>
        <w:rPr>
          <w:rFonts w:ascii="宋体" w:hAnsi="宋体" w:cs="宋体" w:eastAsia="宋体" w:hint="default"/>
          <w:b/>
          <w:bCs/>
          <w:sz w:val="4"/>
          <w:szCs w:val="4"/>
        </w:rPr>
      </w:pPr>
    </w:p>
    <w:tbl>
      <w:tblPr>
        <w:tblW w:w="0" w:type="auto"/>
        <w:jc w:val="left"/>
        <w:tblInd w:w="116" w:type="dxa"/>
        <w:tblLayout w:type="fixed"/>
        <w:tblCellMar>
          <w:top w:w="0" w:type="dxa"/>
          <w:left w:w="0" w:type="dxa"/>
          <w:bottom w:w="0" w:type="dxa"/>
          <w:right w:w="0" w:type="dxa"/>
        </w:tblCellMar>
        <w:tblLook w:val="01E0"/>
      </w:tblPr>
      <w:tblGrid>
        <w:gridCol w:w="3121"/>
        <w:gridCol w:w="2081"/>
        <w:gridCol w:w="1899"/>
        <w:gridCol w:w="1721"/>
      </w:tblGrid>
      <w:tr>
        <w:trPr>
          <w:trHeight w:val="486" w:hRule="exact"/>
        </w:trPr>
        <w:tc>
          <w:tcPr>
            <w:tcW w:w="3121"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tabs>
                <w:tab w:pos="479" w:val="left" w:leader="none"/>
              </w:tabs>
              <w:spacing w:line="275" w:lineRule="exact"/>
              <w:ind w:right="0"/>
              <w:jc w:val="center"/>
              <w:rPr>
                <w:rFonts w:ascii="黑体" w:hAnsi="黑体" w:cs="黑体" w:eastAsia="黑体" w:hint="default"/>
                <w:sz w:val="24"/>
                <w:szCs w:val="24"/>
              </w:rPr>
            </w:pPr>
            <w:r>
              <w:rPr>
                <w:rFonts w:ascii="黑体" w:hAnsi="黑体" w:cs="黑体" w:eastAsia="黑体" w:hint="default"/>
                <w:sz w:val="24"/>
                <w:szCs w:val="24"/>
              </w:rPr>
              <w:t>项</w:t>
              <w:tab/>
              <w:t>目</w:t>
            </w:r>
          </w:p>
        </w:tc>
        <w:tc>
          <w:tcPr>
            <w:tcW w:w="2081"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75" w:lineRule="exact"/>
              <w:ind w:left="2" w:right="0"/>
              <w:jc w:val="center"/>
              <w:rPr>
                <w:rFonts w:ascii="黑体" w:hAnsi="黑体" w:cs="黑体" w:eastAsia="黑体" w:hint="default"/>
                <w:sz w:val="24"/>
                <w:szCs w:val="24"/>
              </w:rPr>
            </w:pPr>
            <w:r>
              <w:rPr>
                <w:rFonts w:ascii="黑体" w:hAnsi="黑体" w:cs="黑体" w:eastAsia="黑体" w:hint="default"/>
                <w:b/>
                <w:bCs/>
                <w:sz w:val="24"/>
                <w:szCs w:val="24"/>
              </w:rPr>
              <w:t>2010</w:t>
            </w:r>
            <w:r>
              <w:rPr>
                <w:rFonts w:ascii="黑体" w:hAnsi="黑体" w:cs="黑体" w:eastAsia="黑体" w:hint="default"/>
                <w:b/>
                <w:bCs/>
                <w:spacing w:val="-59"/>
                <w:sz w:val="24"/>
                <w:szCs w:val="24"/>
              </w:rPr>
              <w:t> </w:t>
            </w:r>
            <w:r>
              <w:rPr>
                <w:rFonts w:ascii="黑体" w:hAnsi="黑体" w:cs="黑体" w:eastAsia="黑体" w:hint="default"/>
                <w:sz w:val="24"/>
                <w:szCs w:val="24"/>
              </w:rPr>
              <w:t>年</w:t>
            </w:r>
          </w:p>
        </w:tc>
        <w:tc>
          <w:tcPr>
            <w:tcW w:w="189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75" w:lineRule="exact"/>
              <w:ind w:right="0"/>
              <w:jc w:val="center"/>
              <w:rPr>
                <w:rFonts w:ascii="黑体" w:hAnsi="黑体" w:cs="黑体" w:eastAsia="黑体" w:hint="default"/>
                <w:sz w:val="24"/>
                <w:szCs w:val="24"/>
              </w:rPr>
            </w:pPr>
            <w:r>
              <w:rPr>
                <w:rFonts w:ascii="黑体" w:hAnsi="黑体" w:cs="黑体" w:eastAsia="黑体" w:hint="default"/>
                <w:b/>
                <w:bCs/>
                <w:sz w:val="24"/>
                <w:szCs w:val="24"/>
              </w:rPr>
              <w:t>2009</w:t>
            </w:r>
            <w:r>
              <w:rPr>
                <w:rFonts w:ascii="黑体" w:hAnsi="黑体" w:cs="黑体" w:eastAsia="黑体" w:hint="default"/>
                <w:b/>
                <w:bCs/>
                <w:spacing w:val="-59"/>
                <w:sz w:val="24"/>
                <w:szCs w:val="24"/>
              </w:rPr>
              <w:t> </w:t>
            </w:r>
            <w:r>
              <w:rPr>
                <w:rFonts w:ascii="黑体" w:hAnsi="黑体" w:cs="黑体" w:eastAsia="黑体" w:hint="default"/>
                <w:sz w:val="24"/>
                <w:szCs w:val="24"/>
              </w:rPr>
              <w:t>年</w:t>
            </w:r>
          </w:p>
        </w:tc>
        <w:tc>
          <w:tcPr>
            <w:tcW w:w="1721"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75" w:lineRule="exact"/>
              <w:ind w:left="2" w:right="0"/>
              <w:jc w:val="center"/>
              <w:rPr>
                <w:rFonts w:ascii="黑体" w:hAnsi="黑体" w:cs="黑体" w:eastAsia="黑体" w:hint="default"/>
                <w:sz w:val="24"/>
                <w:szCs w:val="24"/>
              </w:rPr>
            </w:pPr>
            <w:r>
              <w:rPr>
                <w:rFonts w:ascii="黑体" w:hAnsi="黑体" w:cs="黑体" w:eastAsia="黑体" w:hint="default"/>
                <w:b/>
                <w:bCs/>
                <w:sz w:val="24"/>
                <w:szCs w:val="24"/>
              </w:rPr>
              <w:t>2008</w:t>
            </w:r>
            <w:r>
              <w:rPr>
                <w:rFonts w:ascii="黑体" w:hAnsi="黑体" w:cs="黑体" w:eastAsia="黑体" w:hint="default"/>
                <w:b/>
                <w:bCs/>
                <w:spacing w:val="-59"/>
                <w:sz w:val="24"/>
                <w:szCs w:val="24"/>
              </w:rPr>
              <w:t> </w:t>
            </w:r>
            <w:r>
              <w:rPr>
                <w:rFonts w:ascii="黑体" w:hAnsi="黑体" w:cs="黑体" w:eastAsia="黑体" w:hint="default"/>
                <w:sz w:val="24"/>
                <w:szCs w:val="24"/>
              </w:rPr>
              <w:t>年</w:t>
            </w:r>
          </w:p>
        </w:tc>
      </w:tr>
      <w:tr>
        <w:trPr>
          <w:trHeight w:val="487" w:hRule="exact"/>
        </w:trPr>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应收账款周转率</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1.84</w:t>
            </w:r>
          </w:p>
        </w:tc>
        <w:tc>
          <w:tcPr>
            <w:tcW w:w="189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2.04</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2.05</w:t>
            </w:r>
          </w:p>
        </w:tc>
      </w:tr>
      <w:tr>
        <w:trPr>
          <w:trHeight w:val="487" w:hRule="exact"/>
        </w:trPr>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存货周转率</w:t>
            </w:r>
          </w:p>
        </w:tc>
        <w:tc>
          <w:tcPr>
            <w:tcW w:w="208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1.84</w:t>
            </w:r>
          </w:p>
        </w:tc>
        <w:tc>
          <w:tcPr>
            <w:tcW w:w="189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1.43</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1.34</w:t>
            </w:r>
          </w:p>
        </w:tc>
      </w:tr>
    </w:tbl>
    <w:p>
      <w:pPr>
        <w:pStyle w:val="Heading3"/>
        <w:spacing w:line="328" w:lineRule="auto" w:before="73"/>
        <w:ind w:right="633" w:firstLine="559"/>
        <w:jc w:val="both"/>
      </w:pPr>
      <w:r>
        <w:rPr>
          <w:spacing w:val="-5"/>
        </w:rPr>
        <w:t>近三年，公司的应收账款周转率处于较好的水平，存货周转率在</w:t>
      </w:r>
      <w:r>
        <w:rPr>
          <w:w w:val="100"/>
        </w:rPr>
        <w:t> </w:t>
      </w:r>
      <w:r>
        <w:rPr>
          <w:spacing w:val="-4"/>
        </w:rPr>
        <w:t>小幅度的范围内波动，说明公司资产周转能力基本保持平稳，表现出</w:t>
      </w:r>
      <w:r>
        <w:rPr>
          <w:spacing w:val="-113"/>
        </w:rPr>
        <w:t> </w:t>
      </w:r>
      <w:r>
        <w:rPr>
          <w:spacing w:val="-113"/>
        </w:rPr>
      </w:r>
      <w:r>
        <w:rPr/>
        <w:t>较好的资产运营能力。</w:t>
      </w:r>
    </w:p>
    <w:p>
      <w:pPr>
        <w:spacing w:line="326" w:lineRule="auto" w:before="29"/>
        <w:ind w:left="697" w:right="460" w:hanging="418"/>
        <w:jc w:val="left"/>
        <w:rPr>
          <w:rFonts w:ascii="宋体" w:hAnsi="宋体" w:cs="宋体" w:eastAsia="宋体" w:hint="default"/>
          <w:sz w:val="28"/>
          <w:szCs w:val="28"/>
        </w:rPr>
      </w:pPr>
      <w:r>
        <w:rPr>
          <w:rFonts w:ascii="宋体" w:hAnsi="宋体" w:cs="宋体" w:eastAsia="宋体" w:hint="default"/>
          <w:b/>
          <w:bCs/>
          <w:sz w:val="28"/>
          <w:szCs w:val="28"/>
        </w:rPr>
        <w:t>（八）公司主要子公司、参股公司的经营情况及业绩分析</w:t>
      </w:r>
      <w:r>
        <w:rPr>
          <w:rFonts w:ascii="宋体" w:hAnsi="宋体" w:cs="宋体" w:eastAsia="宋体" w:hint="default"/>
          <w:b/>
          <w:bCs/>
          <w:w w:val="99"/>
          <w:sz w:val="28"/>
          <w:szCs w:val="28"/>
        </w:rPr>
        <w:t> </w:t>
      </w:r>
      <w:r>
        <w:rPr>
          <w:rFonts w:ascii="宋体" w:hAnsi="宋体" w:cs="宋体" w:eastAsia="宋体" w:hint="default"/>
          <w:spacing w:val="-1"/>
          <w:sz w:val="28"/>
          <w:szCs w:val="28"/>
        </w:rPr>
        <w:t>1</w:t>
      </w:r>
      <w:r>
        <w:rPr>
          <w:rFonts w:ascii="宋体" w:hAnsi="宋体" w:cs="宋体" w:eastAsia="宋体" w:hint="default"/>
          <w:spacing w:val="-1"/>
          <w:sz w:val="28"/>
          <w:szCs w:val="28"/>
        </w:rPr>
        <w:t>、河南辉煌软件有限公司：公司全资子公司，注册资本</w:t>
      </w:r>
      <w:r>
        <w:rPr>
          <w:rFonts w:ascii="宋体" w:hAnsi="宋体" w:cs="宋体" w:eastAsia="宋体" w:hint="default"/>
          <w:spacing w:val="-1"/>
          <w:sz w:val="28"/>
          <w:szCs w:val="28"/>
        </w:rPr>
        <w:t>1500</w:t>
      </w:r>
      <w:r>
        <w:rPr>
          <w:rFonts w:ascii="宋体" w:hAnsi="宋体" w:cs="宋体" w:eastAsia="宋体" w:hint="default"/>
          <w:spacing w:val="-1"/>
          <w:sz w:val="28"/>
          <w:szCs w:val="28"/>
        </w:rPr>
        <w:t>万</w:t>
      </w:r>
    </w:p>
    <w:p>
      <w:pPr>
        <w:pStyle w:val="Heading3"/>
        <w:spacing w:line="326" w:lineRule="auto" w:before="34"/>
        <w:ind w:right="629"/>
        <w:jc w:val="both"/>
      </w:pPr>
      <w:r>
        <w:rPr>
          <w:spacing w:val="-4"/>
        </w:rPr>
        <w:t>元，主营业务为铁路信号通信行业软件产品的开发及销售。截至</w:t>
      </w:r>
      <w:r>
        <w:rPr>
          <w:rFonts w:ascii="宋体" w:hAnsi="宋体" w:cs="宋体" w:eastAsia="宋体" w:hint="default"/>
          <w:spacing w:val="-4"/>
        </w:rPr>
        <w:t>2010</w:t>
      </w:r>
      <w:r>
        <w:rPr>
          <w:rFonts w:ascii="宋体" w:hAnsi="宋体" w:cs="宋体" w:eastAsia="宋体" w:hint="default"/>
          <w:spacing w:val="-108"/>
        </w:rPr>
        <w:t> </w:t>
      </w:r>
      <w:r>
        <w:rPr>
          <w:rFonts w:ascii="宋体" w:hAnsi="宋体" w:cs="宋体" w:eastAsia="宋体" w:hint="default"/>
          <w:spacing w:val="-108"/>
        </w:rPr>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日，公司总资产</w:t>
      </w:r>
      <w:r>
        <w:rPr>
          <w:rFonts w:ascii="宋体" w:hAnsi="宋体" w:cs="宋体" w:eastAsia="宋体" w:hint="default"/>
          <w:spacing w:val="-4"/>
        </w:rPr>
        <w:t>11,225.28</w:t>
      </w:r>
      <w:r>
        <w:rPr>
          <w:spacing w:val="-4"/>
        </w:rPr>
        <w:t>万元，净资产</w:t>
      </w:r>
      <w:r>
        <w:rPr>
          <w:rFonts w:ascii="宋体" w:hAnsi="宋体" w:cs="宋体" w:eastAsia="宋体" w:hint="default"/>
          <w:spacing w:val="-4"/>
        </w:rPr>
        <w:t>10,912.07</w:t>
      </w:r>
      <w:r>
        <w:rPr>
          <w:spacing w:val="-4"/>
        </w:rPr>
        <w:t>万元，实</w:t>
      </w:r>
      <w:r>
        <w:rPr>
          <w:spacing w:val="-78"/>
        </w:rPr>
        <w:t> </w:t>
      </w:r>
      <w:r>
        <w:rPr>
          <w:spacing w:val="-78"/>
        </w:rPr>
      </w:r>
      <w:r>
        <w:rPr/>
        <w:t>现营业收入</w:t>
      </w:r>
      <w:r>
        <w:rPr>
          <w:rFonts w:ascii="宋体" w:hAnsi="宋体" w:cs="宋体" w:eastAsia="宋体" w:hint="default"/>
        </w:rPr>
        <w:t>4,197.44</w:t>
      </w:r>
      <w:r>
        <w:rPr/>
        <w:t>万元</w:t>
      </w:r>
      <w:r>
        <w:rPr>
          <w:spacing w:val="-8"/>
        </w:rPr>
        <w:t> </w:t>
      </w:r>
      <w:r>
        <w:rPr/>
        <w:t>，净利润</w:t>
      </w:r>
      <w:r>
        <w:rPr>
          <w:rFonts w:ascii="宋体" w:hAnsi="宋体" w:cs="宋体" w:eastAsia="宋体" w:hint="default"/>
        </w:rPr>
        <w:t>3,961.23</w:t>
      </w:r>
      <w:r>
        <w:rPr/>
        <w:t>万元。</w:t>
      </w:r>
    </w:p>
    <w:p>
      <w:pPr>
        <w:pStyle w:val="Heading3"/>
        <w:spacing w:line="319" w:lineRule="auto" w:before="34"/>
        <w:ind w:right="684" w:firstLine="559"/>
        <w:jc w:val="left"/>
        <w:rPr>
          <w:rFonts w:ascii="宋体" w:hAnsi="宋体" w:cs="宋体" w:eastAsia="宋体" w:hint="default"/>
        </w:rPr>
      </w:pPr>
      <w:r>
        <w:rPr>
          <w:rFonts w:ascii="宋体" w:hAnsi="宋体" w:cs="宋体" w:eastAsia="宋体" w:hint="default"/>
          <w:spacing w:val="-1"/>
        </w:rPr>
        <w:t>2</w:t>
      </w:r>
      <w:r>
        <w:rPr>
          <w:spacing w:val="-1"/>
        </w:rPr>
        <w:t>、北京全路信通软件科技有限公司：公司全资子公司，注册资</w:t>
      </w:r>
      <w:r>
        <w:rPr>
          <w:w w:val="100"/>
        </w:rPr>
        <w:t> </w:t>
      </w:r>
      <w:r>
        <w:rPr>
          <w:spacing w:val="-1"/>
        </w:rPr>
        <w:t>本</w:t>
      </w:r>
      <w:r>
        <w:rPr>
          <w:rFonts w:ascii="宋体" w:hAnsi="宋体" w:cs="宋体" w:eastAsia="宋体" w:hint="default"/>
          <w:spacing w:val="-1"/>
        </w:rPr>
        <w:t>500</w:t>
      </w:r>
      <w:r>
        <w:rPr>
          <w:spacing w:val="-1"/>
        </w:rPr>
        <w:t>万元，截至</w:t>
      </w:r>
      <w:r>
        <w:rPr>
          <w:rFonts w:ascii="宋体" w:hAnsi="宋体" w:cs="宋体" w:eastAsia="宋体" w:hint="default"/>
          <w:spacing w:val="-1"/>
        </w:rPr>
        <w:t>2010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日，公司总资产</w:t>
      </w:r>
      <w:r>
        <w:rPr>
          <w:rFonts w:ascii="宋体" w:hAnsi="宋体" w:cs="宋体" w:eastAsia="宋体" w:hint="default"/>
          <w:spacing w:val="-1"/>
        </w:rPr>
        <w:t>498.24</w:t>
      </w:r>
      <w:r>
        <w:rPr>
          <w:spacing w:val="-1"/>
        </w:rPr>
        <w:t>万元，净资产</w:t>
      </w:r>
      <w:r>
        <w:rPr>
          <w:spacing w:val="-116"/>
        </w:rPr>
        <w:t> </w:t>
      </w:r>
      <w:r>
        <w:rPr>
          <w:spacing w:val="-116"/>
        </w:rPr>
      </w:r>
      <w:r>
        <w:rPr>
          <w:rFonts w:ascii="宋体" w:hAnsi="宋体" w:cs="宋体" w:eastAsia="宋体" w:hint="default"/>
        </w:rPr>
        <w:t>4,97.24</w:t>
      </w:r>
      <w:r>
        <w:rPr/>
        <w:t>万元，</w:t>
      </w:r>
      <w:r>
        <w:rPr>
          <w:rFonts w:ascii="宋体" w:hAnsi="宋体" w:cs="宋体" w:eastAsia="宋体" w:hint="default"/>
        </w:rPr>
        <w:t>2010</w:t>
      </w:r>
      <w:r>
        <w:rPr/>
        <w:t>年度实现净利润</w:t>
      </w:r>
      <w:r>
        <w:rPr>
          <w:rFonts w:ascii="宋体" w:hAnsi="宋体" w:cs="宋体" w:eastAsia="宋体" w:hint="default"/>
        </w:rPr>
        <w:t>-2.76</w:t>
      </w:r>
      <w:r>
        <w:rPr>
          <w:rFonts w:ascii="宋体" w:hAnsi="宋体" w:cs="宋体" w:eastAsia="宋体" w:hint="default"/>
          <w:spacing w:val="-1"/>
        </w:rPr>
        <w:t> </w:t>
      </w:r>
      <w:r>
        <w:rPr/>
        <w:t>万元。</w:t>
      </w:r>
      <w:r>
        <w:rPr>
          <w:w w:val="100"/>
        </w:rPr>
        <w:t> </w:t>
      </w:r>
      <w:r>
        <w:rPr>
          <w:rFonts w:ascii="宋体" w:hAnsi="宋体" w:cs="宋体" w:eastAsia="宋体" w:hint="default"/>
          <w:b/>
          <w:bCs/>
        </w:rPr>
        <w:t>二、公司未来发展的展望</w:t>
      </w:r>
      <w:r>
        <w:rPr>
          <w:rFonts w:ascii="宋体" w:hAnsi="宋体" w:cs="宋体" w:eastAsia="宋体" w:hint="default"/>
        </w:rPr>
      </w:r>
    </w:p>
    <w:p>
      <w:pPr>
        <w:pStyle w:val="Heading3"/>
        <w:spacing w:line="240" w:lineRule="auto" w:before="33"/>
        <w:ind w:left="697" w:right="460"/>
        <w:jc w:val="left"/>
      </w:pPr>
      <w:r>
        <w:rPr>
          <w:rFonts w:ascii="宋体" w:hAnsi="宋体" w:cs="宋体" w:eastAsia="宋体" w:hint="default"/>
        </w:rPr>
        <w:t>2004</w:t>
      </w:r>
      <w:r>
        <w:rPr>
          <w:rFonts w:ascii="宋体" w:hAnsi="宋体" w:cs="宋体" w:eastAsia="宋体" w:hint="default"/>
          <w:spacing w:val="-79"/>
        </w:rPr>
        <w:t> </w:t>
      </w:r>
      <w:r>
        <w:rPr/>
        <w:t>年，国务院通过的《中长期铁路网规划》计划到</w:t>
      </w:r>
      <w:r>
        <w:rPr>
          <w:spacing w:val="-79"/>
        </w:rPr>
        <w:t> </w:t>
      </w:r>
      <w:r>
        <w:rPr>
          <w:rFonts w:ascii="宋体" w:hAnsi="宋体" w:cs="宋体" w:eastAsia="宋体" w:hint="default"/>
        </w:rPr>
        <w:t>2020</w:t>
      </w:r>
      <w:r>
        <w:rPr>
          <w:rFonts w:ascii="宋体" w:hAnsi="宋体" w:cs="宋体" w:eastAsia="宋体" w:hint="default"/>
          <w:spacing w:val="-79"/>
        </w:rPr>
        <w:t> </w:t>
      </w:r>
      <w:r>
        <w:rPr/>
        <w:t>年全</w:t>
      </w:r>
    </w:p>
    <w:p>
      <w:pPr>
        <w:spacing w:after="0" w:line="240" w:lineRule="auto"/>
        <w:jc w:val="left"/>
        <w:sectPr>
          <w:pgSz w:w="11910" w:h="16840"/>
          <w:pgMar w:header="624" w:footer="1045" w:top="980" w:bottom="1240" w:left="1660" w:right="1160"/>
        </w:sectPr>
      </w:pPr>
    </w:p>
    <w:p>
      <w:pPr>
        <w:pStyle w:val="Heading3"/>
        <w:spacing w:line="328" w:lineRule="auto" w:before="73"/>
        <w:ind w:right="105"/>
        <w:jc w:val="left"/>
      </w:pPr>
      <w:r>
        <w:rPr/>
        <w:t>国铁路营业里程达到</w:t>
      </w:r>
      <w:r>
        <w:rPr>
          <w:spacing w:val="-71"/>
        </w:rPr>
        <w:t> </w:t>
      </w:r>
      <w:r>
        <w:rPr>
          <w:rFonts w:ascii="宋体" w:hAnsi="宋体" w:cs="宋体" w:eastAsia="宋体" w:hint="default"/>
        </w:rPr>
        <w:t>10</w:t>
      </w:r>
      <w:r>
        <w:rPr>
          <w:rFonts w:ascii="宋体" w:hAnsi="宋体" w:cs="宋体" w:eastAsia="宋体" w:hint="default"/>
          <w:spacing w:val="-73"/>
        </w:rPr>
        <w:t> </w:t>
      </w:r>
      <w:r>
        <w:rPr/>
        <w:t>万公里，主要繁忙干线实现客货分线，建设</w:t>
      </w:r>
      <w:r>
        <w:rPr>
          <w:w w:val="100"/>
        </w:rPr>
        <w:t> </w:t>
      </w:r>
      <w:r>
        <w:rPr/>
        <w:t>高速铁路</w:t>
      </w:r>
      <w:r>
        <w:rPr>
          <w:spacing w:val="-74"/>
        </w:rPr>
        <w:t> </w:t>
      </w:r>
      <w:r>
        <w:rPr>
          <w:rFonts w:ascii="宋体" w:hAnsi="宋体" w:cs="宋体" w:eastAsia="宋体" w:hint="default"/>
        </w:rPr>
        <w:t>1.2</w:t>
      </w:r>
      <w:r>
        <w:rPr>
          <w:rFonts w:ascii="宋体" w:hAnsi="宋体" w:cs="宋体" w:eastAsia="宋体" w:hint="default"/>
          <w:spacing w:val="-70"/>
        </w:rPr>
        <w:t> </w:t>
      </w:r>
      <w:r>
        <w:rPr/>
        <w:t>万公里以上。</w:t>
      </w:r>
      <w:r>
        <w:rPr>
          <w:rFonts w:ascii="宋体" w:hAnsi="宋体" w:cs="宋体" w:eastAsia="宋体" w:hint="default"/>
        </w:rPr>
        <w:t>2008</w:t>
      </w:r>
      <w:r>
        <w:rPr>
          <w:rFonts w:ascii="宋体" w:hAnsi="宋体" w:cs="宋体" w:eastAsia="宋体" w:hint="default"/>
          <w:spacing w:val="-70"/>
        </w:rPr>
        <w:t> </w:t>
      </w:r>
      <w:r>
        <w:rPr/>
        <w:t>年，根据我国综合交通体系建设的</w:t>
      </w:r>
      <w:r>
        <w:rPr>
          <w:w w:val="100"/>
        </w:rPr>
        <w:t> </w:t>
      </w:r>
      <w:r>
        <w:rPr>
          <w:spacing w:val="-5"/>
        </w:rPr>
        <w:t>需要，国务院对《中长期铁路网规划》进行了调整，确定到 </w:t>
      </w:r>
      <w:r>
        <w:rPr>
          <w:rFonts w:ascii="宋体" w:hAnsi="宋体" w:cs="宋体" w:eastAsia="宋体" w:hint="default"/>
        </w:rPr>
        <w:t>2020</w:t>
      </w:r>
      <w:r>
        <w:rPr>
          <w:rFonts w:ascii="宋体" w:hAnsi="宋体" w:cs="宋体" w:eastAsia="宋体" w:hint="default"/>
          <w:spacing w:val="-96"/>
        </w:rPr>
        <w:t> </w:t>
      </w:r>
      <w:r>
        <w:rPr>
          <w:spacing w:val="-3"/>
        </w:rPr>
        <w:t>年，</w:t>
      </w:r>
      <w:r>
        <w:rPr/>
      </w:r>
    </w:p>
    <w:p>
      <w:pPr>
        <w:pStyle w:val="Heading3"/>
        <w:spacing w:line="328" w:lineRule="auto"/>
        <w:ind w:right="293"/>
        <w:jc w:val="left"/>
      </w:pPr>
      <w:r>
        <w:rPr/>
        <w:t>全国铁路营业里程达到</w:t>
      </w:r>
      <w:r>
        <w:rPr>
          <w:spacing w:val="-71"/>
        </w:rPr>
        <w:t> </w:t>
      </w:r>
      <w:r>
        <w:rPr>
          <w:rFonts w:ascii="宋体" w:hAnsi="宋体" w:cs="宋体" w:eastAsia="宋体" w:hint="default"/>
        </w:rPr>
        <w:t>12</w:t>
      </w:r>
      <w:r>
        <w:rPr>
          <w:rFonts w:ascii="宋体" w:hAnsi="宋体" w:cs="宋体" w:eastAsia="宋体" w:hint="default"/>
          <w:spacing w:val="-71"/>
        </w:rPr>
        <w:t> </w:t>
      </w:r>
      <w:r>
        <w:rPr/>
        <w:t>万公里以上，建设高速铁路</w:t>
      </w:r>
      <w:r>
        <w:rPr>
          <w:spacing w:val="-73"/>
        </w:rPr>
        <w:t> </w:t>
      </w:r>
      <w:r>
        <w:rPr>
          <w:rFonts w:ascii="宋体" w:hAnsi="宋体" w:cs="宋体" w:eastAsia="宋体" w:hint="default"/>
        </w:rPr>
        <w:t>1.6</w:t>
      </w:r>
      <w:r>
        <w:rPr>
          <w:rFonts w:ascii="宋体" w:hAnsi="宋体" w:cs="宋体" w:eastAsia="宋体" w:hint="default"/>
          <w:spacing w:val="-70"/>
        </w:rPr>
        <w:t> </w:t>
      </w:r>
      <w:r>
        <w:rPr/>
        <w:t>万公里以</w:t>
      </w:r>
      <w:r>
        <w:rPr>
          <w:w w:val="100"/>
        </w:rPr>
        <w:t> </w:t>
      </w:r>
      <w:r>
        <w:rPr/>
        <w:t>上。</w:t>
      </w:r>
    </w:p>
    <w:p>
      <w:pPr>
        <w:pStyle w:val="Heading3"/>
        <w:spacing w:line="326" w:lineRule="auto"/>
        <w:ind w:right="244" w:firstLine="559"/>
        <w:jc w:val="left"/>
      </w:pPr>
      <w:r>
        <w:rPr>
          <w:spacing w:val="-5"/>
        </w:rPr>
        <w:t>另一方面，随着城市建设的发展，中国的城市轨道交通建设也进</w:t>
      </w:r>
      <w:r>
        <w:rPr>
          <w:w w:val="100"/>
        </w:rPr>
        <w:t> </w:t>
      </w:r>
      <w:r>
        <w:rPr>
          <w:spacing w:val="-5"/>
        </w:rPr>
        <w:t>入到了一个大跨越时期，仅</w:t>
      </w:r>
      <w:r>
        <w:rPr>
          <w:spacing w:val="-66"/>
        </w:rPr>
        <w:t> </w:t>
      </w:r>
      <w:r>
        <w:rPr>
          <w:rFonts w:ascii="宋体" w:hAnsi="宋体" w:cs="宋体" w:eastAsia="宋体" w:hint="default"/>
        </w:rPr>
        <w:t>2010</w:t>
      </w:r>
      <w:r>
        <w:rPr>
          <w:rFonts w:ascii="宋体" w:hAnsi="宋体" w:cs="宋体" w:eastAsia="宋体" w:hint="default"/>
          <w:spacing w:val="-63"/>
        </w:rPr>
        <w:t> </w:t>
      </w:r>
      <w:r>
        <w:rPr>
          <w:spacing w:val="-9"/>
        </w:rPr>
        <w:t>年，全国有近</w:t>
      </w:r>
      <w:r>
        <w:rPr>
          <w:spacing w:val="-67"/>
        </w:rPr>
        <w:t> </w:t>
      </w:r>
      <w:r>
        <w:rPr>
          <w:rFonts w:ascii="宋体" w:hAnsi="宋体" w:cs="宋体" w:eastAsia="宋体" w:hint="default"/>
        </w:rPr>
        <w:t>30</w:t>
      </w:r>
      <w:r>
        <w:rPr>
          <w:rFonts w:ascii="宋体" w:hAnsi="宋体" w:cs="宋体" w:eastAsia="宋体" w:hint="default"/>
          <w:spacing w:val="-66"/>
        </w:rPr>
        <w:t> </w:t>
      </w:r>
      <w:r>
        <w:rPr/>
        <w:t>个城市和地区都在</w:t>
      </w:r>
    </w:p>
    <w:p>
      <w:pPr>
        <w:pStyle w:val="Heading3"/>
        <w:spacing w:line="326" w:lineRule="auto" w:before="34"/>
        <w:ind w:left="697" w:right="106" w:hanging="560"/>
        <w:jc w:val="left"/>
      </w:pPr>
      <w:r>
        <w:rPr/>
        <w:t>进行轨道交通的建设、规划，涉及的线路项目达</w:t>
      </w:r>
      <w:r>
        <w:rPr>
          <w:spacing w:val="-73"/>
        </w:rPr>
        <w:t> </w:t>
      </w:r>
      <w:r>
        <w:rPr>
          <w:rFonts w:ascii="宋体" w:hAnsi="宋体" w:cs="宋体" w:eastAsia="宋体" w:hint="default"/>
        </w:rPr>
        <w:t>110</w:t>
      </w:r>
      <w:r>
        <w:rPr>
          <w:rFonts w:ascii="宋体" w:hAnsi="宋体" w:cs="宋体" w:eastAsia="宋体" w:hint="default"/>
          <w:spacing w:val="-73"/>
        </w:rPr>
        <w:t> </w:t>
      </w:r>
      <w:r>
        <w:rPr/>
        <w:t>多条。</w:t>
      </w:r>
      <w:r>
        <w:rPr>
          <w:w w:val="100"/>
        </w:rPr>
        <w:t> </w:t>
      </w:r>
      <w:r>
        <w:rPr>
          <w:spacing w:val="-5"/>
        </w:rPr>
        <w:t>目前中国在高铁技术方面已经走在了世界的前列，中国铁路“走</w:t>
      </w:r>
    </w:p>
    <w:p>
      <w:pPr>
        <w:pStyle w:val="Heading3"/>
        <w:spacing w:line="326" w:lineRule="auto" w:before="32"/>
        <w:ind w:right="106"/>
        <w:jc w:val="left"/>
      </w:pPr>
      <w:r>
        <w:rPr/>
        <w:t>出去”迈出重大步伐</w:t>
      </w:r>
      <w:r>
        <w:rPr>
          <w:rFonts w:ascii="宋体" w:hAnsi="宋体" w:cs="宋体" w:eastAsia="宋体" w:hint="default"/>
        </w:rPr>
        <w:t>,</w:t>
      </w:r>
      <w:r>
        <w:rPr/>
        <w:t>形成了全方位对外交流合作的良好态势。铁道</w:t>
      </w:r>
      <w:r>
        <w:rPr>
          <w:w w:val="100"/>
        </w:rPr>
        <w:t> </w:t>
      </w:r>
      <w:r>
        <w:rPr>
          <w:spacing w:val="-9"/>
        </w:rPr>
        <w:t>部已经成立了中美、中俄、中巴、中沙、中委、中缅、中吉乌、中波、</w:t>
      </w:r>
      <w:r>
        <w:rPr>
          <w:spacing w:val="-99"/>
        </w:rPr>
        <w:t> </w:t>
      </w:r>
      <w:r>
        <w:rPr>
          <w:spacing w:val="-99"/>
        </w:rPr>
      </w:r>
      <w:r>
        <w:rPr/>
        <w:t>中印等境外合作项目协调组</w:t>
      </w:r>
      <w:r>
        <w:rPr>
          <w:rFonts w:ascii="宋体" w:hAnsi="宋体" w:cs="宋体" w:eastAsia="宋体" w:hint="default"/>
        </w:rPr>
        <w:t>,</w:t>
      </w:r>
      <w:r>
        <w:rPr/>
        <w:t>组织国内有关企业开拓境外铁路工程承</w:t>
      </w:r>
      <w:r>
        <w:rPr>
          <w:w w:val="100"/>
        </w:rPr>
        <w:t> </w:t>
      </w:r>
      <w:r>
        <w:rPr/>
        <w:t>包和装备出口市场。</w:t>
      </w:r>
    </w:p>
    <w:p>
      <w:pPr>
        <w:pStyle w:val="Heading3"/>
        <w:spacing w:line="326" w:lineRule="auto" w:before="34"/>
        <w:ind w:right="441" w:firstLine="559"/>
        <w:jc w:val="both"/>
      </w:pPr>
      <w:r>
        <w:rPr>
          <w:spacing w:val="-1"/>
        </w:rPr>
        <w:t>今后</w:t>
      </w:r>
      <w:r>
        <w:rPr>
          <w:rFonts w:ascii="宋体" w:hAnsi="宋体" w:cs="宋体" w:eastAsia="宋体" w:hint="default"/>
          <w:spacing w:val="-1"/>
        </w:rPr>
        <w:t>,</w:t>
      </w:r>
      <w:r>
        <w:rPr>
          <w:spacing w:val="-1"/>
        </w:rPr>
        <w:t>中国铁路在不断发展“走出去”的新局面中</w:t>
      </w:r>
      <w:r>
        <w:rPr>
          <w:rFonts w:ascii="宋体" w:hAnsi="宋体" w:cs="宋体" w:eastAsia="宋体" w:hint="default"/>
          <w:spacing w:val="-1"/>
        </w:rPr>
        <w:t>,</w:t>
      </w:r>
      <w:r>
        <w:rPr>
          <w:spacing w:val="-1"/>
        </w:rPr>
        <w:t>将更加注重</w:t>
      </w:r>
      <w:r>
        <w:rPr>
          <w:w w:val="100"/>
        </w:rPr>
        <w:t> </w:t>
      </w:r>
      <w:r>
        <w:rPr>
          <w:spacing w:val="-1"/>
        </w:rPr>
        <w:t>发挥中国铁路产业集成优势</w:t>
      </w:r>
      <w:r>
        <w:rPr>
          <w:rFonts w:ascii="宋体" w:hAnsi="宋体" w:cs="宋体" w:eastAsia="宋体" w:hint="default"/>
          <w:spacing w:val="-1"/>
        </w:rPr>
        <w:t>,</w:t>
      </w:r>
      <w:r>
        <w:rPr>
          <w:spacing w:val="-1"/>
        </w:rPr>
        <w:t>推出中国铁路的技术和标准体系</w:t>
      </w:r>
      <w:r>
        <w:rPr>
          <w:rFonts w:ascii="宋体" w:hAnsi="宋体" w:cs="宋体" w:eastAsia="宋体" w:hint="default"/>
          <w:spacing w:val="-1"/>
        </w:rPr>
        <w:t>,</w:t>
      </w:r>
      <w:r>
        <w:rPr>
          <w:spacing w:val="-1"/>
        </w:rPr>
        <w:t>打造</w:t>
      </w:r>
      <w:r>
        <w:rPr>
          <w:spacing w:val="-113"/>
        </w:rPr>
        <w:t> </w:t>
      </w:r>
      <w:r>
        <w:rPr>
          <w:spacing w:val="-1"/>
        </w:rPr>
        <w:t>中国铁路品牌</w:t>
      </w:r>
      <w:r>
        <w:rPr>
          <w:rFonts w:ascii="宋体" w:hAnsi="宋体" w:cs="宋体" w:eastAsia="宋体" w:hint="default"/>
          <w:spacing w:val="-1"/>
        </w:rPr>
        <w:t>,</w:t>
      </w:r>
      <w:r>
        <w:rPr>
          <w:spacing w:val="-1"/>
        </w:rPr>
        <w:t>以中国铁路的技术优势和竞争实力</w:t>
      </w:r>
      <w:r>
        <w:rPr>
          <w:rFonts w:ascii="宋体" w:hAnsi="宋体" w:cs="宋体" w:eastAsia="宋体" w:hint="default"/>
          <w:spacing w:val="-1"/>
        </w:rPr>
        <w:t>,</w:t>
      </w:r>
      <w:r>
        <w:rPr>
          <w:spacing w:val="-1"/>
        </w:rPr>
        <w:t>大力开拓国际市</w:t>
      </w:r>
      <w:r>
        <w:rPr>
          <w:spacing w:val="-111"/>
        </w:rPr>
        <w:t> </w:t>
      </w:r>
      <w:r>
        <w:rPr>
          <w:spacing w:val="-111"/>
        </w:rPr>
      </w:r>
      <w:r>
        <w:rPr/>
        <w:t>场</w:t>
      </w:r>
      <w:r>
        <w:rPr>
          <w:rFonts w:ascii="宋体" w:hAnsi="宋体" w:cs="宋体" w:eastAsia="宋体" w:hint="default"/>
        </w:rPr>
        <w:t>,</w:t>
      </w:r>
      <w:r>
        <w:rPr/>
        <w:t>力争取得一批国际合作成果。</w:t>
      </w:r>
    </w:p>
    <w:p>
      <w:pPr>
        <w:pStyle w:val="Heading3"/>
        <w:spacing w:line="326" w:lineRule="auto" w:before="32"/>
        <w:ind w:right="106" w:firstLine="559"/>
        <w:jc w:val="left"/>
      </w:pPr>
      <w:r>
        <w:rPr/>
        <w:t>河南辉煌科技股份有限公司做为一家主要从事铁路通信信号和</w:t>
      </w:r>
      <w:r>
        <w:rPr>
          <w:w w:val="100"/>
        </w:rPr>
        <w:t> </w:t>
      </w:r>
      <w:r>
        <w:rPr>
          <w:spacing w:val="-4"/>
        </w:rPr>
        <w:t>铁路运输调度指挥管理领域系统产品的研发、生产和销售的企业，曾</w:t>
      </w:r>
      <w:r>
        <w:rPr>
          <w:spacing w:val="-114"/>
        </w:rPr>
        <w:t> </w:t>
      </w:r>
      <w:r>
        <w:rPr>
          <w:spacing w:val="-114"/>
        </w:rPr>
      </w:r>
      <w:r>
        <w:rPr>
          <w:spacing w:val="-4"/>
        </w:rPr>
        <w:t>经主持和参与了该领域内多个标准的制定工作。中国铁路建设的发展</w:t>
      </w:r>
      <w:r>
        <w:rPr>
          <w:spacing w:val="-115"/>
        </w:rPr>
        <w:t> </w:t>
      </w:r>
      <w:r>
        <w:rPr>
          <w:spacing w:val="-115"/>
        </w:rPr>
      </w:r>
      <w:r>
        <w:rPr/>
        <w:t>为公司提供了广阔的市场空间，公司面临着巨大的机遇和挑战。</w:t>
      </w:r>
    </w:p>
    <w:p>
      <w:pPr>
        <w:spacing w:line="324" w:lineRule="auto" w:before="0"/>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（一）行业发展趋势</w:t>
      </w:r>
      <w:r>
        <w:rPr>
          <w:rFonts w:ascii="宋体" w:hAnsi="宋体" w:cs="宋体" w:eastAsia="宋体" w:hint="default"/>
          <w:b/>
          <w:bCs/>
          <w:w w:val="99"/>
          <w:sz w:val="28"/>
          <w:szCs w:val="28"/>
        </w:rPr>
        <w:t> </w:t>
      </w:r>
      <w:r>
        <w:rPr>
          <w:rFonts w:ascii="宋体" w:hAnsi="宋体" w:cs="宋体" w:eastAsia="宋体" w:hint="default"/>
          <w:spacing w:val="-5"/>
          <w:sz w:val="28"/>
          <w:szCs w:val="28"/>
        </w:rPr>
        <w:t>公司属于铁路信号通信行业，产品主要功能是保障行车安全、提</w:t>
      </w:r>
    </w:p>
    <w:p>
      <w:pPr>
        <w:pStyle w:val="Heading3"/>
        <w:spacing w:line="328" w:lineRule="auto" w:before="34"/>
        <w:ind w:right="253"/>
        <w:jc w:val="both"/>
      </w:pPr>
      <w:r>
        <w:rPr>
          <w:spacing w:val="-4"/>
        </w:rPr>
        <w:t>高铁路调度指挥效率。随着计算机和电子技术的发展进步，铁路信号</w:t>
      </w:r>
      <w:r>
        <w:rPr>
          <w:spacing w:val="-114"/>
        </w:rPr>
        <w:t> </w:t>
      </w:r>
      <w:r>
        <w:rPr>
          <w:spacing w:val="-114"/>
        </w:rPr>
      </w:r>
      <w:r>
        <w:rPr>
          <w:spacing w:val="-4"/>
        </w:rPr>
        <w:t>领域的相关产品也经历了从功能单一到功能多样化，从一般附属设备</w:t>
      </w:r>
      <w:r>
        <w:rPr>
          <w:spacing w:val="-115"/>
        </w:rPr>
        <w:t> </w:t>
      </w:r>
      <w:r>
        <w:rPr>
          <w:spacing w:val="-115"/>
        </w:rPr>
      </w:r>
      <w:r>
        <w:rPr>
          <w:spacing w:val="-4"/>
        </w:rPr>
        <w:t>到必备的行车安全设备的转变过程。为进一步提高安全系数和运输效</w:t>
      </w:r>
      <w:r>
        <w:rPr>
          <w:spacing w:val="-115"/>
        </w:rPr>
        <w:t> </w:t>
      </w:r>
      <w:r>
        <w:rPr>
          <w:spacing w:val="-115"/>
        </w:rPr>
      </w:r>
      <w:r>
        <w:rPr>
          <w:spacing w:val="-4"/>
        </w:rPr>
        <w:t>率，铁路部门逐步加大了在信号通信领域的投资，铁路信号通信行业</w:t>
      </w:r>
      <w:r>
        <w:rPr>
          <w:spacing w:val="-113"/>
        </w:rPr>
        <w:t> </w:t>
      </w:r>
      <w:r>
        <w:rPr>
          <w:spacing w:val="-113"/>
        </w:rPr>
      </w:r>
      <w:r>
        <w:rPr/>
        <w:t>进入高速发展时期。</w:t>
      </w:r>
    </w:p>
    <w:p>
      <w:pPr>
        <w:spacing w:after="0" w:line="328" w:lineRule="auto"/>
        <w:jc w:val="both"/>
        <w:sectPr>
          <w:headerReference w:type="default" r:id="rId28"/>
          <w:pgSz w:w="11910" w:h="16840"/>
          <w:pgMar w:header="624" w:footer="1045" w:top="1240" w:bottom="1240" w:left="1660" w:right="1540"/>
        </w:sectPr>
      </w:pPr>
    </w:p>
    <w:p>
      <w:pPr>
        <w:pStyle w:val="Heading3"/>
        <w:spacing w:line="328" w:lineRule="auto" w:before="73"/>
        <w:ind w:right="98" w:firstLine="559"/>
        <w:jc w:val="left"/>
      </w:pPr>
      <w:r>
        <w:rPr>
          <w:spacing w:val="-5"/>
        </w:rPr>
        <w:t>目前，国家铁路网建设已经入到信息化建设的高峰期，给公司带</w:t>
      </w:r>
      <w:r>
        <w:rPr>
          <w:w w:val="100"/>
        </w:rPr>
        <w:t> </w:t>
      </w:r>
      <w:r>
        <w:rPr/>
        <w:t>来了巨大的市场机遇：</w:t>
      </w:r>
    </w:p>
    <w:p>
      <w:pPr>
        <w:pStyle w:val="Heading3"/>
        <w:spacing w:line="328" w:lineRule="auto"/>
        <w:ind w:right="98" w:firstLine="559"/>
        <w:jc w:val="left"/>
      </w:pPr>
      <w:r>
        <w:rPr/>
        <w:t>（</w:t>
      </w:r>
      <w:r>
        <w:rPr>
          <w:rFonts w:ascii="宋体" w:hAnsi="宋体" w:cs="宋体" w:eastAsia="宋体" w:hint="default"/>
        </w:rPr>
        <w:t>1</w:t>
      </w:r>
      <w:r>
        <w:rPr/>
        <w:t>）铁路中长期规划计划到</w:t>
      </w:r>
      <w:r>
        <w:rPr>
          <w:spacing w:val="-73"/>
        </w:rPr>
        <w:t> </w:t>
      </w:r>
      <w:r>
        <w:rPr>
          <w:rFonts w:ascii="宋体" w:hAnsi="宋体" w:cs="宋体" w:eastAsia="宋体" w:hint="default"/>
        </w:rPr>
        <w:t>2020</w:t>
      </w:r>
      <w:r>
        <w:rPr>
          <w:rFonts w:ascii="宋体" w:hAnsi="宋体" w:cs="宋体" w:eastAsia="宋体" w:hint="default"/>
          <w:spacing w:val="-70"/>
        </w:rPr>
        <w:t> </w:t>
      </w:r>
      <w:r>
        <w:rPr/>
        <w:t>年全国铁路营业里程达到</w:t>
      </w:r>
      <w:r>
        <w:rPr>
          <w:spacing w:val="-71"/>
        </w:rPr>
        <w:t> </w:t>
      </w:r>
      <w:r>
        <w:rPr>
          <w:rFonts w:ascii="宋体" w:hAnsi="宋体" w:cs="宋体" w:eastAsia="宋体" w:hint="default"/>
        </w:rPr>
        <w:t>12</w:t>
      </w:r>
      <w:r>
        <w:rPr>
          <w:rFonts w:ascii="宋体" w:hAnsi="宋体" w:cs="宋体" w:eastAsia="宋体" w:hint="default"/>
          <w:spacing w:val="1"/>
          <w:w w:val="100"/>
        </w:rPr>
        <w:t> </w:t>
      </w:r>
      <w:r>
        <w:rPr>
          <w:spacing w:val="-4"/>
        </w:rPr>
        <w:t>万公里以上，铁路基础设施项目投入持续加大，公司产品市场前景广</w:t>
      </w:r>
      <w:r>
        <w:rPr>
          <w:spacing w:val="-111"/>
        </w:rPr>
        <w:t> </w:t>
      </w:r>
      <w:r>
        <w:rPr>
          <w:spacing w:val="-111"/>
        </w:rPr>
      </w:r>
      <w:r>
        <w:rPr/>
        <w:t>阔；</w:t>
      </w:r>
    </w:p>
    <w:p>
      <w:pPr>
        <w:pStyle w:val="Heading3"/>
        <w:spacing w:line="326" w:lineRule="auto"/>
        <w:ind w:right="98" w:firstLine="559"/>
        <w:jc w:val="left"/>
      </w:pPr>
      <w:r>
        <w:rPr>
          <w:spacing w:val="-1"/>
        </w:rPr>
        <w:t>（</w:t>
      </w:r>
      <w:r>
        <w:rPr>
          <w:rFonts w:ascii="宋体" w:hAnsi="宋体" w:cs="宋体" w:eastAsia="宋体" w:hint="default"/>
          <w:spacing w:val="-1"/>
        </w:rPr>
        <w:t>2</w:t>
      </w:r>
      <w:r>
        <w:rPr>
          <w:spacing w:val="-1"/>
        </w:rPr>
        <w:t>）中国高铁建设投资持续加大，其对安全性能的高要求，为</w:t>
      </w:r>
      <w:r>
        <w:rPr>
          <w:w w:val="100"/>
        </w:rPr>
        <w:t> </w:t>
      </w:r>
      <w:r>
        <w:rPr/>
        <w:t>公司产品提供了广阔的发展空间；</w:t>
      </w:r>
    </w:p>
    <w:p>
      <w:pPr>
        <w:pStyle w:val="Heading3"/>
        <w:spacing w:line="326" w:lineRule="auto" w:before="34"/>
        <w:ind w:right="98" w:firstLine="559"/>
        <w:jc w:val="left"/>
      </w:pPr>
      <w:r>
        <w:rPr>
          <w:spacing w:val="-1"/>
        </w:rPr>
        <w:t>（</w:t>
      </w:r>
      <w:r>
        <w:rPr>
          <w:rFonts w:ascii="宋体" w:hAnsi="宋体" w:cs="宋体" w:eastAsia="宋体" w:hint="default"/>
          <w:spacing w:val="-1"/>
        </w:rPr>
        <w:t>3</w:t>
      </w:r>
      <w:r>
        <w:rPr>
          <w:spacing w:val="-1"/>
        </w:rPr>
        <w:t>）国家大力发展城市轨道交通的政策，给公司带来了新一轮</w:t>
      </w:r>
      <w:r>
        <w:rPr>
          <w:w w:val="100"/>
        </w:rPr>
        <w:t> </w:t>
      </w:r>
      <w:r>
        <w:rPr/>
        <w:t>的发展机遇；</w:t>
      </w:r>
    </w:p>
    <w:p>
      <w:pPr>
        <w:pStyle w:val="Heading3"/>
        <w:spacing w:line="328" w:lineRule="auto" w:before="32"/>
        <w:ind w:right="98" w:firstLine="559"/>
        <w:jc w:val="left"/>
      </w:pPr>
      <w:r>
        <w:rPr>
          <w:spacing w:val="-1"/>
        </w:rPr>
        <w:t>（</w:t>
      </w:r>
      <w:r>
        <w:rPr>
          <w:rFonts w:ascii="宋体" w:hAnsi="宋体" w:cs="宋体" w:eastAsia="宋体" w:hint="default"/>
          <w:spacing w:val="-1"/>
        </w:rPr>
        <w:t>4</w:t>
      </w:r>
      <w:r>
        <w:rPr>
          <w:spacing w:val="-1"/>
        </w:rPr>
        <w:t>）随着经济的复苏，地方铁路、厂矿铁路建设投资增加，同</w:t>
      </w:r>
      <w:r>
        <w:rPr>
          <w:w w:val="100"/>
        </w:rPr>
        <w:t> </w:t>
      </w:r>
      <w:r>
        <w:rPr/>
        <w:t>时一大批既有设备需要升级换代，使公司原有市场份额能够得以巩</w:t>
      </w:r>
      <w:r>
        <w:rPr>
          <w:w w:val="100"/>
        </w:rPr>
        <w:t> </w:t>
      </w:r>
      <w:r>
        <w:rPr/>
        <w:t>固；</w:t>
      </w:r>
    </w:p>
    <w:p>
      <w:pPr>
        <w:pStyle w:val="Heading3"/>
        <w:spacing w:line="328" w:lineRule="auto"/>
        <w:ind w:right="194" w:firstLine="559"/>
        <w:jc w:val="both"/>
      </w:pPr>
      <w:r>
        <w:rPr/>
        <w:t>（</w:t>
      </w:r>
      <w:r>
        <w:rPr>
          <w:rFonts w:ascii="宋体" w:hAnsi="宋体" w:cs="宋体" w:eastAsia="宋体" w:hint="default"/>
        </w:rPr>
        <w:t>5</w:t>
      </w:r>
      <w:r>
        <w:rPr/>
        <w:t>）中国高铁技术得到越来越多国家的认同，为我国高铁相关</w:t>
      </w:r>
      <w:r>
        <w:rPr>
          <w:w w:val="100"/>
        </w:rPr>
        <w:t> </w:t>
      </w:r>
      <w:r>
        <w:rPr>
          <w:spacing w:val="-4"/>
        </w:rPr>
        <w:t>技术及相关产品出口提供了巨大的便利，为公司产品走出国门，创造</w:t>
      </w:r>
      <w:r>
        <w:rPr>
          <w:spacing w:val="-114"/>
        </w:rPr>
        <w:t> </w:t>
      </w:r>
      <w:r>
        <w:rPr>
          <w:spacing w:val="-114"/>
        </w:rPr>
      </w:r>
      <w:r>
        <w:rPr/>
        <w:t>了便利条件。</w:t>
      </w:r>
    </w:p>
    <w:p>
      <w:pPr>
        <w:spacing w:line="324" w:lineRule="auto" w:before="0"/>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（二）公司发展战略</w:t>
      </w:r>
      <w:r>
        <w:rPr>
          <w:rFonts w:ascii="宋体" w:hAnsi="宋体" w:cs="宋体" w:eastAsia="宋体" w:hint="default"/>
          <w:b/>
          <w:bCs/>
          <w:w w:val="99"/>
          <w:sz w:val="28"/>
          <w:szCs w:val="28"/>
        </w:rPr>
        <w:t> </w:t>
      </w:r>
      <w:r>
        <w:rPr>
          <w:rFonts w:ascii="宋体" w:hAnsi="宋体" w:cs="宋体" w:eastAsia="宋体" w:hint="default"/>
          <w:spacing w:val="-5"/>
          <w:sz w:val="28"/>
          <w:szCs w:val="28"/>
        </w:rPr>
        <w:t>在未来的发展中，公司将以铁路通信信号领域产品为主，同时向</w:t>
      </w:r>
    </w:p>
    <w:p>
      <w:pPr>
        <w:pStyle w:val="Heading3"/>
        <w:spacing w:line="328" w:lineRule="auto" w:before="34"/>
        <w:ind w:right="107"/>
        <w:jc w:val="both"/>
      </w:pPr>
      <w:r>
        <w:rPr>
          <w:spacing w:val="-4"/>
        </w:rPr>
        <w:t>轨道交通及行车自动化领域的其他方面拓展，通过多品种、交互支撑</w:t>
      </w:r>
      <w:r>
        <w:rPr>
          <w:spacing w:val="-113"/>
        </w:rPr>
        <w:t> </w:t>
      </w:r>
      <w:r>
        <w:rPr>
          <w:spacing w:val="-113"/>
        </w:rPr>
      </w:r>
      <w:r>
        <w:rPr>
          <w:spacing w:val="-4"/>
        </w:rPr>
        <w:t>的产品结构建设以及巩固国家铁路市场、大力推进厂矿企业和地方铁</w:t>
      </w:r>
      <w:r>
        <w:rPr>
          <w:spacing w:val="-115"/>
        </w:rPr>
        <w:t> </w:t>
      </w:r>
      <w:r>
        <w:rPr>
          <w:spacing w:val="-115"/>
        </w:rPr>
      </w:r>
      <w:r>
        <w:rPr>
          <w:spacing w:val="-5"/>
        </w:rPr>
        <w:t>路市场、探索开拓国际铁路市场的市场结构建设，在</w:t>
      </w:r>
      <w:r>
        <w:rPr>
          <w:spacing w:val="-64"/>
        </w:rPr>
        <w:t> </w:t>
      </w:r>
      <w:r>
        <w:rPr>
          <w:rFonts w:ascii="宋体" w:hAnsi="宋体" w:cs="宋体" w:eastAsia="宋体" w:hint="default"/>
        </w:rPr>
        <w:t>5</w:t>
      </w:r>
      <w:r>
        <w:rPr>
          <w:rFonts w:ascii="宋体" w:hAnsi="宋体" w:cs="宋体" w:eastAsia="宋体" w:hint="default"/>
          <w:spacing w:val="-65"/>
        </w:rPr>
        <w:t> </w:t>
      </w:r>
      <w:r>
        <w:rPr/>
        <w:t>年左右的时间</w:t>
      </w:r>
      <w:r>
        <w:rPr>
          <w:spacing w:val="-129"/>
        </w:rPr>
        <w:t> </w:t>
      </w:r>
      <w:r>
        <w:rPr>
          <w:spacing w:val="-129"/>
        </w:rPr>
      </w:r>
      <w:r>
        <w:rPr>
          <w:spacing w:val="-1"/>
        </w:rPr>
        <w:t>内成为具有自主创新的技术优势和系统解决方案能力的设备供应商，</w:t>
      </w:r>
      <w:r>
        <w:rPr>
          <w:spacing w:val="-116"/>
        </w:rPr>
        <w:t> </w:t>
      </w:r>
      <w:r>
        <w:rPr>
          <w:spacing w:val="-116"/>
        </w:rPr>
      </w:r>
      <w:r>
        <w:rPr>
          <w:spacing w:val="-4"/>
        </w:rPr>
        <w:t>从参与者变成引领者，继而成长为行业内极具代表性的创新型民族企</w:t>
      </w:r>
      <w:r>
        <w:rPr>
          <w:spacing w:val="-114"/>
        </w:rPr>
        <w:t> </w:t>
      </w:r>
      <w:r>
        <w:rPr>
          <w:spacing w:val="-114"/>
        </w:rPr>
      </w:r>
      <w:r>
        <w:rPr/>
        <w:t>业。</w:t>
      </w:r>
    </w:p>
    <w:p>
      <w:pPr>
        <w:pStyle w:val="Heading2"/>
        <w:spacing w:line="362" w:lineRule="exact" w:before="0"/>
        <w:ind w:right="0"/>
        <w:jc w:val="both"/>
        <w:rPr>
          <w:b w:val="0"/>
          <w:bCs w:val="0"/>
        </w:rPr>
      </w:pPr>
      <w:r>
        <w:rPr/>
        <w:t>（三）</w:t>
      </w:r>
      <w:r>
        <w:rPr>
          <w:rFonts w:ascii="宋体" w:hAnsi="宋体" w:cs="宋体" w:eastAsia="宋体" w:hint="default"/>
        </w:rPr>
        <w:t>2011</w:t>
      </w:r>
      <w:r>
        <w:rPr>
          <w:rFonts w:ascii="宋体" w:hAnsi="宋体" w:cs="宋体" w:eastAsia="宋体" w:hint="default"/>
          <w:spacing w:val="-75"/>
        </w:rPr>
        <w:t> </w:t>
      </w:r>
      <w:r>
        <w:rPr/>
        <w:t>年度经营计划</w:t>
      </w:r>
      <w:r>
        <w:rPr>
          <w:b w:val="0"/>
          <w:bCs w:val="0"/>
        </w:rPr>
      </w:r>
    </w:p>
    <w:p>
      <w:pPr>
        <w:pStyle w:val="Heading3"/>
        <w:spacing w:line="240" w:lineRule="auto" w:before="128"/>
        <w:ind w:left="697" w:right="98"/>
        <w:jc w:val="left"/>
      </w:pPr>
      <w:r>
        <w:rPr>
          <w:rFonts w:ascii="宋体" w:hAnsi="宋体" w:cs="宋体" w:eastAsia="宋体" w:hint="default"/>
          <w:w w:val="100"/>
        </w:rPr>
        <w:t>2</w:t>
      </w:r>
      <w:r>
        <w:rPr>
          <w:rFonts w:ascii="宋体" w:hAnsi="宋体" w:cs="宋体" w:eastAsia="宋体" w:hint="default"/>
          <w:spacing w:val="-2"/>
          <w:w w:val="100"/>
        </w:rPr>
        <w:t>0</w:t>
      </w:r>
      <w:r>
        <w:rPr>
          <w:rFonts w:ascii="宋体" w:hAnsi="宋体" w:cs="宋体" w:eastAsia="宋体" w:hint="default"/>
          <w:w w:val="100"/>
        </w:rPr>
        <w:t>11</w:t>
      </w:r>
      <w:r>
        <w:rPr>
          <w:rFonts w:ascii="宋体" w:hAnsi="宋体" w:cs="宋体" w:eastAsia="宋体" w:hint="default"/>
          <w:spacing w:val="-71"/>
        </w:rPr>
        <w:t> </w:t>
      </w:r>
      <w:r>
        <w:rPr>
          <w:w w:val="100"/>
        </w:rPr>
        <w:t>年度</w:t>
      </w:r>
      <w:r>
        <w:rPr>
          <w:spacing w:val="-13"/>
          <w:w w:val="100"/>
        </w:rPr>
        <w:t>，</w:t>
      </w:r>
      <w:r>
        <w:rPr>
          <w:w w:val="100"/>
        </w:rPr>
        <w:t>公司</w:t>
      </w:r>
      <w:r>
        <w:rPr>
          <w:spacing w:val="-3"/>
          <w:w w:val="100"/>
        </w:rPr>
        <w:t>力</w:t>
      </w:r>
      <w:r>
        <w:rPr>
          <w:w w:val="100"/>
        </w:rPr>
        <w:t>争实现</w:t>
      </w:r>
      <w:r>
        <w:rPr>
          <w:spacing w:val="-3"/>
          <w:w w:val="100"/>
        </w:rPr>
        <w:t>营</w:t>
      </w:r>
      <w:r>
        <w:rPr>
          <w:w w:val="100"/>
        </w:rPr>
        <w:t>业收</w:t>
      </w:r>
      <w:r>
        <w:rPr>
          <w:spacing w:val="-3"/>
          <w:w w:val="100"/>
        </w:rPr>
        <w:t>入不</w:t>
      </w:r>
      <w:r>
        <w:rPr>
          <w:w w:val="100"/>
        </w:rPr>
        <w:t>低于</w:t>
      </w:r>
      <w:r>
        <w:rPr>
          <w:spacing w:val="-69"/>
        </w:rPr>
        <w:t> </w:t>
      </w:r>
      <w:r>
        <w:rPr>
          <w:rFonts w:ascii="宋体" w:hAnsi="宋体" w:cs="宋体" w:eastAsia="宋体" w:hint="default"/>
          <w:w w:val="100"/>
        </w:rPr>
        <w:t>4</w:t>
      </w:r>
      <w:r>
        <w:rPr>
          <w:rFonts w:ascii="宋体" w:hAnsi="宋体" w:cs="宋体" w:eastAsia="宋体" w:hint="default"/>
          <w:spacing w:val="-70"/>
        </w:rPr>
        <w:t> </w:t>
      </w:r>
      <w:r>
        <w:rPr>
          <w:spacing w:val="-3"/>
          <w:w w:val="100"/>
        </w:rPr>
        <w:t>亿</w:t>
      </w:r>
      <w:r>
        <w:rPr>
          <w:w w:val="100"/>
        </w:rPr>
        <w:t>元</w:t>
      </w:r>
      <w:r>
        <w:rPr>
          <w:spacing w:val="-149"/>
          <w:w w:val="100"/>
        </w:rPr>
        <w:t>，</w:t>
      </w:r>
      <w:r>
        <w:rPr>
          <w:spacing w:val="-3"/>
          <w:w w:val="100"/>
        </w:rPr>
        <w:t>（</w:t>
      </w:r>
      <w:r>
        <w:rPr>
          <w:w w:val="100"/>
        </w:rPr>
        <w:t>上</w:t>
      </w:r>
      <w:r>
        <w:rPr>
          <w:spacing w:val="-3"/>
          <w:w w:val="100"/>
        </w:rPr>
        <w:t>述</w:t>
      </w:r>
      <w:r>
        <w:rPr>
          <w:w w:val="100"/>
        </w:rPr>
        <w:t>经营目</w:t>
      </w:r>
    </w:p>
    <w:p>
      <w:pPr>
        <w:pStyle w:val="Heading3"/>
        <w:spacing w:line="328" w:lineRule="auto" w:before="132"/>
        <w:ind w:right="190"/>
        <w:jc w:val="both"/>
      </w:pPr>
      <w:r>
        <w:rPr/>
        <w:t>标并不代表公司对 </w:t>
      </w:r>
      <w:r>
        <w:rPr>
          <w:rFonts w:ascii="宋体" w:hAnsi="宋体" w:cs="宋体" w:eastAsia="宋体" w:hint="default"/>
        </w:rPr>
        <w:t>2011</w:t>
      </w:r>
      <w:r>
        <w:rPr>
          <w:rFonts w:ascii="宋体" w:hAnsi="宋体" w:cs="宋体" w:eastAsia="宋体" w:hint="default"/>
          <w:spacing w:val="-91"/>
        </w:rPr>
        <w:t> </w:t>
      </w:r>
      <w:r>
        <w:rPr/>
        <w:t>年度的盈利预测，能否实现取决于市场状况</w:t>
      </w:r>
      <w:r>
        <w:rPr>
          <w:w w:val="100"/>
        </w:rPr>
        <w:t> </w:t>
      </w:r>
      <w:r>
        <w:rPr>
          <w:spacing w:val="-4"/>
        </w:rPr>
        <w:t>变化、经营团队的努力程度等多种因素，存在很大的不确定性，请投</w:t>
      </w:r>
      <w:r>
        <w:rPr>
          <w:spacing w:val="-111"/>
        </w:rPr>
        <w:t> </w:t>
      </w:r>
      <w:r>
        <w:rPr>
          <w:spacing w:val="-111"/>
        </w:rPr>
      </w:r>
      <w:r>
        <w:rPr>
          <w:spacing w:val="-6"/>
          <w:w w:val="100"/>
        </w:rPr>
        <w:t>资者特别注意），为配合实现上述经营目标，本公司从以下几方面制</w:t>
      </w:r>
    </w:p>
    <w:p>
      <w:pPr>
        <w:spacing w:after="0" w:line="328" w:lineRule="auto"/>
        <w:jc w:val="both"/>
        <w:sectPr>
          <w:pgSz w:w="11910" w:h="16840"/>
          <w:pgMar w:header="624" w:footer="1045" w:top="1240" w:bottom="1240" w:left="1660" w:right="1600"/>
        </w:sectPr>
      </w:pPr>
    </w:p>
    <w:p>
      <w:pPr>
        <w:spacing w:line="328" w:lineRule="auto" w:before="73"/>
        <w:ind w:left="699" w:right="5597" w:hanging="562"/>
        <w:jc w:val="left"/>
        <w:rPr>
          <w:rFonts w:ascii="宋体" w:hAnsi="宋体" w:cs="宋体" w:eastAsia="宋体" w:hint="default"/>
          <w:sz w:val="28"/>
          <w:szCs w:val="28"/>
        </w:rPr>
      </w:pPr>
      <w:r>
        <w:rPr>
          <w:rFonts w:ascii="宋体" w:hAnsi="宋体" w:cs="宋体" w:eastAsia="宋体" w:hint="default"/>
          <w:sz w:val="28"/>
          <w:szCs w:val="28"/>
        </w:rPr>
        <w:t>定了业务发展计划：</w:t>
      </w:r>
      <w:r>
        <w:rPr>
          <w:rFonts w:ascii="宋体" w:hAnsi="宋体" w:cs="宋体" w:eastAsia="宋体" w:hint="default"/>
          <w:w w:val="100"/>
          <w:sz w:val="28"/>
          <w:szCs w:val="28"/>
        </w:rPr>
        <w:t> </w:t>
      </w:r>
      <w:r>
        <w:rPr>
          <w:rFonts w:ascii="宋体" w:hAnsi="宋体" w:cs="宋体" w:eastAsia="宋体" w:hint="default"/>
          <w:b/>
          <w:bCs/>
          <w:sz w:val="28"/>
          <w:szCs w:val="28"/>
        </w:rPr>
        <w:t>1</w:t>
      </w:r>
      <w:r>
        <w:rPr>
          <w:rFonts w:ascii="宋体" w:hAnsi="宋体" w:cs="宋体" w:eastAsia="宋体" w:hint="default"/>
          <w:b/>
          <w:bCs/>
          <w:sz w:val="28"/>
          <w:szCs w:val="28"/>
        </w:rPr>
        <w:t>、新产品开发计划</w:t>
      </w:r>
      <w:r>
        <w:rPr>
          <w:rFonts w:ascii="宋体" w:hAnsi="宋体" w:cs="宋体" w:eastAsia="宋体" w:hint="default"/>
          <w:sz w:val="28"/>
          <w:szCs w:val="28"/>
        </w:rPr>
      </w:r>
    </w:p>
    <w:p>
      <w:pPr>
        <w:pStyle w:val="Heading3"/>
        <w:spacing w:line="326" w:lineRule="auto"/>
        <w:ind w:right="364" w:firstLine="559"/>
        <w:jc w:val="left"/>
      </w:pPr>
      <w:r>
        <w:rPr>
          <w:rFonts w:ascii="宋体" w:hAnsi="宋体" w:cs="宋体" w:eastAsia="宋体" w:hint="default"/>
        </w:rPr>
        <w:t>2011</w:t>
      </w:r>
      <w:r>
        <w:rPr>
          <w:rFonts w:ascii="宋体" w:hAnsi="宋体" w:cs="宋体" w:eastAsia="宋体" w:hint="default"/>
          <w:spacing w:val="-75"/>
        </w:rPr>
        <w:t> </w:t>
      </w:r>
      <w:r>
        <w:rPr/>
        <w:t>年，公司将加强对新产品、新技术的研发经费投入，增强</w:t>
      </w:r>
      <w:r>
        <w:rPr>
          <w:w w:val="100"/>
        </w:rPr>
        <w:t> </w:t>
      </w:r>
      <w:r>
        <w:rPr/>
        <w:t>技术开发和创新能力。</w:t>
      </w:r>
    </w:p>
    <w:p>
      <w:pPr>
        <w:pStyle w:val="Heading3"/>
        <w:spacing w:line="326" w:lineRule="auto" w:before="34"/>
        <w:ind w:right="107" w:firstLine="559"/>
        <w:jc w:val="left"/>
      </w:pPr>
      <w:r>
        <w:rPr>
          <w:spacing w:val="-9"/>
          <w:w w:val="100"/>
        </w:rPr>
        <w:t>加快公司各在研项目的研究进度，如综合防雷系统、查询应答器、</w:t>
      </w:r>
      <w:r>
        <w:rPr>
          <w:w w:val="100"/>
        </w:rPr>
        <w:t> </w:t>
      </w:r>
      <w:r>
        <w:rPr>
          <w:spacing w:val="-5"/>
        </w:rPr>
        <w:t>旅客向导系统等，力争用</w:t>
      </w:r>
      <w:r>
        <w:rPr>
          <w:spacing w:val="-64"/>
        </w:rPr>
        <w:t> </w:t>
      </w:r>
      <w:r>
        <w:rPr>
          <w:rFonts w:ascii="宋体" w:hAnsi="宋体" w:cs="宋体" w:eastAsia="宋体" w:hint="default"/>
        </w:rPr>
        <w:t>1-2</w:t>
      </w:r>
      <w:r>
        <w:rPr>
          <w:rFonts w:ascii="宋体" w:hAnsi="宋体" w:cs="宋体" w:eastAsia="宋体" w:hint="default"/>
          <w:spacing w:val="-64"/>
        </w:rPr>
        <w:t> </w:t>
      </w:r>
      <w:r>
        <w:rPr>
          <w:spacing w:val="-4"/>
        </w:rPr>
        <w:t>年的时间完成产品定型工作，使公司产</w:t>
      </w:r>
      <w:r>
        <w:rPr>
          <w:spacing w:val="-125"/>
        </w:rPr>
        <w:t> </w:t>
      </w:r>
      <w:r>
        <w:rPr>
          <w:spacing w:val="-125"/>
        </w:rPr>
      </w:r>
      <w:r>
        <w:rPr/>
        <w:t>品继续呈梯级推进的形态。</w:t>
      </w:r>
    </w:p>
    <w:p>
      <w:pPr>
        <w:pStyle w:val="Heading2"/>
        <w:spacing w:line="240" w:lineRule="auto" w:before="34"/>
        <w:ind w:left="699" w:right="106"/>
        <w:jc w:val="left"/>
        <w:rPr>
          <w:b w:val="0"/>
          <w:bCs w:val="0"/>
        </w:rPr>
      </w:pPr>
      <w:r>
        <w:rPr>
          <w:rFonts w:ascii="宋体" w:hAnsi="宋体" w:cs="宋体" w:eastAsia="宋体" w:hint="default"/>
        </w:rPr>
        <w:t>2</w:t>
      </w:r>
      <w:r>
        <w:rPr/>
        <w:t>、人力资源计划</w:t>
      </w:r>
      <w:r>
        <w:rPr>
          <w:b w:val="0"/>
          <w:bCs w:val="0"/>
        </w:rPr>
      </w:r>
    </w:p>
    <w:p>
      <w:pPr>
        <w:pStyle w:val="Heading3"/>
        <w:spacing w:line="326" w:lineRule="auto" w:before="132"/>
        <w:ind w:right="106" w:firstLine="559"/>
        <w:jc w:val="left"/>
      </w:pPr>
      <w:r>
        <w:rPr/>
        <w:t>公司将根据</w:t>
      </w:r>
      <w:r>
        <w:rPr>
          <w:spacing w:val="-74"/>
        </w:rPr>
        <w:t> </w:t>
      </w:r>
      <w:r>
        <w:rPr>
          <w:rFonts w:ascii="宋体" w:hAnsi="宋体" w:cs="宋体" w:eastAsia="宋体" w:hint="default"/>
        </w:rPr>
        <w:t>2011</w:t>
      </w:r>
      <w:r>
        <w:rPr>
          <w:rFonts w:ascii="宋体" w:hAnsi="宋体" w:cs="宋体" w:eastAsia="宋体" w:hint="default"/>
          <w:spacing w:val="-70"/>
        </w:rPr>
        <w:t> </w:t>
      </w:r>
      <w:r>
        <w:rPr/>
        <w:t>年的经营目标，制定与公司发展战略相适应的</w:t>
      </w:r>
      <w:r>
        <w:rPr>
          <w:w w:val="100"/>
        </w:rPr>
        <w:t> </w:t>
      </w:r>
      <w:r>
        <w:rPr>
          <w:spacing w:val="-4"/>
        </w:rPr>
        <w:t>人力资源发展计划，为公司未来的发展提供人才储备。通过以研发及</w:t>
      </w:r>
      <w:r>
        <w:rPr>
          <w:spacing w:val="-113"/>
        </w:rPr>
        <w:t> </w:t>
      </w:r>
      <w:r>
        <w:rPr>
          <w:spacing w:val="-113"/>
        </w:rPr>
      </w:r>
      <w:r>
        <w:rPr>
          <w:spacing w:val="-4"/>
        </w:rPr>
        <w:t>工程项目为依托的人才培养方式，迅速提高技术人员的技术水平和业</w:t>
      </w:r>
      <w:r>
        <w:rPr>
          <w:spacing w:val="-113"/>
        </w:rPr>
        <w:t> </w:t>
      </w:r>
      <w:r>
        <w:rPr>
          <w:spacing w:val="-113"/>
        </w:rPr>
      </w:r>
      <w:r>
        <w:rPr>
          <w:spacing w:val="-4"/>
        </w:rPr>
        <w:t>务素质；同时，将制订周密的培训计划，通过内部培训、外聘专家授</w:t>
      </w:r>
      <w:r>
        <w:rPr>
          <w:spacing w:val="-113"/>
        </w:rPr>
        <w:t> </w:t>
      </w:r>
      <w:r>
        <w:rPr>
          <w:spacing w:val="-113"/>
        </w:rPr>
      </w:r>
      <w:r>
        <w:rPr>
          <w:spacing w:val="-9"/>
        </w:rPr>
        <w:t>课、员工脱产（半脱产）进修等方式，全面提高公司员工的整体素质；</w:t>
      </w:r>
      <w:r>
        <w:rPr>
          <w:spacing w:val="-93"/>
        </w:rPr>
        <w:t> </w:t>
      </w:r>
      <w:r>
        <w:rPr>
          <w:spacing w:val="-93"/>
        </w:rPr>
      </w:r>
      <w:r>
        <w:rPr>
          <w:spacing w:val="-4"/>
        </w:rPr>
        <w:t>另外，将加强中高级管理人员的管理技能培训，使公司中高级管理人</w:t>
      </w:r>
      <w:r>
        <w:rPr>
          <w:spacing w:val="-114"/>
        </w:rPr>
        <w:t> </w:t>
      </w:r>
      <w:r>
        <w:rPr>
          <w:spacing w:val="-114"/>
        </w:rPr>
      </w:r>
      <w:r>
        <w:rPr/>
        <w:t>员成为集经营、管理、技术为一体的复合型人才。</w:t>
      </w:r>
    </w:p>
    <w:p>
      <w:pPr>
        <w:pStyle w:val="Heading3"/>
        <w:spacing w:line="328" w:lineRule="auto" w:before="32"/>
        <w:ind w:right="106" w:firstLine="559"/>
        <w:jc w:val="left"/>
      </w:pPr>
      <w:r>
        <w:rPr>
          <w:spacing w:val="-5"/>
        </w:rPr>
        <w:t>加强队伍团队建设，建立以技术专家为核心的项目规划队伍，明</w:t>
      </w:r>
      <w:r>
        <w:rPr>
          <w:w w:val="100"/>
        </w:rPr>
        <w:t> </w:t>
      </w:r>
      <w:r>
        <w:rPr/>
        <w:t>确新产品新技术的项目开发方向及组织实施形式；确立项目保障队</w:t>
      </w:r>
      <w:r>
        <w:rPr>
          <w:w w:val="100"/>
        </w:rPr>
        <w:t> </w:t>
      </w:r>
      <w:r>
        <w:rPr>
          <w:spacing w:val="-1"/>
        </w:rPr>
        <w:t>伍，建立可提供硬件可靠性、电磁兼容性、电源、防雷、网络安全、</w:t>
      </w:r>
      <w:r>
        <w:rPr>
          <w:spacing w:val="-116"/>
        </w:rPr>
        <w:t> </w:t>
      </w:r>
      <w:r>
        <w:rPr>
          <w:spacing w:val="-116"/>
        </w:rPr>
      </w:r>
      <w:r>
        <w:rPr>
          <w:spacing w:val="-4"/>
        </w:rPr>
        <w:t>软件可靠性的技术保障力量；强化目前的项目实施队伍，实现包括软</w:t>
      </w:r>
      <w:r>
        <w:rPr>
          <w:spacing w:val="-114"/>
        </w:rPr>
        <w:t> </w:t>
      </w:r>
      <w:r>
        <w:rPr>
          <w:spacing w:val="-114"/>
        </w:rPr>
      </w:r>
      <w:r>
        <w:rPr/>
        <w:t>件人员、硬件人员及辅助人员的项目实施资源的最优配置。</w:t>
      </w:r>
    </w:p>
    <w:p>
      <w:pPr>
        <w:pStyle w:val="Heading2"/>
        <w:spacing w:line="240" w:lineRule="auto"/>
        <w:ind w:left="699" w:right="106"/>
        <w:jc w:val="left"/>
        <w:rPr>
          <w:b w:val="0"/>
          <w:bCs w:val="0"/>
        </w:rPr>
      </w:pPr>
      <w:r>
        <w:rPr>
          <w:rFonts w:ascii="宋体" w:hAnsi="宋体" w:cs="宋体" w:eastAsia="宋体" w:hint="default"/>
        </w:rPr>
        <w:t>3</w:t>
      </w:r>
      <w:r>
        <w:rPr/>
        <w:t>、市场开发计划</w:t>
      </w:r>
      <w:r>
        <w:rPr>
          <w:b w:val="0"/>
          <w:bCs w:val="0"/>
        </w:rPr>
      </w:r>
    </w:p>
    <w:p>
      <w:pPr>
        <w:pStyle w:val="Heading3"/>
        <w:spacing w:line="328" w:lineRule="auto" w:before="132"/>
        <w:ind w:right="362" w:firstLine="559"/>
        <w:jc w:val="left"/>
      </w:pPr>
      <w:r>
        <w:rPr>
          <w:rFonts w:ascii="宋体" w:hAnsi="宋体" w:cs="宋体" w:eastAsia="宋体" w:hint="default"/>
        </w:rPr>
        <w:t>2011</w:t>
      </w:r>
      <w:r>
        <w:rPr>
          <w:rFonts w:ascii="宋体" w:hAnsi="宋体" w:cs="宋体" w:eastAsia="宋体" w:hint="default"/>
          <w:spacing w:val="-73"/>
        </w:rPr>
        <w:t> </w:t>
      </w:r>
      <w:r>
        <w:rPr/>
        <w:t>年，公司将加强营销体系建设，完善售后服务体系，在巩</w:t>
      </w:r>
      <w:r>
        <w:rPr>
          <w:w w:val="100"/>
        </w:rPr>
        <w:t> </w:t>
      </w:r>
      <w:r>
        <w:rPr/>
        <w:t>固原有铁路市场份额的基础上，大力开发城市轨道交通市场。</w:t>
      </w:r>
    </w:p>
    <w:p>
      <w:pPr>
        <w:pStyle w:val="Heading3"/>
        <w:spacing w:line="326" w:lineRule="auto"/>
        <w:ind w:right="253" w:firstLine="559"/>
        <w:jc w:val="both"/>
      </w:pPr>
      <w:r>
        <w:rPr>
          <w:spacing w:val="-5"/>
        </w:rPr>
        <w:t>在高铁市场方面，公司将主推防灾安全监控系统，扩展其市场份</w:t>
      </w:r>
      <w:r>
        <w:rPr>
          <w:w w:val="100"/>
        </w:rPr>
        <w:t> </w:t>
      </w:r>
      <w:r>
        <w:rPr>
          <w:spacing w:val="-4"/>
        </w:rPr>
        <w:t>额，同时努力发展综合视频监控系统，采取渗透进入的方式，逐步扩</w:t>
      </w:r>
      <w:r>
        <w:rPr>
          <w:spacing w:val="-113"/>
        </w:rPr>
        <w:t> </w:t>
      </w:r>
      <w:r>
        <w:rPr>
          <w:spacing w:val="-113"/>
        </w:rPr>
      </w:r>
      <w:r>
        <w:rPr>
          <w:spacing w:val="-4"/>
        </w:rPr>
        <w:t>大市场占有率；在铁路既有线市场方面，公司将在加快微机集中监测</w:t>
      </w:r>
      <w:r>
        <w:rPr>
          <w:spacing w:val="-114"/>
        </w:rPr>
        <w:t> </w:t>
      </w:r>
      <w:r>
        <w:rPr>
          <w:spacing w:val="-114"/>
        </w:rPr>
      </w:r>
      <w:r>
        <w:rPr>
          <w:spacing w:val="-4"/>
        </w:rPr>
        <w:t>系统的技术升级和改造的同时，稳步提高无线调车机车信号和监控系</w:t>
      </w:r>
      <w:r>
        <w:rPr>
          <w:spacing w:val="-115"/>
        </w:rPr>
        <w:t> </w:t>
      </w:r>
      <w:r>
        <w:rPr>
          <w:spacing w:val="-115"/>
        </w:rPr>
      </w:r>
      <w:r>
        <w:rPr/>
        <w:t>统与</w:t>
      </w:r>
      <w:r>
        <w:rPr>
          <w:spacing w:val="-57"/>
        </w:rPr>
        <w:t> </w:t>
      </w:r>
      <w:r>
        <w:rPr>
          <w:rFonts w:ascii="宋体" w:hAnsi="宋体" w:cs="宋体" w:eastAsia="宋体" w:hint="default"/>
        </w:rPr>
        <w:t>CSMIS</w:t>
      </w:r>
      <w:r>
        <w:rPr>
          <w:rFonts w:ascii="宋体" w:hAnsi="宋体" w:cs="宋体" w:eastAsia="宋体" w:hint="default"/>
          <w:spacing w:val="-56"/>
        </w:rPr>
        <w:t> </w:t>
      </w:r>
      <w:r>
        <w:rPr>
          <w:spacing w:val="-5"/>
        </w:rPr>
        <w:t>电务管理信息系统的市场份额；在城市轨道交通方面，争</w:t>
      </w:r>
    </w:p>
    <w:p>
      <w:pPr>
        <w:spacing w:after="0" w:line="326" w:lineRule="auto"/>
        <w:jc w:val="both"/>
        <w:sectPr>
          <w:pgSz w:w="11910" w:h="16840"/>
          <w:pgMar w:header="624" w:footer="1045" w:top="1240" w:bottom="1240" w:left="1660" w:right="1540"/>
        </w:sectPr>
      </w:pPr>
    </w:p>
    <w:p>
      <w:pPr>
        <w:pStyle w:val="Heading3"/>
        <w:spacing w:line="328" w:lineRule="auto" w:before="73"/>
        <w:ind w:right="253"/>
        <w:jc w:val="both"/>
      </w:pPr>
      <w:r>
        <w:rPr>
          <w:spacing w:val="-4"/>
        </w:rPr>
        <w:t>取在综合视频监控方面实现突破，尽快取得信号总包资质认证；在产</w:t>
      </w:r>
      <w:r>
        <w:rPr>
          <w:spacing w:val="-114"/>
        </w:rPr>
        <w:t> </w:t>
      </w:r>
      <w:r>
        <w:rPr>
          <w:spacing w:val="-114"/>
        </w:rPr>
      </w:r>
      <w:r>
        <w:rPr>
          <w:spacing w:val="-4"/>
        </w:rPr>
        <w:t>品出口市场方面，公司将积极联系具有铁路产品出口资质的厂家，实</w:t>
      </w:r>
      <w:r>
        <w:rPr>
          <w:spacing w:val="-114"/>
        </w:rPr>
        <w:t> </w:t>
      </w:r>
      <w:r>
        <w:rPr>
          <w:spacing w:val="-114"/>
        </w:rPr>
      </w:r>
      <w:r>
        <w:rPr/>
        <w:t>现产品外销。</w:t>
      </w:r>
    </w:p>
    <w:p>
      <w:pPr>
        <w:pStyle w:val="Heading2"/>
        <w:spacing w:line="240" w:lineRule="auto"/>
        <w:ind w:left="699" w:right="106"/>
        <w:jc w:val="left"/>
        <w:rPr>
          <w:b w:val="0"/>
          <w:bCs w:val="0"/>
        </w:rPr>
      </w:pPr>
      <w:r>
        <w:rPr>
          <w:rFonts w:ascii="宋体" w:hAnsi="宋体" w:cs="宋体" w:eastAsia="宋体" w:hint="default"/>
        </w:rPr>
        <w:t>4</w:t>
      </w:r>
      <w:r>
        <w:rPr/>
        <w:t>、加强管理体系建设</w:t>
      </w:r>
      <w:r>
        <w:rPr>
          <w:b w:val="0"/>
          <w:bCs w:val="0"/>
        </w:rPr>
      </w:r>
    </w:p>
    <w:p>
      <w:pPr>
        <w:pStyle w:val="Heading3"/>
        <w:spacing w:line="326" w:lineRule="auto" w:before="135"/>
        <w:ind w:right="249" w:firstLine="559"/>
        <w:jc w:val="both"/>
      </w:pPr>
      <w:r>
        <w:rPr>
          <w:rFonts w:ascii="宋体" w:hAnsi="宋体" w:cs="宋体" w:eastAsia="宋体" w:hint="default"/>
        </w:rPr>
        <w:t>2010</w:t>
      </w:r>
      <w:r>
        <w:rPr>
          <w:rFonts w:ascii="宋体" w:hAnsi="宋体" w:cs="宋体" w:eastAsia="宋体" w:hint="default"/>
          <w:spacing w:val="-67"/>
        </w:rPr>
        <w:t> </w:t>
      </w:r>
      <w:r>
        <w:rPr/>
        <w:t>年公司通过了</w:t>
      </w:r>
      <w:r>
        <w:rPr>
          <w:spacing w:val="-69"/>
        </w:rPr>
        <w:t> </w:t>
      </w:r>
      <w:r>
        <w:rPr>
          <w:rFonts w:ascii="宋体" w:hAnsi="宋体" w:cs="宋体" w:eastAsia="宋体" w:hint="default"/>
        </w:rPr>
        <w:t>ISO9001:2008</w:t>
      </w:r>
      <w:r>
        <w:rPr>
          <w:rFonts w:ascii="宋体" w:hAnsi="宋体" w:cs="宋体" w:eastAsia="宋体" w:hint="default"/>
          <w:spacing w:val="-65"/>
        </w:rPr>
        <w:t> </w:t>
      </w:r>
      <w:r>
        <w:rPr>
          <w:spacing w:val="-3"/>
        </w:rPr>
        <w:t>质量管理体系的换版认证，公</w:t>
      </w:r>
      <w:r>
        <w:rPr>
          <w:w w:val="100"/>
        </w:rPr>
        <w:t> </w:t>
      </w:r>
      <w:r>
        <w:rPr>
          <w:spacing w:val="-4"/>
        </w:rPr>
        <w:t>司将严格按照新体系的要求，加强管理，优化内部组织结构，使企业</w:t>
      </w:r>
      <w:r>
        <w:rPr>
          <w:spacing w:val="-113"/>
        </w:rPr>
        <w:t> </w:t>
      </w:r>
      <w:r>
        <w:rPr>
          <w:spacing w:val="-113"/>
        </w:rPr>
      </w:r>
      <w:r>
        <w:rPr/>
        <w:t>能够真正的高效运行。</w:t>
      </w:r>
    </w:p>
    <w:p>
      <w:pPr>
        <w:spacing w:line="326" w:lineRule="auto" w:before="34"/>
        <w:ind w:left="697" w:right="106" w:hanging="560"/>
        <w:jc w:val="left"/>
        <w:rPr>
          <w:rFonts w:ascii="宋体" w:hAnsi="宋体" w:cs="宋体" w:eastAsia="宋体" w:hint="default"/>
          <w:sz w:val="28"/>
          <w:szCs w:val="28"/>
        </w:rPr>
      </w:pPr>
      <w:r>
        <w:rPr>
          <w:rFonts w:ascii="宋体" w:hAnsi="宋体" w:cs="宋体" w:eastAsia="宋体" w:hint="default"/>
          <w:b/>
          <w:bCs/>
          <w:sz w:val="28"/>
          <w:szCs w:val="28"/>
        </w:rPr>
        <w:t>（四）资金需求及使用计划</w:t>
      </w:r>
      <w:r>
        <w:rPr>
          <w:rFonts w:ascii="宋体" w:hAnsi="宋体" w:cs="宋体" w:eastAsia="宋体" w:hint="default"/>
          <w:b/>
          <w:bCs/>
          <w:w w:val="99"/>
          <w:sz w:val="28"/>
          <w:szCs w:val="28"/>
        </w:rPr>
        <w:t> </w:t>
      </w:r>
      <w:r>
        <w:rPr>
          <w:rFonts w:ascii="宋体" w:hAnsi="宋体" w:cs="宋体" w:eastAsia="宋体" w:hint="default"/>
          <w:spacing w:val="-5"/>
          <w:sz w:val="28"/>
          <w:szCs w:val="28"/>
        </w:rPr>
        <w:t>公司将结合发展战略目标，制定切实可行的资金发展规划和实施</w:t>
      </w:r>
    </w:p>
    <w:p>
      <w:pPr>
        <w:pStyle w:val="Heading3"/>
        <w:spacing w:line="328" w:lineRule="auto" w:before="32"/>
        <w:ind w:right="106"/>
        <w:jc w:val="left"/>
      </w:pPr>
      <w:r>
        <w:rPr>
          <w:spacing w:val="-5"/>
        </w:rPr>
        <w:t>计划，综合利用多种手段提高资金使用效率，加强货款回收力度，节</w:t>
      </w:r>
      <w:r>
        <w:rPr>
          <w:spacing w:val="-110"/>
        </w:rPr>
        <w:t> </w:t>
      </w:r>
      <w:r>
        <w:rPr>
          <w:spacing w:val="-110"/>
        </w:rPr>
      </w:r>
      <w:r>
        <w:rPr/>
        <w:t>约资金成本，实现股东利益最大化。</w:t>
      </w:r>
    </w:p>
    <w:p>
      <w:pPr>
        <w:pStyle w:val="Heading2"/>
        <w:spacing w:line="326" w:lineRule="auto"/>
        <w:ind w:left="699" w:right="6440" w:hanging="562"/>
        <w:jc w:val="left"/>
        <w:rPr>
          <w:b w:val="0"/>
          <w:bCs w:val="0"/>
        </w:rPr>
      </w:pPr>
      <w:r>
        <w:rPr/>
        <w:t>（五）风险因素</w:t>
      </w:r>
      <w:r>
        <w:rPr>
          <w:w w:val="99"/>
        </w:rPr>
        <w:t> </w:t>
      </w:r>
      <w:r>
        <w:rPr>
          <w:rFonts w:ascii="宋体" w:hAnsi="宋体" w:cs="宋体" w:eastAsia="宋体" w:hint="default"/>
        </w:rPr>
        <w:t>1</w:t>
      </w:r>
      <w:r>
        <w:rPr/>
        <w:t>、政策风险</w:t>
      </w:r>
      <w:r>
        <w:rPr>
          <w:b w:val="0"/>
          <w:bCs w:val="0"/>
        </w:rPr>
      </w:r>
    </w:p>
    <w:p>
      <w:pPr>
        <w:pStyle w:val="Heading3"/>
        <w:spacing w:line="326" w:lineRule="auto" w:before="34"/>
        <w:ind w:right="253" w:firstLine="559"/>
        <w:jc w:val="both"/>
      </w:pPr>
      <w:r>
        <w:rPr>
          <w:spacing w:val="-5"/>
        </w:rPr>
        <w:t>公司的发展主要依托国家的铁路建设，目前中国的铁路还基本处</w:t>
      </w:r>
      <w:r>
        <w:rPr>
          <w:w w:val="100"/>
        </w:rPr>
        <w:t> </w:t>
      </w:r>
      <w:r>
        <w:rPr>
          <w:spacing w:val="-4"/>
        </w:rPr>
        <w:t>于计划经济。因此，国家对铁路建设方面政策的改变将会给公司的业</w:t>
      </w:r>
      <w:r>
        <w:rPr>
          <w:spacing w:val="-115"/>
        </w:rPr>
        <w:t> </w:t>
      </w:r>
      <w:r>
        <w:rPr>
          <w:spacing w:val="-115"/>
        </w:rPr>
      </w:r>
      <w:r>
        <w:rPr/>
        <w:t>绩带来较大的影响。</w:t>
      </w:r>
    </w:p>
    <w:p>
      <w:pPr>
        <w:pStyle w:val="Heading3"/>
        <w:spacing w:line="326" w:lineRule="auto" w:before="34"/>
        <w:ind w:right="253" w:firstLine="559"/>
        <w:jc w:val="both"/>
      </w:pPr>
      <w:r>
        <w:rPr>
          <w:spacing w:val="-5"/>
        </w:rPr>
        <w:t>针对这方面的因素，公司一方面在加大开拓厂矿企业铁路市场的</w:t>
      </w:r>
      <w:r>
        <w:rPr>
          <w:w w:val="100"/>
        </w:rPr>
        <w:t> </w:t>
      </w:r>
      <w:r>
        <w:rPr>
          <w:spacing w:val="-4"/>
        </w:rPr>
        <w:t>力度的同时，大力开发适合我国地铁等城市轨道交通产品，使市场多</w:t>
      </w:r>
      <w:r>
        <w:rPr>
          <w:spacing w:val="-114"/>
        </w:rPr>
        <w:t> </w:t>
      </w:r>
      <w:r>
        <w:rPr>
          <w:spacing w:val="-114"/>
        </w:rPr>
      </w:r>
      <w:r>
        <w:rPr/>
        <w:t>元化，分散风险。</w:t>
      </w:r>
    </w:p>
    <w:p>
      <w:pPr>
        <w:spacing w:line="326" w:lineRule="auto" w:before="34"/>
        <w:ind w:left="697" w:right="106" w:firstLine="2"/>
        <w:jc w:val="left"/>
        <w:rPr>
          <w:rFonts w:ascii="宋体" w:hAnsi="宋体" w:cs="宋体" w:eastAsia="宋体" w:hint="default"/>
          <w:sz w:val="28"/>
          <w:szCs w:val="28"/>
        </w:rPr>
      </w:pPr>
      <w:r>
        <w:rPr>
          <w:rFonts w:ascii="宋体" w:hAnsi="宋体" w:cs="宋体" w:eastAsia="宋体" w:hint="default"/>
          <w:b/>
          <w:bCs/>
          <w:sz w:val="28"/>
          <w:szCs w:val="28"/>
        </w:rPr>
        <w:t>2</w:t>
      </w:r>
      <w:r>
        <w:rPr>
          <w:rFonts w:ascii="宋体" w:hAnsi="宋体" w:cs="宋体" w:eastAsia="宋体" w:hint="default"/>
          <w:b/>
          <w:bCs/>
          <w:sz w:val="28"/>
          <w:szCs w:val="28"/>
        </w:rPr>
        <w:t>、人才流失风险</w:t>
      </w:r>
      <w:r>
        <w:rPr>
          <w:rFonts w:ascii="宋体" w:hAnsi="宋体" w:cs="宋体" w:eastAsia="宋体" w:hint="default"/>
          <w:b/>
          <w:bCs/>
          <w:w w:val="99"/>
          <w:sz w:val="28"/>
          <w:szCs w:val="28"/>
        </w:rPr>
        <w:t> </w:t>
      </w:r>
      <w:r>
        <w:rPr>
          <w:rFonts w:ascii="宋体" w:hAnsi="宋体" w:cs="宋体" w:eastAsia="宋体" w:hint="default"/>
          <w:spacing w:val="-5"/>
          <w:sz w:val="28"/>
          <w:szCs w:val="28"/>
        </w:rPr>
        <w:t>公司产品以软硬件的开发为主，对技术人才的依赖性较强。目前</w:t>
      </w:r>
    </w:p>
    <w:p>
      <w:pPr>
        <w:pStyle w:val="Heading3"/>
        <w:spacing w:line="328" w:lineRule="auto" w:before="32"/>
        <w:ind w:right="106"/>
        <w:jc w:val="left"/>
      </w:pPr>
      <w:r>
        <w:rPr>
          <w:spacing w:val="-4"/>
        </w:rPr>
        <w:t>人才市场竞争激烈，若公司软硬件人才的资源得不到保障，发生人才</w:t>
      </w:r>
      <w:r>
        <w:rPr>
          <w:spacing w:val="-114"/>
        </w:rPr>
        <w:t> </w:t>
      </w:r>
      <w:r>
        <w:rPr>
          <w:spacing w:val="-114"/>
        </w:rPr>
      </w:r>
      <w:r>
        <w:rPr>
          <w:spacing w:val="-9"/>
          <w:w w:val="100"/>
        </w:rPr>
        <w:t>流失，不但会严重影响项目的正常开展，还将将制约公司进一步发展。</w:t>
      </w:r>
      <w:r>
        <w:rPr>
          <w:spacing w:val="-117"/>
          <w:w w:val="100"/>
        </w:rPr>
        <w:t> </w:t>
      </w:r>
      <w:r>
        <w:rPr>
          <w:spacing w:val="-117"/>
          <w:w w:val="100"/>
        </w:rPr>
      </w:r>
      <w:r>
        <w:rPr/>
        <w:t>因此，公司面临着一定的人才流失风险。</w:t>
      </w:r>
    </w:p>
    <w:p>
      <w:pPr>
        <w:pStyle w:val="Heading3"/>
        <w:spacing w:line="326" w:lineRule="auto"/>
        <w:ind w:right="107" w:firstLine="559"/>
        <w:jc w:val="left"/>
      </w:pPr>
      <w:r>
        <w:rPr>
          <w:spacing w:val="-9"/>
          <w:w w:val="100"/>
        </w:rPr>
        <w:t>针对这方面的风险，公司将进一步加强人力资源管理，建立完善、</w:t>
      </w:r>
      <w:r>
        <w:rPr>
          <w:w w:val="100"/>
        </w:rPr>
        <w:t> </w:t>
      </w:r>
      <w:r>
        <w:rPr>
          <w:spacing w:val="-9"/>
        </w:rPr>
        <w:t>高效、灵活的人才培养和管理机制；通过培养、引进和外聘三种方式，</w:t>
      </w:r>
      <w:r>
        <w:rPr>
          <w:spacing w:val="-98"/>
        </w:rPr>
        <w:t> </w:t>
      </w:r>
      <w:r>
        <w:rPr>
          <w:spacing w:val="-98"/>
        </w:rPr>
      </w:r>
      <w:r>
        <w:rPr>
          <w:spacing w:val="-4"/>
        </w:rPr>
        <w:t>扩充公司发展所需的各类人员特别是研发人员的数量。同时大力加强</w:t>
      </w:r>
      <w:r>
        <w:rPr>
          <w:spacing w:val="-115"/>
        </w:rPr>
        <w:t> </w:t>
      </w:r>
      <w:r>
        <w:rPr>
          <w:spacing w:val="-115"/>
        </w:rPr>
      </w:r>
      <w:r>
        <w:rPr>
          <w:spacing w:val="-4"/>
        </w:rPr>
        <w:t>对行业专家的引进工作，使公司的技术实力和行业经验达到行业领先</w:t>
      </w:r>
    </w:p>
    <w:p>
      <w:pPr>
        <w:spacing w:after="0" w:line="326" w:lineRule="auto"/>
        <w:jc w:val="left"/>
        <w:sectPr>
          <w:pgSz w:w="11910" w:h="16840"/>
          <w:pgMar w:header="624" w:footer="1045" w:top="1240" w:bottom="1240" w:left="1660" w:right="1540"/>
        </w:sectPr>
      </w:pPr>
    </w:p>
    <w:p>
      <w:pPr>
        <w:pStyle w:val="Heading3"/>
        <w:spacing w:line="240" w:lineRule="auto" w:before="73"/>
        <w:ind w:right="106"/>
        <w:jc w:val="left"/>
      </w:pPr>
      <w:r>
        <w:rPr/>
        <w:t>位置。</w:t>
      </w:r>
    </w:p>
    <w:p>
      <w:pPr>
        <w:pStyle w:val="Heading3"/>
        <w:spacing w:line="326" w:lineRule="auto" w:before="135"/>
        <w:ind w:left="697" w:right="106" w:firstLine="2"/>
        <w:jc w:val="left"/>
      </w:pPr>
      <w:r>
        <w:rPr>
          <w:rFonts w:ascii="宋体" w:hAnsi="宋体" w:cs="宋体" w:eastAsia="宋体" w:hint="default"/>
          <w:b/>
          <w:bCs/>
        </w:rPr>
        <w:t>3</w:t>
      </w:r>
      <w:r>
        <w:rPr>
          <w:rFonts w:ascii="宋体" w:hAnsi="宋体" w:cs="宋体" w:eastAsia="宋体" w:hint="default"/>
          <w:b/>
          <w:bCs/>
        </w:rPr>
        <w:t>、技术风险</w:t>
      </w:r>
      <w:r>
        <w:rPr>
          <w:rFonts w:ascii="宋体" w:hAnsi="宋体" w:cs="宋体" w:eastAsia="宋体" w:hint="default"/>
          <w:b/>
          <w:bCs/>
          <w:w w:val="99"/>
        </w:rPr>
        <w:t> </w:t>
      </w:r>
      <w:r>
        <w:rPr>
          <w:spacing w:val="-5"/>
        </w:rPr>
        <w:t>目前我国铁路信号通信行业已进入快速发展阶段，对铁路通信领</w:t>
      </w:r>
    </w:p>
    <w:p>
      <w:pPr>
        <w:pStyle w:val="Heading3"/>
        <w:spacing w:line="328" w:lineRule="auto" w:before="32"/>
        <w:ind w:right="106"/>
        <w:jc w:val="left"/>
      </w:pPr>
      <w:r>
        <w:rPr>
          <w:spacing w:val="-1"/>
        </w:rPr>
        <w:t>域产品的技术要求越来越高。如果公司不能准确把握技术发展方向，</w:t>
      </w:r>
      <w:r>
        <w:rPr>
          <w:spacing w:val="-116"/>
        </w:rPr>
        <w:t> </w:t>
      </w:r>
      <w:r>
        <w:rPr>
          <w:spacing w:val="-116"/>
        </w:rPr>
      </w:r>
      <w:r>
        <w:rPr/>
        <w:t>产品不能及时更新换代，公司产品将面临着被淘汰的风险。</w:t>
      </w:r>
    </w:p>
    <w:p>
      <w:pPr>
        <w:pStyle w:val="Heading3"/>
        <w:spacing w:line="328" w:lineRule="auto"/>
        <w:ind w:right="254" w:firstLine="559"/>
        <w:jc w:val="both"/>
      </w:pPr>
      <w:r>
        <w:rPr>
          <w:spacing w:val="-5"/>
        </w:rPr>
        <w:t>针对这方面的风险，公司在引进高技术人才的同时，还将继续加</w:t>
      </w:r>
      <w:r>
        <w:rPr>
          <w:w w:val="100"/>
        </w:rPr>
        <w:t> </w:t>
      </w:r>
      <w:r>
        <w:rPr>
          <w:spacing w:val="-4"/>
        </w:rPr>
        <w:t>强与该领域内国内知名的科研院所进行积极合作，以开发出符合市场</w:t>
      </w:r>
      <w:r>
        <w:rPr>
          <w:spacing w:val="-115"/>
        </w:rPr>
        <w:t> </w:t>
      </w:r>
      <w:r>
        <w:rPr>
          <w:spacing w:val="-115"/>
        </w:rPr>
      </w:r>
      <w:r>
        <w:rPr/>
        <w:t>需求的产品。</w:t>
      </w:r>
    </w:p>
    <w:p>
      <w:pPr>
        <w:pStyle w:val="Heading2"/>
        <w:spacing w:line="240" w:lineRule="auto"/>
        <w:ind w:right="106"/>
        <w:jc w:val="left"/>
        <w:rPr>
          <w:b w:val="0"/>
          <w:bCs w:val="0"/>
        </w:rPr>
      </w:pPr>
      <w:r>
        <w:rPr/>
        <w:t>三、公司投资情况</w:t>
      </w:r>
      <w:r>
        <w:rPr>
          <w:b w:val="0"/>
          <w:bCs w:val="0"/>
        </w:rPr>
      </w:r>
    </w:p>
    <w:p>
      <w:pPr>
        <w:pStyle w:val="Heading2"/>
        <w:spacing w:line="328" w:lineRule="auto" w:before="133"/>
        <w:ind w:left="699" w:right="5316" w:hanging="562"/>
        <w:jc w:val="left"/>
        <w:rPr>
          <w:b w:val="0"/>
          <w:bCs w:val="0"/>
        </w:rPr>
      </w:pPr>
      <w:r>
        <w:rPr/>
        <w:t>（一）募集资金投资情况</w:t>
      </w:r>
      <w:r>
        <w:rPr>
          <w:w w:val="99"/>
        </w:rPr>
        <w:t> </w:t>
      </w:r>
      <w:r>
        <w:rPr>
          <w:rFonts w:ascii="宋体" w:hAnsi="宋体" w:cs="宋体" w:eastAsia="宋体" w:hint="default"/>
        </w:rPr>
        <w:t>1</w:t>
      </w:r>
      <w:r>
        <w:rPr/>
        <w:t>、募集资金基本情况</w:t>
      </w:r>
      <w:r>
        <w:rPr>
          <w:b w:val="0"/>
          <w:bCs w:val="0"/>
        </w:rPr>
      </w:r>
    </w:p>
    <w:p>
      <w:pPr>
        <w:pStyle w:val="Heading3"/>
        <w:spacing w:line="326" w:lineRule="auto"/>
        <w:ind w:right="106" w:firstLine="559"/>
        <w:jc w:val="left"/>
      </w:pPr>
      <w:r>
        <w:rPr>
          <w:spacing w:val="-5"/>
        </w:rPr>
        <w:t>经中国证券监督管理委员会《关于核准河南辉煌科技股份有限公</w:t>
      </w:r>
      <w:r>
        <w:rPr>
          <w:w w:val="100"/>
        </w:rPr>
        <w:t> </w:t>
      </w:r>
      <w:r>
        <w:rPr>
          <w:spacing w:val="-7"/>
          <w:w w:val="100"/>
        </w:rPr>
        <w:t>司首次公开发行股票的批复》（证监许可</w:t>
      </w:r>
      <w:r>
        <w:rPr>
          <w:rFonts w:ascii="宋体" w:hAnsi="宋体" w:cs="宋体" w:eastAsia="宋体" w:hint="default"/>
          <w:spacing w:val="-7"/>
          <w:w w:val="100"/>
        </w:rPr>
        <w:t>[2009]860</w:t>
      </w:r>
      <w:r>
        <w:rPr>
          <w:rFonts w:ascii="宋体" w:hAnsi="宋体" w:cs="宋体" w:eastAsia="宋体" w:hint="default"/>
          <w:spacing w:val="-65"/>
          <w:w w:val="100"/>
        </w:rPr>
        <w:t> </w:t>
      </w:r>
      <w:r>
        <w:rPr>
          <w:spacing w:val="-1"/>
          <w:w w:val="100"/>
        </w:rPr>
        <w:t>号文）核准，公</w:t>
      </w:r>
      <w:r>
        <w:rPr>
          <w:spacing w:val="-122"/>
          <w:w w:val="100"/>
        </w:rPr>
        <w:t> </w:t>
      </w:r>
      <w:r>
        <w:rPr>
          <w:spacing w:val="-122"/>
          <w:w w:val="100"/>
        </w:rPr>
      </w:r>
      <w:r>
        <w:rPr/>
        <w:t>司分别于</w:t>
      </w:r>
      <w:r>
        <w:rPr>
          <w:spacing w:val="-74"/>
        </w:rPr>
        <w:t> </w:t>
      </w:r>
      <w:r>
        <w:rPr>
          <w:rFonts w:ascii="宋体" w:hAnsi="宋体" w:cs="宋体" w:eastAsia="宋体" w:hint="default"/>
        </w:rPr>
        <w:t>2009</w:t>
      </w:r>
      <w:r>
        <w:rPr>
          <w:rFonts w:ascii="宋体" w:hAnsi="宋体" w:cs="宋体" w:eastAsia="宋体" w:hint="default"/>
          <w:spacing w:val="-70"/>
        </w:rPr>
        <w:t> </w:t>
      </w:r>
      <w:r>
        <w:rPr/>
        <w:t>年</w:t>
      </w:r>
      <w:r>
        <w:rPr>
          <w:spacing w:val="-71"/>
        </w:rPr>
        <w:t> </w:t>
      </w:r>
      <w:r>
        <w:rPr>
          <w:rFonts w:ascii="宋体" w:hAnsi="宋体" w:cs="宋体" w:eastAsia="宋体" w:hint="default"/>
        </w:rPr>
        <w:t>9</w:t>
      </w:r>
      <w:r>
        <w:rPr>
          <w:rFonts w:ascii="宋体" w:hAnsi="宋体" w:cs="宋体" w:eastAsia="宋体" w:hint="default"/>
          <w:spacing w:val="-73"/>
        </w:rPr>
        <w:t> </w:t>
      </w:r>
      <w:r>
        <w:rPr/>
        <w:t>月</w:t>
      </w:r>
      <w:r>
        <w:rPr>
          <w:spacing w:val="-72"/>
        </w:rPr>
        <w:t> </w:t>
      </w:r>
      <w:r>
        <w:rPr>
          <w:rFonts w:ascii="宋体" w:hAnsi="宋体" w:cs="宋体" w:eastAsia="宋体" w:hint="default"/>
        </w:rPr>
        <w:t>15</w:t>
      </w:r>
      <w:r>
        <w:rPr>
          <w:rFonts w:ascii="宋体" w:hAnsi="宋体" w:cs="宋体" w:eastAsia="宋体" w:hint="default"/>
          <w:spacing w:val="-73"/>
        </w:rPr>
        <w:t> </w:t>
      </w:r>
      <w:r>
        <w:rPr>
          <w:spacing w:val="-4"/>
        </w:rPr>
        <w:t>日（</w:t>
      </w:r>
      <w:r>
        <w:rPr>
          <w:rFonts w:ascii="宋体" w:hAnsi="宋体" w:cs="宋体" w:eastAsia="宋体" w:hint="default"/>
          <w:spacing w:val="-4"/>
        </w:rPr>
        <w:t>T</w:t>
      </w:r>
      <w:r>
        <w:rPr>
          <w:rFonts w:ascii="宋体" w:hAnsi="宋体" w:cs="宋体" w:eastAsia="宋体" w:hint="default"/>
          <w:spacing w:val="-73"/>
        </w:rPr>
        <w:t> </w:t>
      </w:r>
      <w:r>
        <w:rPr/>
        <w:t>日）采用网下配售方式向询价对象公</w:t>
      </w:r>
      <w:r>
        <w:rPr>
          <w:w w:val="100"/>
        </w:rPr>
        <w:t> </w:t>
      </w:r>
      <w:r>
        <w:rPr>
          <w:spacing w:val="-3"/>
        </w:rPr>
        <w:t>开发行人民币普通股（</w:t>
      </w:r>
      <w:r>
        <w:rPr>
          <w:rFonts w:ascii="宋体" w:hAnsi="宋体" w:cs="宋体" w:eastAsia="宋体" w:hint="default"/>
          <w:spacing w:val="-3"/>
        </w:rPr>
        <w:t>A</w:t>
      </w:r>
      <w:r>
        <w:rPr>
          <w:rFonts w:ascii="宋体" w:hAnsi="宋体" w:cs="宋体" w:eastAsia="宋体" w:hint="default"/>
          <w:spacing w:val="-69"/>
        </w:rPr>
        <w:t> </w:t>
      </w:r>
      <w:r>
        <w:rPr>
          <w:spacing w:val="-4"/>
        </w:rPr>
        <w:t>股）</w:t>
      </w:r>
      <w:r>
        <w:rPr>
          <w:rFonts w:ascii="宋体" w:hAnsi="宋体" w:cs="宋体" w:eastAsia="宋体" w:hint="default"/>
          <w:spacing w:val="-4"/>
        </w:rPr>
        <w:t>310.00</w:t>
      </w:r>
      <w:r>
        <w:rPr>
          <w:rFonts w:ascii="宋体" w:hAnsi="宋体" w:cs="宋体" w:eastAsia="宋体" w:hint="default"/>
          <w:spacing w:val="-69"/>
        </w:rPr>
        <w:t> </w:t>
      </w:r>
      <w:r>
        <w:rPr>
          <w:spacing w:val="-4"/>
        </w:rPr>
        <w:t>万股，</w:t>
      </w:r>
      <w:r>
        <w:rPr>
          <w:rFonts w:ascii="宋体" w:hAnsi="宋体" w:cs="宋体" w:eastAsia="宋体" w:hint="default"/>
          <w:spacing w:val="-4"/>
        </w:rPr>
        <w:t>2009</w:t>
      </w:r>
      <w:r>
        <w:rPr>
          <w:rFonts w:ascii="宋体" w:hAnsi="宋体" w:cs="宋体" w:eastAsia="宋体" w:hint="default"/>
          <w:spacing w:val="-66"/>
        </w:rPr>
        <w:t> </w:t>
      </w:r>
      <w:r>
        <w:rPr/>
        <w:t>年</w:t>
      </w:r>
      <w:r>
        <w:rPr>
          <w:spacing w:val="-68"/>
        </w:rPr>
        <w:t> </w:t>
      </w:r>
      <w:r>
        <w:rPr>
          <w:rFonts w:ascii="宋体" w:hAnsi="宋体" w:cs="宋体" w:eastAsia="宋体" w:hint="default"/>
        </w:rPr>
        <w:t>9</w:t>
      </w:r>
      <w:r>
        <w:rPr>
          <w:rFonts w:ascii="宋体" w:hAnsi="宋体" w:cs="宋体" w:eastAsia="宋体" w:hint="default"/>
          <w:spacing w:val="-67"/>
        </w:rPr>
        <w:t> </w:t>
      </w:r>
      <w:r>
        <w:rPr/>
        <w:t>月</w:t>
      </w:r>
      <w:r>
        <w:rPr>
          <w:spacing w:val="-70"/>
        </w:rPr>
        <w:t> </w:t>
      </w:r>
      <w:r>
        <w:rPr>
          <w:rFonts w:ascii="宋体" w:hAnsi="宋体" w:cs="宋体" w:eastAsia="宋体" w:hint="default"/>
        </w:rPr>
        <w:t>15</w:t>
      </w:r>
      <w:r>
        <w:rPr>
          <w:rFonts w:ascii="宋体" w:hAnsi="宋体" w:cs="宋体" w:eastAsia="宋体" w:hint="default"/>
          <w:spacing w:val="-66"/>
        </w:rPr>
        <w:t> </w:t>
      </w:r>
      <w:r>
        <w:rPr>
          <w:spacing w:val="-8"/>
        </w:rPr>
        <w:t>日（</w:t>
      </w:r>
      <w:r>
        <w:rPr>
          <w:rFonts w:ascii="宋体" w:hAnsi="宋体" w:cs="宋体" w:eastAsia="宋体" w:hint="default"/>
          <w:spacing w:val="-8"/>
        </w:rPr>
        <w:t>T</w:t>
      </w:r>
      <w:r>
        <w:rPr>
          <w:rFonts w:ascii="宋体" w:hAnsi="宋体" w:cs="宋体" w:eastAsia="宋体" w:hint="default"/>
          <w:spacing w:val="-69"/>
        </w:rPr>
        <w:t> </w:t>
      </w:r>
      <w:r>
        <w:rPr/>
        <w:t>日）</w:t>
      </w:r>
      <w:r>
        <w:rPr>
          <w:w w:val="100"/>
        </w:rPr>
        <w:t> </w:t>
      </w:r>
      <w:r>
        <w:rPr>
          <w:spacing w:val="-3"/>
        </w:rPr>
        <w:t>采用网上定价方式公开发行人民币普通股（</w:t>
      </w:r>
      <w:r>
        <w:rPr>
          <w:rFonts w:ascii="宋体" w:hAnsi="宋体" w:cs="宋体" w:eastAsia="宋体" w:hint="default"/>
          <w:spacing w:val="-3"/>
        </w:rPr>
        <w:t>A</w:t>
      </w:r>
      <w:r>
        <w:rPr>
          <w:rFonts w:ascii="宋体" w:hAnsi="宋体" w:cs="宋体" w:eastAsia="宋体" w:hint="default"/>
          <w:spacing w:val="-60"/>
        </w:rPr>
        <w:t> </w:t>
      </w:r>
      <w:r>
        <w:rPr>
          <w:spacing w:val="-5"/>
        </w:rPr>
        <w:t>股）</w:t>
      </w:r>
      <w:r>
        <w:rPr>
          <w:rFonts w:ascii="宋体" w:hAnsi="宋体" w:cs="宋体" w:eastAsia="宋体" w:hint="default"/>
          <w:spacing w:val="-5"/>
        </w:rPr>
        <w:t>1,240.00</w:t>
      </w:r>
      <w:r>
        <w:rPr>
          <w:rFonts w:ascii="宋体" w:hAnsi="宋体" w:cs="宋体" w:eastAsia="宋体" w:hint="default"/>
          <w:spacing w:val="-59"/>
        </w:rPr>
        <w:t> </w:t>
      </w:r>
      <w:r>
        <w:rPr>
          <w:spacing w:val="-9"/>
        </w:rPr>
        <w:t>万股，共</w:t>
      </w:r>
      <w:r>
        <w:rPr>
          <w:spacing w:val="-116"/>
        </w:rPr>
        <w:t> </w:t>
      </w:r>
      <w:r>
        <w:rPr>
          <w:spacing w:val="-116"/>
        </w:rPr>
      </w:r>
      <w:r>
        <w:rPr>
          <w:spacing w:val="-4"/>
        </w:rPr>
        <w:t>计公开发行人民币普通股（</w:t>
      </w:r>
      <w:r>
        <w:rPr>
          <w:rFonts w:ascii="宋体" w:hAnsi="宋体" w:cs="宋体" w:eastAsia="宋体" w:hint="default"/>
          <w:spacing w:val="-4"/>
        </w:rPr>
        <w:t>A</w:t>
      </w:r>
      <w:r>
        <w:rPr>
          <w:rFonts w:ascii="宋体" w:hAnsi="宋体" w:cs="宋体" w:eastAsia="宋体" w:hint="default"/>
          <w:spacing w:val="-61"/>
        </w:rPr>
        <w:t> </w:t>
      </w:r>
      <w:r>
        <w:rPr>
          <w:spacing w:val="-5"/>
        </w:rPr>
        <w:t>股）</w:t>
      </w:r>
      <w:r>
        <w:rPr>
          <w:rFonts w:ascii="宋体" w:hAnsi="宋体" w:cs="宋体" w:eastAsia="宋体" w:hint="default"/>
          <w:spacing w:val="-5"/>
        </w:rPr>
        <w:t>1,550.00</w:t>
      </w:r>
      <w:r>
        <w:rPr>
          <w:rFonts w:ascii="宋体" w:hAnsi="宋体" w:cs="宋体" w:eastAsia="宋体" w:hint="default"/>
          <w:spacing w:val="-62"/>
        </w:rPr>
        <w:t> </w:t>
      </w:r>
      <w:r>
        <w:rPr>
          <w:spacing w:val="-6"/>
        </w:rPr>
        <w:t>万股，每股面值</w:t>
      </w:r>
      <w:r>
        <w:rPr>
          <w:spacing w:val="-61"/>
        </w:rPr>
        <w:t> </w:t>
      </w:r>
      <w:r>
        <w:rPr>
          <w:rFonts w:ascii="宋体" w:hAnsi="宋体" w:cs="宋体" w:eastAsia="宋体" w:hint="default"/>
        </w:rPr>
        <w:t>1.00</w:t>
      </w:r>
      <w:r>
        <w:rPr>
          <w:rFonts w:ascii="宋体" w:hAnsi="宋体" w:cs="宋体" w:eastAsia="宋体" w:hint="default"/>
          <w:spacing w:val="-60"/>
        </w:rPr>
        <w:t> </w:t>
      </w:r>
      <w:r>
        <w:rPr>
          <w:spacing w:val="-3"/>
        </w:rPr>
        <w:t>元，</w:t>
      </w:r>
      <w:r>
        <w:rPr>
          <w:spacing w:val="-136"/>
        </w:rPr>
        <w:t> </w:t>
      </w:r>
      <w:r>
        <w:rPr/>
        <w:t>每股发行价格为</w:t>
      </w:r>
      <w:r>
        <w:rPr>
          <w:spacing w:val="-75"/>
        </w:rPr>
        <w:t> </w:t>
      </w:r>
      <w:r>
        <w:rPr>
          <w:rFonts w:ascii="宋体" w:hAnsi="宋体" w:cs="宋体" w:eastAsia="宋体" w:hint="default"/>
        </w:rPr>
        <w:t>25.00</w:t>
      </w:r>
      <w:r>
        <w:rPr>
          <w:rFonts w:ascii="宋体" w:hAnsi="宋体" w:cs="宋体" w:eastAsia="宋体" w:hint="default"/>
          <w:spacing w:val="-72"/>
        </w:rPr>
        <w:t> </w:t>
      </w:r>
      <w:r>
        <w:rPr/>
        <w:t>元，共募集资金</w:t>
      </w:r>
      <w:r>
        <w:rPr>
          <w:spacing w:val="-75"/>
        </w:rPr>
        <w:t> </w:t>
      </w:r>
      <w:r>
        <w:rPr>
          <w:rFonts w:ascii="宋体" w:hAnsi="宋体" w:cs="宋体" w:eastAsia="宋体" w:hint="default"/>
        </w:rPr>
        <w:t>387,500,000.00</w:t>
      </w:r>
      <w:r>
        <w:rPr>
          <w:rFonts w:ascii="宋体" w:hAnsi="宋体" w:cs="宋体" w:eastAsia="宋体" w:hint="default"/>
          <w:spacing w:val="-72"/>
        </w:rPr>
        <w:t> </w:t>
      </w:r>
      <w:r>
        <w:rPr/>
        <w:t>元，扣除承</w:t>
      </w:r>
    </w:p>
    <w:p>
      <w:pPr>
        <w:pStyle w:val="Heading3"/>
        <w:spacing w:line="240" w:lineRule="auto" w:before="32"/>
        <w:ind w:right="106"/>
        <w:jc w:val="left"/>
      </w:pPr>
      <w:r>
        <w:rPr>
          <w:spacing w:val="-6"/>
        </w:rPr>
        <w:t>销费、保荐费、上网发行费及其他发行费用</w:t>
      </w:r>
      <w:r>
        <w:rPr>
          <w:spacing w:val="-64"/>
        </w:rPr>
        <w:t> </w:t>
      </w:r>
      <w:r>
        <w:rPr>
          <w:rFonts w:ascii="宋体" w:hAnsi="宋体" w:cs="宋体" w:eastAsia="宋体" w:hint="default"/>
        </w:rPr>
        <w:t>17,464,060.00</w:t>
      </w:r>
      <w:r>
        <w:rPr>
          <w:rFonts w:ascii="宋体" w:hAnsi="宋体" w:cs="宋体" w:eastAsia="宋体" w:hint="default"/>
          <w:spacing w:val="-63"/>
        </w:rPr>
        <w:t> </w:t>
      </w:r>
      <w:r>
        <w:rPr/>
        <w:t>元后实际</w:t>
      </w:r>
    </w:p>
    <w:p>
      <w:pPr>
        <w:pStyle w:val="Heading3"/>
        <w:spacing w:line="326" w:lineRule="auto" w:before="135"/>
        <w:ind w:right="299"/>
        <w:jc w:val="left"/>
      </w:pPr>
      <w:r>
        <w:rPr/>
        <w:t>募集资金净额</w:t>
      </w:r>
      <w:r>
        <w:rPr>
          <w:spacing w:val="-77"/>
        </w:rPr>
        <w:t> </w:t>
      </w:r>
      <w:r>
        <w:rPr>
          <w:rFonts w:ascii="宋体" w:hAnsi="宋体" w:cs="宋体" w:eastAsia="宋体" w:hint="default"/>
        </w:rPr>
        <w:t>370,035,940.00</w:t>
      </w:r>
      <w:r>
        <w:rPr>
          <w:rFonts w:ascii="宋体" w:hAnsi="宋体" w:cs="宋体" w:eastAsia="宋体" w:hint="default"/>
          <w:spacing w:val="-74"/>
        </w:rPr>
        <w:t> </w:t>
      </w:r>
      <w:r>
        <w:rPr/>
        <w:t>元。上述募集资金到位情况已经天健</w:t>
      </w:r>
      <w:r>
        <w:rPr>
          <w:w w:val="100"/>
        </w:rPr>
        <w:t> </w:t>
      </w:r>
      <w:r>
        <w:rPr/>
        <w:t>光华（北京）会计师事务所有限公司以天健光华验（</w:t>
      </w:r>
      <w:r>
        <w:rPr>
          <w:rFonts w:ascii="宋体" w:hAnsi="宋体" w:cs="宋体" w:eastAsia="宋体" w:hint="default"/>
        </w:rPr>
        <w:t>2009</w:t>
      </w:r>
      <w:r>
        <w:rPr/>
        <w:t>）综字第</w:t>
      </w:r>
      <w:r>
        <w:rPr>
          <w:w w:val="100"/>
        </w:rPr>
        <w:t> </w:t>
      </w:r>
      <w:r>
        <w:rPr>
          <w:rFonts w:ascii="宋体" w:hAnsi="宋体" w:cs="宋体" w:eastAsia="宋体" w:hint="default"/>
        </w:rPr>
        <w:t>060005</w:t>
      </w:r>
      <w:r>
        <w:rPr>
          <w:rFonts w:ascii="宋体" w:hAnsi="宋体" w:cs="宋体" w:eastAsia="宋体" w:hint="default"/>
          <w:spacing w:val="-73"/>
        </w:rPr>
        <w:t> </w:t>
      </w:r>
      <w:r>
        <w:rPr/>
        <w:t>号验资报告验证。</w:t>
      </w:r>
    </w:p>
    <w:p>
      <w:pPr>
        <w:pStyle w:val="Heading3"/>
        <w:spacing w:line="240" w:lineRule="auto" w:before="34"/>
        <w:ind w:left="697" w:right="106"/>
        <w:jc w:val="left"/>
      </w:pPr>
      <w:r>
        <w:rPr/>
        <w:t>公司获准公开发行股票实际募集资金净额</w:t>
      </w:r>
      <w:r>
        <w:rPr>
          <w:spacing w:val="-77"/>
        </w:rPr>
        <w:t> </w:t>
      </w:r>
      <w:r>
        <w:rPr>
          <w:rFonts w:ascii="宋体" w:hAnsi="宋体" w:cs="宋体" w:eastAsia="宋体" w:hint="default"/>
        </w:rPr>
        <w:t>370,035,940.00</w:t>
      </w:r>
      <w:r>
        <w:rPr>
          <w:rFonts w:ascii="宋体" w:hAnsi="宋体" w:cs="宋体" w:eastAsia="宋体" w:hint="default"/>
          <w:spacing w:val="-76"/>
        </w:rPr>
        <w:t> </w:t>
      </w:r>
      <w:r>
        <w:rPr/>
        <w:t>元，</w:t>
      </w:r>
    </w:p>
    <w:p>
      <w:pPr>
        <w:pStyle w:val="Heading3"/>
        <w:spacing w:line="328" w:lineRule="auto" w:before="132"/>
        <w:ind w:right="253"/>
        <w:jc w:val="both"/>
      </w:pPr>
      <w:r>
        <w:rPr/>
        <w:t>其中超募资金总额为</w:t>
      </w:r>
      <w:r>
        <w:rPr>
          <w:spacing w:val="-75"/>
        </w:rPr>
        <w:t> </w:t>
      </w:r>
      <w:r>
        <w:rPr>
          <w:rFonts w:ascii="宋体" w:hAnsi="宋体" w:cs="宋体" w:eastAsia="宋体" w:hint="default"/>
        </w:rPr>
        <w:t>231,765,940.00</w:t>
      </w:r>
      <w:r>
        <w:rPr>
          <w:rFonts w:ascii="宋体" w:hAnsi="宋体" w:cs="宋体" w:eastAsia="宋体" w:hint="default"/>
          <w:spacing w:val="-76"/>
        </w:rPr>
        <w:t> </w:t>
      </w:r>
      <w:r>
        <w:rPr/>
        <w:t>元，根据公司发行时招股说明</w:t>
      </w:r>
      <w:r>
        <w:rPr>
          <w:w w:val="100"/>
        </w:rPr>
        <w:t> </w:t>
      </w:r>
      <w:r>
        <w:rPr>
          <w:spacing w:val="-4"/>
        </w:rPr>
        <w:t>书，如实际募集资金多于公司计划的募集资金量，超出部分用于补充</w:t>
      </w:r>
      <w:r>
        <w:rPr>
          <w:spacing w:val="-113"/>
        </w:rPr>
        <w:t> </w:t>
      </w:r>
      <w:r>
        <w:rPr>
          <w:spacing w:val="-113"/>
        </w:rPr>
      </w:r>
      <w:r>
        <w:rPr/>
        <w:t>公司流动资金。本年度超募资金的实际使用情况如下：</w:t>
      </w:r>
    </w:p>
    <w:p>
      <w:pPr>
        <w:pStyle w:val="Heading3"/>
        <w:spacing w:line="326" w:lineRule="auto"/>
        <w:ind w:right="106" w:firstLine="559"/>
        <w:jc w:val="left"/>
      </w:pPr>
      <w:r>
        <w:rPr>
          <w:spacing w:val="-1"/>
        </w:rPr>
        <w:t>（</w:t>
      </w:r>
      <w:r>
        <w:rPr>
          <w:rFonts w:ascii="宋体" w:hAnsi="宋体" w:cs="宋体" w:eastAsia="宋体" w:hint="default"/>
          <w:spacing w:val="-1"/>
        </w:rPr>
        <w:t>1</w:t>
      </w:r>
      <w:r>
        <w:rPr>
          <w:spacing w:val="-1"/>
        </w:rPr>
        <w:t>）经公司第三届董事会第六次会议审议通过，公司以超募资</w:t>
      </w:r>
      <w:r>
        <w:rPr>
          <w:w w:val="100"/>
        </w:rPr>
        <w:t> </w:t>
      </w:r>
      <w:r>
        <w:rPr/>
        <w:t>金归还</w:t>
      </w:r>
      <w:r>
        <w:rPr>
          <w:spacing w:val="-74"/>
        </w:rPr>
        <w:t> </w:t>
      </w:r>
      <w:r>
        <w:rPr>
          <w:rFonts w:ascii="宋体" w:hAnsi="宋体" w:cs="宋体" w:eastAsia="宋体" w:hint="default"/>
        </w:rPr>
        <w:t>3,000</w:t>
      </w:r>
      <w:r>
        <w:rPr>
          <w:rFonts w:ascii="宋体" w:hAnsi="宋体" w:cs="宋体" w:eastAsia="宋体" w:hint="default"/>
          <w:spacing w:val="-73"/>
        </w:rPr>
        <w:t> </w:t>
      </w:r>
      <w:r>
        <w:rPr/>
        <w:t>万元银行贷款。</w:t>
      </w:r>
    </w:p>
    <w:p>
      <w:pPr>
        <w:spacing w:after="0" w:line="326" w:lineRule="auto"/>
        <w:jc w:val="left"/>
        <w:sectPr>
          <w:pgSz w:w="11910" w:h="16840"/>
          <w:pgMar w:header="624" w:footer="1045" w:top="1240" w:bottom="1240" w:left="1660" w:right="1540"/>
        </w:sectPr>
      </w:pPr>
    </w:p>
    <w:p>
      <w:pPr>
        <w:pStyle w:val="Heading3"/>
        <w:spacing w:line="328" w:lineRule="auto" w:before="73"/>
        <w:ind w:left="218" w:right="306" w:firstLine="559"/>
        <w:jc w:val="both"/>
      </w:pPr>
      <w:r>
        <w:rPr>
          <w:spacing w:val="-1"/>
        </w:rPr>
        <w:t>（</w:t>
      </w:r>
      <w:r>
        <w:rPr>
          <w:rFonts w:ascii="宋体" w:hAnsi="宋体" w:cs="宋体" w:eastAsia="宋体" w:hint="default"/>
          <w:spacing w:val="-1"/>
        </w:rPr>
        <w:t>2</w:t>
      </w:r>
      <w:r>
        <w:rPr>
          <w:spacing w:val="-1"/>
        </w:rPr>
        <w:t>）经公司第三届董事会第八次会议审议通过，公司以超募资</w:t>
      </w:r>
      <w:r>
        <w:rPr>
          <w:w w:val="100"/>
        </w:rPr>
        <w:t> </w:t>
      </w:r>
      <w:r>
        <w:rPr/>
        <w:t>金</w:t>
      </w:r>
      <w:r>
        <w:rPr>
          <w:spacing w:val="-74"/>
        </w:rPr>
        <w:t> </w:t>
      </w:r>
      <w:r>
        <w:rPr>
          <w:rFonts w:ascii="宋体" w:hAnsi="宋体" w:cs="宋体" w:eastAsia="宋体" w:hint="default"/>
        </w:rPr>
        <w:t>4,757.90</w:t>
      </w:r>
      <w:r>
        <w:rPr>
          <w:rFonts w:ascii="宋体" w:hAnsi="宋体" w:cs="宋体" w:eastAsia="宋体" w:hint="default"/>
          <w:spacing w:val="-74"/>
        </w:rPr>
        <w:t> </w:t>
      </w:r>
      <w:r>
        <w:rPr/>
        <w:t>万元永久补充流动资金。</w:t>
      </w:r>
    </w:p>
    <w:p>
      <w:pPr>
        <w:pStyle w:val="Heading3"/>
        <w:spacing w:line="328" w:lineRule="auto"/>
        <w:ind w:left="218" w:right="251" w:firstLine="559"/>
        <w:jc w:val="both"/>
      </w:pPr>
      <w:r>
        <w:rPr>
          <w:spacing w:val="-5"/>
        </w:rPr>
        <w:t>（</w:t>
      </w:r>
      <w:r>
        <w:rPr>
          <w:rFonts w:ascii="宋体" w:hAnsi="宋体" w:cs="宋体" w:eastAsia="宋体" w:hint="default"/>
          <w:spacing w:val="-5"/>
        </w:rPr>
        <w:t>3</w:t>
      </w:r>
      <w:r>
        <w:rPr>
          <w:spacing w:val="-5"/>
        </w:rPr>
        <w:t>）经第三届董事会第九次会议审议通过，并经公司 </w:t>
      </w:r>
      <w:r>
        <w:rPr>
          <w:rFonts w:ascii="宋体" w:hAnsi="宋体" w:cs="宋体" w:eastAsia="宋体" w:hint="default"/>
        </w:rPr>
        <w:t>2010</w:t>
      </w:r>
      <w:r>
        <w:rPr>
          <w:rFonts w:ascii="宋体" w:hAnsi="宋体" w:cs="宋体" w:eastAsia="宋体" w:hint="default"/>
          <w:spacing w:val="-110"/>
        </w:rPr>
        <w:t> </w:t>
      </w:r>
      <w:r>
        <w:rPr/>
        <w:t>年第</w:t>
      </w:r>
      <w:r>
        <w:rPr>
          <w:w w:val="100"/>
        </w:rPr>
        <w:t> </w:t>
      </w:r>
      <w:r>
        <w:rPr>
          <w:spacing w:val="-4"/>
        </w:rPr>
        <w:t>一次临时股东大会审议通过，公司使用部分超募资金投资“铁路防灾</w:t>
      </w:r>
      <w:r>
        <w:rPr>
          <w:spacing w:val="-113"/>
        </w:rPr>
        <w:t> </w:t>
      </w:r>
      <w:r>
        <w:rPr>
          <w:spacing w:val="-113"/>
        </w:rPr>
      </w:r>
      <w:r>
        <w:rPr>
          <w:spacing w:val="-4"/>
        </w:rPr>
        <w:t>安全监控系统”项目。该项目总投资 </w:t>
      </w:r>
      <w:r>
        <w:rPr>
          <w:rFonts w:ascii="宋体" w:hAnsi="宋体" w:cs="宋体" w:eastAsia="宋体" w:hint="default"/>
        </w:rPr>
        <w:t>5,091</w:t>
      </w:r>
      <w:r>
        <w:rPr>
          <w:rFonts w:ascii="宋体" w:hAnsi="宋体" w:cs="宋体" w:eastAsia="宋体" w:hint="default"/>
          <w:spacing w:val="-103"/>
        </w:rPr>
        <w:t> </w:t>
      </w:r>
      <w:r>
        <w:rPr>
          <w:spacing w:val="-6"/>
        </w:rPr>
        <w:t>万元，其中固定资产投资</w:t>
      </w:r>
    </w:p>
    <w:p>
      <w:pPr>
        <w:pStyle w:val="Heading3"/>
        <w:spacing w:line="240" w:lineRule="auto"/>
        <w:ind w:left="218" w:right="0"/>
        <w:jc w:val="left"/>
        <w:rPr>
          <w:rFonts w:ascii="宋体" w:hAnsi="宋体" w:cs="宋体" w:eastAsia="宋体" w:hint="default"/>
        </w:rPr>
      </w:pPr>
      <w:r>
        <w:rPr>
          <w:rFonts w:ascii="宋体" w:hAnsi="宋体" w:cs="宋体" w:eastAsia="宋体" w:hint="default"/>
        </w:rPr>
        <w:t>1,491</w:t>
      </w:r>
      <w:r>
        <w:rPr>
          <w:rFonts w:ascii="宋体" w:hAnsi="宋体" w:cs="宋体" w:eastAsia="宋体" w:hint="default"/>
          <w:spacing w:val="-65"/>
        </w:rPr>
        <w:t> </w:t>
      </w:r>
      <w:r>
        <w:rPr>
          <w:spacing w:val="-6"/>
        </w:rPr>
        <w:t>万元，流动资金</w:t>
      </w:r>
      <w:r>
        <w:rPr>
          <w:spacing w:val="-66"/>
        </w:rPr>
        <w:t> </w:t>
      </w:r>
      <w:r>
        <w:rPr>
          <w:rFonts w:ascii="宋体" w:hAnsi="宋体" w:cs="宋体" w:eastAsia="宋体" w:hint="default"/>
        </w:rPr>
        <w:t>3,600</w:t>
      </w:r>
      <w:r>
        <w:rPr>
          <w:rFonts w:ascii="宋体" w:hAnsi="宋体" w:cs="宋体" w:eastAsia="宋体" w:hint="default"/>
          <w:spacing w:val="-68"/>
        </w:rPr>
        <w:t> </w:t>
      </w:r>
      <w:r>
        <w:rPr>
          <w:spacing w:val="-5"/>
        </w:rPr>
        <w:t>万元，拟全部使用超募资金。截止</w:t>
      </w:r>
      <w:r>
        <w:rPr>
          <w:spacing w:val="-68"/>
        </w:rPr>
        <w:t> </w:t>
      </w:r>
      <w:r>
        <w:rPr>
          <w:rFonts w:ascii="宋体" w:hAnsi="宋体" w:cs="宋体" w:eastAsia="宋体" w:hint="default"/>
        </w:rPr>
        <w:t>2010</w:t>
      </w:r>
    </w:p>
    <w:p>
      <w:pPr>
        <w:pStyle w:val="Heading3"/>
        <w:spacing w:line="240" w:lineRule="auto" w:before="132"/>
        <w:ind w:left="218" w:right="0"/>
        <w:jc w:val="left"/>
      </w:pPr>
      <w:r>
        <w:rPr/>
        <w:t>年</w:t>
      </w:r>
      <w:r>
        <w:rPr>
          <w:spacing w:val="-73"/>
        </w:rPr>
        <w:t> </w:t>
      </w:r>
      <w:r>
        <w:rPr>
          <w:rFonts w:ascii="宋体" w:hAnsi="宋体" w:cs="宋体" w:eastAsia="宋体" w:hint="default"/>
        </w:rPr>
        <w:t>12</w:t>
      </w:r>
      <w:r>
        <w:rPr>
          <w:rFonts w:ascii="宋体" w:hAnsi="宋体" w:cs="宋体" w:eastAsia="宋体" w:hint="default"/>
          <w:spacing w:val="-72"/>
        </w:rPr>
        <w:t> </w:t>
      </w:r>
      <w:r>
        <w:rPr/>
        <w:t>月</w:t>
      </w:r>
      <w:r>
        <w:rPr>
          <w:spacing w:val="-75"/>
        </w:rPr>
        <w:t> </w:t>
      </w:r>
      <w:r>
        <w:rPr>
          <w:rFonts w:ascii="宋体" w:hAnsi="宋体" w:cs="宋体" w:eastAsia="宋体" w:hint="default"/>
        </w:rPr>
        <w:t>31</w:t>
      </w:r>
      <w:r>
        <w:rPr>
          <w:rFonts w:ascii="宋体" w:hAnsi="宋体" w:cs="宋体" w:eastAsia="宋体" w:hint="default"/>
          <w:spacing w:val="-72"/>
        </w:rPr>
        <w:t> </w:t>
      </w:r>
      <w:r>
        <w:rPr/>
        <w:t>日，该项目实际投入募集资金</w:t>
      </w:r>
      <w:r>
        <w:rPr>
          <w:spacing w:val="-71"/>
        </w:rPr>
        <w:t> </w:t>
      </w:r>
      <w:r>
        <w:rPr>
          <w:rFonts w:ascii="宋体" w:hAnsi="宋体" w:cs="宋体" w:eastAsia="宋体" w:hint="default"/>
        </w:rPr>
        <w:t>8,050,459.93</w:t>
      </w:r>
      <w:r>
        <w:rPr>
          <w:rFonts w:ascii="宋体" w:hAnsi="宋体" w:cs="宋体" w:eastAsia="宋体" w:hint="default"/>
          <w:spacing w:val="-73"/>
        </w:rPr>
        <w:t> </w:t>
      </w:r>
      <w:r>
        <w:rPr/>
        <w:t>元。</w:t>
      </w:r>
    </w:p>
    <w:p>
      <w:pPr>
        <w:pStyle w:val="Heading3"/>
        <w:spacing w:line="240" w:lineRule="auto" w:before="135"/>
        <w:ind w:left="777" w:right="0"/>
        <w:jc w:val="left"/>
      </w:pPr>
      <w:r>
        <w:rPr/>
        <w:t>截至</w:t>
      </w:r>
      <w:r>
        <w:rPr>
          <w:spacing w:val="-72"/>
        </w:rPr>
        <w:t> </w:t>
      </w:r>
      <w:r>
        <w:rPr>
          <w:rFonts w:ascii="宋体" w:hAnsi="宋体" w:cs="宋体" w:eastAsia="宋体" w:hint="default"/>
        </w:rPr>
        <w:t>2009</w:t>
      </w:r>
      <w:r>
        <w:rPr>
          <w:rFonts w:ascii="宋体" w:hAnsi="宋体" w:cs="宋体" w:eastAsia="宋体" w:hint="default"/>
          <w:spacing w:val="-70"/>
        </w:rPr>
        <w:t> </w:t>
      </w:r>
      <w:r>
        <w:rPr/>
        <w:t>年</w:t>
      </w:r>
      <w:r>
        <w:rPr>
          <w:spacing w:val="-74"/>
        </w:rPr>
        <w:t> </w:t>
      </w:r>
      <w:r>
        <w:rPr>
          <w:rFonts w:ascii="宋体" w:hAnsi="宋体" w:cs="宋体" w:eastAsia="宋体" w:hint="default"/>
        </w:rPr>
        <w:t>12</w:t>
      </w:r>
      <w:r>
        <w:rPr>
          <w:rFonts w:ascii="宋体" w:hAnsi="宋体" w:cs="宋体" w:eastAsia="宋体" w:hint="default"/>
          <w:spacing w:val="-71"/>
        </w:rPr>
        <w:t> </w:t>
      </w:r>
      <w:r>
        <w:rPr/>
        <w:t>月</w:t>
      </w:r>
      <w:r>
        <w:rPr>
          <w:spacing w:val="-74"/>
        </w:rPr>
        <w:t> </w:t>
      </w:r>
      <w:r>
        <w:rPr>
          <w:rFonts w:ascii="宋体" w:hAnsi="宋体" w:cs="宋体" w:eastAsia="宋体" w:hint="default"/>
        </w:rPr>
        <w:t>31</w:t>
      </w:r>
      <w:r>
        <w:rPr>
          <w:rFonts w:ascii="宋体" w:hAnsi="宋体" w:cs="宋体" w:eastAsia="宋体" w:hint="default"/>
          <w:spacing w:val="-71"/>
        </w:rPr>
        <w:t> </w:t>
      </w:r>
      <w:r>
        <w:rPr/>
        <w:t>日止，公司共使用募集资金投入募集资金</w:t>
      </w:r>
    </w:p>
    <w:p>
      <w:pPr>
        <w:pStyle w:val="Heading3"/>
        <w:spacing w:line="328" w:lineRule="auto" w:before="132"/>
        <w:ind w:left="218" w:right="0"/>
        <w:jc w:val="left"/>
      </w:pPr>
      <w:r>
        <w:rPr/>
        <w:t>项目</w:t>
      </w:r>
      <w:r>
        <w:rPr>
          <w:spacing w:val="-74"/>
        </w:rPr>
        <w:t> </w:t>
      </w:r>
      <w:r>
        <w:rPr>
          <w:rFonts w:ascii="宋体" w:hAnsi="宋体" w:cs="宋体" w:eastAsia="宋体" w:hint="default"/>
        </w:rPr>
        <w:t>6,815,619.70</w:t>
      </w:r>
      <w:r>
        <w:rPr>
          <w:rFonts w:ascii="宋体" w:hAnsi="宋体" w:cs="宋体" w:eastAsia="宋体" w:hint="default"/>
          <w:spacing w:val="-74"/>
        </w:rPr>
        <w:t> </w:t>
      </w:r>
      <w:r>
        <w:rPr/>
        <w:t>元，利息收入</w:t>
      </w:r>
      <w:r>
        <w:rPr>
          <w:spacing w:val="-74"/>
        </w:rPr>
        <w:t> </w:t>
      </w:r>
      <w:r>
        <w:rPr>
          <w:rFonts w:ascii="宋体" w:hAnsi="宋体" w:cs="宋体" w:eastAsia="宋体" w:hint="default"/>
        </w:rPr>
        <w:t>250,529.84</w:t>
      </w:r>
      <w:r>
        <w:rPr>
          <w:rFonts w:ascii="宋体" w:hAnsi="宋体" w:cs="宋体" w:eastAsia="宋体" w:hint="default"/>
          <w:spacing w:val="-72"/>
        </w:rPr>
        <w:t> </w:t>
      </w:r>
      <w:r>
        <w:rPr/>
        <w:t>元；</w:t>
      </w:r>
      <w:r>
        <w:rPr>
          <w:rFonts w:ascii="宋体" w:hAnsi="宋体" w:cs="宋体" w:eastAsia="宋体" w:hint="default"/>
        </w:rPr>
        <w:t>2010</w:t>
      </w:r>
      <w:r>
        <w:rPr>
          <w:rFonts w:ascii="宋体" w:hAnsi="宋体" w:cs="宋体" w:eastAsia="宋体" w:hint="default"/>
          <w:spacing w:val="-75"/>
        </w:rPr>
        <w:t> </w:t>
      </w:r>
      <w:r>
        <w:rPr/>
        <w:t>年度公司共</w:t>
      </w:r>
      <w:r>
        <w:rPr>
          <w:w w:val="100"/>
        </w:rPr>
        <w:t> </w:t>
      </w:r>
      <w:r>
        <w:rPr>
          <w:spacing w:val="-1"/>
          <w:w w:val="100"/>
        </w:rPr>
        <w:t>使用募集资金</w:t>
      </w:r>
      <w:r>
        <w:rPr>
          <w:spacing w:val="-62"/>
          <w:w w:val="100"/>
        </w:rPr>
        <w:t> </w:t>
      </w:r>
      <w:r>
        <w:rPr>
          <w:rFonts w:ascii="宋体" w:hAnsi="宋体" w:cs="宋体" w:eastAsia="宋体" w:hint="default"/>
          <w:spacing w:val="-2"/>
          <w:w w:val="100"/>
        </w:rPr>
        <w:t>155,704,505.49</w:t>
      </w:r>
      <w:r>
        <w:rPr>
          <w:rFonts w:ascii="宋体" w:hAnsi="宋体" w:cs="宋体" w:eastAsia="宋体" w:hint="default"/>
          <w:spacing w:val="-58"/>
          <w:w w:val="100"/>
        </w:rPr>
        <w:t> </w:t>
      </w:r>
      <w:r>
        <w:rPr>
          <w:spacing w:val="-15"/>
          <w:w w:val="100"/>
        </w:rPr>
        <w:t>元（扣除利息收入），其中：投入募集</w:t>
      </w:r>
      <w:r>
        <w:rPr>
          <w:spacing w:val="-138"/>
          <w:w w:val="100"/>
        </w:rPr>
        <w:t> </w:t>
      </w:r>
      <w:r>
        <w:rPr>
          <w:spacing w:val="-138"/>
          <w:w w:val="100"/>
        </w:rPr>
      </w:r>
      <w:r>
        <w:rPr/>
        <w:t>资金项目</w:t>
      </w:r>
      <w:r>
        <w:rPr>
          <w:spacing w:val="-77"/>
        </w:rPr>
        <w:t> </w:t>
      </w:r>
      <w:r>
        <w:rPr>
          <w:rFonts w:ascii="宋体" w:hAnsi="宋体" w:cs="宋体" w:eastAsia="宋体" w:hint="default"/>
        </w:rPr>
        <w:t>58,432,989.57</w:t>
      </w:r>
      <w:r>
        <w:rPr>
          <w:rFonts w:ascii="宋体" w:hAnsi="宋体" w:cs="宋体" w:eastAsia="宋体" w:hint="default"/>
          <w:spacing w:val="-74"/>
        </w:rPr>
        <w:t> </w:t>
      </w:r>
      <w:r>
        <w:rPr/>
        <w:t>元</w:t>
      </w:r>
      <w:r>
        <w:rPr>
          <w:rFonts w:ascii="宋体" w:hAnsi="宋体" w:cs="宋体" w:eastAsia="宋体" w:hint="default"/>
        </w:rPr>
        <w:t>,</w:t>
      </w:r>
      <w:r>
        <w:rPr/>
        <w:t>补充流动资金</w:t>
      </w:r>
      <w:r>
        <w:rPr>
          <w:spacing w:val="-74"/>
        </w:rPr>
        <w:t> </w:t>
      </w:r>
      <w:r>
        <w:rPr>
          <w:rFonts w:ascii="宋体" w:hAnsi="宋体" w:cs="宋体" w:eastAsia="宋体" w:hint="default"/>
        </w:rPr>
        <w:t>47,579,000.00</w:t>
      </w:r>
      <w:r>
        <w:rPr>
          <w:rFonts w:ascii="宋体" w:hAnsi="宋体" w:cs="宋体" w:eastAsia="宋体" w:hint="default"/>
          <w:spacing w:val="-75"/>
        </w:rPr>
        <w:t> </w:t>
      </w:r>
      <w:r>
        <w:rPr/>
        <w:t>元，归还</w:t>
      </w:r>
    </w:p>
    <w:p>
      <w:pPr>
        <w:pStyle w:val="Heading3"/>
        <w:spacing w:line="240" w:lineRule="auto"/>
        <w:ind w:left="218" w:right="0"/>
        <w:jc w:val="left"/>
      </w:pPr>
      <w:r>
        <w:rPr/>
        <w:t>银行贷款</w:t>
      </w:r>
      <w:r>
        <w:rPr>
          <w:spacing w:val="-76"/>
        </w:rPr>
        <w:t> </w:t>
      </w:r>
      <w:r>
        <w:rPr>
          <w:rFonts w:ascii="宋体" w:hAnsi="宋体" w:cs="宋体" w:eastAsia="宋体" w:hint="default"/>
        </w:rPr>
        <w:t>30,000,000.00</w:t>
      </w:r>
      <w:r>
        <w:rPr>
          <w:rFonts w:ascii="宋体" w:hAnsi="宋体" w:cs="宋体" w:eastAsia="宋体" w:hint="default"/>
          <w:spacing w:val="-74"/>
        </w:rPr>
        <w:t> </w:t>
      </w:r>
      <w:r>
        <w:rPr/>
        <w:t>元，募集资金置换募集资金项目先期投入</w:t>
      </w:r>
    </w:p>
    <w:p>
      <w:pPr>
        <w:pStyle w:val="Heading3"/>
        <w:spacing w:line="240" w:lineRule="auto" w:before="132"/>
        <w:ind w:left="218" w:right="0"/>
        <w:jc w:val="left"/>
      </w:pPr>
      <w:r>
        <w:rPr>
          <w:rFonts w:ascii="宋体" w:hAnsi="宋体" w:cs="宋体" w:eastAsia="宋体" w:hint="default"/>
        </w:rPr>
        <w:t>25,083,223.87</w:t>
      </w:r>
      <w:r>
        <w:rPr>
          <w:rFonts w:ascii="宋体" w:hAnsi="宋体" w:cs="宋体" w:eastAsia="宋体" w:hint="default"/>
          <w:spacing w:val="-73"/>
        </w:rPr>
        <w:t> </w:t>
      </w:r>
      <w:r>
        <w:rPr/>
        <w:t>元，利息收入</w:t>
      </w:r>
      <w:r>
        <w:rPr>
          <w:spacing w:val="-75"/>
        </w:rPr>
        <w:t> </w:t>
      </w:r>
      <w:r>
        <w:rPr>
          <w:rFonts w:ascii="宋体" w:hAnsi="宋体" w:cs="宋体" w:eastAsia="宋体" w:hint="default"/>
        </w:rPr>
        <w:t>5,390,707.95</w:t>
      </w:r>
      <w:r>
        <w:rPr>
          <w:rFonts w:ascii="宋体" w:hAnsi="宋体" w:cs="宋体" w:eastAsia="宋体" w:hint="default"/>
          <w:spacing w:val="-70"/>
        </w:rPr>
        <w:t> </w:t>
      </w:r>
      <w:r>
        <w:rPr/>
        <w:t>元。截至</w:t>
      </w:r>
      <w:r>
        <w:rPr>
          <w:spacing w:val="-75"/>
        </w:rPr>
        <w:t> </w:t>
      </w:r>
      <w:r>
        <w:rPr>
          <w:rFonts w:ascii="宋体" w:hAnsi="宋体" w:cs="宋体" w:eastAsia="宋体" w:hint="default"/>
        </w:rPr>
        <w:t>2010</w:t>
      </w:r>
      <w:r>
        <w:rPr>
          <w:rFonts w:ascii="宋体" w:hAnsi="宋体" w:cs="宋体" w:eastAsia="宋体" w:hint="default"/>
          <w:spacing w:val="-73"/>
        </w:rPr>
        <w:t> </w:t>
      </w:r>
      <w:r>
        <w:rPr/>
        <w:t>年</w:t>
      </w:r>
      <w:r>
        <w:rPr>
          <w:spacing w:val="-73"/>
        </w:rPr>
        <w:t> </w:t>
      </w:r>
      <w:r>
        <w:rPr>
          <w:rFonts w:ascii="宋体" w:hAnsi="宋体" w:cs="宋体" w:eastAsia="宋体" w:hint="default"/>
        </w:rPr>
        <w:t>12</w:t>
      </w:r>
      <w:r>
        <w:rPr>
          <w:rFonts w:ascii="宋体" w:hAnsi="宋体" w:cs="宋体" w:eastAsia="宋体" w:hint="default"/>
          <w:spacing w:val="-74"/>
        </w:rPr>
        <w:t> </w:t>
      </w:r>
      <w:r>
        <w:rPr/>
        <w:t>月</w:t>
      </w:r>
    </w:p>
    <w:p>
      <w:pPr>
        <w:pStyle w:val="Heading3"/>
        <w:spacing w:line="326" w:lineRule="auto" w:before="135"/>
        <w:ind w:left="218" w:right="0"/>
        <w:jc w:val="left"/>
      </w:pPr>
      <w:r>
        <w:rPr/>
        <w:pict>
          <v:shape style="position:absolute;margin-left:84.503998pt;margin-top:52.98156pt;width:426.45pt;height:196.6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1"/>
                    <w:gridCol w:w="2300"/>
                    <w:gridCol w:w="3101"/>
                    <w:gridCol w:w="1793"/>
                  </w:tblGrid>
                  <w:tr>
                    <w:trPr>
                      <w:trHeight w:val="420" w:hRule="exact"/>
                    </w:trPr>
                    <w:tc>
                      <w:tcPr>
                        <w:tcW w:w="129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0"/>
                          <w:ind w:right="206"/>
                          <w:jc w:val="right"/>
                          <w:rPr>
                            <w:rFonts w:ascii="宋体" w:hAnsi="宋体" w:cs="宋体" w:eastAsia="宋体" w:hint="default"/>
                            <w:sz w:val="21"/>
                            <w:szCs w:val="21"/>
                          </w:rPr>
                        </w:pPr>
                        <w:r>
                          <w:rPr>
                            <w:rFonts w:ascii="宋体" w:hAnsi="宋体" w:cs="宋体" w:eastAsia="宋体" w:hint="default"/>
                            <w:b/>
                            <w:bCs/>
                            <w:sz w:val="21"/>
                            <w:szCs w:val="21"/>
                          </w:rPr>
                          <w:t>开户银行</w:t>
                        </w:r>
                        <w:r>
                          <w:rPr>
                            <w:rFonts w:ascii="宋体" w:hAnsi="宋体" w:cs="宋体" w:eastAsia="宋体" w:hint="default"/>
                            <w:sz w:val="21"/>
                            <w:szCs w:val="21"/>
                          </w:rPr>
                        </w:r>
                      </w:p>
                    </w:tc>
                    <w:tc>
                      <w:tcPr>
                        <w:tcW w:w="2300" w:type="dxa"/>
                        <w:tcBorders>
                          <w:top w:val="single" w:sz="12"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30"/>
                          <w:ind w:right="0"/>
                          <w:jc w:val="center"/>
                          <w:rPr>
                            <w:rFonts w:ascii="宋体" w:hAnsi="宋体" w:cs="宋体" w:eastAsia="宋体" w:hint="default"/>
                            <w:sz w:val="21"/>
                            <w:szCs w:val="21"/>
                          </w:rPr>
                        </w:pPr>
                        <w:r>
                          <w:rPr>
                            <w:rFonts w:ascii="宋体" w:hAnsi="宋体" w:cs="宋体" w:eastAsia="宋体" w:hint="default"/>
                            <w:b/>
                            <w:bCs/>
                            <w:sz w:val="21"/>
                            <w:szCs w:val="21"/>
                          </w:rPr>
                          <w:t>账</w:t>
                          <w:tab/>
                          <w:t>号</w:t>
                        </w:r>
                        <w:r>
                          <w:rPr>
                            <w:rFonts w:ascii="宋体" w:hAnsi="宋体" w:cs="宋体" w:eastAsia="宋体" w:hint="default"/>
                            <w:sz w:val="21"/>
                            <w:szCs w:val="21"/>
                          </w:rPr>
                        </w:r>
                      </w:p>
                    </w:tc>
                    <w:tc>
                      <w:tcPr>
                        <w:tcW w:w="3101" w:type="dxa"/>
                        <w:tcBorders>
                          <w:top w:val="single" w:sz="12"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30"/>
                          <w:ind w:right="0"/>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79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0"/>
                          <w:ind w:left="502"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金额</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60" w:hRule="exact"/>
                    </w:trPr>
                    <w:tc>
                      <w:tcPr>
                        <w:tcW w:w="12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3"/>
                          <w:ind w:right="206"/>
                          <w:jc w:val="right"/>
                          <w:rPr>
                            <w:rFonts w:ascii="宋体" w:hAnsi="宋体" w:cs="宋体" w:eastAsia="宋体" w:hint="default"/>
                            <w:sz w:val="21"/>
                            <w:szCs w:val="21"/>
                          </w:rPr>
                        </w:pPr>
                        <w:r>
                          <w:rPr>
                            <w:rFonts w:ascii="宋体" w:hAnsi="宋体" w:cs="宋体" w:eastAsia="宋体" w:hint="default"/>
                            <w:spacing w:val="-1"/>
                            <w:sz w:val="21"/>
                            <w:szCs w:val="21"/>
                          </w:rPr>
                          <w:t>招商银行</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751371902037410602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募集资金专户（铁路信号微机监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测系统的产业化）</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66"/>
                          <w:jc w:val="right"/>
                          <w:rPr>
                            <w:rFonts w:ascii="Times New Roman" w:hAnsi="Times New Roman" w:cs="Times New Roman" w:eastAsia="Times New Roman" w:hint="default"/>
                            <w:sz w:val="21"/>
                            <w:szCs w:val="21"/>
                          </w:rPr>
                        </w:pPr>
                        <w:r>
                          <w:rPr>
                            <w:rFonts w:ascii="Times New Roman"/>
                            <w:spacing w:val="-1"/>
                            <w:sz w:val="21"/>
                          </w:rPr>
                          <w:t>33,409,037.02</w:t>
                        </w:r>
                      </w:p>
                    </w:tc>
                  </w:tr>
                  <w:tr>
                    <w:trPr>
                      <w:trHeight w:val="562" w:hRule="exact"/>
                    </w:trPr>
                    <w:tc>
                      <w:tcPr>
                        <w:tcW w:w="12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right="206"/>
                          <w:jc w:val="right"/>
                          <w:rPr>
                            <w:rFonts w:ascii="宋体" w:hAnsi="宋体" w:cs="宋体" w:eastAsia="宋体" w:hint="default"/>
                            <w:sz w:val="21"/>
                            <w:szCs w:val="21"/>
                          </w:rPr>
                        </w:pPr>
                        <w:r>
                          <w:rPr>
                            <w:rFonts w:ascii="宋体" w:hAnsi="宋体" w:cs="宋体" w:eastAsia="宋体" w:hint="default"/>
                            <w:spacing w:val="-1"/>
                            <w:sz w:val="21"/>
                            <w:szCs w:val="21"/>
                          </w:rPr>
                          <w:t>中信银行</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7392110182200018801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募集资金专户（铁路无线调车机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车信号和监控系统）</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66"/>
                          <w:jc w:val="right"/>
                          <w:rPr>
                            <w:rFonts w:ascii="Times New Roman" w:hAnsi="Times New Roman" w:cs="Times New Roman" w:eastAsia="Times New Roman" w:hint="default"/>
                            <w:sz w:val="21"/>
                            <w:szCs w:val="21"/>
                          </w:rPr>
                        </w:pPr>
                        <w:r>
                          <w:rPr>
                            <w:rFonts w:ascii="Times New Roman"/>
                            <w:spacing w:val="-1"/>
                            <w:sz w:val="21"/>
                          </w:rPr>
                          <w:t>15,525,222.18</w:t>
                        </w:r>
                      </w:p>
                    </w:tc>
                  </w:tr>
                  <w:tr>
                    <w:trPr>
                      <w:trHeight w:val="559" w:hRule="exact"/>
                    </w:trPr>
                    <w:tc>
                      <w:tcPr>
                        <w:tcW w:w="12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right="206"/>
                          <w:jc w:val="right"/>
                          <w:rPr>
                            <w:rFonts w:ascii="宋体" w:hAnsi="宋体" w:cs="宋体" w:eastAsia="宋体" w:hint="default"/>
                            <w:sz w:val="21"/>
                            <w:szCs w:val="21"/>
                          </w:rPr>
                        </w:pPr>
                        <w:r>
                          <w:rPr>
                            <w:rFonts w:ascii="宋体" w:hAnsi="宋体" w:cs="宋体" w:eastAsia="宋体" w:hint="default"/>
                            <w:spacing w:val="-1"/>
                            <w:sz w:val="21"/>
                            <w:szCs w:val="21"/>
                          </w:rPr>
                          <w:t>光大银行</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77290188000154461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募集资金专户（新产品技术研发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中心项目）</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4"/>
                          <w:ind w:right="165"/>
                          <w:jc w:val="right"/>
                          <w:rPr>
                            <w:rFonts w:ascii="Times New Roman" w:hAnsi="Times New Roman" w:cs="Times New Roman" w:eastAsia="Times New Roman" w:hint="default"/>
                            <w:sz w:val="21"/>
                            <w:szCs w:val="21"/>
                          </w:rPr>
                        </w:pPr>
                        <w:r>
                          <w:rPr>
                            <w:rFonts w:ascii="Times New Roman"/>
                            <w:spacing w:val="-1"/>
                            <w:sz w:val="21"/>
                          </w:rPr>
                          <w:t>8,168,750.73</w:t>
                        </w:r>
                      </w:p>
                    </w:tc>
                  </w:tr>
                  <w:tr>
                    <w:trPr>
                      <w:trHeight w:val="559" w:hRule="exact"/>
                    </w:trPr>
                    <w:tc>
                      <w:tcPr>
                        <w:tcW w:w="12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right="206"/>
                          <w:jc w:val="right"/>
                          <w:rPr>
                            <w:rFonts w:ascii="宋体" w:hAnsi="宋体" w:cs="宋体" w:eastAsia="宋体" w:hint="default"/>
                            <w:sz w:val="21"/>
                            <w:szCs w:val="21"/>
                          </w:rPr>
                        </w:pPr>
                        <w:r>
                          <w:rPr>
                            <w:rFonts w:ascii="宋体" w:hAnsi="宋体" w:cs="宋体" w:eastAsia="宋体" w:hint="default"/>
                            <w:spacing w:val="-1"/>
                            <w:sz w:val="21"/>
                            <w:szCs w:val="21"/>
                          </w:rPr>
                          <w:t>中信银行</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7392110182200023041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募集资金专户（铁路综合防灾系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统项目）</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4"/>
                          <w:ind w:right="166"/>
                          <w:jc w:val="right"/>
                          <w:rPr>
                            <w:rFonts w:ascii="Times New Roman" w:hAnsi="Times New Roman" w:cs="Times New Roman" w:eastAsia="Times New Roman" w:hint="default"/>
                            <w:sz w:val="21"/>
                            <w:szCs w:val="21"/>
                          </w:rPr>
                        </w:pPr>
                        <w:r>
                          <w:rPr>
                            <w:rFonts w:ascii="Times New Roman"/>
                            <w:spacing w:val="-1"/>
                            <w:sz w:val="21"/>
                          </w:rPr>
                          <w:t>42,885,200.96</w:t>
                        </w:r>
                      </w:p>
                    </w:tc>
                  </w:tr>
                  <w:tr>
                    <w:trPr>
                      <w:trHeight w:val="413" w:hRule="exact"/>
                    </w:trPr>
                    <w:tc>
                      <w:tcPr>
                        <w:tcW w:w="1291" w:type="dxa"/>
                        <w:vMerge w:val="restart"/>
                        <w:tcBorders>
                          <w:top w:val="single" w:sz="6"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民生银行</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Times New Roman" w:hAnsi="Times New Roman" w:cs="Times New Roman" w:eastAsia="Times New Roman" w:hint="default"/>
                            <w:sz w:val="21"/>
                            <w:szCs w:val="21"/>
                          </w:rPr>
                        </w:pPr>
                        <w:r>
                          <w:rPr>
                            <w:rFonts w:ascii="Times New Roman"/>
                            <w:sz w:val="21"/>
                          </w:rPr>
                          <w:t>3001014160001822</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募集资金专户（超募资金存放）</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2"/>
                          <w:ind w:right="165"/>
                          <w:jc w:val="right"/>
                          <w:rPr>
                            <w:rFonts w:ascii="Times New Roman" w:hAnsi="Times New Roman" w:cs="Times New Roman" w:eastAsia="Times New Roman" w:hint="default"/>
                            <w:sz w:val="21"/>
                            <w:szCs w:val="21"/>
                          </w:rPr>
                        </w:pPr>
                        <w:r>
                          <w:rPr>
                            <w:rFonts w:ascii="Times New Roman"/>
                            <w:spacing w:val="-1"/>
                            <w:sz w:val="21"/>
                          </w:rPr>
                          <w:t>69,220.33</w:t>
                        </w:r>
                      </w:p>
                    </w:tc>
                  </w:tr>
                  <w:tr>
                    <w:trPr>
                      <w:trHeight w:val="410" w:hRule="exact"/>
                    </w:trPr>
                    <w:tc>
                      <w:tcPr>
                        <w:tcW w:w="1291" w:type="dxa"/>
                        <w:vMerge/>
                        <w:tcBorders>
                          <w:left w:val="nil" w:sz="6" w:space="0" w:color="auto"/>
                          <w:bottom w:val="single" w:sz="6" w:space="0" w:color="000000"/>
                          <w:right w:val="single" w:sz="6" w:space="0" w:color="000000"/>
                        </w:tcBorders>
                      </w:tcPr>
                      <w:p>
                        <w:pPr/>
                      </w:p>
                    </w:tc>
                    <w:tc>
                      <w:tcPr>
                        <w:tcW w:w="2300"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66"/>
                          <w:jc w:val="right"/>
                          <w:rPr>
                            <w:rFonts w:ascii="Times New Roman" w:hAnsi="Times New Roman" w:cs="Times New Roman" w:eastAsia="Times New Roman" w:hint="default"/>
                            <w:sz w:val="21"/>
                            <w:szCs w:val="21"/>
                          </w:rPr>
                        </w:pPr>
                        <w:r>
                          <w:rPr>
                            <w:rFonts w:ascii="Times New Roman"/>
                            <w:spacing w:val="-1"/>
                            <w:sz w:val="21"/>
                          </w:rPr>
                          <w:t>107,708,913.43</w:t>
                        </w:r>
                      </w:p>
                    </w:tc>
                  </w:tr>
                  <w:tr>
                    <w:trPr>
                      <w:trHeight w:val="420" w:hRule="exact"/>
                    </w:trPr>
                    <w:tc>
                      <w:tcPr>
                        <w:tcW w:w="6692" w:type="dxa"/>
                        <w:gridSpan w:val="3"/>
                        <w:tcBorders>
                          <w:top w:val="single" w:sz="6" w:space="0" w:color="000000"/>
                          <w:left w:val="nil" w:sz="6" w:space="0" w:color="auto"/>
                          <w:bottom w:val="single" w:sz="12" w:space="0" w:color="000000"/>
                          <w:right w:val="single" w:sz="6" w:space="0" w:color="000000"/>
                        </w:tcBorders>
                      </w:tcPr>
                      <w:p>
                        <w:pPr>
                          <w:pStyle w:val="TableParagraph"/>
                          <w:tabs>
                            <w:tab w:pos="655" w:val="left" w:leader="none"/>
                          </w:tabs>
                          <w:spacing w:line="240" w:lineRule="auto" w:before="28"/>
                          <w:ind w:left="21"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7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166"/>
                          <w:jc w:val="right"/>
                          <w:rPr>
                            <w:rFonts w:ascii="Times New Roman" w:hAnsi="Times New Roman" w:cs="Times New Roman" w:eastAsia="Times New Roman" w:hint="default"/>
                            <w:sz w:val="21"/>
                            <w:szCs w:val="21"/>
                          </w:rPr>
                        </w:pPr>
                        <w:r>
                          <w:rPr>
                            <w:rFonts w:ascii="Times New Roman"/>
                            <w:b/>
                            <w:spacing w:val="-1"/>
                            <w:sz w:val="21"/>
                          </w:rPr>
                          <w:t>207,766,344.65</w:t>
                        </w:r>
                        <w:r>
                          <w:rPr>
                            <w:rFonts w:ascii="Times New Roman"/>
                            <w:spacing w:val="-1"/>
                            <w:sz w:val="21"/>
                          </w:rPr>
                        </w:r>
                      </w:p>
                    </w:tc>
                  </w:tr>
                </w:tbl>
                <w:p>
                  <w:pPr/>
                </w:p>
              </w:txbxContent>
            </v:textbox>
            <w10:wrap type="none"/>
          </v:shape>
        </w:pict>
      </w:r>
      <w:r>
        <w:rPr>
          <w:rFonts w:ascii="宋体" w:hAnsi="宋体" w:cs="宋体" w:eastAsia="宋体" w:hint="default"/>
        </w:rPr>
        <w:t>31</w:t>
      </w:r>
      <w:r>
        <w:rPr>
          <w:rFonts w:ascii="宋体" w:hAnsi="宋体" w:cs="宋体" w:eastAsia="宋体" w:hint="default"/>
          <w:spacing w:val="-61"/>
        </w:rPr>
        <w:t> </w:t>
      </w:r>
      <w:r>
        <w:rPr>
          <w:spacing w:val="-12"/>
        </w:rPr>
        <w:t>日止，募集资金余额（包含募集资金利息收入）为</w:t>
      </w:r>
      <w:r>
        <w:rPr>
          <w:spacing w:val="-62"/>
        </w:rPr>
        <w:t> </w:t>
      </w:r>
      <w:r>
        <w:rPr>
          <w:rFonts w:ascii="宋体" w:hAnsi="宋体" w:cs="宋体" w:eastAsia="宋体" w:hint="default"/>
        </w:rPr>
        <w:t>207,766,344.65</w:t>
      </w:r>
      <w:r>
        <w:rPr>
          <w:rFonts w:ascii="宋体" w:hAnsi="宋体" w:cs="宋体" w:eastAsia="宋体" w:hint="default"/>
          <w:spacing w:val="-137"/>
        </w:rPr>
        <w:t> </w:t>
      </w:r>
      <w:r>
        <w:rPr>
          <w:rFonts w:ascii="宋体" w:hAnsi="宋体" w:cs="宋体" w:eastAsia="宋体" w:hint="default"/>
          <w:spacing w:val="-137"/>
        </w:rPr>
      </w:r>
      <w:r>
        <w:rPr/>
        <w:t>元，具体情况见下表：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3"/>
        <w:spacing w:line="328" w:lineRule="auto" w:before="14"/>
        <w:ind w:left="218" w:right="0" w:firstLine="559"/>
        <w:jc w:val="left"/>
      </w:pPr>
      <w:r>
        <w:rPr>
          <w:spacing w:val="-1"/>
        </w:rPr>
        <w:t>为提高募集资金使用效率、合理降低财务费用、增加存储收益，</w:t>
      </w:r>
      <w:r>
        <w:rPr>
          <w:w w:val="100"/>
        </w:rPr>
        <w:t> </w:t>
      </w:r>
      <w:r>
        <w:rPr/>
        <w:t>公司将部分募集资金以定期存款方式存放，具体如上表所示。</w:t>
      </w:r>
    </w:p>
    <w:p>
      <w:pPr>
        <w:spacing w:line="326" w:lineRule="auto" w:before="29"/>
        <w:ind w:left="777" w:right="252" w:firstLine="2"/>
        <w:jc w:val="left"/>
        <w:rPr>
          <w:rFonts w:ascii="宋体" w:hAnsi="宋体" w:cs="宋体" w:eastAsia="宋体" w:hint="default"/>
          <w:sz w:val="28"/>
          <w:szCs w:val="28"/>
        </w:rPr>
      </w:pPr>
      <w:r>
        <w:rPr>
          <w:rFonts w:ascii="宋体" w:hAnsi="宋体" w:cs="宋体" w:eastAsia="宋体" w:hint="default"/>
          <w:b/>
          <w:bCs/>
          <w:sz w:val="28"/>
          <w:szCs w:val="28"/>
        </w:rPr>
        <w:t>2</w:t>
      </w:r>
      <w:r>
        <w:rPr>
          <w:rFonts w:ascii="宋体" w:hAnsi="宋体" w:cs="宋体" w:eastAsia="宋体" w:hint="default"/>
          <w:b/>
          <w:bCs/>
          <w:sz w:val="28"/>
          <w:szCs w:val="28"/>
        </w:rPr>
        <w:t>、募集资金管理情况</w:t>
      </w:r>
      <w:r>
        <w:rPr>
          <w:rFonts w:ascii="宋体" w:hAnsi="宋体" w:cs="宋体" w:eastAsia="宋体" w:hint="default"/>
          <w:b/>
          <w:bCs/>
          <w:w w:val="99"/>
          <w:sz w:val="28"/>
          <w:szCs w:val="28"/>
        </w:rPr>
        <w:t> </w:t>
      </w:r>
      <w:r>
        <w:rPr>
          <w:rFonts w:ascii="宋体" w:hAnsi="宋体" w:cs="宋体" w:eastAsia="宋体" w:hint="default"/>
          <w:spacing w:val="-14"/>
          <w:w w:val="100"/>
          <w:sz w:val="28"/>
          <w:szCs w:val="28"/>
        </w:rPr>
        <w:t>为了规范募集资金的管理和使用，保护投资者利益，公司根据《公</w:t>
      </w:r>
    </w:p>
    <w:p>
      <w:pPr>
        <w:pStyle w:val="Heading3"/>
        <w:spacing w:line="240" w:lineRule="auto" w:before="34"/>
        <w:ind w:left="218" w:right="0"/>
        <w:jc w:val="left"/>
      </w:pPr>
      <w:r>
        <w:rPr>
          <w:w w:val="100"/>
        </w:rPr>
        <w:t>司法</w:t>
      </w:r>
      <w:r>
        <w:rPr>
          <w:spacing w:val="-142"/>
          <w:w w:val="100"/>
        </w:rPr>
        <w:t>》</w:t>
      </w:r>
      <w:r>
        <w:rPr>
          <w:spacing w:val="-197"/>
          <w:w w:val="100"/>
        </w:rPr>
        <w:t>、</w:t>
      </w:r>
      <w:r>
        <w:rPr>
          <w:w w:val="100"/>
        </w:rPr>
        <w:t>《</w:t>
      </w:r>
      <w:r>
        <w:rPr>
          <w:spacing w:val="-3"/>
          <w:w w:val="100"/>
        </w:rPr>
        <w:t>证</w:t>
      </w:r>
      <w:r>
        <w:rPr>
          <w:w w:val="100"/>
        </w:rPr>
        <w:t>券法</w:t>
      </w:r>
      <w:r>
        <w:rPr>
          <w:spacing w:val="-58"/>
          <w:w w:val="100"/>
        </w:rPr>
        <w:t>》</w:t>
      </w:r>
      <w:r>
        <w:rPr>
          <w:spacing w:val="-3"/>
          <w:w w:val="100"/>
        </w:rPr>
        <w:t>以</w:t>
      </w:r>
      <w:r>
        <w:rPr>
          <w:spacing w:val="-58"/>
          <w:w w:val="100"/>
        </w:rPr>
        <w:t>及</w:t>
      </w:r>
      <w:r>
        <w:rPr>
          <w:w w:val="100"/>
        </w:rPr>
        <w:t>《深圳</w:t>
      </w:r>
      <w:r>
        <w:rPr>
          <w:spacing w:val="-3"/>
          <w:w w:val="100"/>
        </w:rPr>
        <w:t>证</w:t>
      </w:r>
      <w:r>
        <w:rPr>
          <w:w w:val="100"/>
        </w:rPr>
        <w:t>券交</w:t>
      </w:r>
      <w:r>
        <w:rPr>
          <w:spacing w:val="-3"/>
          <w:w w:val="100"/>
        </w:rPr>
        <w:t>易</w:t>
      </w:r>
      <w:r>
        <w:rPr>
          <w:w w:val="100"/>
        </w:rPr>
        <w:t>所股票</w:t>
      </w:r>
      <w:r>
        <w:rPr>
          <w:spacing w:val="-3"/>
          <w:w w:val="100"/>
        </w:rPr>
        <w:t>上</w:t>
      </w:r>
      <w:r>
        <w:rPr>
          <w:w w:val="100"/>
        </w:rPr>
        <w:t>市规则</w:t>
      </w:r>
      <w:r>
        <w:rPr>
          <w:spacing w:val="-61"/>
          <w:w w:val="100"/>
        </w:rPr>
        <w:t>》</w:t>
      </w:r>
      <w:r>
        <w:rPr>
          <w:w w:val="100"/>
        </w:rPr>
        <w:t>等有关</w:t>
      </w:r>
      <w:r>
        <w:rPr>
          <w:spacing w:val="-3"/>
          <w:w w:val="100"/>
        </w:rPr>
        <w:t>法律</w:t>
      </w:r>
      <w:r>
        <w:rPr>
          <w:w w:val="100"/>
        </w:rPr>
        <w:t>、</w:t>
      </w:r>
    </w:p>
    <w:p>
      <w:pPr>
        <w:spacing w:after="0" w:line="240" w:lineRule="auto"/>
        <w:jc w:val="left"/>
        <w:sectPr>
          <w:pgSz w:w="11910" w:h="16840"/>
          <w:pgMar w:header="624" w:footer="1045" w:top="1240" w:bottom="1240" w:left="1580" w:right="1540"/>
        </w:sectPr>
      </w:pPr>
    </w:p>
    <w:p>
      <w:pPr>
        <w:pStyle w:val="Heading3"/>
        <w:spacing w:line="328" w:lineRule="auto" w:before="73"/>
        <w:ind w:left="898" w:right="892"/>
        <w:jc w:val="both"/>
      </w:pPr>
      <w:r>
        <w:rPr>
          <w:spacing w:val="-4"/>
        </w:rPr>
        <w:t>法规的规定和要求，结合公司的实际情况，制定了《河南辉煌科技股</w:t>
      </w:r>
      <w:r>
        <w:rPr>
          <w:spacing w:val="-112"/>
        </w:rPr>
        <w:t> </w:t>
      </w:r>
      <w:r>
        <w:rPr>
          <w:spacing w:val="-112"/>
        </w:rPr>
      </w:r>
      <w:r>
        <w:rPr>
          <w:spacing w:val="-6"/>
          <w:w w:val="100"/>
        </w:rPr>
        <w:t>份有限公司募集资金管理办法》，对募集资金采用专户存储制度，资</w:t>
      </w:r>
      <w:r>
        <w:rPr>
          <w:spacing w:val="-130"/>
          <w:w w:val="100"/>
        </w:rPr>
        <w:t> </w:t>
      </w:r>
      <w:r>
        <w:rPr>
          <w:spacing w:val="-130"/>
          <w:w w:val="100"/>
        </w:rPr>
      </w:r>
      <w:r>
        <w:rPr>
          <w:spacing w:val="-4"/>
        </w:rPr>
        <w:t>金使用需经相关规定程序并予以公告。根据相关规定，公司及保荐机</w:t>
      </w:r>
      <w:r>
        <w:rPr>
          <w:spacing w:val="-116"/>
        </w:rPr>
        <w:t> </w:t>
      </w:r>
      <w:r>
        <w:rPr>
          <w:spacing w:val="-116"/>
        </w:rPr>
      </w:r>
      <w:r>
        <w:rPr>
          <w:spacing w:val="-4"/>
        </w:rPr>
        <w:t>构中德证券有限责任公司与招商银行郑州分行营业部、中信银行郑州</w:t>
      </w:r>
      <w:r>
        <w:rPr>
          <w:spacing w:val="-116"/>
        </w:rPr>
        <w:t> </w:t>
      </w:r>
      <w:r>
        <w:rPr>
          <w:spacing w:val="-116"/>
        </w:rPr>
      </w:r>
      <w:r>
        <w:rPr>
          <w:spacing w:val="-4"/>
        </w:rPr>
        <w:t>信息大厦分行、郑州光大银行郑州分行营业部、中国民生银行郑州分</w:t>
      </w:r>
      <w:r>
        <w:rPr>
          <w:spacing w:val="-114"/>
        </w:rPr>
        <w:t> </w:t>
      </w:r>
      <w:r>
        <w:rPr>
          <w:spacing w:val="-114"/>
        </w:rPr>
      </w:r>
      <w:r>
        <w:rPr/>
        <w:t>行营业部于</w:t>
      </w:r>
      <w:r>
        <w:rPr>
          <w:spacing w:val="-72"/>
        </w:rPr>
        <w:t> </w:t>
      </w:r>
      <w:r>
        <w:rPr>
          <w:rFonts w:ascii="宋体" w:hAnsi="宋体" w:cs="宋体" w:eastAsia="宋体" w:hint="default"/>
        </w:rPr>
        <w:t>2009</w:t>
      </w:r>
      <w:r>
        <w:rPr>
          <w:rFonts w:ascii="宋体" w:hAnsi="宋体" w:cs="宋体" w:eastAsia="宋体" w:hint="default"/>
          <w:spacing w:val="-68"/>
        </w:rPr>
        <w:t> </w:t>
      </w:r>
      <w:r>
        <w:rPr/>
        <w:t>年</w:t>
      </w:r>
      <w:r>
        <w:rPr>
          <w:spacing w:val="-72"/>
        </w:rPr>
        <w:t> </w:t>
      </w:r>
      <w:r>
        <w:rPr>
          <w:rFonts w:ascii="宋体" w:hAnsi="宋体" w:cs="宋体" w:eastAsia="宋体" w:hint="default"/>
        </w:rPr>
        <w:t>10</w:t>
      </w:r>
      <w:r>
        <w:rPr>
          <w:rFonts w:ascii="宋体" w:hAnsi="宋体" w:cs="宋体" w:eastAsia="宋体" w:hint="default"/>
          <w:spacing w:val="-69"/>
        </w:rPr>
        <w:t> </w:t>
      </w:r>
      <w:r>
        <w:rPr/>
        <w:t>月</w:t>
      </w:r>
      <w:r>
        <w:rPr>
          <w:spacing w:val="-72"/>
        </w:rPr>
        <w:t> </w:t>
      </w:r>
      <w:r>
        <w:rPr>
          <w:rFonts w:ascii="宋体" w:hAnsi="宋体" w:cs="宋体" w:eastAsia="宋体" w:hint="default"/>
        </w:rPr>
        <w:t>26</w:t>
      </w:r>
      <w:r>
        <w:rPr>
          <w:rFonts w:ascii="宋体" w:hAnsi="宋体" w:cs="宋体" w:eastAsia="宋体" w:hint="default"/>
          <w:spacing w:val="-71"/>
        </w:rPr>
        <w:t> </w:t>
      </w:r>
      <w:r>
        <w:rPr/>
        <w:t>日签订了募集资金三方监管协议，与中</w:t>
      </w:r>
    </w:p>
    <w:p>
      <w:pPr>
        <w:pStyle w:val="Heading3"/>
        <w:spacing w:line="328" w:lineRule="auto"/>
        <w:ind w:left="898" w:right="746"/>
        <w:jc w:val="left"/>
      </w:pPr>
      <w:r>
        <w:rPr/>
        <w:t>信银行郑州分行于</w:t>
      </w:r>
      <w:r>
        <w:rPr>
          <w:spacing w:val="-86"/>
        </w:rPr>
        <w:t> </w:t>
      </w:r>
      <w:r>
        <w:rPr>
          <w:rFonts w:ascii="宋体" w:hAnsi="宋体" w:cs="宋体" w:eastAsia="宋体" w:hint="default"/>
        </w:rPr>
        <w:t>2010</w:t>
      </w:r>
      <w:r>
        <w:rPr>
          <w:rFonts w:ascii="宋体" w:hAnsi="宋体" w:cs="宋体" w:eastAsia="宋体" w:hint="default"/>
          <w:spacing w:val="-85"/>
        </w:rPr>
        <w:t> </w:t>
      </w:r>
      <w:r>
        <w:rPr/>
        <w:t>年</w:t>
      </w:r>
      <w:r>
        <w:rPr>
          <w:spacing w:val="-89"/>
        </w:rPr>
        <w:t> </w:t>
      </w:r>
      <w:r>
        <w:rPr>
          <w:rFonts w:ascii="宋体" w:hAnsi="宋体" w:cs="宋体" w:eastAsia="宋体" w:hint="default"/>
        </w:rPr>
        <w:t>10</w:t>
      </w:r>
      <w:r>
        <w:rPr>
          <w:rFonts w:ascii="宋体" w:hAnsi="宋体" w:cs="宋体" w:eastAsia="宋体" w:hint="default"/>
          <w:spacing w:val="-87"/>
        </w:rPr>
        <w:t> </w:t>
      </w:r>
      <w:r>
        <w:rPr/>
        <w:t>月</w:t>
      </w:r>
      <w:r>
        <w:rPr>
          <w:spacing w:val="-86"/>
        </w:rPr>
        <w:t> </w:t>
      </w:r>
      <w:r>
        <w:rPr>
          <w:rFonts w:ascii="宋体" w:hAnsi="宋体" w:cs="宋体" w:eastAsia="宋体" w:hint="default"/>
        </w:rPr>
        <w:t>28</w:t>
      </w:r>
      <w:r>
        <w:rPr>
          <w:rFonts w:ascii="宋体" w:hAnsi="宋体" w:cs="宋体" w:eastAsia="宋体" w:hint="default"/>
          <w:spacing w:val="-85"/>
        </w:rPr>
        <w:t> </w:t>
      </w:r>
      <w:r>
        <w:rPr/>
        <w:t>日签订了募集资金三方监管协议，</w:t>
      </w:r>
      <w:r>
        <w:rPr>
          <w:w w:val="100"/>
        </w:rPr>
        <w:t> </w:t>
      </w:r>
      <w:r>
        <w:rPr>
          <w:spacing w:val="-4"/>
        </w:rPr>
        <w:t>明确了各方的权利和义务。募集资金三方监管协议与深圳证券交易所</w:t>
      </w:r>
      <w:r>
        <w:rPr>
          <w:spacing w:val="-115"/>
        </w:rPr>
        <w:t> </w:t>
      </w:r>
      <w:r>
        <w:rPr>
          <w:spacing w:val="-115"/>
        </w:rPr>
      </w:r>
      <w:r>
        <w:rPr/>
        <w:t>三方监管协议范本不存在重大差异，各方均严格履行三方监管协议。</w:t>
      </w:r>
    </w:p>
    <w:p>
      <w:pPr>
        <w:pStyle w:val="Heading2"/>
        <w:spacing w:line="240" w:lineRule="auto"/>
        <w:ind w:left="1459" w:right="746"/>
        <w:jc w:val="left"/>
        <w:rPr>
          <w:b w:val="0"/>
          <w:bCs w:val="0"/>
        </w:rPr>
      </w:pPr>
      <w:r>
        <w:rPr>
          <w:rFonts w:ascii="宋体" w:hAnsi="宋体" w:cs="宋体" w:eastAsia="宋体" w:hint="default"/>
        </w:rPr>
        <w:t>3</w:t>
      </w:r>
      <w:r>
        <w:rPr/>
        <w:t>、本年度募集资金的实际使用情况</w:t>
      </w:r>
      <w:r>
        <w:rPr>
          <w:b w:val="0"/>
          <w:bCs w:val="0"/>
        </w:rPr>
      </w:r>
    </w:p>
    <w:p>
      <w:pPr>
        <w:pStyle w:val="Heading3"/>
        <w:spacing w:line="240" w:lineRule="auto" w:before="135"/>
        <w:ind w:left="1457" w:right="746"/>
        <w:jc w:val="left"/>
      </w:pPr>
      <w:r>
        <w:rPr/>
        <w:t>（</w:t>
      </w:r>
      <w:r>
        <w:rPr>
          <w:rFonts w:ascii="宋体" w:hAnsi="宋体" w:cs="宋体" w:eastAsia="宋体" w:hint="default"/>
        </w:rPr>
        <w:t>1</w:t>
      </w:r>
      <w:r>
        <w:rPr/>
        <w:t>）本年度募集资金项目资金的使用情况如下表：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624" w:footer="1045" w:top="1240" w:bottom="1240" w:left="900" w:right="900"/>
        </w:sectPr>
      </w:pPr>
    </w:p>
    <w:p>
      <w:pPr>
        <w:spacing w:before="26"/>
        <w:ind w:left="3728" w:right="0" w:firstLine="0"/>
        <w:jc w:val="left"/>
        <w:rPr>
          <w:rFonts w:ascii="宋体" w:hAnsi="宋体" w:cs="宋体" w:eastAsia="宋体" w:hint="default"/>
          <w:sz w:val="24"/>
          <w:szCs w:val="24"/>
        </w:rPr>
      </w:pPr>
      <w:r>
        <w:rPr>
          <w:rFonts w:ascii="宋体" w:hAnsi="宋体" w:cs="宋体" w:eastAsia="宋体" w:hint="default"/>
          <w:b/>
          <w:bCs/>
          <w:w w:val="95"/>
          <w:sz w:val="24"/>
          <w:szCs w:val="24"/>
        </w:rPr>
        <w:t>募集资金使用情况对照表</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r>
        <w:rPr/>
        <w:br w:type="column"/>
      </w:r>
      <w:r>
        <w:rPr>
          <w:rFonts w:ascii="宋体"/>
          <w:b/>
          <w:sz w:val="26"/>
        </w:rPr>
      </w:r>
    </w:p>
    <w:p>
      <w:pPr>
        <w:pStyle w:val="BodyText"/>
        <w:spacing w:line="240" w:lineRule="auto"/>
        <w:ind w:left="1742" w:right="0"/>
        <w:jc w:val="left"/>
      </w:pPr>
      <w:r>
        <w:rPr/>
        <w:t>单位：万元</w:t>
      </w:r>
    </w:p>
    <w:p>
      <w:pPr>
        <w:spacing w:after="0" w:line="240" w:lineRule="auto"/>
        <w:jc w:val="left"/>
        <w:sectPr>
          <w:type w:val="continuous"/>
          <w:pgSz w:w="11910" w:h="16840"/>
          <w:pgMar w:top="1240" w:bottom="1240" w:left="900" w:right="900"/>
          <w:cols w:num="2" w:equalWidth="0">
            <w:col w:w="6377" w:space="40"/>
            <w:col w:w="3693"/>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244"/>
        <w:gridCol w:w="711"/>
        <w:gridCol w:w="996"/>
        <w:gridCol w:w="852"/>
        <w:gridCol w:w="854"/>
        <w:gridCol w:w="848"/>
        <w:gridCol w:w="991"/>
        <w:gridCol w:w="848"/>
        <w:gridCol w:w="854"/>
        <w:gridCol w:w="854"/>
        <w:gridCol w:w="817"/>
      </w:tblGrid>
      <w:tr>
        <w:trPr>
          <w:trHeight w:val="244" w:hRule="exact"/>
        </w:trPr>
        <w:tc>
          <w:tcPr>
            <w:tcW w:w="2951"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3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852" w:type="dxa"/>
            <w:tcBorders>
              <w:top w:val="single" w:sz="4" w:space="0" w:color="000000"/>
              <w:left w:val="single" w:sz="13" w:space="0" w:color="DCDCDC"/>
              <w:bottom w:val="single" w:sz="4" w:space="0" w:color="000000"/>
              <w:right w:val="single" w:sz="12" w:space="0" w:color="DCDCDC"/>
            </w:tcBorders>
          </w:tcPr>
          <w:p>
            <w:pPr>
              <w:pStyle w:val="TableParagraph"/>
              <w:spacing w:line="240" w:lineRule="auto" w:before="9"/>
              <w:ind w:right="10"/>
              <w:jc w:val="right"/>
              <w:rPr>
                <w:rFonts w:ascii="Times New Roman" w:hAnsi="Times New Roman" w:cs="Times New Roman" w:eastAsia="Times New Roman" w:hint="default"/>
                <w:sz w:val="18"/>
                <w:szCs w:val="18"/>
              </w:rPr>
            </w:pPr>
            <w:r>
              <w:rPr>
                <w:rFonts w:ascii="Times New Roman"/>
                <w:spacing w:val="-1"/>
                <w:sz w:val="18"/>
              </w:rPr>
              <w:t>37,003.59</w:t>
            </w:r>
          </w:p>
        </w:tc>
        <w:tc>
          <w:tcPr>
            <w:tcW w:w="170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10" w:lineRule="exact"/>
              <w:ind w:right="3"/>
              <w:jc w:val="center"/>
              <w:rPr>
                <w:rFonts w:ascii="宋体" w:hAnsi="宋体" w:cs="宋体" w:eastAsia="宋体" w:hint="default"/>
                <w:sz w:val="18"/>
                <w:szCs w:val="18"/>
              </w:rPr>
            </w:pPr>
            <w:r>
              <w:rPr>
                <w:rFonts w:ascii="宋体" w:hAnsi="宋体" w:cs="宋体" w:eastAsia="宋体" w:hint="default"/>
                <w:sz w:val="18"/>
                <w:szCs w:val="18"/>
              </w:rPr>
              <w:t>本年度投入募集资金</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总额</w:t>
            </w:r>
          </w:p>
        </w:tc>
        <w:tc>
          <w:tcPr>
            <w:tcW w:w="4364" w:type="dxa"/>
            <w:gridSpan w:val="5"/>
            <w:vMerge w:val="restart"/>
            <w:tcBorders>
              <w:top w:val="single" w:sz="4" w:space="0" w:color="000000"/>
              <w:left w:val="single" w:sz="13" w:space="0" w:color="DCDCDC"/>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w w:val="95"/>
                <w:sz w:val="18"/>
              </w:rPr>
              <w:t>5,843.30</w:t>
            </w:r>
          </w:p>
        </w:tc>
      </w:tr>
      <w:tr>
        <w:trPr>
          <w:trHeight w:val="244" w:hRule="exact"/>
        </w:trPr>
        <w:tc>
          <w:tcPr>
            <w:tcW w:w="2951"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7" w:lineRule="exact"/>
              <w:ind w:left="120"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852" w:type="dxa"/>
            <w:tcBorders>
              <w:top w:val="single" w:sz="4" w:space="0" w:color="000000"/>
              <w:left w:val="single" w:sz="13" w:space="0" w:color="DCDCDC"/>
              <w:bottom w:val="single" w:sz="4" w:space="0" w:color="000000"/>
              <w:right w:val="single" w:sz="12" w:space="0" w:color="DCDCDC"/>
            </w:tcBorders>
          </w:tcPr>
          <w:p>
            <w:pPr>
              <w:pStyle w:val="TableParagraph"/>
              <w:spacing w:line="240" w:lineRule="auto" w:before="8"/>
              <w:ind w:right="10"/>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gridSpan w:val="2"/>
            <w:vMerge/>
            <w:tcBorders>
              <w:left w:val="single" w:sz="4" w:space="0" w:color="000000"/>
              <w:bottom w:val="single" w:sz="4" w:space="0" w:color="000000"/>
              <w:right w:val="single" w:sz="4" w:space="0" w:color="000000"/>
            </w:tcBorders>
            <w:shd w:val="clear" w:color="auto" w:fill="DCDCDC"/>
          </w:tcPr>
          <w:p>
            <w:pPr/>
          </w:p>
        </w:tc>
        <w:tc>
          <w:tcPr>
            <w:tcW w:w="4364" w:type="dxa"/>
            <w:gridSpan w:val="5"/>
            <w:vMerge/>
            <w:tcBorders>
              <w:left w:val="single" w:sz="13" w:space="0" w:color="DCDCDC"/>
              <w:bottom w:val="single" w:sz="4" w:space="0" w:color="000000"/>
              <w:right w:val="single" w:sz="4" w:space="0" w:color="000000"/>
            </w:tcBorders>
          </w:tcPr>
          <w:p>
            <w:pPr/>
          </w:p>
        </w:tc>
      </w:tr>
      <w:tr>
        <w:trPr>
          <w:trHeight w:val="242" w:hRule="exact"/>
        </w:trPr>
        <w:tc>
          <w:tcPr>
            <w:tcW w:w="2951"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00"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852" w:type="dxa"/>
            <w:tcBorders>
              <w:top w:val="single" w:sz="4" w:space="0" w:color="000000"/>
              <w:left w:val="single" w:sz="13" w:space="0" w:color="DCDCDC"/>
              <w:bottom w:val="single" w:sz="4" w:space="0" w:color="000000"/>
              <w:right w:val="single" w:sz="12" w:space="0" w:color="DCDCDC"/>
            </w:tcBorders>
          </w:tcPr>
          <w:p>
            <w:pPr>
              <w:pStyle w:val="TableParagraph"/>
              <w:spacing w:line="240" w:lineRule="auto" w:before="9"/>
              <w:ind w:right="10"/>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9" w:lineRule="exact"/>
              <w:ind w:right="3"/>
              <w:jc w:val="center"/>
              <w:rPr>
                <w:rFonts w:ascii="宋体" w:hAnsi="宋体" w:cs="宋体" w:eastAsia="宋体" w:hint="default"/>
                <w:sz w:val="18"/>
                <w:szCs w:val="18"/>
              </w:rPr>
            </w:pPr>
            <w:r>
              <w:rPr>
                <w:rFonts w:ascii="宋体" w:hAnsi="宋体" w:cs="宋体" w:eastAsia="宋体" w:hint="default"/>
                <w:sz w:val="18"/>
                <w:szCs w:val="18"/>
              </w:rPr>
              <w:t>已累计投入募集资金</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总额</w:t>
            </w:r>
          </w:p>
        </w:tc>
        <w:tc>
          <w:tcPr>
            <w:tcW w:w="4364" w:type="dxa"/>
            <w:gridSpan w:val="5"/>
            <w:vMerge w:val="restart"/>
            <w:tcBorders>
              <w:top w:val="single" w:sz="4" w:space="0" w:color="000000"/>
              <w:left w:val="single" w:sz="13" w:space="0" w:color="DCDCDC"/>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w w:val="95"/>
                <w:sz w:val="18"/>
              </w:rPr>
              <w:t>9,033.18</w:t>
            </w:r>
          </w:p>
        </w:tc>
      </w:tr>
      <w:tr>
        <w:trPr>
          <w:trHeight w:val="245" w:hRule="exact"/>
        </w:trPr>
        <w:tc>
          <w:tcPr>
            <w:tcW w:w="2951"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852" w:type="dxa"/>
            <w:tcBorders>
              <w:top w:val="single" w:sz="4" w:space="0" w:color="000000"/>
              <w:left w:val="single" w:sz="13" w:space="0" w:color="DCDCDC"/>
              <w:bottom w:val="single" w:sz="4" w:space="0" w:color="000000"/>
              <w:right w:val="single" w:sz="12" w:space="0" w:color="DCDCDC"/>
            </w:tcBorders>
          </w:tcPr>
          <w:p>
            <w:pPr>
              <w:pStyle w:val="TableParagraph"/>
              <w:spacing w:line="240" w:lineRule="auto" w:before="9"/>
              <w:ind w:right="10"/>
              <w:jc w:val="right"/>
              <w:rPr>
                <w:rFonts w:ascii="Times New Roman" w:hAnsi="Times New Roman" w:cs="Times New Roman" w:eastAsia="Times New Roman" w:hint="default"/>
                <w:sz w:val="18"/>
                <w:szCs w:val="18"/>
              </w:rPr>
            </w:pPr>
            <w:r>
              <w:rPr>
                <w:rFonts w:ascii="Times New Roman"/>
                <w:sz w:val="18"/>
              </w:rPr>
              <w:t>0.00%</w:t>
            </w:r>
          </w:p>
        </w:tc>
        <w:tc>
          <w:tcPr>
            <w:tcW w:w="1702" w:type="dxa"/>
            <w:gridSpan w:val="2"/>
            <w:vMerge/>
            <w:tcBorders>
              <w:left w:val="single" w:sz="4" w:space="0" w:color="000000"/>
              <w:bottom w:val="single" w:sz="4" w:space="0" w:color="000000"/>
              <w:right w:val="single" w:sz="4" w:space="0" w:color="000000"/>
            </w:tcBorders>
            <w:shd w:val="clear" w:color="auto" w:fill="DCDCDC"/>
          </w:tcPr>
          <w:p>
            <w:pPr/>
          </w:p>
        </w:tc>
        <w:tc>
          <w:tcPr>
            <w:tcW w:w="4364" w:type="dxa"/>
            <w:gridSpan w:val="5"/>
            <w:vMerge/>
            <w:tcBorders>
              <w:left w:val="single" w:sz="13" w:space="0" w:color="DCDCDC"/>
              <w:bottom w:val="single" w:sz="5" w:space="0" w:color="DCDCDC"/>
              <w:right w:val="single" w:sz="4" w:space="0" w:color="000000"/>
            </w:tcBorders>
          </w:tcPr>
          <w:p>
            <w:pPr/>
          </w:p>
        </w:tc>
      </w:tr>
      <w:tr>
        <w:trPr>
          <w:trHeight w:val="238" w:hRule="exact"/>
        </w:trPr>
        <w:tc>
          <w:tcPr>
            <w:tcW w:w="124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76" w:right="75"/>
              <w:jc w:val="center"/>
              <w:rPr>
                <w:rFonts w:ascii="宋体" w:hAnsi="宋体" w:cs="宋体" w:eastAsia="宋体" w:hint="default"/>
                <w:sz w:val="18"/>
                <w:szCs w:val="18"/>
              </w:rPr>
            </w:pPr>
            <w:r>
              <w:rPr>
                <w:rFonts w:ascii="宋体" w:hAnsi="宋体" w:cs="宋体" w:eastAsia="宋体" w:hint="default"/>
                <w:sz w:val="18"/>
                <w:szCs w:val="18"/>
              </w:rPr>
              <w:t>承诺投资项目 和超募资金投 向</w:t>
            </w:r>
          </w:p>
        </w:tc>
        <w:tc>
          <w:tcPr>
            <w:tcW w:w="711" w:type="dxa"/>
            <w:tcBorders>
              <w:top w:val="single" w:sz="4" w:space="0" w:color="000000"/>
              <w:left w:val="single" w:sz="10" w:space="0" w:color="DCDCDC"/>
              <w:bottom w:val="nil" w:sz="6" w:space="0" w:color="auto"/>
              <w:right w:val="single" w:sz="13" w:space="0" w:color="DCDCDC"/>
            </w:tcBorders>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是否已</w:t>
            </w:r>
          </w:p>
        </w:tc>
        <w:tc>
          <w:tcPr>
            <w:tcW w:w="996" w:type="dxa"/>
            <w:tcBorders>
              <w:top w:val="single" w:sz="4" w:space="0" w:color="000000"/>
              <w:left w:val="single" w:sz="4" w:space="0" w:color="000000"/>
              <w:bottom w:val="nil" w:sz="6" w:space="0" w:color="auto"/>
              <w:right w:val="single" w:sz="4" w:space="0" w:color="000000"/>
            </w:tcBorders>
            <w:shd w:val="clear" w:color="auto" w:fill="DCDCDC"/>
          </w:tcPr>
          <w:p>
            <w:pPr/>
          </w:p>
        </w:tc>
        <w:tc>
          <w:tcPr>
            <w:tcW w:w="852" w:type="dxa"/>
            <w:tcBorders>
              <w:top w:val="single" w:sz="4" w:space="0" w:color="000000"/>
              <w:left w:val="single" w:sz="4" w:space="0" w:color="000000"/>
              <w:bottom w:val="nil" w:sz="6" w:space="0" w:color="auto"/>
              <w:right w:val="single" w:sz="4" w:space="0" w:color="000000"/>
            </w:tcBorders>
            <w:shd w:val="clear" w:color="auto" w:fill="DCDCDC"/>
          </w:tcPr>
          <w:p>
            <w:pPr/>
          </w:p>
        </w:tc>
        <w:tc>
          <w:tcPr>
            <w:tcW w:w="854" w:type="dxa"/>
            <w:tcBorders>
              <w:top w:val="single" w:sz="4" w:space="0" w:color="000000"/>
              <w:left w:val="single" w:sz="4" w:space="0" w:color="000000"/>
              <w:bottom w:val="nil" w:sz="6" w:space="0" w:color="auto"/>
              <w:right w:val="single" w:sz="4" w:space="0" w:color="000000"/>
            </w:tcBorders>
            <w:shd w:val="clear" w:color="auto" w:fill="DCDCDC"/>
          </w:tcPr>
          <w:p>
            <w:pPr/>
          </w:p>
        </w:tc>
        <w:tc>
          <w:tcPr>
            <w:tcW w:w="848"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56"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991" w:type="dxa"/>
            <w:vMerge w:val="restart"/>
            <w:tcBorders>
              <w:top w:val="single" w:sz="4" w:space="0" w:color="000000"/>
              <w:left w:val="single" w:sz="4" w:space="0" w:color="000000"/>
              <w:right w:val="single" w:sz="4" w:space="0" w:color="000000"/>
            </w:tcBorders>
            <w:shd w:val="clear" w:color="auto" w:fill="DCDCDC"/>
          </w:tcPr>
          <w:p>
            <w:pPr>
              <w:pStyle w:val="TableParagraph"/>
              <w:spacing w:line="236" w:lineRule="exact" w:before="3"/>
              <w:ind w:left="38" w:right="41"/>
              <w:jc w:val="center"/>
              <w:rPr>
                <w:rFonts w:ascii="宋体" w:hAnsi="宋体" w:cs="宋体" w:eastAsia="宋体" w:hint="default"/>
                <w:sz w:val="18"/>
                <w:szCs w:val="18"/>
              </w:rPr>
            </w:pPr>
            <w:r>
              <w:rPr>
                <w:rFonts w:ascii="宋体" w:hAnsi="宋体" w:cs="宋体" w:eastAsia="宋体" w:hint="default"/>
                <w:sz w:val="18"/>
                <w:szCs w:val="18"/>
              </w:rPr>
              <w:t>截至期末投 资进度</w:t>
            </w:r>
          </w:p>
          <w:p>
            <w:pPr>
              <w:pStyle w:val="TableParagraph"/>
              <w:spacing w:line="225"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(2)/(1)</w:t>
            </w:r>
          </w:p>
        </w:tc>
        <w:tc>
          <w:tcPr>
            <w:tcW w:w="848"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项目达到</w:t>
            </w:r>
          </w:p>
          <w:p>
            <w:pPr>
              <w:pStyle w:val="TableParagraph"/>
              <w:spacing w:line="237" w:lineRule="auto"/>
              <w:ind w:left="59" w:right="56"/>
              <w:jc w:val="center"/>
              <w:rPr>
                <w:rFonts w:ascii="宋体" w:hAnsi="宋体" w:cs="宋体" w:eastAsia="宋体" w:hint="default"/>
                <w:sz w:val="18"/>
                <w:szCs w:val="18"/>
              </w:rPr>
            </w:pPr>
            <w:r>
              <w:rPr>
                <w:rFonts w:ascii="宋体" w:hAnsi="宋体" w:cs="宋体" w:eastAsia="宋体" w:hint="default"/>
                <w:sz w:val="18"/>
                <w:szCs w:val="18"/>
              </w:rPr>
              <w:t>预定可使 用状态日 期</w:t>
            </w:r>
          </w:p>
        </w:tc>
        <w:tc>
          <w:tcPr>
            <w:tcW w:w="854" w:type="dxa"/>
            <w:tcBorders>
              <w:top w:val="single" w:sz="4" w:space="0" w:color="000000"/>
              <w:left w:val="single" w:sz="4" w:space="0" w:color="000000"/>
              <w:bottom w:val="nil" w:sz="6" w:space="0" w:color="auto"/>
              <w:right w:val="single" w:sz="4" w:space="0" w:color="000000"/>
            </w:tcBorders>
            <w:shd w:val="clear" w:color="auto" w:fill="DCDCDC"/>
          </w:tcPr>
          <w:p>
            <w:pPr/>
          </w:p>
        </w:tc>
        <w:tc>
          <w:tcPr>
            <w:tcW w:w="854" w:type="dxa"/>
            <w:tcBorders>
              <w:top w:val="single" w:sz="4" w:space="0" w:color="000000"/>
              <w:left w:val="single" w:sz="4" w:space="0" w:color="000000"/>
              <w:bottom w:val="nil" w:sz="6" w:space="0" w:color="auto"/>
              <w:right w:val="single" w:sz="4" w:space="0" w:color="000000"/>
            </w:tcBorders>
            <w:shd w:val="clear" w:color="auto" w:fill="DCDCDC"/>
          </w:tcPr>
          <w:p>
            <w:pPr/>
          </w:p>
        </w:tc>
        <w:tc>
          <w:tcPr>
            <w:tcW w:w="817"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项目可行</w:t>
            </w:r>
          </w:p>
          <w:p>
            <w:pPr>
              <w:pStyle w:val="TableParagraph"/>
              <w:spacing w:line="237" w:lineRule="auto"/>
              <w:ind w:left="41" w:right="43"/>
              <w:jc w:val="center"/>
              <w:rPr>
                <w:rFonts w:ascii="宋体" w:hAnsi="宋体" w:cs="宋体" w:eastAsia="宋体" w:hint="default"/>
                <w:sz w:val="18"/>
                <w:szCs w:val="18"/>
              </w:rPr>
            </w:pPr>
            <w:r>
              <w:rPr>
                <w:rFonts w:ascii="宋体" w:hAnsi="宋体" w:cs="宋体" w:eastAsia="宋体" w:hint="default"/>
                <w:sz w:val="18"/>
                <w:szCs w:val="18"/>
              </w:rPr>
              <w:t>性是否发 生重大变 化</w:t>
            </w:r>
          </w:p>
        </w:tc>
      </w:tr>
      <w:tr>
        <w:trPr>
          <w:trHeight w:val="468" w:hRule="exact"/>
        </w:trPr>
        <w:tc>
          <w:tcPr>
            <w:tcW w:w="1244" w:type="dxa"/>
            <w:vMerge/>
            <w:tcBorders>
              <w:left w:val="single" w:sz="4" w:space="0" w:color="000000"/>
              <w:right w:val="single" w:sz="4" w:space="0" w:color="000000"/>
            </w:tcBorders>
            <w:shd w:val="clear" w:color="auto" w:fill="DCDCDC"/>
          </w:tcPr>
          <w:p>
            <w:pPr/>
          </w:p>
        </w:tc>
        <w:tc>
          <w:tcPr>
            <w:tcW w:w="711" w:type="dxa"/>
            <w:tcBorders>
              <w:top w:val="nil" w:sz="6" w:space="0" w:color="auto"/>
              <w:left w:val="single" w:sz="10" w:space="0" w:color="DCDCDC"/>
              <w:bottom w:val="nil" w:sz="6" w:space="0" w:color="auto"/>
              <w:right w:val="single" w:sz="23" w:space="0" w:color="DCDCDC"/>
            </w:tcBorders>
          </w:tcPr>
          <w:p>
            <w:pPr>
              <w:pStyle w:val="TableParagraph"/>
              <w:tabs>
                <w:tab w:pos="674" w:val="left" w:leader="none"/>
              </w:tabs>
              <w:spacing w:line="204" w:lineRule="exact"/>
              <w:ind w:left="16"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5"/>
                <w:sz w:val="18"/>
                <w:szCs w:val="18"/>
                <w:shd w:fill="DCDCDC" w:color="auto" w:val="clear"/>
              </w:rPr>
              <w:t> </w:t>
            </w:r>
            <w:r>
              <w:rPr>
                <w:rFonts w:ascii="宋体" w:hAnsi="宋体" w:cs="宋体" w:eastAsia="宋体" w:hint="default"/>
                <w:sz w:val="18"/>
                <w:szCs w:val="18"/>
                <w:shd w:fill="DCDCDC" w:color="auto" w:val="clear"/>
              </w:rPr>
              <w:t>变更项</w:t>
              <w:tab/>
            </w:r>
            <w:r>
              <w:rPr>
                <w:rFonts w:ascii="宋体" w:hAnsi="宋体" w:cs="宋体" w:eastAsia="宋体" w:hint="default"/>
                <w:sz w:val="18"/>
                <w:szCs w:val="18"/>
              </w:rPr>
            </w:r>
          </w:p>
          <w:p>
            <w:pPr>
              <w:pStyle w:val="TableParagraph"/>
              <w:tabs>
                <w:tab w:pos="674" w:val="left" w:leader="none"/>
              </w:tabs>
              <w:spacing w:line="248" w:lineRule="exact"/>
              <w:ind w:left="16"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7"/>
                <w:sz w:val="18"/>
                <w:szCs w:val="18"/>
                <w:shd w:fill="DCDCDC" w:color="auto" w:val="clear"/>
              </w:rPr>
              <w:t> </w:t>
            </w:r>
            <w:r>
              <w:rPr>
                <w:rFonts w:ascii="宋体" w:hAnsi="宋体" w:cs="宋体" w:eastAsia="宋体" w:hint="default"/>
                <w:sz w:val="18"/>
                <w:szCs w:val="18"/>
                <w:shd w:fill="DCDCDC" w:color="auto" w:val="clear"/>
              </w:rPr>
              <w:t>目</w:t>
            </w:r>
            <w:r>
              <w:rPr>
                <w:rFonts w:ascii="Times New Roman" w:hAnsi="Times New Roman" w:cs="Times New Roman" w:eastAsia="Times New Roman" w:hint="default"/>
                <w:sz w:val="18"/>
                <w:szCs w:val="18"/>
                <w:shd w:fill="DCDCDC" w:color="auto" w:val="clear"/>
              </w:rPr>
              <w:t>(</w:t>
            </w:r>
            <w:r>
              <w:rPr>
                <w:rFonts w:ascii="宋体" w:hAnsi="宋体" w:cs="宋体" w:eastAsia="宋体" w:hint="default"/>
                <w:sz w:val="18"/>
                <w:szCs w:val="18"/>
                <w:shd w:fill="DCDCDC" w:color="auto" w:val="clear"/>
              </w:rPr>
              <w:t>含部</w:t>
              <w:tab/>
            </w:r>
            <w:r>
              <w:rPr>
                <w:rFonts w:ascii="宋体" w:hAnsi="宋体" w:cs="宋体" w:eastAsia="宋体" w:hint="default"/>
                <w:sz w:val="18"/>
                <w:szCs w:val="18"/>
              </w:rPr>
            </w:r>
          </w:p>
        </w:tc>
        <w:tc>
          <w:tcPr>
            <w:tcW w:w="99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left="44" w:right="0"/>
              <w:jc w:val="left"/>
              <w:rPr>
                <w:rFonts w:ascii="宋体" w:hAnsi="宋体" w:cs="宋体" w:eastAsia="宋体" w:hint="default"/>
                <w:sz w:val="18"/>
                <w:szCs w:val="18"/>
              </w:rPr>
            </w:pPr>
            <w:r>
              <w:rPr>
                <w:rFonts w:ascii="宋体" w:hAnsi="宋体" w:cs="宋体" w:eastAsia="宋体" w:hint="default"/>
                <w:sz w:val="18"/>
                <w:szCs w:val="18"/>
              </w:rPr>
              <w:t>募集资金承</w:t>
            </w:r>
          </w:p>
          <w:p>
            <w:pPr>
              <w:pStyle w:val="TableParagraph"/>
              <w:spacing w:line="234" w:lineRule="exact"/>
              <w:ind w:left="44" w:right="0"/>
              <w:jc w:val="left"/>
              <w:rPr>
                <w:rFonts w:ascii="宋体" w:hAnsi="宋体" w:cs="宋体" w:eastAsia="宋体" w:hint="default"/>
                <w:sz w:val="18"/>
                <w:szCs w:val="18"/>
              </w:rPr>
            </w:pPr>
            <w:r>
              <w:rPr>
                <w:rFonts w:ascii="宋体" w:hAnsi="宋体" w:cs="宋体" w:eastAsia="宋体" w:hint="default"/>
                <w:sz w:val="18"/>
                <w:szCs w:val="18"/>
              </w:rPr>
              <w:t>诺投资总额</w:t>
            </w:r>
          </w:p>
        </w:tc>
        <w:tc>
          <w:tcPr>
            <w:tcW w:w="852" w:type="dxa"/>
            <w:tcBorders>
              <w:top w:val="nil" w:sz="6" w:space="0" w:color="auto"/>
              <w:left w:val="single" w:sz="10" w:space="0" w:color="DCDCDC"/>
              <w:bottom w:val="nil" w:sz="6" w:space="0" w:color="auto"/>
              <w:right w:val="single" w:sz="10" w:space="0" w:color="DCDCDC"/>
            </w:tcBorders>
          </w:tcPr>
          <w:p>
            <w:pPr>
              <w:pStyle w:val="TableParagraph"/>
              <w:tabs>
                <w:tab w:pos="811" w:val="left" w:leader="none"/>
              </w:tabs>
              <w:spacing w:line="204"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9"/>
                <w:sz w:val="18"/>
                <w:szCs w:val="18"/>
                <w:shd w:fill="DCDCDC" w:color="auto" w:val="clear"/>
              </w:rPr>
              <w:t> </w:t>
            </w:r>
            <w:r>
              <w:rPr>
                <w:rFonts w:ascii="宋体" w:hAnsi="宋体" w:cs="宋体" w:eastAsia="宋体" w:hint="default"/>
                <w:sz w:val="18"/>
                <w:szCs w:val="18"/>
                <w:shd w:fill="DCDCDC" w:color="auto" w:val="clear"/>
              </w:rPr>
              <w:t>调整后投</w:t>
              <w:tab/>
            </w:r>
            <w:r>
              <w:rPr>
                <w:rFonts w:ascii="宋体" w:hAnsi="宋体" w:cs="宋体" w:eastAsia="宋体" w:hint="default"/>
                <w:sz w:val="18"/>
                <w:szCs w:val="18"/>
              </w:rPr>
            </w:r>
          </w:p>
          <w:p>
            <w:pPr>
              <w:pStyle w:val="TableParagraph"/>
              <w:spacing w:line="248"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24"/>
                <w:sz w:val="18"/>
                <w:szCs w:val="18"/>
                <w:shd w:fill="DCDCDC" w:color="auto" w:val="clear"/>
              </w:rPr>
              <w:t> </w:t>
            </w:r>
            <w:r>
              <w:rPr>
                <w:rFonts w:ascii="宋体" w:hAnsi="宋体" w:cs="宋体" w:eastAsia="宋体" w:hint="default"/>
                <w:sz w:val="18"/>
                <w:szCs w:val="18"/>
                <w:shd w:fill="DCDCDC" w:color="auto" w:val="clear"/>
              </w:rPr>
              <w:t>资总额</w:t>
            </w:r>
            <w:r>
              <w:rPr>
                <w:rFonts w:ascii="Times New Roman" w:hAnsi="Times New Roman" w:cs="Times New Roman" w:eastAsia="Times New Roman" w:hint="default"/>
                <w:sz w:val="18"/>
                <w:szCs w:val="18"/>
                <w:shd w:fill="DCDCDC" w:color="auto" w:val="clear"/>
              </w:rPr>
              <w:t>(1)</w:t>
            </w:r>
            <w:r>
              <w:rPr>
                <w:rFonts w:ascii="Times New Roman" w:hAnsi="Times New Roman" w:cs="Times New Roman" w:eastAsia="Times New Roman" w:hint="default"/>
                <w:sz w:val="18"/>
                <w:szCs w:val="18"/>
              </w:rPr>
            </w:r>
          </w:p>
        </w:tc>
        <w:tc>
          <w:tcPr>
            <w:tcW w:w="85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left="148" w:right="0" w:hanging="92"/>
              <w:jc w:val="left"/>
              <w:rPr>
                <w:rFonts w:ascii="宋体" w:hAnsi="宋体" w:cs="宋体" w:eastAsia="宋体" w:hint="default"/>
                <w:sz w:val="18"/>
                <w:szCs w:val="18"/>
              </w:rPr>
            </w:pPr>
            <w:r>
              <w:rPr>
                <w:rFonts w:ascii="宋体" w:hAnsi="宋体" w:cs="宋体" w:eastAsia="宋体" w:hint="default"/>
                <w:sz w:val="18"/>
                <w:szCs w:val="18"/>
              </w:rPr>
              <w:t>本年度投</w:t>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入金额</w:t>
            </w:r>
          </w:p>
        </w:tc>
        <w:tc>
          <w:tcPr>
            <w:tcW w:w="848" w:type="dxa"/>
            <w:vMerge/>
            <w:tcBorders>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848" w:type="dxa"/>
            <w:vMerge/>
            <w:tcBorders>
              <w:left w:val="single" w:sz="4" w:space="0" w:color="000000"/>
              <w:right w:val="single" w:sz="4" w:space="0" w:color="000000"/>
            </w:tcBorders>
            <w:shd w:val="clear" w:color="auto" w:fill="DCDCDC"/>
          </w:tcPr>
          <w:p>
            <w:pPr/>
          </w:p>
        </w:tc>
        <w:tc>
          <w:tcPr>
            <w:tcW w:w="85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left="61" w:right="0"/>
              <w:jc w:val="left"/>
              <w:rPr>
                <w:rFonts w:ascii="宋体" w:hAnsi="宋体" w:cs="宋体" w:eastAsia="宋体" w:hint="default"/>
                <w:sz w:val="18"/>
                <w:szCs w:val="18"/>
              </w:rPr>
            </w:pPr>
            <w:r>
              <w:rPr>
                <w:rFonts w:ascii="宋体" w:hAnsi="宋体" w:cs="宋体" w:eastAsia="宋体" w:hint="default"/>
                <w:sz w:val="18"/>
                <w:szCs w:val="18"/>
              </w:rPr>
              <w:t>本年度实</w:t>
            </w:r>
          </w:p>
          <w:p>
            <w:pPr>
              <w:pStyle w:val="TableParagraph"/>
              <w:spacing w:line="234" w:lineRule="exact"/>
              <w:ind w:left="61" w:right="0"/>
              <w:jc w:val="left"/>
              <w:rPr>
                <w:rFonts w:ascii="宋体" w:hAnsi="宋体" w:cs="宋体" w:eastAsia="宋体" w:hint="default"/>
                <w:sz w:val="18"/>
                <w:szCs w:val="18"/>
              </w:rPr>
            </w:pPr>
            <w:r>
              <w:rPr>
                <w:rFonts w:ascii="宋体" w:hAnsi="宋体" w:cs="宋体" w:eastAsia="宋体" w:hint="default"/>
                <w:sz w:val="18"/>
                <w:szCs w:val="18"/>
              </w:rPr>
              <w:t>现的效益</w:t>
            </w:r>
          </w:p>
        </w:tc>
        <w:tc>
          <w:tcPr>
            <w:tcW w:w="85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left="57" w:right="0"/>
              <w:jc w:val="left"/>
              <w:rPr>
                <w:rFonts w:ascii="宋体" w:hAnsi="宋体" w:cs="宋体" w:eastAsia="宋体" w:hint="default"/>
                <w:sz w:val="18"/>
                <w:szCs w:val="18"/>
              </w:rPr>
            </w:pPr>
            <w:r>
              <w:rPr>
                <w:rFonts w:ascii="宋体" w:hAnsi="宋体" w:cs="宋体" w:eastAsia="宋体" w:hint="default"/>
                <w:sz w:val="18"/>
                <w:szCs w:val="18"/>
              </w:rPr>
              <w:t>是否达到</w:t>
            </w:r>
          </w:p>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预计效益</w:t>
            </w:r>
          </w:p>
        </w:tc>
        <w:tc>
          <w:tcPr>
            <w:tcW w:w="817" w:type="dxa"/>
            <w:vMerge/>
            <w:tcBorders>
              <w:left w:val="single" w:sz="4" w:space="0" w:color="000000"/>
              <w:right w:val="single" w:sz="4" w:space="0" w:color="000000"/>
            </w:tcBorders>
            <w:shd w:val="clear" w:color="auto" w:fill="DCDCDC"/>
          </w:tcPr>
          <w:p>
            <w:pPr/>
          </w:p>
        </w:tc>
      </w:tr>
      <w:tr>
        <w:trPr>
          <w:trHeight w:val="238" w:hRule="exact"/>
        </w:trPr>
        <w:tc>
          <w:tcPr>
            <w:tcW w:w="1244" w:type="dxa"/>
            <w:vMerge/>
            <w:tcBorders>
              <w:left w:val="single" w:sz="4" w:space="0" w:color="000000"/>
              <w:bottom w:val="single" w:sz="4" w:space="0" w:color="000000"/>
              <w:right w:val="single" w:sz="4" w:space="0" w:color="000000"/>
            </w:tcBorders>
            <w:shd w:val="clear" w:color="auto" w:fill="DCDCDC"/>
          </w:tcPr>
          <w:p>
            <w:pPr/>
          </w:p>
        </w:tc>
        <w:tc>
          <w:tcPr>
            <w:tcW w:w="711" w:type="dxa"/>
            <w:tcBorders>
              <w:top w:val="nil" w:sz="6" w:space="0" w:color="auto"/>
              <w:left w:val="single" w:sz="10" w:space="0" w:color="DCDCDC"/>
              <w:bottom w:val="single" w:sz="4" w:space="0" w:color="000000"/>
              <w:right w:val="single" w:sz="13" w:space="0" w:color="DCDCDC"/>
            </w:tcBorders>
          </w:tcPr>
          <w:p>
            <w:pPr>
              <w:pStyle w:val="TableParagraph"/>
              <w:spacing w:line="219" w:lineRule="exact"/>
              <w:ind w:left="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996" w:type="dxa"/>
            <w:tcBorders>
              <w:top w:val="nil" w:sz="6" w:space="0" w:color="auto"/>
              <w:left w:val="single" w:sz="4" w:space="0" w:color="000000"/>
              <w:bottom w:val="single" w:sz="4" w:space="0" w:color="000000"/>
              <w:right w:val="single" w:sz="4" w:space="0" w:color="000000"/>
            </w:tcBorders>
            <w:shd w:val="clear" w:color="auto" w:fill="DCDCDC"/>
          </w:tcPr>
          <w:p>
            <w:pPr/>
          </w:p>
        </w:tc>
        <w:tc>
          <w:tcPr>
            <w:tcW w:w="852" w:type="dxa"/>
            <w:tcBorders>
              <w:top w:val="nil" w:sz="6" w:space="0" w:color="auto"/>
              <w:left w:val="single" w:sz="4" w:space="0" w:color="000000"/>
              <w:bottom w:val="single" w:sz="4" w:space="0" w:color="000000"/>
              <w:right w:val="single" w:sz="4" w:space="0" w:color="000000"/>
            </w:tcBorders>
            <w:shd w:val="clear" w:color="auto" w:fill="DCDCDC"/>
          </w:tcPr>
          <w:p>
            <w:pPr/>
          </w:p>
        </w:tc>
        <w:tc>
          <w:tcPr>
            <w:tcW w:w="854" w:type="dxa"/>
            <w:tcBorders>
              <w:top w:val="nil" w:sz="6" w:space="0" w:color="auto"/>
              <w:left w:val="single" w:sz="4" w:space="0" w:color="000000"/>
              <w:bottom w:val="single" w:sz="4" w:space="0" w:color="000000"/>
              <w:right w:val="single" w:sz="4" w:space="0" w:color="000000"/>
            </w:tcBorders>
            <w:shd w:val="clear" w:color="auto" w:fill="DCDCDC"/>
          </w:tcPr>
          <w:p>
            <w:pPr/>
          </w:p>
        </w:tc>
        <w:tc>
          <w:tcPr>
            <w:tcW w:w="848" w:type="dxa"/>
            <w:vMerge/>
            <w:tcBorders>
              <w:left w:val="single" w:sz="4" w:space="0" w:color="000000"/>
              <w:bottom w:val="single" w:sz="4" w:space="0" w:color="000000"/>
              <w:right w:val="single" w:sz="4" w:space="0" w:color="000000"/>
            </w:tcBorders>
            <w:shd w:val="clear" w:color="auto" w:fill="DCDCDC"/>
          </w:tcPr>
          <w:p>
            <w:pPr/>
          </w:p>
        </w:tc>
        <w:tc>
          <w:tcPr>
            <w:tcW w:w="991" w:type="dxa"/>
            <w:vMerge/>
            <w:tcBorders>
              <w:left w:val="single" w:sz="4" w:space="0" w:color="000000"/>
              <w:bottom w:val="single" w:sz="4" w:space="0" w:color="000000"/>
              <w:right w:val="single" w:sz="4" w:space="0" w:color="000000"/>
            </w:tcBorders>
            <w:shd w:val="clear" w:color="auto" w:fill="DCDCDC"/>
          </w:tcPr>
          <w:p>
            <w:pPr/>
          </w:p>
        </w:tc>
        <w:tc>
          <w:tcPr>
            <w:tcW w:w="848" w:type="dxa"/>
            <w:vMerge/>
            <w:tcBorders>
              <w:left w:val="single" w:sz="4" w:space="0" w:color="000000"/>
              <w:bottom w:val="single" w:sz="4" w:space="0" w:color="000000"/>
              <w:right w:val="single" w:sz="4" w:space="0" w:color="000000"/>
            </w:tcBorders>
            <w:shd w:val="clear" w:color="auto" w:fill="DCDCDC"/>
          </w:tcPr>
          <w:p>
            <w:pPr/>
          </w:p>
        </w:tc>
        <w:tc>
          <w:tcPr>
            <w:tcW w:w="854" w:type="dxa"/>
            <w:tcBorders>
              <w:top w:val="nil" w:sz="6" w:space="0" w:color="auto"/>
              <w:left w:val="single" w:sz="4" w:space="0" w:color="000000"/>
              <w:bottom w:val="single" w:sz="4" w:space="0" w:color="000000"/>
              <w:right w:val="single" w:sz="4" w:space="0" w:color="000000"/>
            </w:tcBorders>
            <w:shd w:val="clear" w:color="auto" w:fill="DCDCDC"/>
          </w:tcPr>
          <w:p>
            <w:pPr/>
          </w:p>
        </w:tc>
        <w:tc>
          <w:tcPr>
            <w:tcW w:w="854" w:type="dxa"/>
            <w:tcBorders>
              <w:top w:val="nil" w:sz="6" w:space="0" w:color="auto"/>
              <w:left w:val="single" w:sz="4" w:space="0" w:color="000000"/>
              <w:bottom w:val="single" w:sz="4" w:space="0" w:color="000000"/>
              <w:right w:val="single" w:sz="4" w:space="0" w:color="000000"/>
            </w:tcBorders>
            <w:shd w:val="clear" w:color="auto" w:fill="DCDCDC"/>
          </w:tcPr>
          <w:p>
            <w:pPr/>
          </w:p>
        </w:tc>
        <w:tc>
          <w:tcPr>
            <w:tcW w:w="817" w:type="dxa"/>
            <w:vMerge/>
            <w:tcBorders>
              <w:left w:val="single" w:sz="4" w:space="0" w:color="000000"/>
              <w:bottom w:val="single" w:sz="4" w:space="0" w:color="000000"/>
              <w:right w:val="single" w:sz="4" w:space="0" w:color="000000"/>
            </w:tcBorders>
            <w:shd w:val="clear" w:color="auto" w:fill="DCDCDC"/>
          </w:tcPr>
          <w:p>
            <w:pPr/>
          </w:p>
        </w:tc>
      </w:tr>
      <w:tr>
        <w:trPr>
          <w:trHeight w:val="242"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8625" w:type="dxa"/>
            <w:gridSpan w:val="10"/>
            <w:tcBorders>
              <w:top w:val="single" w:sz="47" w:space="0" w:color="DCDCDC"/>
              <w:left w:val="single" w:sz="13" w:space="0" w:color="DCDCDC"/>
              <w:bottom w:val="single" w:sz="4" w:space="0" w:color="000000"/>
              <w:right w:val="single" w:sz="4" w:space="0" w:color="000000"/>
            </w:tcBorders>
          </w:tcPr>
          <w:p>
            <w:pP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铁路信号集中</w:t>
            </w:r>
          </w:p>
          <w:p>
            <w:pPr>
              <w:pStyle w:val="TableParagraph"/>
              <w:spacing w:line="232" w:lineRule="exact" w:before="23"/>
              <w:ind w:left="24" w:right="129"/>
              <w:jc w:val="left"/>
              <w:rPr>
                <w:rFonts w:ascii="宋体" w:hAnsi="宋体" w:cs="宋体" w:eastAsia="宋体" w:hint="default"/>
                <w:sz w:val="18"/>
                <w:szCs w:val="18"/>
              </w:rPr>
            </w:pPr>
            <w:r>
              <w:rPr>
                <w:rFonts w:ascii="宋体" w:hAnsi="宋体" w:cs="宋体" w:eastAsia="宋体" w:hint="default"/>
                <w:sz w:val="18"/>
                <w:szCs w:val="18"/>
              </w:rPr>
              <w:t>监测系统的产 业化</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7,473.00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7,473.00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3,077.96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4,216.91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56.43%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2010</w:t>
            </w:r>
            <w:r>
              <w:rPr>
                <w:rFonts w:ascii="Times New Roman" w:hAnsi="Times New Roman" w:cs="Times New Roman" w:eastAsia="Times New Roman" w:hint="default"/>
                <w:spacing w:val="-20"/>
                <w:w w:val="95"/>
                <w:sz w:val="18"/>
                <w:szCs w:val="18"/>
              </w:rPr>
              <w:t> </w:t>
            </w:r>
            <w:r>
              <w:rPr>
                <w:rFonts w:ascii="宋体" w:hAnsi="宋体" w:cs="宋体" w:eastAsia="宋体" w:hint="default"/>
                <w:w w:val="95"/>
                <w:sz w:val="18"/>
                <w:szCs w:val="18"/>
              </w:rPr>
              <w:t>年</w:t>
            </w:r>
            <w:r>
              <w:rPr>
                <w:rFonts w:ascii="宋体" w:hAnsi="宋体" w:cs="宋体" w:eastAsia="宋体" w:hint="default"/>
                <w:spacing w:val="-65"/>
                <w:w w:val="95"/>
                <w:sz w:val="18"/>
                <w:szCs w:val="18"/>
              </w:rPr>
              <w:t> </w:t>
            </w:r>
            <w:r>
              <w:rPr>
                <w:rFonts w:ascii="Times New Roman" w:hAnsi="Times New Roman" w:cs="Times New Roman" w:eastAsia="Times New Roman" w:hint="default"/>
                <w:spacing w:val="-6"/>
                <w:w w:val="95"/>
                <w:sz w:val="18"/>
                <w:szCs w:val="18"/>
              </w:rPr>
              <w:t>11</w:t>
            </w:r>
            <w:r>
              <w:rPr>
                <w:rFonts w:ascii="Times New Roman" w:hAnsi="Times New Roman" w:cs="Times New Roman" w:eastAsia="Times New Roman" w:hint="default"/>
                <w:sz w:val="18"/>
                <w:szCs w:val="18"/>
              </w:rPr>
            </w:r>
          </w:p>
          <w:p>
            <w:pPr>
              <w:pStyle w:val="TableParagraph"/>
              <w:spacing w:line="241" w:lineRule="exact"/>
              <w:ind w:left="13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16,276.88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是</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铁路无线调车</w:t>
            </w:r>
          </w:p>
          <w:p>
            <w:pPr>
              <w:pStyle w:val="TableParagraph"/>
              <w:spacing w:line="232" w:lineRule="exact" w:before="23"/>
              <w:ind w:left="24" w:right="129"/>
              <w:jc w:val="left"/>
              <w:rPr>
                <w:rFonts w:ascii="宋体" w:hAnsi="宋体" w:cs="宋体" w:eastAsia="宋体" w:hint="default"/>
                <w:sz w:val="18"/>
                <w:szCs w:val="18"/>
              </w:rPr>
            </w:pPr>
            <w:r>
              <w:rPr>
                <w:rFonts w:ascii="宋体" w:hAnsi="宋体" w:cs="宋体" w:eastAsia="宋体" w:hint="default"/>
                <w:sz w:val="18"/>
                <w:szCs w:val="18"/>
              </w:rPr>
              <w:t>机车信号和监 控系统</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3,226.50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3,226.50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869.51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1,684.92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52.22%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2011</w:t>
            </w:r>
            <w:r>
              <w:rPr>
                <w:rFonts w:ascii="Times New Roman" w:hAnsi="Times New Roman" w:cs="Times New Roman" w:eastAsia="Times New Roman" w:hint="default"/>
                <w:spacing w:val="-24"/>
                <w:w w:val="95"/>
                <w:sz w:val="18"/>
                <w:szCs w:val="18"/>
              </w:rPr>
              <w:t> </w:t>
            </w:r>
            <w:r>
              <w:rPr>
                <w:rFonts w:ascii="宋体" w:hAnsi="宋体" w:cs="宋体" w:eastAsia="宋体" w:hint="default"/>
                <w:w w:val="95"/>
                <w:sz w:val="18"/>
                <w:szCs w:val="18"/>
              </w:rPr>
              <w:t>年</w:t>
            </w:r>
            <w:r>
              <w:rPr>
                <w:rFonts w:ascii="宋体" w:hAnsi="宋体" w:cs="宋体" w:eastAsia="宋体" w:hint="default"/>
                <w:spacing w:val="-68"/>
                <w:w w:val="95"/>
                <w:sz w:val="18"/>
                <w:szCs w:val="18"/>
              </w:rPr>
              <w:t> </w:t>
            </w:r>
            <w:r>
              <w:rPr>
                <w:rFonts w:ascii="Times New Roman" w:hAnsi="Times New Roman" w:cs="Times New Roman" w:eastAsia="Times New Roman" w:hint="default"/>
                <w:w w:val="95"/>
                <w:sz w:val="18"/>
                <w:szCs w:val="18"/>
              </w:rPr>
              <w:t>01</w:t>
            </w:r>
            <w:r>
              <w:rPr>
                <w:rFonts w:ascii="Times New Roman" w:hAnsi="Times New Roman" w:cs="Times New Roman" w:eastAsia="Times New Roman" w:hint="default"/>
                <w:sz w:val="18"/>
                <w:szCs w:val="18"/>
              </w:rPr>
            </w:r>
          </w:p>
          <w:p>
            <w:pPr>
              <w:pStyle w:val="TableParagraph"/>
              <w:spacing w:line="241" w:lineRule="exact"/>
              <w:ind w:left="13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52"/>
              <w:jc w:val="righ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before="34"/>
              <w:ind w:left="107" w:right="0"/>
              <w:jc w:val="left"/>
              <w:rPr>
                <w:rFonts w:ascii="Times New Roman" w:hAnsi="Times New Roman" w:cs="Times New Roman" w:eastAsia="Times New Roman" w:hint="default"/>
                <w:sz w:val="18"/>
                <w:szCs w:val="18"/>
              </w:rPr>
            </w:pPr>
            <w:r>
              <w:rPr>
                <w:rFonts w:ascii="Times New Roman"/>
                <w:sz w:val="18"/>
              </w:rPr>
              <w:t>2,881.32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1" w:right="-18"/>
              <w:jc w:val="left"/>
              <w:rPr>
                <w:rFonts w:ascii="宋体" w:hAnsi="宋体" w:cs="宋体" w:eastAsia="宋体" w:hint="default"/>
                <w:sz w:val="18"/>
                <w:szCs w:val="18"/>
              </w:rPr>
            </w:pPr>
            <w:r>
              <w:rPr>
                <w:rFonts w:ascii="宋体" w:hAnsi="宋体" w:cs="宋体" w:eastAsia="宋体" w:hint="default"/>
                <w:sz w:val="18"/>
                <w:szCs w:val="18"/>
              </w:rPr>
              <w:t>。项目还</w:t>
            </w:r>
          </w:p>
          <w:p>
            <w:pPr>
              <w:pStyle w:val="TableParagraph"/>
              <w:spacing w:line="232" w:lineRule="exact" w:before="23"/>
              <w:ind w:left="230" w:right="71" w:hanging="180"/>
              <w:jc w:val="left"/>
              <w:rPr>
                <w:rFonts w:ascii="宋体" w:hAnsi="宋体" w:cs="宋体" w:eastAsia="宋体" w:hint="default"/>
                <w:sz w:val="18"/>
                <w:szCs w:val="18"/>
              </w:rPr>
            </w:pPr>
            <w:r>
              <w:rPr>
                <w:rFonts w:ascii="宋体" w:hAnsi="宋体" w:cs="宋体" w:eastAsia="宋体" w:hint="default"/>
                <w:sz w:val="18"/>
                <w:szCs w:val="18"/>
              </w:rPr>
              <w:t>未全面投 产。</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新产品技术研</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发中心</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79" w:right="0"/>
              <w:jc w:val="left"/>
              <w:rPr>
                <w:rFonts w:ascii="Times New Roman" w:hAnsi="Times New Roman" w:cs="Times New Roman" w:eastAsia="Times New Roman" w:hint="default"/>
                <w:sz w:val="18"/>
                <w:szCs w:val="18"/>
              </w:rPr>
            </w:pPr>
            <w:r>
              <w:rPr>
                <w:rFonts w:ascii="Times New Roman"/>
                <w:sz w:val="18"/>
              </w:rPr>
              <w:t>3,127.50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5"/>
                <w:sz w:val="18"/>
              </w:rPr>
              <w:t>3,127.50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
              <w:jc w:val="center"/>
              <w:rPr>
                <w:rFonts w:ascii="Times New Roman" w:hAnsi="Times New Roman" w:cs="Times New Roman" w:eastAsia="Times New Roman" w:hint="default"/>
                <w:sz w:val="18"/>
                <w:szCs w:val="18"/>
              </w:rPr>
            </w:pPr>
            <w:r>
              <w:rPr>
                <w:rFonts w:ascii="Times New Roman"/>
                <w:sz w:val="18"/>
              </w:rPr>
              <w:t>1,090.78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2,326.31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74.38%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2010</w:t>
            </w:r>
            <w:r>
              <w:rPr>
                <w:rFonts w:ascii="Times New Roman" w:hAnsi="Times New Roman" w:cs="Times New Roman" w:eastAsia="Times New Roman" w:hint="default"/>
                <w:spacing w:val="-20"/>
                <w:w w:val="95"/>
                <w:sz w:val="18"/>
                <w:szCs w:val="18"/>
              </w:rPr>
              <w:t> </w:t>
            </w:r>
            <w:r>
              <w:rPr>
                <w:rFonts w:ascii="宋体" w:hAnsi="宋体" w:cs="宋体" w:eastAsia="宋体" w:hint="default"/>
                <w:w w:val="95"/>
                <w:sz w:val="18"/>
                <w:szCs w:val="18"/>
              </w:rPr>
              <w:t>年</w:t>
            </w:r>
            <w:r>
              <w:rPr>
                <w:rFonts w:ascii="宋体" w:hAnsi="宋体" w:cs="宋体" w:eastAsia="宋体" w:hint="default"/>
                <w:spacing w:val="-63"/>
                <w:w w:val="95"/>
                <w:sz w:val="18"/>
                <w:szCs w:val="18"/>
              </w:rPr>
              <w:t> </w:t>
            </w:r>
            <w:r>
              <w:rPr>
                <w:rFonts w:ascii="Times New Roman" w:hAnsi="Times New Roman" w:cs="Times New Roman" w:eastAsia="Times New Roman" w:hint="default"/>
                <w:spacing w:val="-3"/>
                <w:w w:val="95"/>
                <w:sz w:val="18"/>
                <w:szCs w:val="18"/>
              </w:rPr>
              <w:t>07</w:t>
            </w:r>
            <w:r>
              <w:rPr>
                <w:rFonts w:ascii="Times New Roman" w:hAnsi="Times New Roman" w:cs="Times New Roman" w:eastAsia="Times New Roman" w:hint="default"/>
                <w:sz w:val="18"/>
                <w:szCs w:val="18"/>
              </w:rPr>
            </w:r>
          </w:p>
          <w:p>
            <w:pPr>
              <w:pStyle w:val="TableParagraph"/>
              <w:spacing w:line="241" w:lineRule="exact"/>
              <w:ind w:left="13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5" w:right="0"/>
              <w:jc w:val="left"/>
              <w:rPr>
                <w:rFonts w:ascii="Times New Roman" w:hAnsi="Times New Roman" w:cs="Times New Roman" w:eastAsia="Times New Roman" w:hint="default"/>
                <w:sz w:val="18"/>
                <w:szCs w:val="18"/>
              </w:rPr>
            </w:pPr>
            <w:r>
              <w:rPr>
                <w:rFonts w:ascii="Times New Roman"/>
                <w:sz w:val="18"/>
              </w:rPr>
              <w:t>13,827.00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60"/>
              <w:jc w:val="right"/>
              <w:rPr>
                <w:rFonts w:ascii="Times New Roman" w:hAnsi="Times New Roman" w:cs="Times New Roman" w:eastAsia="Times New Roman" w:hint="default"/>
                <w:sz w:val="18"/>
                <w:szCs w:val="18"/>
              </w:rPr>
            </w:pPr>
            <w:r>
              <w:rPr>
                <w:rFonts w:ascii="Times New Roman"/>
                <w:spacing w:val="-1"/>
                <w:sz w:val="18"/>
              </w:rPr>
              <w:t>13,827.00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
              <w:jc w:val="center"/>
              <w:rPr>
                <w:rFonts w:ascii="Times New Roman" w:hAnsi="Times New Roman" w:cs="Times New Roman" w:eastAsia="Times New Roman" w:hint="default"/>
                <w:sz w:val="18"/>
                <w:szCs w:val="18"/>
              </w:rPr>
            </w:pPr>
            <w:r>
              <w:rPr>
                <w:rFonts w:ascii="Times New Roman"/>
                <w:sz w:val="18"/>
              </w:rPr>
              <w:t>5,038.25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8,228.14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19,158.20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8625" w:type="dxa"/>
            <w:gridSpan w:val="10"/>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4" w:right="129"/>
              <w:jc w:val="left"/>
              <w:rPr>
                <w:rFonts w:ascii="宋体" w:hAnsi="宋体" w:cs="宋体" w:eastAsia="宋体" w:hint="default"/>
                <w:sz w:val="18"/>
                <w:szCs w:val="18"/>
              </w:rPr>
            </w:pPr>
            <w:r>
              <w:rPr>
                <w:rFonts w:ascii="宋体" w:hAnsi="宋体" w:cs="宋体" w:eastAsia="宋体" w:hint="default"/>
                <w:sz w:val="18"/>
                <w:szCs w:val="18"/>
              </w:rPr>
              <w:t>铁路防灾安全 监控系统</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79" w:right="0"/>
              <w:jc w:val="left"/>
              <w:rPr>
                <w:rFonts w:ascii="Times New Roman" w:hAnsi="Times New Roman" w:cs="Times New Roman" w:eastAsia="Times New Roman" w:hint="default"/>
                <w:sz w:val="18"/>
                <w:szCs w:val="18"/>
              </w:rPr>
            </w:pPr>
            <w:r>
              <w:rPr>
                <w:rFonts w:ascii="Times New Roman"/>
                <w:sz w:val="18"/>
              </w:rPr>
              <w:t>5,091.00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5"/>
                <w:sz w:val="18"/>
              </w:rPr>
              <w:t>5,091.00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6"/>
              <w:jc w:val="center"/>
              <w:rPr>
                <w:rFonts w:ascii="Times New Roman" w:hAnsi="Times New Roman" w:cs="Times New Roman" w:eastAsia="Times New Roman" w:hint="default"/>
                <w:sz w:val="18"/>
                <w:szCs w:val="18"/>
              </w:rPr>
            </w:pPr>
            <w:r>
              <w:rPr>
                <w:rFonts w:ascii="Times New Roman"/>
                <w:sz w:val="18"/>
              </w:rPr>
              <w:t>805.05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
              <w:jc w:val="center"/>
              <w:rPr>
                <w:rFonts w:ascii="Times New Roman" w:hAnsi="Times New Roman" w:cs="Times New Roman" w:eastAsia="Times New Roman" w:hint="default"/>
                <w:sz w:val="18"/>
                <w:szCs w:val="18"/>
              </w:rPr>
            </w:pPr>
            <w:r>
              <w:rPr>
                <w:rFonts w:ascii="Times New Roman"/>
                <w:sz w:val="18"/>
              </w:rPr>
              <w:t>805.05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15.81%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1" w:lineRule="exact"/>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2012</w:t>
            </w:r>
            <w:r>
              <w:rPr>
                <w:rFonts w:ascii="Times New Roman" w:hAnsi="Times New Roman" w:cs="Times New Roman" w:eastAsia="Times New Roman" w:hint="default"/>
                <w:spacing w:val="-20"/>
                <w:w w:val="95"/>
                <w:sz w:val="18"/>
                <w:szCs w:val="18"/>
              </w:rPr>
              <w:t> </w:t>
            </w:r>
            <w:r>
              <w:rPr>
                <w:rFonts w:ascii="宋体" w:hAnsi="宋体" w:cs="宋体" w:eastAsia="宋体" w:hint="default"/>
                <w:w w:val="95"/>
                <w:sz w:val="18"/>
                <w:szCs w:val="18"/>
              </w:rPr>
              <w:t>年</w:t>
            </w:r>
            <w:r>
              <w:rPr>
                <w:rFonts w:ascii="宋体" w:hAnsi="宋体" w:cs="宋体" w:eastAsia="宋体" w:hint="default"/>
                <w:spacing w:val="-63"/>
                <w:w w:val="95"/>
                <w:sz w:val="18"/>
                <w:szCs w:val="18"/>
              </w:rPr>
              <w:t> </w:t>
            </w:r>
            <w:r>
              <w:rPr>
                <w:rFonts w:ascii="Times New Roman" w:hAnsi="Times New Roman" w:cs="Times New Roman" w:eastAsia="Times New Roman" w:hint="default"/>
                <w:spacing w:val="-3"/>
                <w:w w:val="95"/>
                <w:sz w:val="18"/>
                <w:szCs w:val="18"/>
              </w:rPr>
              <w:t>09</w:t>
            </w:r>
            <w:r>
              <w:rPr>
                <w:rFonts w:ascii="Times New Roman" w:hAnsi="Times New Roman" w:cs="Times New Roman" w:eastAsia="Times New Roman" w:hint="default"/>
                <w:sz w:val="18"/>
                <w:szCs w:val="18"/>
              </w:rPr>
            </w:r>
          </w:p>
          <w:p>
            <w:pPr>
              <w:pStyle w:val="TableParagraph"/>
              <w:spacing w:line="241" w:lineRule="exact"/>
              <w:ind w:left="13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57" w:right="0" w:hanging="22"/>
              <w:jc w:val="both"/>
              <w:rPr>
                <w:rFonts w:ascii="宋体" w:hAnsi="宋体" w:cs="宋体" w:eastAsia="宋体"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项目建</w:t>
            </w:r>
          </w:p>
          <w:p>
            <w:pPr>
              <w:pStyle w:val="TableParagraph"/>
              <w:spacing w:line="237" w:lineRule="auto"/>
              <w:ind w:left="57" w:right="64"/>
              <w:jc w:val="both"/>
              <w:rPr>
                <w:rFonts w:ascii="宋体" w:hAnsi="宋体" w:cs="宋体" w:eastAsia="宋体" w:hint="default"/>
                <w:sz w:val="18"/>
                <w:szCs w:val="18"/>
              </w:rPr>
            </w:pPr>
            <w:r>
              <w:rPr>
                <w:rFonts w:ascii="宋体" w:hAnsi="宋体" w:cs="宋体" w:eastAsia="宋体" w:hint="default"/>
                <w:sz w:val="18"/>
                <w:szCs w:val="18"/>
              </w:rPr>
              <w:t>设初期， 尚未形成 效益。</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归还银行贷款</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（如有）</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79" w:right="0"/>
              <w:jc w:val="left"/>
              <w:rPr>
                <w:rFonts w:ascii="Times New Roman" w:hAnsi="Times New Roman" w:cs="Times New Roman" w:eastAsia="Times New Roman" w:hint="default"/>
                <w:sz w:val="18"/>
                <w:szCs w:val="18"/>
              </w:rPr>
            </w:pPr>
            <w:r>
              <w:rPr>
                <w:rFonts w:ascii="Times New Roman"/>
                <w:sz w:val="18"/>
              </w:rPr>
              <w:t>3,000.00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5"/>
                <w:sz w:val="18"/>
              </w:rPr>
              <w:t>3,000.00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
              <w:jc w:val="center"/>
              <w:rPr>
                <w:rFonts w:ascii="Times New Roman" w:hAnsi="Times New Roman" w:cs="Times New Roman" w:eastAsia="Times New Roman" w:hint="default"/>
                <w:sz w:val="18"/>
                <w:szCs w:val="18"/>
              </w:rPr>
            </w:pPr>
            <w:r>
              <w:rPr>
                <w:rFonts w:ascii="Times New Roman"/>
                <w:sz w:val="18"/>
              </w:rPr>
              <w:t>3,000.00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3,000.00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100.00%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补充流动资金</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（如有）</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9" w:right="0"/>
              <w:jc w:val="left"/>
              <w:rPr>
                <w:rFonts w:ascii="Times New Roman" w:hAnsi="Times New Roman" w:cs="Times New Roman" w:eastAsia="Times New Roman" w:hint="default"/>
                <w:sz w:val="18"/>
                <w:szCs w:val="18"/>
              </w:rPr>
            </w:pPr>
            <w:r>
              <w:rPr>
                <w:rFonts w:ascii="Times New Roman"/>
                <w:sz w:val="18"/>
              </w:rPr>
              <w:t>4,757.90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5"/>
                <w:sz w:val="18"/>
              </w:rPr>
              <w:t>4,757.90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
              <w:jc w:val="center"/>
              <w:rPr>
                <w:rFonts w:ascii="Times New Roman" w:hAnsi="Times New Roman" w:cs="Times New Roman" w:eastAsia="Times New Roman" w:hint="default"/>
                <w:sz w:val="18"/>
                <w:szCs w:val="18"/>
              </w:rPr>
            </w:pPr>
            <w:r>
              <w:rPr>
                <w:rFonts w:ascii="Times New Roman"/>
                <w:sz w:val="18"/>
              </w:rPr>
              <w:t>4,757.90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4,757.90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sz w:val="18"/>
              </w:rPr>
              <w:t>100.00%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5"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5" w:right="0"/>
              <w:jc w:val="left"/>
              <w:rPr>
                <w:rFonts w:ascii="Times New Roman" w:hAnsi="Times New Roman" w:cs="Times New Roman" w:eastAsia="Times New Roman" w:hint="default"/>
                <w:sz w:val="18"/>
                <w:szCs w:val="18"/>
              </w:rPr>
            </w:pPr>
            <w:r>
              <w:rPr>
                <w:rFonts w:ascii="Times New Roman"/>
                <w:sz w:val="18"/>
              </w:rPr>
              <w:t>12,848.90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60"/>
              <w:jc w:val="right"/>
              <w:rPr>
                <w:rFonts w:ascii="Times New Roman" w:hAnsi="Times New Roman" w:cs="Times New Roman" w:eastAsia="Times New Roman" w:hint="default"/>
                <w:sz w:val="18"/>
                <w:szCs w:val="18"/>
              </w:rPr>
            </w:pPr>
            <w:r>
              <w:rPr>
                <w:rFonts w:ascii="Times New Roman"/>
                <w:spacing w:val="-1"/>
                <w:sz w:val="18"/>
              </w:rPr>
              <w:t>12,848.90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
              <w:jc w:val="center"/>
              <w:rPr>
                <w:rFonts w:ascii="Times New Roman" w:hAnsi="Times New Roman" w:cs="Times New Roman" w:eastAsia="Times New Roman" w:hint="default"/>
                <w:sz w:val="18"/>
                <w:szCs w:val="18"/>
              </w:rPr>
            </w:pPr>
            <w:r>
              <w:rPr>
                <w:rFonts w:ascii="Times New Roman"/>
                <w:sz w:val="18"/>
              </w:rPr>
              <w:t>8,562.95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8,562.95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5" w:right="0"/>
              <w:jc w:val="left"/>
              <w:rPr>
                <w:rFonts w:ascii="Times New Roman" w:hAnsi="Times New Roman" w:cs="Times New Roman" w:eastAsia="Times New Roman" w:hint="default"/>
                <w:sz w:val="18"/>
                <w:szCs w:val="18"/>
              </w:rPr>
            </w:pPr>
            <w:r>
              <w:rPr>
                <w:rFonts w:ascii="Times New Roman"/>
                <w:sz w:val="18"/>
              </w:rPr>
              <w:t>26,675.90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0"/>
              <w:jc w:val="right"/>
              <w:rPr>
                <w:rFonts w:ascii="Times New Roman" w:hAnsi="Times New Roman" w:cs="Times New Roman" w:eastAsia="Times New Roman" w:hint="default"/>
                <w:sz w:val="18"/>
                <w:szCs w:val="18"/>
              </w:rPr>
            </w:pPr>
            <w:r>
              <w:rPr>
                <w:rFonts w:ascii="Times New Roman"/>
                <w:spacing w:val="-1"/>
                <w:sz w:val="18"/>
              </w:rPr>
              <w:t>26,675.90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center"/>
              <w:rPr>
                <w:rFonts w:ascii="Times New Roman" w:hAnsi="Times New Roman" w:cs="Times New Roman" w:eastAsia="Times New Roman" w:hint="default"/>
                <w:sz w:val="18"/>
                <w:szCs w:val="18"/>
              </w:rPr>
            </w:pPr>
            <w:r>
              <w:rPr>
                <w:rFonts w:ascii="Times New Roman"/>
                <w:sz w:val="18"/>
              </w:rPr>
              <w:t>13,601.20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Times New Roman" w:hAnsi="Times New Roman" w:cs="Times New Roman" w:eastAsia="Times New Roman" w:hint="default"/>
                <w:sz w:val="18"/>
                <w:szCs w:val="18"/>
              </w:rPr>
            </w:pPr>
            <w:r>
              <w:rPr>
                <w:rFonts w:ascii="Times New Roman"/>
                <w:sz w:val="18"/>
              </w:rPr>
              <w:t>16,791.09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未达到计划进</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度或预计收益</w:t>
            </w:r>
          </w:p>
        </w:tc>
        <w:tc>
          <w:tcPr>
            <w:tcW w:w="862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、项目实施的过程中，在保证项目质量的前提下，本公司本着厉行节约的原则，较好地控制了工程建设和设</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备采购的成本；通过加强工程费用的控制、监督和管理，减少了工程总开支。</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、公司募集资金项目基建工程</w:t>
            </w:r>
          </w:p>
        </w:tc>
      </w:tr>
    </w:tbl>
    <w:p>
      <w:pPr>
        <w:spacing w:after="0" w:line="241" w:lineRule="exact"/>
        <w:jc w:val="left"/>
        <w:rPr>
          <w:rFonts w:ascii="宋体" w:hAnsi="宋体" w:cs="宋体" w:eastAsia="宋体" w:hint="default"/>
          <w:sz w:val="18"/>
          <w:szCs w:val="18"/>
        </w:rPr>
        <w:sectPr>
          <w:type w:val="continuous"/>
          <w:pgSz w:w="11910" w:h="16840"/>
          <w:pgMar w:top="1240" w:bottom="1240" w:left="900" w:right="900"/>
        </w:sectPr>
      </w:pPr>
    </w:p>
    <w:p>
      <w:pPr>
        <w:spacing w:line="240" w:lineRule="auto" w:before="11"/>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1244"/>
        <w:gridCol w:w="8625"/>
      </w:tblGrid>
      <w:tr>
        <w:trPr>
          <w:trHeight w:val="485" w:hRule="exact"/>
        </w:trPr>
        <w:tc>
          <w:tcPr>
            <w:tcW w:w="1244"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的情况和原因</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625" w:type="dxa"/>
            <w:tcBorders>
              <w:top w:val="single" w:sz="10"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调试周期较长，于本年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月底达到预定可使用状态，超出了预期，由此导致相关设备购置款较计划时间滞后和</w:t>
            </w:r>
          </w:p>
          <w:p>
            <w:pPr>
              <w:pStyle w:val="TableParagraph"/>
              <w:spacing w:line="229" w:lineRule="exact"/>
              <w:ind w:left="-140" w:right="0"/>
              <w:jc w:val="left"/>
              <w:rPr>
                <w:rFonts w:ascii="宋体" w:hAnsi="宋体" w:cs="宋体" w:eastAsia="宋体" w:hint="default"/>
                <w:sz w:val="18"/>
                <w:szCs w:val="18"/>
              </w:rPr>
            </w:pPr>
            <w:r>
              <w:rPr>
                <w:rFonts w:ascii="宋体" w:hAnsi="宋体" w:cs="宋体" w:eastAsia="宋体" w:hint="default"/>
                <w:sz w:val="18"/>
                <w:szCs w:val="18"/>
              </w:rPr>
              <w:t>）相关流动资产投资尚未进行。</w:t>
            </w:r>
          </w:p>
        </w:tc>
      </w:tr>
      <w:tr>
        <w:trPr>
          <w:trHeight w:val="711"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项目可行性发</w:t>
            </w:r>
          </w:p>
          <w:p>
            <w:pPr>
              <w:pStyle w:val="TableParagraph"/>
              <w:spacing w:line="240" w:lineRule="auto"/>
              <w:ind w:left="257" w:right="75" w:hanging="181"/>
              <w:jc w:val="left"/>
              <w:rPr>
                <w:rFonts w:ascii="宋体" w:hAnsi="宋体" w:cs="宋体" w:eastAsia="宋体" w:hint="default"/>
                <w:sz w:val="18"/>
                <w:szCs w:val="18"/>
              </w:rPr>
            </w:pPr>
            <w:r>
              <w:rPr>
                <w:rFonts w:ascii="宋体" w:hAnsi="宋体" w:cs="宋体" w:eastAsia="宋体" w:hint="default"/>
                <w:sz w:val="18"/>
                <w:szCs w:val="18"/>
              </w:rPr>
              <w:t>生重大变化的 情况说明</w:t>
            </w:r>
          </w:p>
        </w:tc>
        <w:tc>
          <w:tcPr>
            <w:tcW w:w="8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242" w:hRule="exact"/>
        </w:trPr>
        <w:tc>
          <w:tcPr>
            <w:tcW w:w="124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37" w:lineRule="auto"/>
              <w:ind w:left="24" w:right="21" w:hanging="3"/>
              <w:jc w:val="center"/>
              <w:rPr>
                <w:rFonts w:ascii="宋体" w:hAnsi="宋体" w:cs="宋体" w:eastAsia="宋体" w:hint="default"/>
                <w:sz w:val="18"/>
                <w:szCs w:val="18"/>
              </w:rPr>
            </w:pPr>
            <w:r>
              <w:rPr>
                <w:rFonts w:ascii="宋体" w:hAnsi="宋体" w:cs="宋体" w:eastAsia="宋体" w:hint="default"/>
                <w:sz w:val="18"/>
                <w:szCs w:val="18"/>
              </w:rPr>
              <w:t>超募资金的金 </w:t>
            </w:r>
            <w:r>
              <w:rPr>
                <w:rFonts w:ascii="宋体" w:hAnsi="宋体" w:cs="宋体" w:eastAsia="宋体" w:hint="default"/>
                <w:spacing w:val="-11"/>
                <w:sz w:val="18"/>
                <w:szCs w:val="18"/>
              </w:rPr>
              <w:t>额、用途及使用</w:t>
            </w:r>
            <w:r>
              <w:rPr>
                <w:rFonts w:ascii="宋体" w:hAnsi="宋体" w:cs="宋体" w:eastAsia="宋体" w:hint="default"/>
                <w:sz w:val="18"/>
                <w:szCs w:val="18"/>
              </w:rPr>
              <w:t> 进展情况</w:t>
            </w:r>
          </w:p>
        </w:tc>
        <w:tc>
          <w:tcPr>
            <w:tcW w:w="8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3512" w:hRule="exact"/>
        </w:trPr>
        <w:tc>
          <w:tcPr>
            <w:tcW w:w="1244" w:type="dxa"/>
            <w:vMerge/>
            <w:tcBorders>
              <w:left w:val="single" w:sz="4" w:space="0" w:color="000000"/>
              <w:bottom w:val="single" w:sz="4" w:space="0" w:color="000000"/>
              <w:right w:val="single" w:sz="4" w:space="0" w:color="000000"/>
            </w:tcBorders>
            <w:shd w:val="clear" w:color="auto" w:fill="DCDCDC"/>
          </w:tcPr>
          <w:p>
            <w:pPr/>
          </w:p>
        </w:tc>
        <w:tc>
          <w:tcPr>
            <w:tcW w:w="862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3" w:right="0"/>
              <w:jc w:val="left"/>
              <w:rPr>
                <w:rFonts w:ascii="宋体" w:hAnsi="宋体" w:cs="宋体" w:eastAsia="宋体" w:hint="default"/>
                <w:sz w:val="18"/>
                <w:szCs w:val="18"/>
              </w:rPr>
            </w:pPr>
            <w:r>
              <w:rPr>
                <w:rFonts w:ascii="宋体" w:hAnsi="宋体" w:cs="宋体" w:eastAsia="宋体" w:hint="default"/>
                <w:sz w:val="18"/>
                <w:szCs w:val="18"/>
              </w:rPr>
              <w:t>公司首次公开发行股票募集资金总额为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387,500,000.00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元，募集资金净额为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370,035,940.00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元。根据公司</w:t>
            </w:r>
          </w:p>
          <w:p>
            <w:pPr>
              <w:pStyle w:val="TableParagraph"/>
              <w:spacing w:line="234" w:lineRule="exact"/>
              <w:ind w:left="23" w:right="0"/>
              <w:jc w:val="both"/>
              <w:rPr>
                <w:rFonts w:ascii="宋体" w:hAnsi="宋体" w:cs="宋体" w:eastAsia="宋体" w:hint="default"/>
                <w:sz w:val="18"/>
                <w:szCs w:val="18"/>
              </w:rPr>
            </w:pPr>
            <w:r>
              <w:rPr>
                <w:rFonts w:ascii="宋体" w:hAnsi="宋体" w:cs="宋体" w:eastAsia="宋体" w:hint="default"/>
                <w:sz w:val="18"/>
                <w:szCs w:val="18"/>
              </w:rPr>
              <w:t>《招股说明书》中披露的募集资金用途，本公司原计划募集资金为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138,270,000.00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元，本次超募资金金额为</w:t>
            </w:r>
          </w:p>
          <w:p>
            <w:pPr>
              <w:pStyle w:val="TableParagraph"/>
              <w:spacing w:line="233"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231,765,940.00 </w:t>
            </w:r>
            <w:r>
              <w:rPr>
                <w:rFonts w:ascii="宋体" w:hAnsi="宋体" w:cs="宋体" w:eastAsia="宋体" w:hint="default"/>
                <w:sz w:val="18"/>
                <w:szCs w:val="18"/>
              </w:rPr>
              <w:t>元。</w:t>
            </w:r>
          </w:p>
          <w:p>
            <w:pPr>
              <w:pStyle w:val="TableParagraph"/>
              <w:spacing w:line="234" w:lineRule="exact"/>
              <w:ind w:left="383" w:right="-5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第</w:t>
            </w:r>
            <w:r>
              <w:rPr>
                <w:rFonts w:ascii="宋体" w:hAnsi="宋体" w:cs="宋体" w:eastAsia="宋体" w:hint="default"/>
                <w:sz w:val="18"/>
                <w:szCs w:val="18"/>
              </w:rPr>
              <w:t>三届董事会第六次会议审议通过《关于用超募资金归还银行贷款的议案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23" w:right="0"/>
              <w:jc w:val="both"/>
              <w:rPr>
                <w:rFonts w:ascii="宋体" w:hAnsi="宋体" w:cs="宋体" w:eastAsia="宋体" w:hint="default"/>
                <w:sz w:val="18"/>
                <w:szCs w:val="18"/>
              </w:rPr>
            </w:pPr>
            <w:r>
              <w:rPr>
                <w:rFonts w:ascii="宋体" w:hAnsi="宋体" w:cs="宋体" w:eastAsia="宋体" w:hint="default"/>
                <w:sz w:val="18"/>
                <w:szCs w:val="18"/>
              </w:rPr>
              <w:t>公司将超募资金中的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万元用于提前归还银行贷款。公司董事会已于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日对上述事项进行了</w:t>
            </w:r>
          </w:p>
          <w:p>
            <w:pPr>
              <w:pStyle w:val="TableParagraph"/>
              <w:spacing w:line="233" w:lineRule="exact"/>
              <w:ind w:left="23" w:right="0"/>
              <w:jc w:val="both"/>
              <w:rPr>
                <w:rFonts w:ascii="宋体" w:hAnsi="宋体" w:cs="宋体" w:eastAsia="宋体" w:hint="default"/>
                <w:sz w:val="18"/>
                <w:szCs w:val="18"/>
              </w:rPr>
            </w:pPr>
            <w:r>
              <w:rPr>
                <w:rFonts w:ascii="宋体" w:hAnsi="宋体" w:cs="宋体" w:eastAsia="宋体" w:hint="default"/>
                <w:spacing w:val="-8"/>
                <w:sz w:val="18"/>
                <w:szCs w:val="18"/>
              </w:rPr>
              <w:t>公告，并于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日公司向民生银行郑州分行提前归还贷款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日公司向招商</w:t>
            </w:r>
          </w:p>
          <w:p>
            <w:pPr>
              <w:pStyle w:val="TableParagraph"/>
              <w:spacing w:line="233" w:lineRule="exact"/>
              <w:ind w:left="23" w:right="0"/>
              <w:jc w:val="both"/>
              <w:rPr>
                <w:rFonts w:ascii="宋体" w:hAnsi="宋体" w:cs="宋体" w:eastAsia="宋体" w:hint="default"/>
                <w:sz w:val="18"/>
                <w:szCs w:val="18"/>
              </w:rPr>
            </w:pPr>
            <w:r>
              <w:rPr>
                <w:rFonts w:ascii="宋体" w:hAnsi="宋体" w:cs="宋体" w:eastAsia="宋体" w:hint="default"/>
                <w:sz w:val="18"/>
                <w:szCs w:val="18"/>
              </w:rPr>
              <w:t>银行郑州分行提前归还贷款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34"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日召开第三届董事会第八次会议审议通过《关于使用部分超募资金补充流动资</w:t>
            </w:r>
          </w:p>
          <w:p>
            <w:pPr>
              <w:pStyle w:val="TableParagraph"/>
              <w:spacing w:line="234" w:lineRule="exact"/>
              <w:ind w:left="23" w:right="0"/>
              <w:jc w:val="both"/>
              <w:rPr>
                <w:rFonts w:ascii="宋体" w:hAnsi="宋体" w:cs="宋体" w:eastAsia="宋体" w:hint="default"/>
                <w:sz w:val="18"/>
                <w:szCs w:val="18"/>
              </w:rPr>
            </w:pPr>
            <w:r>
              <w:rPr>
                <w:rFonts w:ascii="宋体" w:hAnsi="宋体" w:cs="宋体" w:eastAsia="宋体" w:hint="default"/>
                <w:sz w:val="18"/>
                <w:szCs w:val="18"/>
              </w:rPr>
              <w:t>金的议案</w:t>
            </w:r>
            <w:r>
              <w:rPr>
                <w:rFonts w:ascii="宋体" w:hAnsi="宋体" w:cs="宋体" w:eastAsia="宋体" w:hint="default"/>
                <w:spacing w:val="-92"/>
                <w:sz w:val="18"/>
                <w:szCs w:val="18"/>
              </w:rPr>
              <w:t>》</w:t>
            </w:r>
            <w:r>
              <w:rPr>
                <w:rFonts w:ascii="宋体" w:hAnsi="宋体" w:cs="宋体" w:eastAsia="宋体" w:hint="default"/>
                <w:sz w:val="18"/>
                <w:szCs w:val="18"/>
              </w:rPr>
              <w:t>，将首次公开发行</w:t>
            </w:r>
            <w:r>
              <w:rPr>
                <w:rFonts w:ascii="宋体" w:hAnsi="宋体" w:cs="宋体" w:eastAsia="宋体" w:hint="default"/>
                <w:spacing w:val="2"/>
                <w:sz w:val="18"/>
                <w:szCs w:val="18"/>
              </w:rPr>
              <w:t>部</w:t>
            </w:r>
            <w:r>
              <w:rPr>
                <w:rFonts w:ascii="宋体" w:hAnsi="宋体" w:cs="宋体" w:eastAsia="宋体" w:hint="default"/>
                <w:sz w:val="18"/>
                <w:szCs w:val="18"/>
              </w:rPr>
              <w:t>分超募资金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w:t>
            </w:r>
            <w:r>
              <w:rPr>
                <w:rFonts w:ascii="宋体" w:hAnsi="宋体" w:cs="宋体" w:eastAsia="宋体" w:hint="default"/>
                <w:spacing w:val="-3"/>
                <w:sz w:val="18"/>
                <w:szCs w:val="18"/>
              </w:rPr>
              <w:t>补</w:t>
            </w:r>
            <w:r>
              <w:rPr>
                <w:rFonts w:ascii="宋体" w:hAnsi="宋体" w:cs="宋体" w:eastAsia="宋体" w:hint="default"/>
                <w:sz w:val="18"/>
                <w:szCs w:val="18"/>
              </w:rPr>
              <w:t>充公司流动资金。公司董事会已于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33"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日对上述事项进行了公告，并于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日办理了资金划转手续。</w:t>
            </w:r>
          </w:p>
          <w:p>
            <w:pPr>
              <w:pStyle w:val="TableParagraph"/>
              <w:spacing w:line="233" w:lineRule="exact"/>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日召开第三届董事会第八次会议审议通过《关于使用部分超募资金投资“铁路</w:t>
            </w:r>
          </w:p>
          <w:p>
            <w:pPr>
              <w:pStyle w:val="TableParagraph"/>
              <w:spacing w:line="234" w:lineRule="exact"/>
              <w:ind w:left="23" w:right="0"/>
              <w:jc w:val="both"/>
              <w:rPr>
                <w:rFonts w:ascii="宋体" w:hAnsi="宋体" w:cs="宋体" w:eastAsia="宋体" w:hint="default"/>
                <w:sz w:val="18"/>
                <w:szCs w:val="18"/>
              </w:rPr>
            </w:pPr>
            <w:r>
              <w:rPr>
                <w:rFonts w:ascii="宋体" w:hAnsi="宋体" w:cs="宋体" w:eastAsia="宋体" w:hint="default"/>
                <w:sz w:val="18"/>
                <w:szCs w:val="18"/>
              </w:rPr>
              <w:t>防灾安全监控系统”项目的议案</w:t>
            </w:r>
            <w:r>
              <w:rPr>
                <w:rFonts w:ascii="宋体" w:hAnsi="宋体" w:cs="宋体" w:eastAsia="宋体" w:hint="default"/>
                <w:spacing w:val="-92"/>
                <w:sz w:val="18"/>
                <w:szCs w:val="18"/>
              </w:rPr>
              <w:t>》</w:t>
            </w:r>
            <w:r>
              <w:rPr>
                <w:rFonts w:ascii="宋体" w:hAnsi="宋体" w:cs="宋体" w:eastAsia="宋体" w:hint="default"/>
                <w:sz w:val="18"/>
                <w:szCs w:val="18"/>
              </w:rPr>
              <w:t>，将首次公开发行部分超</w:t>
            </w:r>
            <w:r>
              <w:rPr>
                <w:rFonts w:ascii="宋体" w:hAnsi="宋体" w:cs="宋体" w:eastAsia="宋体" w:hint="default"/>
                <w:spacing w:val="2"/>
                <w:sz w:val="18"/>
                <w:szCs w:val="18"/>
              </w:rPr>
              <w:t>募</w:t>
            </w:r>
            <w:r>
              <w:rPr>
                <w:rFonts w:ascii="宋体" w:hAnsi="宋体" w:cs="宋体" w:eastAsia="宋体" w:hint="default"/>
                <w:sz w:val="18"/>
                <w:szCs w:val="18"/>
              </w:rPr>
              <w:t>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09</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万元用于铁路防</w:t>
            </w:r>
            <w:r>
              <w:rPr>
                <w:rFonts w:ascii="宋体" w:hAnsi="宋体" w:cs="宋体" w:eastAsia="宋体" w:hint="default"/>
                <w:spacing w:val="-3"/>
                <w:sz w:val="18"/>
                <w:szCs w:val="18"/>
              </w:rPr>
              <w:t>灾</w:t>
            </w:r>
            <w:r>
              <w:rPr>
                <w:rFonts w:ascii="宋体" w:hAnsi="宋体" w:cs="宋体" w:eastAsia="宋体" w:hint="default"/>
                <w:sz w:val="18"/>
                <w:szCs w:val="18"/>
              </w:rPr>
              <w:t>安全监控系统项目</w:t>
            </w:r>
          </w:p>
          <w:p>
            <w:pPr>
              <w:pStyle w:val="TableParagraph"/>
              <w:spacing w:line="232" w:lineRule="exact" w:before="18"/>
              <w:ind w:left="23" w:right="36"/>
              <w:jc w:val="both"/>
              <w:rPr>
                <w:rFonts w:ascii="宋体" w:hAnsi="宋体" w:cs="宋体" w:eastAsia="宋体" w:hint="default"/>
                <w:sz w:val="18"/>
                <w:szCs w:val="18"/>
              </w:rPr>
            </w:pPr>
            <w:r>
              <w:rPr>
                <w:rFonts w:ascii="宋体" w:hAnsi="宋体" w:cs="宋体" w:eastAsia="宋体" w:hint="default"/>
                <w:sz w:val="18"/>
                <w:szCs w:val="18"/>
              </w:rPr>
              <w:t>建设。公司于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日进行了公告，于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日将该笔资金划入募集资金专项账户，并与 </w:t>
            </w:r>
            <w:r>
              <w:rPr>
                <w:rFonts w:ascii="宋体" w:hAnsi="宋体" w:cs="宋体" w:eastAsia="宋体" w:hint="default"/>
                <w:spacing w:val="-2"/>
                <w:sz w:val="18"/>
                <w:szCs w:val="18"/>
              </w:rPr>
              <w:t>中德证券有限责任公司、中信银行股份有限公司郑州分行分别签署了《募集资金三方监管协议》。截至报告期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末，该项目共投资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805.05 </w:t>
            </w:r>
            <w:r>
              <w:rPr>
                <w:rFonts w:ascii="宋体" w:hAnsi="宋体" w:cs="宋体" w:eastAsia="宋体" w:hint="default"/>
                <w:sz w:val="18"/>
                <w:szCs w:val="18"/>
              </w:rPr>
              <w:t>万元。</w:t>
            </w: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募集资金投资</w:t>
            </w:r>
          </w:p>
          <w:p>
            <w:pPr>
              <w:pStyle w:val="TableParagraph"/>
              <w:spacing w:line="232" w:lineRule="exact" w:before="23"/>
              <w:ind w:left="257" w:right="75" w:hanging="181"/>
              <w:jc w:val="left"/>
              <w:rPr>
                <w:rFonts w:ascii="宋体" w:hAnsi="宋体" w:cs="宋体" w:eastAsia="宋体" w:hint="default"/>
                <w:sz w:val="18"/>
                <w:szCs w:val="18"/>
              </w:rPr>
            </w:pPr>
            <w:r>
              <w:rPr>
                <w:rFonts w:ascii="宋体" w:hAnsi="宋体" w:cs="宋体" w:eastAsia="宋体" w:hint="default"/>
                <w:sz w:val="18"/>
                <w:szCs w:val="18"/>
              </w:rPr>
              <w:t>项目实施地点 变更情况</w:t>
            </w:r>
          </w:p>
        </w:tc>
        <w:tc>
          <w:tcPr>
            <w:tcW w:w="8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募集资金投资</w:t>
            </w:r>
          </w:p>
          <w:p>
            <w:pPr>
              <w:pStyle w:val="TableParagraph"/>
              <w:spacing w:line="232" w:lineRule="exact" w:before="23"/>
              <w:ind w:left="257" w:right="75" w:hanging="181"/>
              <w:jc w:val="left"/>
              <w:rPr>
                <w:rFonts w:ascii="宋体" w:hAnsi="宋体" w:cs="宋体" w:eastAsia="宋体" w:hint="default"/>
                <w:sz w:val="18"/>
                <w:szCs w:val="18"/>
              </w:rPr>
            </w:pPr>
            <w:r>
              <w:rPr>
                <w:rFonts w:ascii="宋体" w:hAnsi="宋体" w:cs="宋体" w:eastAsia="宋体" w:hint="default"/>
                <w:sz w:val="18"/>
                <w:szCs w:val="18"/>
              </w:rPr>
              <w:t>项目实施方式 调整情况</w:t>
            </w:r>
          </w:p>
        </w:tc>
        <w:tc>
          <w:tcPr>
            <w:tcW w:w="8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245" w:hRule="exact"/>
        </w:trPr>
        <w:tc>
          <w:tcPr>
            <w:tcW w:w="124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76" w:right="75"/>
              <w:jc w:val="both"/>
              <w:rPr>
                <w:rFonts w:ascii="宋体" w:hAnsi="宋体" w:cs="宋体" w:eastAsia="宋体" w:hint="default"/>
                <w:sz w:val="18"/>
                <w:szCs w:val="18"/>
              </w:rPr>
            </w:pPr>
            <w:r>
              <w:rPr>
                <w:rFonts w:ascii="宋体" w:hAnsi="宋体" w:cs="宋体" w:eastAsia="宋体" w:hint="default"/>
                <w:sz w:val="18"/>
                <w:szCs w:val="18"/>
              </w:rPr>
              <w:t>募集资金投资 项目先期投入 及置换情况</w:t>
            </w:r>
          </w:p>
        </w:tc>
        <w:tc>
          <w:tcPr>
            <w:tcW w:w="86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1877" w:hRule="exact"/>
        </w:trPr>
        <w:tc>
          <w:tcPr>
            <w:tcW w:w="1244" w:type="dxa"/>
            <w:vMerge/>
            <w:tcBorders>
              <w:left w:val="single" w:sz="4" w:space="0" w:color="000000"/>
              <w:bottom w:val="single" w:sz="4" w:space="0" w:color="000000"/>
              <w:right w:val="single" w:sz="4" w:space="0" w:color="000000"/>
            </w:tcBorders>
            <w:shd w:val="clear" w:color="auto" w:fill="DCDCDC"/>
          </w:tcPr>
          <w:p>
            <w:pPr/>
          </w:p>
        </w:tc>
        <w:tc>
          <w:tcPr>
            <w:tcW w:w="862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、公司首次公开发行股票募集资金到位前募集资金投资项目先期投入的资金为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25,083,223.87 </w:t>
            </w:r>
            <w:r>
              <w:rPr>
                <w:rFonts w:ascii="宋体" w:hAnsi="宋体" w:cs="宋体" w:eastAsia="宋体" w:hint="default"/>
                <w:sz w:val="18"/>
                <w:szCs w:val="18"/>
              </w:rPr>
              <w:t>元，其中：</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铁路信号微机监测系统的产业化项目先期投入的资金为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4,609,429.26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元，铁路无线调车机车信号和监控系统项</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目先期投入的资金为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8,118,465.99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元，新产品技术研发中心项目先期投入的资金为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12,355,328.62</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元。上述投入</w:t>
            </w:r>
          </w:p>
          <w:p>
            <w:pPr>
              <w:pStyle w:val="TableParagraph"/>
              <w:spacing w:line="232" w:lineRule="exact" w:before="16"/>
              <w:ind w:left="23" w:right="35"/>
              <w:jc w:val="left"/>
              <w:rPr>
                <w:rFonts w:ascii="宋体" w:hAnsi="宋体" w:cs="宋体" w:eastAsia="宋体" w:hint="default"/>
                <w:sz w:val="18"/>
                <w:szCs w:val="18"/>
              </w:rPr>
            </w:pPr>
            <w:r>
              <w:rPr>
                <w:rFonts w:ascii="宋体" w:hAnsi="宋体" w:cs="宋体" w:eastAsia="宋体" w:hint="default"/>
                <w:sz w:val="18"/>
                <w:szCs w:val="18"/>
              </w:rPr>
              <w:t>资金情况业经天健正信会计师事务所鉴证，并由该所出具天健正信审（</w:t>
            </w:r>
            <w:r>
              <w:rPr>
                <w:rFonts w:ascii="Times New Roman" w:hAnsi="Times New Roman" w:cs="Times New Roman" w:eastAsia="Times New Roman" w:hint="default"/>
                <w:sz w:val="18"/>
                <w:szCs w:val="18"/>
              </w:rPr>
              <w:t>2010</w:t>
            </w:r>
            <w:r>
              <w:rPr>
                <w:rFonts w:ascii="宋体" w:hAnsi="宋体" w:cs="宋体" w:eastAsia="宋体" w:hint="default"/>
                <w:sz w:val="18"/>
                <w:szCs w:val="18"/>
              </w:rPr>
              <w:t>）专字第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号《关于河南辉 </w:t>
            </w:r>
            <w:r>
              <w:rPr>
                <w:rFonts w:ascii="宋体" w:hAnsi="宋体" w:cs="宋体" w:eastAsia="宋体" w:hint="default"/>
                <w:spacing w:val="-4"/>
                <w:sz w:val="18"/>
                <w:szCs w:val="18"/>
              </w:rPr>
              <w:t>煌科技股份有限公司募集资金存放与实际使用情况的鉴证报告》。</w:t>
            </w:r>
          </w:p>
          <w:p>
            <w:pPr>
              <w:pStyle w:val="TableParagraph"/>
              <w:spacing w:line="219" w:lineRule="exact"/>
              <w:ind w:left="23"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日第三届董事会第六次会议审议通过的《关于用募集资金置换已预先投入募</w:t>
            </w:r>
          </w:p>
          <w:p>
            <w:pPr>
              <w:pStyle w:val="TableParagraph"/>
              <w:spacing w:line="232" w:lineRule="exact" w:before="18"/>
              <w:ind w:left="23" w:right="38"/>
              <w:jc w:val="left"/>
              <w:rPr>
                <w:rFonts w:ascii="宋体" w:hAnsi="宋体" w:cs="宋体" w:eastAsia="宋体" w:hint="default"/>
                <w:sz w:val="18"/>
                <w:szCs w:val="18"/>
              </w:rPr>
            </w:pPr>
            <w:r>
              <w:rPr>
                <w:rFonts w:ascii="宋体" w:hAnsi="宋体" w:cs="宋体" w:eastAsia="宋体" w:hint="default"/>
                <w:spacing w:val="-2"/>
                <w:sz w:val="18"/>
                <w:szCs w:val="18"/>
              </w:rPr>
              <w:t>集资金投资项目的自筹资金的议案》，公司用募集资金置换先期已投入募集资金项目的自筹资金。公司董事会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日对上述事项进行了公告，并于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日划转了上述募集资金。</w:t>
            </w: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用闲置募集资</w:t>
            </w:r>
          </w:p>
          <w:p>
            <w:pPr>
              <w:pStyle w:val="TableParagraph"/>
              <w:spacing w:line="232" w:lineRule="exact" w:before="24"/>
              <w:ind w:left="168" w:right="75" w:hanging="92"/>
              <w:jc w:val="left"/>
              <w:rPr>
                <w:rFonts w:ascii="宋体" w:hAnsi="宋体" w:cs="宋体" w:eastAsia="宋体" w:hint="default"/>
                <w:sz w:val="18"/>
                <w:szCs w:val="18"/>
              </w:rPr>
            </w:pPr>
            <w:r>
              <w:rPr>
                <w:rFonts w:ascii="宋体" w:hAnsi="宋体" w:cs="宋体" w:eastAsia="宋体" w:hint="default"/>
                <w:sz w:val="18"/>
                <w:szCs w:val="18"/>
              </w:rPr>
              <w:t>金暂时补充流 动资金情况</w:t>
            </w:r>
          </w:p>
        </w:tc>
        <w:tc>
          <w:tcPr>
            <w:tcW w:w="8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项目实施出现</w:t>
            </w:r>
          </w:p>
          <w:p>
            <w:pPr>
              <w:pStyle w:val="TableParagraph"/>
              <w:spacing w:line="240" w:lineRule="auto"/>
              <w:ind w:left="76" w:right="75"/>
              <w:jc w:val="left"/>
              <w:rPr>
                <w:rFonts w:ascii="宋体" w:hAnsi="宋体" w:cs="宋体" w:eastAsia="宋体" w:hint="default"/>
                <w:sz w:val="18"/>
                <w:szCs w:val="18"/>
              </w:rPr>
            </w:pPr>
            <w:r>
              <w:rPr>
                <w:rFonts w:ascii="宋体" w:hAnsi="宋体" w:cs="宋体" w:eastAsia="宋体" w:hint="default"/>
                <w:sz w:val="18"/>
                <w:szCs w:val="18"/>
              </w:rPr>
              <w:t>募集资金结余 的金额及原因</w:t>
            </w:r>
          </w:p>
        </w:tc>
        <w:tc>
          <w:tcPr>
            <w:tcW w:w="8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尚未使用的募</w:t>
            </w:r>
          </w:p>
          <w:p>
            <w:pPr>
              <w:pStyle w:val="TableParagraph"/>
              <w:spacing w:line="240"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集资金用途及 去向</w:t>
            </w:r>
          </w:p>
        </w:tc>
        <w:tc>
          <w:tcPr>
            <w:tcW w:w="862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日将尚未使用的募集资金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107,708,913.43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元以存单方式在民生银行郑州分公司分别开</w:t>
            </w:r>
          </w:p>
          <w:p>
            <w:pPr>
              <w:pStyle w:val="TableParagraph"/>
              <w:spacing w:line="236" w:lineRule="exact" w:before="13"/>
              <w:ind w:left="23" w:right="20"/>
              <w:jc w:val="left"/>
              <w:rPr>
                <w:rFonts w:ascii="宋体" w:hAnsi="宋体" w:cs="宋体" w:eastAsia="宋体" w:hint="default"/>
                <w:sz w:val="18"/>
                <w:szCs w:val="18"/>
              </w:rPr>
            </w:pPr>
            <w:r>
              <w:rPr>
                <w:rFonts w:ascii="宋体" w:hAnsi="宋体" w:cs="宋体" w:eastAsia="宋体" w:hint="default"/>
                <w:sz w:val="18"/>
                <w:szCs w:val="18"/>
              </w:rPr>
              <w:t>设了金额为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万元，期限为六个月的定期存单两份；金额为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27,708,913.43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元，期限为三个月的定期存单一 份。</w:t>
            </w:r>
          </w:p>
        </w:tc>
      </w:tr>
      <w:tr>
        <w:trPr>
          <w:trHeight w:val="943" w:hRule="exact"/>
        </w:trPr>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募集资金使用</w:t>
            </w:r>
          </w:p>
          <w:p>
            <w:pPr>
              <w:pStyle w:val="TableParagraph"/>
              <w:spacing w:line="237" w:lineRule="auto"/>
              <w:ind w:left="76" w:right="74" w:hanging="1"/>
              <w:jc w:val="center"/>
              <w:rPr>
                <w:rFonts w:ascii="宋体" w:hAnsi="宋体" w:cs="宋体" w:eastAsia="宋体" w:hint="default"/>
                <w:sz w:val="18"/>
                <w:szCs w:val="18"/>
              </w:rPr>
            </w:pPr>
            <w:r>
              <w:rPr>
                <w:rFonts w:ascii="宋体" w:hAnsi="宋体" w:cs="宋体" w:eastAsia="宋体" w:hint="default"/>
                <w:sz w:val="18"/>
                <w:szCs w:val="18"/>
              </w:rPr>
              <w:t>及披露中存在 的问题或其他 情况</w:t>
            </w:r>
          </w:p>
        </w:tc>
        <w:tc>
          <w:tcPr>
            <w:tcW w:w="8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宋体" w:hAnsi="宋体" w:cs="宋体" w:eastAsia="宋体" w:hint="default"/>
          <w:sz w:val="4"/>
          <w:szCs w:val="4"/>
        </w:rPr>
      </w:pPr>
    </w:p>
    <w:p>
      <w:pPr>
        <w:pStyle w:val="Heading3"/>
        <w:spacing w:line="328" w:lineRule="auto" w:before="14"/>
        <w:ind w:left="898" w:right="746" w:firstLine="559"/>
        <w:jc w:val="left"/>
      </w:pPr>
      <w:r>
        <w:rPr>
          <w:spacing w:val="-1"/>
        </w:rPr>
        <w:t>（</w:t>
      </w:r>
      <w:r>
        <w:rPr>
          <w:rFonts w:ascii="宋体" w:hAnsi="宋体" w:cs="宋体" w:eastAsia="宋体" w:hint="default"/>
          <w:spacing w:val="-1"/>
        </w:rPr>
        <w:t>2</w:t>
      </w:r>
      <w:r>
        <w:rPr>
          <w:spacing w:val="-1"/>
        </w:rPr>
        <w:t>）本年度募集资金投资项目的实施地点、实施方式未发生变</w:t>
      </w:r>
      <w:r>
        <w:rPr>
          <w:w w:val="100"/>
        </w:rPr>
        <w:t> </w:t>
      </w:r>
      <w:r>
        <w:rPr/>
        <w:t>更。</w:t>
      </w:r>
    </w:p>
    <w:p>
      <w:pPr>
        <w:pStyle w:val="Heading3"/>
        <w:spacing w:line="326" w:lineRule="auto"/>
        <w:ind w:left="1457" w:right="746"/>
        <w:jc w:val="left"/>
      </w:pPr>
      <w:r>
        <w:rPr/>
        <w:t>（</w:t>
      </w:r>
      <w:r>
        <w:rPr>
          <w:rFonts w:ascii="宋体" w:hAnsi="宋体" w:cs="宋体" w:eastAsia="宋体" w:hint="default"/>
        </w:rPr>
        <w:t>3</w:t>
      </w:r>
      <w:r>
        <w:rPr/>
        <w:t>）募集资金投资项目先期投入及置换情况。</w:t>
      </w:r>
      <w:r>
        <w:rPr>
          <w:w w:val="100"/>
        </w:rPr>
        <w:t> </w:t>
      </w:r>
      <w:r>
        <w:rPr>
          <w:spacing w:val="-5"/>
        </w:rPr>
        <w:t>为保障募集资金投资项目顺利进行，公司以自筹资金预先投入募</w:t>
      </w:r>
    </w:p>
    <w:p>
      <w:pPr>
        <w:pStyle w:val="Heading3"/>
        <w:spacing w:line="240" w:lineRule="auto" w:before="34"/>
        <w:ind w:left="898" w:right="746"/>
        <w:jc w:val="left"/>
      </w:pPr>
      <w:r>
        <w:rPr>
          <w:spacing w:val="-4"/>
        </w:rPr>
        <w:t>集资金投资项目。天健正信会计师事务所有限公司对公司以自筹资金</w:t>
      </w:r>
    </w:p>
    <w:p>
      <w:pPr>
        <w:spacing w:after="0" w:line="240" w:lineRule="auto"/>
        <w:jc w:val="left"/>
        <w:sectPr>
          <w:headerReference w:type="default" r:id="rId29"/>
          <w:pgSz w:w="11910" w:h="16840"/>
          <w:pgMar w:header="624" w:footer="1045" w:top="980" w:bottom="1240" w:left="900" w:right="900"/>
        </w:sectPr>
      </w:pPr>
    </w:p>
    <w:p>
      <w:pPr>
        <w:spacing w:line="240" w:lineRule="auto" w:before="11"/>
        <w:rPr>
          <w:rFonts w:ascii="宋体" w:hAnsi="宋体" w:cs="宋体" w:eastAsia="宋体" w:hint="default"/>
          <w:sz w:val="18"/>
          <w:szCs w:val="18"/>
        </w:rPr>
      </w:pPr>
    </w:p>
    <w:p>
      <w:pPr>
        <w:spacing w:line="20" w:lineRule="exact"/>
        <w:ind w:left="22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68"/>
        <w:ind w:left="258" w:right="726"/>
        <w:jc w:val="left"/>
      </w:pPr>
      <w:r>
        <w:rPr/>
        <w:t>预先投入募集资金项目的事项进行了专项审核，并出具天健正信审</w:t>
      </w:r>
    </w:p>
    <w:p>
      <w:pPr>
        <w:pStyle w:val="Heading3"/>
        <w:spacing w:line="326" w:lineRule="auto" w:before="135"/>
        <w:ind w:left="258" w:right="726"/>
        <w:jc w:val="left"/>
      </w:pPr>
      <w:r>
        <w:rPr/>
        <w:t>（</w:t>
      </w:r>
      <w:r>
        <w:rPr>
          <w:rFonts w:ascii="宋体" w:hAnsi="宋体" w:cs="宋体" w:eastAsia="宋体" w:hint="default"/>
        </w:rPr>
        <w:t>2010</w:t>
      </w:r>
      <w:r>
        <w:rPr/>
        <w:t>）专字第</w:t>
      </w:r>
      <w:r>
        <w:rPr>
          <w:spacing w:val="-76"/>
        </w:rPr>
        <w:t> </w:t>
      </w:r>
      <w:r>
        <w:rPr>
          <w:rFonts w:ascii="宋体" w:hAnsi="宋体" w:cs="宋体" w:eastAsia="宋体" w:hint="default"/>
        </w:rPr>
        <w:t>220007</w:t>
      </w:r>
      <w:r>
        <w:rPr>
          <w:rFonts w:ascii="宋体" w:hAnsi="宋体" w:cs="宋体" w:eastAsia="宋体" w:hint="default"/>
          <w:spacing w:val="-72"/>
        </w:rPr>
        <w:t> </w:t>
      </w:r>
      <w:r>
        <w:rPr/>
        <w:t>号《募集资金存放与实际使用情况的鉴证报</w:t>
      </w:r>
      <w:r>
        <w:rPr>
          <w:w w:val="100"/>
        </w:rPr>
        <w:t> </w:t>
      </w:r>
      <w:r>
        <w:rPr>
          <w:spacing w:val="-13"/>
          <w:w w:val="100"/>
        </w:rPr>
        <w:t>告》。根据上述《募集资金存放与实际使用情况的鉴证报告》，公司首</w:t>
      </w:r>
      <w:r>
        <w:rPr>
          <w:spacing w:val="-139"/>
          <w:w w:val="100"/>
        </w:rPr>
        <w:t> </w:t>
      </w:r>
      <w:r>
        <w:rPr>
          <w:spacing w:val="-139"/>
          <w:w w:val="100"/>
        </w:rPr>
      </w:r>
      <w:r>
        <w:rPr/>
        <w:t>次公开发行股票募集资金到位前募集资金投资项目先期投入的资金</w:t>
      </w:r>
      <w:r>
        <w:rPr>
          <w:w w:val="100"/>
        </w:rPr>
        <w:t> </w:t>
      </w:r>
      <w:r>
        <w:rPr/>
        <w:t>为</w:t>
      </w:r>
      <w:r>
        <w:rPr>
          <w:spacing w:val="-72"/>
        </w:rPr>
        <w:t> </w:t>
      </w:r>
      <w:r>
        <w:rPr>
          <w:rFonts w:ascii="宋体" w:hAnsi="宋体" w:cs="宋体" w:eastAsia="宋体" w:hint="default"/>
        </w:rPr>
        <w:t>25,083,223.87</w:t>
      </w:r>
      <w:r>
        <w:rPr>
          <w:rFonts w:ascii="宋体" w:hAnsi="宋体" w:cs="宋体" w:eastAsia="宋体" w:hint="default"/>
          <w:spacing w:val="-72"/>
        </w:rPr>
        <w:t> </w:t>
      </w:r>
      <w:r>
        <w:rPr>
          <w:spacing w:val="-4"/>
        </w:rPr>
        <w:t>元，</w:t>
      </w:r>
      <w:r>
        <w:rPr>
          <w:rFonts w:ascii="宋体" w:hAnsi="宋体" w:cs="宋体" w:eastAsia="宋体" w:hint="default"/>
          <w:spacing w:val="-4"/>
        </w:rPr>
        <w:t>2010</w:t>
      </w:r>
      <w:r>
        <w:rPr>
          <w:rFonts w:ascii="宋体" w:hAnsi="宋体" w:cs="宋体" w:eastAsia="宋体" w:hint="default"/>
          <w:spacing w:val="-70"/>
        </w:rPr>
        <w:t> </w:t>
      </w:r>
      <w:r>
        <w:rPr/>
        <w:t>年</w:t>
      </w:r>
      <w:r>
        <w:rPr>
          <w:spacing w:val="-72"/>
        </w:rPr>
        <w:t> </w:t>
      </w:r>
      <w:r>
        <w:rPr>
          <w:rFonts w:ascii="宋体" w:hAnsi="宋体" w:cs="宋体" w:eastAsia="宋体" w:hint="default"/>
        </w:rPr>
        <w:t>2</w:t>
      </w:r>
      <w:r>
        <w:rPr>
          <w:rFonts w:ascii="宋体" w:hAnsi="宋体" w:cs="宋体" w:eastAsia="宋体" w:hint="default"/>
          <w:spacing w:val="-71"/>
        </w:rPr>
        <w:t> </w:t>
      </w:r>
      <w:r>
        <w:rPr/>
        <w:t>月</w:t>
      </w:r>
      <w:r>
        <w:rPr>
          <w:spacing w:val="-74"/>
        </w:rPr>
        <w:t> </w:t>
      </w:r>
      <w:r>
        <w:rPr>
          <w:rFonts w:ascii="宋体" w:hAnsi="宋体" w:cs="宋体" w:eastAsia="宋体" w:hint="default"/>
        </w:rPr>
        <w:t>24</w:t>
      </w:r>
      <w:r>
        <w:rPr>
          <w:rFonts w:ascii="宋体" w:hAnsi="宋体" w:cs="宋体" w:eastAsia="宋体" w:hint="default"/>
          <w:spacing w:val="-73"/>
        </w:rPr>
        <w:t> </w:t>
      </w:r>
      <w:r>
        <w:rPr/>
        <w:t>日公司第三届董事会第六次会</w:t>
      </w:r>
    </w:p>
    <w:p>
      <w:pPr>
        <w:pStyle w:val="Heading3"/>
        <w:spacing w:line="326" w:lineRule="auto" w:before="32"/>
        <w:ind w:left="258" w:right="916"/>
        <w:jc w:val="left"/>
      </w:pPr>
      <w:r>
        <w:rPr/>
        <w:t>议审议通过以本次募集资金</w:t>
      </w:r>
      <w:r>
        <w:rPr>
          <w:spacing w:val="-75"/>
        </w:rPr>
        <w:t> </w:t>
      </w:r>
      <w:r>
        <w:rPr>
          <w:rFonts w:ascii="宋体" w:hAnsi="宋体" w:cs="宋体" w:eastAsia="宋体" w:hint="default"/>
        </w:rPr>
        <w:t>25,083,223.87</w:t>
      </w:r>
      <w:r>
        <w:rPr>
          <w:rFonts w:ascii="宋体" w:hAnsi="宋体" w:cs="宋体" w:eastAsia="宋体" w:hint="default"/>
          <w:spacing w:val="-73"/>
        </w:rPr>
        <w:t> </w:t>
      </w:r>
      <w:r>
        <w:rPr/>
        <w:t>元置换预先投入募集资</w:t>
      </w:r>
      <w:r>
        <w:rPr>
          <w:w w:val="100"/>
        </w:rPr>
        <w:t> </w:t>
      </w:r>
      <w:r>
        <w:rPr/>
        <w:t>金项目的自筹资金。</w:t>
      </w:r>
    </w:p>
    <w:p>
      <w:pPr>
        <w:pStyle w:val="Heading3"/>
        <w:spacing w:line="240" w:lineRule="auto" w:before="34"/>
        <w:ind w:left="817" w:right="582"/>
        <w:jc w:val="left"/>
      </w:pPr>
      <w:r>
        <w:rPr>
          <w:spacing w:val="-5"/>
        </w:rPr>
        <w:t>（</w:t>
      </w:r>
      <w:r>
        <w:rPr>
          <w:rFonts w:ascii="宋体" w:hAnsi="宋体" w:cs="宋体" w:eastAsia="宋体" w:hint="default"/>
          <w:spacing w:val="-5"/>
        </w:rPr>
        <w:t>4</w:t>
      </w:r>
      <w:r>
        <w:rPr>
          <w:spacing w:val="-5"/>
        </w:rPr>
        <w:t>）公司本年度未发生用闲置募集资金暂时补充流动资金情况。</w:t>
      </w:r>
    </w:p>
    <w:p>
      <w:pPr>
        <w:pStyle w:val="Heading3"/>
        <w:spacing w:line="326" w:lineRule="auto" w:before="132"/>
        <w:ind w:left="258" w:right="726" w:firstLine="559"/>
        <w:jc w:val="left"/>
      </w:pPr>
      <w:r>
        <w:rPr>
          <w:spacing w:val="-1"/>
        </w:rPr>
        <w:t>（</w:t>
      </w:r>
      <w:r>
        <w:rPr>
          <w:rFonts w:ascii="宋体" w:hAnsi="宋体" w:cs="宋体" w:eastAsia="宋体" w:hint="default"/>
          <w:spacing w:val="-1"/>
        </w:rPr>
        <w:t>5</w:t>
      </w:r>
      <w:r>
        <w:rPr>
          <w:spacing w:val="-1"/>
        </w:rPr>
        <w:t>）公司本年度未发生将募集资金投资项目节余资金用于其他</w:t>
      </w:r>
      <w:r>
        <w:rPr>
          <w:w w:val="100"/>
        </w:rPr>
        <w:t> </w:t>
      </w:r>
      <w:r>
        <w:rPr/>
        <w:t>募集资金投资项目或非募集资金投资项目的情况。</w:t>
      </w:r>
    </w:p>
    <w:p>
      <w:pPr>
        <w:pStyle w:val="Heading3"/>
        <w:spacing w:line="326" w:lineRule="auto" w:before="34"/>
        <w:ind w:left="258" w:right="582" w:firstLine="559"/>
        <w:jc w:val="left"/>
      </w:pPr>
      <w:r>
        <w:rPr/>
        <w:t>（</w:t>
      </w:r>
      <w:r>
        <w:rPr>
          <w:rFonts w:ascii="宋体" w:hAnsi="宋体" w:cs="宋体" w:eastAsia="宋体" w:hint="default"/>
        </w:rPr>
        <w:t>6</w:t>
      </w:r>
      <w:r>
        <w:rPr/>
        <w:t>）天健正信会计师事务所出具了天健正信审（</w:t>
      </w:r>
      <w:r>
        <w:rPr>
          <w:rFonts w:ascii="宋体" w:hAnsi="宋体" w:cs="宋体" w:eastAsia="宋体" w:hint="default"/>
        </w:rPr>
        <w:t>2011</w:t>
      </w:r>
      <w:r>
        <w:rPr/>
        <w:t>）专字第</w:t>
      </w:r>
      <w:r>
        <w:rPr>
          <w:w w:val="100"/>
        </w:rPr>
        <w:t> </w:t>
      </w:r>
      <w:r>
        <w:rPr>
          <w:rFonts w:ascii="宋体" w:hAnsi="宋体" w:cs="宋体" w:eastAsia="宋体" w:hint="default"/>
          <w:spacing w:val="-1"/>
          <w:w w:val="100"/>
        </w:rPr>
        <w:t>220015</w:t>
      </w:r>
      <w:r>
        <w:rPr>
          <w:rFonts w:ascii="宋体" w:hAnsi="宋体" w:cs="宋体" w:eastAsia="宋体" w:hint="default"/>
          <w:spacing w:val="-69"/>
          <w:w w:val="100"/>
        </w:rPr>
        <w:t> </w:t>
      </w:r>
      <w:r>
        <w:rPr>
          <w:spacing w:val="-7"/>
          <w:w w:val="100"/>
        </w:rPr>
        <w:t>号《募集资金存放与实际使用情况的鉴证报告》，发表鉴证结</w:t>
      </w:r>
      <w:r>
        <w:rPr>
          <w:spacing w:val="-138"/>
          <w:w w:val="100"/>
        </w:rPr>
        <w:t> </w:t>
      </w:r>
      <w:r>
        <w:rPr>
          <w:spacing w:val="-138"/>
          <w:w w:val="100"/>
        </w:rPr>
      </w:r>
      <w:r>
        <w:rPr>
          <w:spacing w:val="-4"/>
        </w:rPr>
        <w:t>论如下：我们认为，辉煌科技的募集资金存放与实际使用情况专项报</w:t>
      </w:r>
      <w:r>
        <w:rPr>
          <w:spacing w:val="-116"/>
        </w:rPr>
        <w:t> </w:t>
      </w:r>
      <w:r>
        <w:rPr>
          <w:spacing w:val="-116"/>
        </w:rPr>
      </w:r>
      <w:r>
        <w:rPr>
          <w:spacing w:val="-7"/>
          <w:w w:val="100"/>
        </w:rPr>
        <w:t>告已经按照《中小企业板上市公司募集资金管理细则》（</w:t>
      </w:r>
      <w:r>
        <w:rPr>
          <w:rFonts w:ascii="宋体" w:hAnsi="宋体" w:cs="宋体" w:eastAsia="宋体" w:hint="default"/>
          <w:spacing w:val="-7"/>
          <w:w w:val="100"/>
        </w:rPr>
        <w:t>2008</w:t>
      </w:r>
      <w:r>
        <w:rPr>
          <w:rFonts w:ascii="宋体" w:hAnsi="宋体" w:cs="宋体" w:eastAsia="宋体" w:hint="default"/>
          <w:spacing w:val="-68"/>
          <w:w w:val="100"/>
        </w:rPr>
        <w:t> </w:t>
      </w:r>
      <w:r>
        <w:rPr>
          <w:w w:val="100"/>
        </w:rPr>
        <w:t>年</w:t>
      </w:r>
      <w:r>
        <w:rPr>
          <w:spacing w:val="-68"/>
          <w:w w:val="100"/>
        </w:rPr>
        <w:t> </w:t>
      </w:r>
      <w:r>
        <w:rPr>
          <w:rFonts w:ascii="宋体" w:hAnsi="宋体" w:cs="宋体" w:eastAsia="宋体" w:hint="default"/>
          <w:w w:val="100"/>
        </w:rPr>
        <w:t>2</w:t>
      </w:r>
      <w:r>
        <w:rPr>
          <w:rFonts w:ascii="宋体" w:hAnsi="宋体" w:cs="宋体" w:eastAsia="宋体" w:hint="default"/>
          <w:spacing w:val="-67"/>
          <w:w w:val="100"/>
        </w:rPr>
        <w:t> </w:t>
      </w:r>
      <w:r>
        <w:rPr>
          <w:w w:val="100"/>
        </w:rPr>
        <w:t>月</w:t>
      </w:r>
      <w:r>
        <w:rPr>
          <w:spacing w:val="-133"/>
          <w:w w:val="100"/>
        </w:rPr>
        <w:t> </w:t>
      </w:r>
      <w:r>
        <w:rPr>
          <w:spacing w:val="-10"/>
          <w:w w:val="100"/>
        </w:rPr>
        <w:t>第二次修订）及《中小企业板上市公司临时报告内容与格式指引</w:t>
      </w:r>
      <w:r>
        <w:rPr>
          <w:spacing w:val="-57"/>
          <w:w w:val="100"/>
        </w:rPr>
        <w:t> </w:t>
      </w:r>
      <w:r>
        <w:rPr>
          <w:rFonts w:ascii="宋体" w:hAnsi="宋体" w:cs="宋体" w:eastAsia="宋体" w:hint="default"/>
          <w:w w:val="100"/>
        </w:rPr>
        <w:t>9</w:t>
      </w:r>
      <w:r>
        <w:rPr>
          <w:rFonts w:ascii="宋体" w:hAnsi="宋体" w:cs="宋体" w:eastAsia="宋体" w:hint="default"/>
          <w:spacing w:val="-62"/>
          <w:w w:val="100"/>
        </w:rPr>
        <w:t> </w:t>
      </w:r>
      <w:r>
        <w:rPr>
          <w:w w:val="100"/>
        </w:rPr>
        <w:t>号： </w:t>
      </w:r>
      <w:r>
        <w:rPr>
          <w:spacing w:val="-4"/>
        </w:rPr>
        <w:t>募集资金年度使用情况的专项报告》的要求编制，在所有重大方面公</w:t>
      </w:r>
      <w:r>
        <w:rPr>
          <w:spacing w:val="-112"/>
        </w:rPr>
        <w:t> </w:t>
      </w:r>
      <w:r>
        <w:rPr>
          <w:spacing w:val="-112"/>
        </w:rPr>
      </w:r>
      <w:r>
        <w:rPr/>
        <w:t>允反映了辉煌科技公司</w:t>
      </w:r>
      <w:r>
        <w:rPr>
          <w:spacing w:val="-74"/>
        </w:rPr>
        <w:t> </w:t>
      </w:r>
      <w:r>
        <w:rPr>
          <w:rFonts w:ascii="宋体" w:hAnsi="宋体" w:cs="宋体" w:eastAsia="宋体" w:hint="default"/>
        </w:rPr>
        <w:t>2010</w:t>
      </w:r>
      <w:r>
        <w:rPr>
          <w:rFonts w:ascii="宋体" w:hAnsi="宋体" w:cs="宋体" w:eastAsia="宋体" w:hint="default"/>
          <w:spacing w:val="-73"/>
        </w:rPr>
        <w:t> </w:t>
      </w:r>
      <w:r>
        <w:rPr/>
        <w:t>年度募集资金的存放和实际使用情况。</w:t>
      </w:r>
    </w:p>
    <w:p>
      <w:pPr>
        <w:spacing w:line="326" w:lineRule="auto" w:before="32"/>
        <w:ind w:left="817" w:right="726" w:hanging="560"/>
        <w:jc w:val="left"/>
        <w:rPr>
          <w:rFonts w:ascii="宋体" w:hAnsi="宋体" w:cs="宋体" w:eastAsia="宋体" w:hint="default"/>
          <w:sz w:val="28"/>
          <w:szCs w:val="28"/>
        </w:rPr>
      </w:pPr>
      <w:r>
        <w:rPr>
          <w:rFonts w:ascii="宋体" w:hAnsi="宋体" w:cs="宋体" w:eastAsia="宋体" w:hint="default"/>
          <w:b/>
          <w:bCs/>
          <w:sz w:val="28"/>
          <w:szCs w:val="28"/>
        </w:rPr>
        <w:t>（二）非募集资金投资重大项目情况</w:t>
      </w:r>
      <w:r>
        <w:rPr>
          <w:rFonts w:ascii="宋体" w:hAnsi="宋体" w:cs="宋体" w:eastAsia="宋体" w:hint="default"/>
          <w:b/>
          <w:bCs/>
          <w:w w:val="99"/>
          <w:sz w:val="28"/>
          <w:szCs w:val="28"/>
        </w:rPr>
        <w:t> </w:t>
      </w:r>
      <w:r>
        <w:rPr>
          <w:rFonts w:ascii="宋体" w:hAnsi="宋体" w:cs="宋体" w:eastAsia="宋体" w:hint="default"/>
          <w:spacing w:val="-2"/>
          <w:sz w:val="28"/>
          <w:szCs w:val="28"/>
        </w:rPr>
        <w:t>报告期内，公司无非募集资金投资重大项目。情况如下：</w:t>
      </w:r>
    </w:p>
    <w:p>
      <w:pPr>
        <w:pStyle w:val="Heading3"/>
        <w:spacing w:line="278" w:lineRule="exact" w:before="0"/>
        <w:ind w:left="0" w:right="731"/>
        <w:jc w:val="right"/>
      </w:pPr>
      <w:r>
        <w:rPr>
          <w:spacing w:val="-1"/>
        </w:rPr>
        <w:t>单位：万元</w:t>
      </w:r>
    </w:p>
    <w:p>
      <w:pPr>
        <w:spacing w:line="240" w:lineRule="auto" w:before="3"/>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2218"/>
        <w:gridCol w:w="1186"/>
        <w:gridCol w:w="3118"/>
        <w:gridCol w:w="2552"/>
      </w:tblGrid>
      <w:tr>
        <w:trPr>
          <w:trHeight w:val="419" w:hRule="exact"/>
        </w:trPr>
        <w:tc>
          <w:tcPr>
            <w:tcW w:w="22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1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67"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3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25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826"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年开通</w:t>
            </w:r>
            <w:r>
              <w:rPr>
                <w:rFonts w:ascii="宋体" w:hAnsi="宋体" w:cs="宋体" w:eastAsia="宋体" w:hint="default"/>
                <w:spacing w:val="-52"/>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个车站的新</w:t>
            </w:r>
          </w:p>
          <w:p>
            <w:pPr>
              <w:pStyle w:val="TableParagraph"/>
              <w:spacing w:line="240" w:lineRule="auto" w:before="133"/>
              <w:ind w:left="21" w:right="0"/>
              <w:jc w:val="left"/>
              <w:rPr>
                <w:rFonts w:ascii="宋体" w:hAnsi="宋体" w:cs="宋体" w:eastAsia="宋体" w:hint="default"/>
                <w:sz w:val="21"/>
                <w:szCs w:val="21"/>
              </w:rPr>
            </w:pPr>
            <w:r>
              <w:rPr>
                <w:rFonts w:ascii="宋体" w:hAnsi="宋体" w:cs="宋体" w:eastAsia="宋体" w:hint="default"/>
                <w:sz w:val="21"/>
                <w:szCs w:val="21"/>
              </w:rPr>
              <w:t>铁路信号微机监测系统</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9"/>
              <w:jc w:val="right"/>
              <w:rPr>
                <w:rFonts w:ascii="宋体" w:hAnsi="宋体" w:cs="宋体" w:eastAsia="宋体" w:hint="default"/>
                <w:sz w:val="21"/>
                <w:szCs w:val="21"/>
              </w:rPr>
            </w:pPr>
            <w:r>
              <w:rPr>
                <w:rFonts w:ascii="宋体"/>
                <w:spacing w:val="-1"/>
                <w:sz w:val="21"/>
              </w:rPr>
              <w:t>1,000.00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sz w:val="21"/>
                <w:szCs w:val="21"/>
              </w:rPr>
              <w:t>项目已完工，等待验收</w:t>
            </w:r>
            <w:r>
              <w:rPr>
                <w:rFonts w:ascii="宋体" w:hAnsi="宋体" w:cs="宋体" w:eastAsia="宋体" w:hint="default"/>
                <w:sz w:val="21"/>
                <w:szCs w:val="21"/>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3"/>
              <w:jc w:val="left"/>
              <w:rPr>
                <w:rFonts w:ascii="宋体" w:hAnsi="宋体" w:cs="宋体" w:eastAsia="宋体" w:hint="default"/>
                <w:sz w:val="21"/>
                <w:szCs w:val="21"/>
              </w:rPr>
            </w:pPr>
            <w:r>
              <w:rPr>
                <w:rFonts w:ascii="宋体" w:hAnsi="宋体" w:cs="宋体" w:eastAsia="宋体" w:hint="default"/>
                <w:sz w:val="21"/>
                <w:szCs w:val="21"/>
              </w:rPr>
              <w:t>该项目收益与投资计划或</w:t>
            </w:r>
          </w:p>
          <w:p>
            <w:pPr>
              <w:pStyle w:val="TableParagraph"/>
              <w:spacing w:line="240" w:lineRule="auto" w:before="133"/>
              <w:ind w:left="21" w:right="-3"/>
              <w:jc w:val="left"/>
              <w:rPr>
                <w:rFonts w:ascii="宋体" w:hAnsi="宋体" w:cs="宋体" w:eastAsia="宋体" w:hint="default"/>
                <w:sz w:val="21"/>
                <w:szCs w:val="21"/>
              </w:rPr>
            </w:pPr>
            <w:r>
              <w:rPr>
                <w:rFonts w:ascii="宋体" w:hAnsi="宋体" w:cs="宋体" w:eastAsia="宋体" w:hint="default"/>
                <w:spacing w:val="-2"/>
                <w:sz w:val="21"/>
                <w:szCs w:val="21"/>
              </w:rPr>
              <w:t>盈利预测未发生重大变化。</w:t>
            </w:r>
          </w:p>
        </w:tc>
      </w:tr>
      <w:tr>
        <w:trPr>
          <w:trHeight w:val="420" w:hRule="exact"/>
        </w:trPr>
        <w:tc>
          <w:tcPr>
            <w:tcW w:w="22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86" w:type="dxa"/>
            <w:tcBorders>
              <w:top w:val="single" w:sz="4" w:space="0" w:color="000000"/>
              <w:left w:val="single" w:sz="13" w:space="0" w:color="DCDCDC"/>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1,000.00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2"/>
        <w:spacing w:line="240" w:lineRule="auto" w:before="14"/>
        <w:ind w:left="258" w:right="726"/>
        <w:jc w:val="left"/>
        <w:rPr>
          <w:b w:val="0"/>
          <w:bCs w:val="0"/>
        </w:rPr>
      </w:pPr>
      <w:r>
        <w:rPr/>
        <w:t>四、董事会日常工作情况</w:t>
      </w:r>
      <w:r>
        <w:rPr>
          <w:b w:val="0"/>
          <w:bCs w:val="0"/>
        </w:rPr>
      </w:r>
    </w:p>
    <w:p>
      <w:pPr>
        <w:spacing w:line="326" w:lineRule="auto" w:before="132"/>
        <w:ind w:left="817" w:right="726" w:hanging="560"/>
        <w:jc w:val="left"/>
        <w:rPr>
          <w:rFonts w:ascii="宋体" w:hAnsi="宋体" w:cs="宋体" w:eastAsia="宋体" w:hint="default"/>
          <w:sz w:val="28"/>
          <w:szCs w:val="28"/>
        </w:rPr>
      </w:pPr>
      <w:r>
        <w:rPr>
          <w:rFonts w:ascii="宋体" w:hAnsi="宋体" w:cs="宋体" w:eastAsia="宋体" w:hint="default"/>
          <w:b/>
          <w:bCs/>
          <w:sz w:val="28"/>
          <w:szCs w:val="28"/>
        </w:rPr>
        <w:t>（一）董事会会议情况及决议内容</w:t>
      </w:r>
      <w:r>
        <w:rPr>
          <w:rFonts w:ascii="宋体" w:hAnsi="宋体" w:cs="宋体" w:eastAsia="宋体" w:hint="default"/>
          <w:b/>
          <w:bCs/>
          <w:w w:val="99"/>
          <w:sz w:val="28"/>
          <w:szCs w:val="28"/>
        </w:rPr>
        <w:t> </w:t>
      </w:r>
      <w:r>
        <w:rPr>
          <w:rFonts w:ascii="宋体" w:hAnsi="宋体" w:cs="宋体" w:eastAsia="宋体" w:hint="default"/>
          <w:spacing w:val="-5"/>
          <w:sz w:val="28"/>
          <w:szCs w:val="28"/>
        </w:rPr>
        <w:t>报告期内，公司召开了七次董事会：第三届董事会第六次、第七</w:t>
      </w:r>
    </w:p>
    <w:p>
      <w:pPr>
        <w:pStyle w:val="Heading3"/>
        <w:spacing w:line="240" w:lineRule="auto" w:before="34"/>
        <w:ind w:left="258" w:right="726"/>
        <w:jc w:val="left"/>
      </w:pPr>
      <w:r>
        <w:rPr>
          <w:spacing w:val="-4"/>
        </w:rPr>
        <w:t>次、第八次、第九次、第十次、第十一次会议和第四届董事会第一次</w:t>
      </w:r>
    </w:p>
    <w:p>
      <w:pPr>
        <w:spacing w:after="0" w:line="240" w:lineRule="auto"/>
        <w:jc w:val="left"/>
        <w:sectPr>
          <w:footerReference w:type="default" r:id="rId30"/>
          <w:pgSz w:w="11910" w:h="16840"/>
          <w:pgMar w:footer="1045" w:header="624" w:top="980" w:bottom="1240" w:left="1540" w:right="1060"/>
          <w:pgNumType w:start="49"/>
        </w:sectPr>
      </w:pPr>
    </w:p>
    <w:p>
      <w:pPr>
        <w:pStyle w:val="Heading3"/>
        <w:spacing w:line="328" w:lineRule="auto" w:before="73"/>
        <w:ind w:right="304"/>
        <w:jc w:val="left"/>
      </w:pPr>
      <w:r>
        <w:rPr>
          <w:spacing w:val="-6"/>
          <w:w w:val="100"/>
        </w:rPr>
        <w:t>会议。会议的召集、召开与表决程序符合《公司法》、公司《章程》</w:t>
      </w:r>
      <w:r>
        <w:rPr>
          <w:spacing w:val="-131"/>
          <w:w w:val="100"/>
        </w:rPr>
        <w:t> </w:t>
      </w:r>
      <w:r>
        <w:rPr>
          <w:spacing w:val="-131"/>
          <w:w w:val="100"/>
        </w:rPr>
      </w:r>
      <w:r>
        <w:rPr/>
        <w:t>等法律、法规及规范性文件的规定。</w:t>
      </w:r>
    </w:p>
    <w:p>
      <w:pPr>
        <w:pStyle w:val="Heading2"/>
        <w:spacing w:line="326" w:lineRule="auto"/>
        <w:ind w:right="260" w:firstLine="561"/>
        <w:jc w:val="left"/>
        <w:rPr>
          <w:b w:val="0"/>
          <w:bCs w:val="0"/>
        </w:rPr>
      </w:pPr>
      <w:r>
        <w:rPr>
          <w:rFonts w:ascii="宋体" w:hAnsi="宋体" w:cs="宋体" w:eastAsia="宋体" w:hint="default"/>
        </w:rPr>
        <w:t>1</w:t>
      </w:r>
      <w:r>
        <w:rPr/>
        <w:t>、公司第三届董事会第六次会议于</w:t>
      </w:r>
      <w:r>
        <w:rPr>
          <w:spacing w:val="-73"/>
        </w:rPr>
        <w:t> </w:t>
      </w:r>
      <w:r>
        <w:rPr>
          <w:rFonts w:ascii="宋体" w:hAnsi="宋体" w:cs="宋体" w:eastAsia="宋体" w:hint="default"/>
        </w:rPr>
        <w:t>2010</w:t>
      </w:r>
      <w:r>
        <w:rPr>
          <w:rFonts w:ascii="宋体" w:hAnsi="宋体" w:cs="宋体" w:eastAsia="宋体" w:hint="default"/>
          <w:spacing w:val="-72"/>
        </w:rPr>
        <w:t> </w:t>
      </w:r>
      <w:r>
        <w:rPr/>
        <w:t>年</w:t>
      </w:r>
      <w:r>
        <w:rPr>
          <w:spacing w:val="-73"/>
        </w:rPr>
        <w:t> </w:t>
      </w:r>
      <w:r>
        <w:rPr>
          <w:rFonts w:ascii="宋体" w:hAnsi="宋体" w:cs="宋体" w:eastAsia="宋体" w:hint="default"/>
        </w:rPr>
        <w:t>2</w:t>
      </w:r>
      <w:r>
        <w:rPr>
          <w:rFonts w:ascii="宋体" w:hAnsi="宋体" w:cs="宋体" w:eastAsia="宋体" w:hint="default"/>
          <w:spacing w:val="-69"/>
        </w:rPr>
        <w:t> </w:t>
      </w:r>
      <w:r>
        <w:rPr/>
        <w:t>月</w:t>
      </w:r>
      <w:r>
        <w:rPr>
          <w:spacing w:val="-73"/>
        </w:rPr>
        <w:t> </w:t>
      </w:r>
      <w:r>
        <w:rPr>
          <w:rFonts w:ascii="宋体" w:hAnsi="宋体" w:cs="宋体" w:eastAsia="宋体" w:hint="default"/>
        </w:rPr>
        <w:t>24</w:t>
      </w:r>
      <w:r>
        <w:rPr>
          <w:rFonts w:ascii="宋体" w:hAnsi="宋体" w:cs="宋体" w:eastAsia="宋体" w:hint="default"/>
          <w:spacing w:val="-72"/>
        </w:rPr>
        <w:t> </w:t>
      </w:r>
      <w:r>
        <w:rPr/>
        <w:t>日以现场表</w:t>
      </w:r>
      <w:r>
        <w:rPr>
          <w:w w:val="99"/>
        </w:rPr>
        <w:t> </w:t>
      </w:r>
      <w:r>
        <w:rPr/>
        <w:t>决方式召开，会议审议通过了以下议案：</w:t>
      </w:r>
      <w:r>
        <w:rPr>
          <w:b w:val="0"/>
          <w:bCs w:val="0"/>
        </w:rPr>
      </w:r>
    </w:p>
    <w:p>
      <w:pPr>
        <w:pStyle w:val="Heading3"/>
        <w:spacing w:line="240" w:lineRule="auto" w:before="34"/>
        <w:ind w:left="697" w:right="106"/>
        <w:jc w:val="left"/>
      </w:pPr>
      <w:r>
        <w:rPr>
          <w:w w:val="100"/>
        </w:rPr>
        <w:t>（</w:t>
      </w:r>
      <w:r>
        <w:rPr>
          <w:rFonts w:ascii="宋体" w:hAnsi="宋体" w:cs="宋体" w:eastAsia="宋体" w:hint="default"/>
          <w:spacing w:val="-2"/>
          <w:w w:val="100"/>
        </w:rPr>
        <w:t>1</w:t>
      </w:r>
      <w:r>
        <w:rPr>
          <w:spacing w:val="-140"/>
          <w:w w:val="100"/>
        </w:rPr>
        <w:t>）</w:t>
      </w:r>
      <w:r>
        <w:rPr>
          <w:spacing w:val="-3"/>
          <w:w w:val="100"/>
        </w:rPr>
        <w:t>《</w:t>
      </w:r>
      <w:r>
        <w:rPr>
          <w:rFonts w:ascii="宋体" w:hAnsi="宋体" w:cs="宋体" w:eastAsia="宋体" w:hint="default"/>
          <w:w w:val="100"/>
        </w:rPr>
        <w:t>2</w:t>
      </w:r>
      <w:r>
        <w:rPr>
          <w:rFonts w:ascii="宋体" w:hAnsi="宋体" w:cs="宋体" w:eastAsia="宋体" w:hint="default"/>
          <w:spacing w:val="-2"/>
          <w:w w:val="100"/>
        </w:rPr>
        <w:t>0</w:t>
      </w:r>
      <w:r>
        <w:rPr>
          <w:rFonts w:ascii="宋体" w:hAnsi="宋体" w:cs="宋体" w:eastAsia="宋体" w:hint="default"/>
          <w:w w:val="100"/>
        </w:rPr>
        <w:t>09</w:t>
      </w:r>
      <w:r>
        <w:rPr>
          <w:rFonts w:ascii="宋体" w:hAnsi="宋体" w:cs="宋体" w:eastAsia="宋体" w:hint="default"/>
          <w:spacing w:val="-71"/>
        </w:rPr>
        <w:t> </w:t>
      </w:r>
      <w:r>
        <w:rPr>
          <w:w w:val="100"/>
        </w:rPr>
        <w:t>年度</w:t>
      </w:r>
      <w:r>
        <w:rPr>
          <w:spacing w:val="-3"/>
          <w:w w:val="100"/>
        </w:rPr>
        <w:t>董</w:t>
      </w:r>
      <w:r>
        <w:rPr>
          <w:w w:val="100"/>
        </w:rPr>
        <w:t>事会工</w:t>
      </w:r>
      <w:r>
        <w:rPr>
          <w:spacing w:val="-3"/>
          <w:w w:val="100"/>
        </w:rPr>
        <w:t>作</w:t>
      </w:r>
      <w:r>
        <w:rPr>
          <w:w w:val="100"/>
        </w:rPr>
        <w:t>报</w:t>
      </w:r>
      <w:r>
        <w:rPr>
          <w:spacing w:val="-3"/>
          <w:w w:val="100"/>
        </w:rPr>
        <w:t>告</w:t>
      </w:r>
      <w:r>
        <w:rPr>
          <w:spacing w:val="-140"/>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2</w:t>
      </w:r>
      <w:r>
        <w:rPr>
          <w:spacing w:val="-140"/>
          <w:w w:val="100"/>
        </w:rPr>
        <w:t>）</w:t>
      </w:r>
      <w:r>
        <w:rPr>
          <w:spacing w:val="-3"/>
          <w:w w:val="100"/>
        </w:rPr>
        <w:t>《</w:t>
      </w:r>
      <w:r>
        <w:rPr>
          <w:rFonts w:ascii="宋体" w:hAnsi="宋体" w:cs="宋体" w:eastAsia="宋体" w:hint="default"/>
          <w:w w:val="100"/>
        </w:rPr>
        <w:t>2</w:t>
      </w:r>
      <w:r>
        <w:rPr>
          <w:rFonts w:ascii="宋体" w:hAnsi="宋体" w:cs="宋体" w:eastAsia="宋体" w:hint="default"/>
          <w:spacing w:val="-2"/>
          <w:w w:val="100"/>
        </w:rPr>
        <w:t>0</w:t>
      </w:r>
      <w:r>
        <w:rPr>
          <w:rFonts w:ascii="宋体" w:hAnsi="宋体" w:cs="宋体" w:eastAsia="宋体" w:hint="default"/>
          <w:w w:val="100"/>
        </w:rPr>
        <w:t>09</w:t>
      </w:r>
      <w:r>
        <w:rPr>
          <w:rFonts w:ascii="宋体" w:hAnsi="宋体" w:cs="宋体" w:eastAsia="宋体" w:hint="default"/>
          <w:spacing w:val="-71"/>
        </w:rPr>
        <w:t> </w:t>
      </w:r>
      <w:r>
        <w:rPr>
          <w:w w:val="100"/>
        </w:rPr>
        <w:t>年度</w:t>
      </w:r>
      <w:r>
        <w:rPr>
          <w:spacing w:val="-3"/>
          <w:w w:val="100"/>
        </w:rPr>
        <w:t>总</w:t>
      </w:r>
      <w:r>
        <w:rPr>
          <w:w w:val="100"/>
        </w:rPr>
        <w:t>经理工</w:t>
      </w:r>
      <w:r>
        <w:rPr>
          <w:spacing w:val="-3"/>
          <w:w w:val="100"/>
        </w:rPr>
        <w:t>作</w:t>
      </w:r>
      <w:r>
        <w:rPr>
          <w:w w:val="100"/>
        </w:rPr>
        <w:t>报</w:t>
      </w:r>
      <w:r>
        <w:rPr>
          <w:spacing w:val="-3"/>
          <w:w w:val="100"/>
        </w:rPr>
        <w:t>告</w:t>
      </w:r>
      <w:r>
        <w:rPr>
          <w:spacing w:val="-140"/>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3</w:t>
      </w:r>
      <w:r>
        <w:rPr>
          <w:spacing w:val="-140"/>
          <w:w w:val="100"/>
        </w:rPr>
        <w:t>）</w:t>
      </w:r>
      <w:r>
        <w:rPr>
          <w:spacing w:val="-3"/>
          <w:w w:val="100"/>
        </w:rPr>
        <w:t>《</w:t>
      </w:r>
      <w:r>
        <w:rPr>
          <w:rFonts w:ascii="宋体" w:hAnsi="宋体" w:cs="宋体" w:eastAsia="宋体" w:hint="default"/>
          <w:w w:val="100"/>
        </w:rPr>
        <w:t>2</w:t>
      </w:r>
      <w:r>
        <w:rPr>
          <w:rFonts w:ascii="宋体" w:hAnsi="宋体" w:cs="宋体" w:eastAsia="宋体" w:hint="default"/>
          <w:spacing w:val="-2"/>
          <w:w w:val="100"/>
        </w:rPr>
        <w:t>0</w:t>
      </w:r>
      <w:r>
        <w:rPr>
          <w:rFonts w:ascii="宋体" w:hAnsi="宋体" w:cs="宋体" w:eastAsia="宋体" w:hint="default"/>
          <w:w w:val="100"/>
        </w:rPr>
        <w:t>09</w:t>
      </w:r>
      <w:r>
        <w:rPr>
          <w:rFonts w:ascii="宋体" w:hAnsi="宋体" w:cs="宋体" w:eastAsia="宋体" w:hint="default"/>
          <w:spacing w:val="-71"/>
        </w:rPr>
        <w:t> </w:t>
      </w:r>
      <w:r>
        <w:rPr>
          <w:w w:val="100"/>
        </w:rPr>
        <w:t>年年</w:t>
      </w:r>
      <w:r>
        <w:rPr>
          <w:spacing w:val="-3"/>
          <w:w w:val="100"/>
        </w:rPr>
        <w:t>度</w:t>
      </w:r>
      <w:r>
        <w:rPr>
          <w:w w:val="100"/>
        </w:rPr>
        <w:t>报告及</w:t>
      </w:r>
      <w:r>
        <w:rPr>
          <w:spacing w:val="-3"/>
          <w:w w:val="100"/>
        </w:rPr>
        <w:t>摘</w:t>
      </w:r>
      <w:r>
        <w:rPr>
          <w:w w:val="100"/>
        </w:rPr>
        <w:t>要</w:t>
      </w:r>
      <w:r>
        <w:rPr>
          <w:spacing w:val="-142"/>
          <w:w w:val="100"/>
        </w:rPr>
        <w:t>》</w:t>
      </w:r>
      <w:r>
        <w:rPr>
          <w:w w:val="100"/>
        </w:rPr>
        <w:t>；</w:t>
      </w:r>
    </w:p>
    <w:p>
      <w:pPr>
        <w:pStyle w:val="Heading3"/>
        <w:spacing w:line="240" w:lineRule="auto" w:before="135"/>
        <w:ind w:left="697" w:right="106"/>
        <w:jc w:val="left"/>
      </w:pPr>
      <w:r>
        <w:rPr>
          <w:w w:val="100"/>
        </w:rPr>
        <w:t>（</w:t>
      </w:r>
      <w:r>
        <w:rPr>
          <w:rFonts w:ascii="宋体" w:hAnsi="宋体" w:cs="宋体" w:eastAsia="宋体" w:hint="default"/>
          <w:spacing w:val="-2"/>
          <w:w w:val="100"/>
        </w:rPr>
        <w:t>4</w:t>
      </w:r>
      <w:r>
        <w:rPr>
          <w:spacing w:val="-140"/>
          <w:w w:val="100"/>
        </w:rPr>
        <w:t>）</w:t>
      </w:r>
      <w:r>
        <w:rPr>
          <w:spacing w:val="-3"/>
          <w:w w:val="100"/>
        </w:rPr>
        <w:t>《</w:t>
      </w:r>
      <w:r>
        <w:rPr>
          <w:rFonts w:ascii="宋体" w:hAnsi="宋体" w:cs="宋体" w:eastAsia="宋体" w:hint="default"/>
          <w:w w:val="100"/>
        </w:rPr>
        <w:t>2</w:t>
      </w:r>
      <w:r>
        <w:rPr>
          <w:rFonts w:ascii="宋体" w:hAnsi="宋体" w:cs="宋体" w:eastAsia="宋体" w:hint="default"/>
          <w:spacing w:val="-2"/>
          <w:w w:val="100"/>
        </w:rPr>
        <w:t>0</w:t>
      </w:r>
      <w:r>
        <w:rPr>
          <w:rFonts w:ascii="宋体" w:hAnsi="宋体" w:cs="宋体" w:eastAsia="宋体" w:hint="default"/>
          <w:w w:val="100"/>
        </w:rPr>
        <w:t>09</w:t>
      </w:r>
      <w:r>
        <w:rPr>
          <w:rFonts w:ascii="宋体" w:hAnsi="宋体" w:cs="宋体" w:eastAsia="宋体" w:hint="default"/>
          <w:spacing w:val="-71"/>
        </w:rPr>
        <w:t> </w:t>
      </w:r>
      <w:r>
        <w:rPr>
          <w:w w:val="100"/>
        </w:rPr>
        <w:t>年度</w:t>
      </w:r>
      <w:r>
        <w:rPr>
          <w:spacing w:val="-3"/>
          <w:w w:val="100"/>
        </w:rPr>
        <w:t>财</w:t>
      </w:r>
      <w:r>
        <w:rPr>
          <w:w w:val="100"/>
        </w:rPr>
        <w:t>务决算</w:t>
      </w:r>
      <w:r>
        <w:rPr>
          <w:spacing w:val="-3"/>
          <w:w w:val="100"/>
        </w:rPr>
        <w:t>报</w:t>
      </w:r>
      <w:r>
        <w:rPr>
          <w:w w:val="100"/>
        </w:rPr>
        <w:t>告</w:t>
      </w:r>
      <w:r>
        <w:rPr>
          <w:spacing w:val="-142"/>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5</w:t>
      </w:r>
      <w:r>
        <w:rPr>
          <w:spacing w:val="-140"/>
          <w:w w:val="100"/>
        </w:rPr>
        <w:t>）</w:t>
      </w:r>
      <w:r>
        <w:rPr>
          <w:spacing w:val="-3"/>
          <w:w w:val="100"/>
        </w:rPr>
        <w:t>《</w:t>
      </w:r>
      <w:r>
        <w:rPr>
          <w:rFonts w:ascii="宋体" w:hAnsi="宋体" w:cs="宋体" w:eastAsia="宋体" w:hint="default"/>
          <w:w w:val="100"/>
        </w:rPr>
        <w:t>2</w:t>
      </w:r>
      <w:r>
        <w:rPr>
          <w:rFonts w:ascii="宋体" w:hAnsi="宋体" w:cs="宋体" w:eastAsia="宋体" w:hint="default"/>
          <w:spacing w:val="-2"/>
          <w:w w:val="100"/>
        </w:rPr>
        <w:t>0</w:t>
      </w:r>
      <w:r>
        <w:rPr>
          <w:rFonts w:ascii="宋体" w:hAnsi="宋体" w:cs="宋体" w:eastAsia="宋体" w:hint="default"/>
          <w:w w:val="100"/>
        </w:rPr>
        <w:t>09</w:t>
      </w:r>
      <w:r>
        <w:rPr>
          <w:rFonts w:ascii="宋体" w:hAnsi="宋体" w:cs="宋体" w:eastAsia="宋体" w:hint="default"/>
          <w:spacing w:val="-71"/>
        </w:rPr>
        <w:t> </w:t>
      </w:r>
      <w:r>
        <w:rPr>
          <w:w w:val="100"/>
        </w:rPr>
        <w:t>年度</w:t>
      </w:r>
      <w:r>
        <w:rPr>
          <w:spacing w:val="-3"/>
          <w:w w:val="100"/>
        </w:rPr>
        <w:t>利</w:t>
      </w:r>
      <w:r>
        <w:rPr>
          <w:w w:val="100"/>
        </w:rPr>
        <w:t>润分配</w:t>
      </w:r>
      <w:r>
        <w:rPr>
          <w:spacing w:val="-3"/>
          <w:w w:val="100"/>
        </w:rPr>
        <w:t>预</w:t>
      </w:r>
      <w:r>
        <w:rPr>
          <w:w w:val="100"/>
        </w:rPr>
        <w:t>案</w:t>
      </w:r>
      <w:r>
        <w:rPr>
          <w:spacing w:val="-142"/>
          <w:w w:val="100"/>
        </w:rPr>
        <w:t>》</w:t>
      </w:r>
      <w:r>
        <w:rPr>
          <w:w w:val="100"/>
        </w:rPr>
        <w:t>；</w:t>
      </w:r>
    </w:p>
    <w:p>
      <w:pPr>
        <w:pStyle w:val="Heading3"/>
        <w:spacing w:line="240" w:lineRule="auto" w:before="133"/>
        <w:ind w:left="697" w:right="106"/>
        <w:jc w:val="left"/>
      </w:pPr>
      <w:r>
        <w:rPr>
          <w:w w:val="100"/>
        </w:rPr>
        <w:t>（</w:t>
      </w:r>
      <w:r>
        <w:rPr>
          <w:rFonts w:ascii="宋体" w:hAnsi="宋体" w:cs="宋体" w:eastAsia="宋体" w:hint="default"/>
          <w:spacing w:val="-2"/>
          <w:w w:val="100"/>
        </w:rPr>
        <w:t>6</w:t>
      </w:r>
      <w:r>
        <w:rPr>
          <w:spacing w:val="-140"/>
          <w:w w:val="100"/>
        </w:rPr>
        <w:t>）</w:t>
      </w:r>
      <w:r>
        <w:rPr>
          <w:spacing w:val="-3"/>
          <w:w w:val="100"/>
        </w:rPr>
        <w:t>《</w:t>
      </w:r>
      <w:r>
        <w:rPr>
          <w:rFonts w:ascii="宋体" w:hAnsi="宋体" w:cs="宋体" w:eastAsia="宋体" w:hint="default"/>
          <w:w w:val="100"/>
        </w:rPr>
        <w:t>2</w:t>
      </w:r>
      <w:r>
        <w:rPr>
          <w:rFonts w:ascii="宋体" w:hAnsi="宋体" w:cs="宋体" w:eastAsia="宋体" w:hint="default"/>
          <w:spacing w:val="-2"/>
          <w:w w:val="100"/>
        </w:rPr>
        <w:t>0</w:t>
      </w:r>
      <w:r>
        <w:rPr>
          <w:rFonts w:ascii="宋体" w:hAnsi="宋体" w:cs="宋体" w:eastAsia="宋体" w:hint="default"/>
          <w:w w:val="100"/>
        </w:rPr>
        <w:t>09</w:t>
      </w:r>
      <w:r>
        <w:rPr>
          <w:rFonts w:ascii="宋体" w:hAnsi="宋体" w:cs="宋体" w:eastAsia="宋体" w:hint="default"/>
          <w:spacing w:val="-71"/>
        </w:rPr>
        <w:t> </w:t>
      </w:r>
      <w:r>
        <w:rPr>
          <w:w w:val="100"/>
        </w:rPr>
        <w:t>年度</w:t>
      </w:r>
      <w:r>
        <w:rPr>
          <w:spacing w:val="-3"/>
          <w:w w:val="100"/>
        </w:rPr>
        <w:t>内</w:t>
      </w:r>
      <w:r>
        <w:rPr>
          <w:w w:val="100"/>
        </w:rPr>
        <w:t>部控制</w:t>
      </w:r>
      <w:r>
        <w:rPr>
          <w:spacing w:val="-3"/>
          <w:w w:val="100"/>
        </w:rPr>
        <w:t>自</w:t>
      </w:r>
      <w:r>
        <w:rPr>
          <w:w w:val="100"/>
        </w:rPr>
        <w:t>我评</w:t>
      </w:r>
      <w:r>
        <w:rPr>
          <w:spacing w:val="-3"/>
          <w:w w:val="100"/>
        </w:rPr>
        <w:t>价报</w:t>
      </w:r>
      <w:r>
        <w:rPr>
          <w:w w:val="100"/>
        </w:rPr>
        <w:t>告</w:t>
      </w:r>
      <w:r>
        <w:rPr>
          <w:spacing w:val="-140"/>
          <w:w w:val="100"/>
        </w:rPr>
        <w:t>》</w:t>
      </w:r>
      <w:r>
        <w:rPr>
          <w:w w:val="100"/>
        </w:rPr>
        <w:t>；</w:t>
      </w:r>
    </w:p>
    <w:p>
      <w:pPr>
        <w:pStyle w:val="Heading3"/>
        <w:spacing w:line="240" w:lineRule="auto" w:before="135"/>
        <w:ind w:left="697" w:right="106"/>
        <w:jc w:val="left"/>
      </w:pPr>
      <w:r>
        <w:rPr>
          <w:w w:val="100"/>
        </w:rPr>
        <w:t>（</w:t>
      </w:r>
      <w:r>
        <w:rPr>
          <w:rFonts w:ascii="宋体" w:hAnsi="宋体" w:cs="宋体" w:eastAsia="宋体" w:hint="default"/>
          <w:spacing w:val="-2"/>
          <w:w w:val="100"/>
        </w:rPr>
        <w:t>7</w:t>
      </w:r>
      <w:r>
        <w:rPr>
          <w:spacing w:val="-140"/>
          <w:w w:val="100"/>
        </w:rPr>
        <w:t>）</w:t>
      </w:r>
      <w:r>
        <w:rPr>
          <w:spacing w:val="-3"/>
          <w:w w:val="100"/>
        </w:rPr>
        <w:t>《</w:t>
      </w:r>
      <w:r>
        <w:rPr>
          <w:rFonts w:ascii="宋体" w:hAnsi="宋体" w:cs="宋体" w:eastAsia="宋体" w:hint="default"/>
          <w:w w:val="100"/>
        </w:rPr>
        <w:t>2</w:t>
      </w:r>
      <w:r>
        <w:rPr>
          <w:rFonts w:ascii="宋体" w:hAnsi="宋体" w:cs="宋体" w:eastAsia="宋体" w:hint="default"/>
          <w:spacing w:val="-2"/>
          <w:w w:val="100"/>
        </w:rPr>
        <w:t>0</w:t>
      </w:r>
      <w:r>
        <w:rPr>
          <w:rFonts w:ascii="宋体" w:hAnsi="宋体" w:cs="宋体" w:eastAsia="宋体" w:hint="default"/>
          <w:w w:val="100"/>
        </w:rPr>
        <w:t>09</w:t>
      </w:r>
      <w:r>
        <w:rPr>
          <w:rFonts w:ascii="宋体" w:hAnsi="宋体" w:cs="宋体" w:eastAsia="宋体" w:hint="default"/>
          <w:spacing w:val="-71"/>
        </w:rPr>
        <w:t> </w:t>
      </w:r>
      <w:r>
        <w:rPr>
          <w:w w:val="100"/>
        </w:rPr>
        <w:t>年度</w:t>
      </w:r>
      <w:r>
        <w:rPr>
          <w:spacing w:val="-3"/>
          <w:w w:val="100"/>
        </w:rPr>
        <w:t>募</w:t>
      </w:r>
      <w:r>
        <w:rPr>
          <w:w w:val="100"/>
        </w:rPr>
        <w:t>集资金</w:t>
      </w:r>
      <w:r>
        <w:rPr>
          <w:spacing w:val="-3"/>
          <w:w w:val="100"/>
        </w:rPr>
        <w:t>存</w:t>
      </w:r>
      <w:r>
        <w:rPr>
          <w:w w:val="100"/>
        </w:rPr>
        <w:t>放与</w:t>
      </w:r>
      <w:r>
        <w:rPr>
          <w:spacing w:val="-3"/>
          <w:w w:val="100"/>
        </w:rPr>
        <w:t>实际</w:t>
      </w:r>
      <w:r>
        <w:rPr>
          <w:w w:val="100"/>
        </w:rPr>
        <w:t>使用情</w:t>
      </w:r>
      <w:r>
        <w:rPr>
          <w:spacing w:val="-3"/>
          <w:w w:val="100"/>
        </w:rPr>
        <w:t>况</w:t>
      </w:r>
      <w:r>
        <w:rPr>
          <w:w w:val="100"/>
        </w:rPr>
        <w:t>的专</w:t>
      </w:r>
      <w:r>
        <w:rPr>
          <w:spacing w:val="-3"/>
          <w:w w:val="100"/>
        </w:rPr>
        <w:t>项报</w:t>
      </w:r>
      <w:r>
        <w:rPr>
          <w:w w:val="100"/>
        </w:rPr>
        <w:t>告</w:t>
      </w:r>
      <w:r>
        <w:rPr>
          <w:spacing w:val="-140"/>
          <w:w w:val="100"/>
        </w:rPr>
        <w:t>》</w:t>
      </w:r>
      <w:r>
        <w:rPr>
          <w:w w:val="100"/>
        </w:rPr>
        <w:t>；</w:t>
      </w:r>
    </w:p>
    <w:p>
      <w:pPr>
        <w:pStyle w:val="Heading3"/>
        <w:spacing w:line="326" w:lineRule="auto" w:before="132"/>
        <w:ind w:right="243" w:firstLine="559"/>
        <w:jc w:val="left"/>
      </w:pPr>
      <w:r>
        <w:rPr>
          <w:w w:val="100"/>
        </w:rPr>
        <w:t>（</w:t>
      </w:r>
      <w:r>
        <w:rPr>
          <w:rFonts w:ascii="宋体" w:hAnsi="宋体" w:cs="宋体" w:eastAsia="宋体" w:hint="default"/>
          <w:spacing w:val="-2"/>
          <w:w w:val="100"/>
        </w:rPr>
        <w:t>8</w:t>
      </w:r>
      <w:r>
        <w:rPr>
          <w:spacing w:val="-228"/>
          <w:w w:val="100"/>
        </w:rPr>
        <w:t>）</w:t>
      </w:r>
      <w:r>
        <w:rPr>
          <w:w w:val="100"/>
        </w:rPr>
        <w:t>《关</w:t>
      </w:r>
      <w:r>
        <w:rPr>
          <w:spacing w:val="-3"/>
          <w:w w:val="100"/>
        </w:rPr>
        <w:t>于</w:t>
      </w:r>
      <w:r>
        <w:rPr>
          <w:w w:val="100"/>
        </w:rPr>
        <w:t>用募</w:t>
      </w:r>
      <w:r>
        <w:rPr>
          <w:spacing w:val="-3"/>
          <w:w w:val="100"/>
        </w:rPr>
        <w:t>集资</w:t>
      </w:r>
      <w:r>
        <w:rPr>
          <w:w w:val="100"/>
        </w:rPr>
        <w:t>金置换</w:t>
      </w:r>
      <w:r>
        <w:rPr>
          <w:spacing w:val="-3"/>
          <w:w w:val="100"/>
        </w:rPr>
        <w:t>已</w:t>
      </w:r>
      <w:r>
        <w:rPr>
          <w:w w:val="100"/>
        </w:rPr>
        <w:t>预先</w:t>
      </w:r>
      <w:r>
        <w:rPr>
          <w:spacing w:val="-3"/>
          <w:w w:val="100"/>
        </w:rPr>
        <w:t>投入</w:t>
      </w:r>
      <w:r>
        <w:rPr>
          <w:w w:val="100"/>
        </w:rPr>
        <w:t>募集资</w:t>
      </w:r>
      <w:r>
        <w:rPr>
          <w:spacing w:val="-3"/>
          <w:w w:val="100"/>
        </w:rPr>
        <w:t>金</w:t>
      </w:r>
      <w:r>
        <w:rPr>
          <w:w w:val="100"/>
        </w:rPr>
        <w:t>投资</w:t>
      </w:r>
      <w:r>
        <w:rPr>
          <w:spacing w:val="-3"/>
          <w:w w:val="100"/>
        </w:rPr>
        <w:t>项目</w:t>
      </w:r>
      <w:r>
        <w:rPr>
          <w:w w:val="100"/>
        </w:rPr>
        <w:t>的自筹</w:t>
      </w:r>
      <w:r>
        <w:rPr>
          <w:w w:val="100"/>
        </w:rPr>
        <w:t> 资金的</w:t>
      </w:r>
      <w:r>
        <w:rPr>
          <w:spacing w:val="-3"/>
          <w:w w:val="100"/>
        </w:rPr>
        <w:t>议</w:t>
      </w:r>
      <w:r>
        <w:rPr>
          <w:w w:val="100"/>
        </w:rPr>
        <w:t>案</w:t>
      </w:r>
      <w:r>
        <w:rPr>
          <w:spacing w:val="-142"/>
          <w:w w:val="100"/>
        </w:rPr>
        <w:t>》</w:t>
      </w:r>
      <w:r>
        <w:rPr>
          <w:w w:val="100"/>
        </w:rPr>
        <w:t>；</w:t>
      </w:r>
    </w:p>
    <w:p>
      <w:pPr>
        <w:pStyle w:val="Heading3"/>
        <w:spacing w:line="240" w:lineRule="auto" w:before="34"/>
        <w:ind w:left="697" w:right="106"/>
        <w:jc w:val="left"/>
      </w:pPr>
      <w:r>
        <w:rPr>
          <w:w w:val="100"/>
        </w:rPr>
        <w:t>（</w:t>
      </w:r>
      <w:r>
        <w:rPr>
          <w:rFonts w:ascii="宋体" w:hAnsi="宋体" w:cs="宋体" w:eastAsia="宋体" w:hint="default"/>
          <w:spacing w:val="-2"/>
          <w:w w:val="100"/>
        </w:rPr>
        <w:t>9</w:t>
      </w:r>
      <w:r>
        <w:rPr>
          <w:spacing w:val="-140"/>
          <w:w w:val="100"/>
        </w:rPr>
        <w:t>）</w:t>
      </w:r>
      <w:r>
        <w:rPr>
          <w:w w:val="100"/>
        </w:rPr>
        <w:t>《</w:t>
      </w:r>
      <w:r>
        <w:rPr>
          <w:spacing w:val="-3"/>
          <w:w w:val="100"/>
        </w:rPr>
        <w:t>关</w:t>
      </w:r>
      <w:r>
        <w:rPr>
          <w:w w:val="100"/>
        </w:rPr>
        <w:t>于用</w:t>
      </w:r>
      <w:r>
        <w:rPr>
          <w:spacing w:val="-3"/>
          <w:w w:val="100"/>
        </w:rPr>
        <w:t>超募</w:t>
      </w:r>
      <w:r>
        <w:rPr>
          <w:w w:val="100"/>
        </w:rPr>
        <w:t>资金归</w:t>
      </w:r>
      <w:r>
        <w:rPr>
          <w:spacing w:val="-3"/>
          <w:w w:val="100"/>
        </w:rPr>
        <w:t>还</w:t>
      </w:r>
      <w:r>
        <w:rPr>
          <w:w w:val="100"/>
        </w:rPr>
        <w:t>银行</w:t>
      </w:r>
      <w:r>
        <w:rPr>
          <w:spacing w:val="-3"/>
          <w:w w:val="100"/>
        </w:rPr>
        <w:t>贷款</w:t>
      </w:r>
      <w:r>
        <w:rPr>
          <w:w w:val="100"/>
        </w:rPr>
        <w:t>的议</w:t>
      </w:r>
      <w:r>
        <w:rPr>
          <w:spacing w:val="-3"/>
          <w:w w:val="100"/>
        </w:rPr>
        <w:t>案</w:t>
      </w:r>
      <w:r>
        <w:rPr>
          <w:spacing w:val="-140"/>
          <w:w w:val="100"/>
        </w:rPr>
        <w:t>》</w:t>
      </w:r>
      <w:r>
        <w:rPr>
          <w:w w:val="100"/>
        </w:rPr>
        <w:t>；</w:t>
      </w:r>
    </w:p>
    <w:p>
      <w:pPr>
        <w:pStyle w:val="Heading3"/>
        <w:spacing w:line="326" w:lineRule="auto" w:before="132"/>
        <w:ind w:right="241" w:firstLine="559"/>
        <w:jc w:val="left"/>
      </w:pPr>
      <w:r>
        <w:rPr>
          <w:w w:val="100"/>
        </w:rPr>
        <w:t>（</w:t>
      </w:r>
      <w:r>
        <w:rPr>
          <w:rFonts w:ascii="宋体" w:hAnsi="宋体" w:cs="宋体" w:eastAsia="宋体" w:hint="default"/>
          <w:spacing w:val="-2"/>
          <w:w w:val="100"/>
        </w:rPr>
        <w:t>1</w:t>
      </w:r>
      <w:r>
        <w:rPr>
          <w:rFonts w:ascii="宋体" w:hAnsi="宋体" w:cs="宋体" w:eastAsia="宋体" w:hint="default"/>
          <w:spacing w:val="1"/>
          <w:w w:val="100"/>
        </w:rPr>
        <w:t>0</w:t>
      </w:r>
      <w:r>
        <w:rPr>
          <w:spacing w:val="-228"/>
          <w:w w:val="100"/>
        </w:rPr>
        <w:t>）</w:t>
      </w:r>
      <w:r>
        <w:rPr>
          <w:spacing w:val="-3"/>
          <w:w w:val="100"/>
        </w:rPr>
        <w:t>《</w:t>
      </w:r>
      <w:r>
        <w:rPr>
          <w:w w:val="100"/>
        </w:rPr>
        <w:t>关于</w:t>
      </w:r>
      <w:r>
        <w:rPr>
          <w:spacing w:val="-3"/>
          <w:w w:val="100"/>
        </w:rPr>
        <w:t>续</w:t>
      </w:r>
      <w:r>
        <w:rPr>
          <w:w w:val="100"/>
        </w:rPr>
        <w:t>聘</w:t>
      </w:r>
      <w:r>
        <w:rPr>
          <w:spacing w:val="-3"/>
          <w:w w:val="100"/>
        </w:rPr>
        <w:t>天</w:t>
      </w:r>
      <w:r>
        <w:rPr>
          <w:w w:val="100"/>
        </w:rPr>
        <w:t>健正信</w:t>
      </w:r>
      <w:r>
        <w:rPr>
          <w:spacing w:val="-3"/>
          <w:w w:val="100"/>
        </w:rPr>
        <w:t>会</w:t>
      </w:r>
      <w:r>
        <w:rPr>
          <w:w w:val="100"/>
        </w:rPr>
        <w:t>计师</w:t>
      </w:r>
      <w:r>
        <w:rPr>
          <w:spacing w:val="-3"/>
          <w:w w:val="100"/>
        </w:rPr>
        <w:t>事务</w:t>
      </w:r>
      <w:r>
        <w:rPr>
          <w:w w:val="100"/>
        </w:rPr>
        <w:t>所有限</w:t>
      </w:r>
      <w:r>
        <w:rPr>
          <w:spacing w:val="-3"/>
          <w:w w:val="100"/>
        </w:rPr>
        <w:t>公</w:t>
      </w:r>
      <w:r>
        <w:rPr>
          <w:w w:val="100"/>
        </w:rPr>
        <w:t>司为公司</w:t>
      </w:r>
      <w:r>
        <w:rPr>
          <w:spacing w:val="-71"/>
        </w:rPr>
        <w:t> </w:t>
      </w:r>
      <w:r>
        <w:rPr>
          <w:rFonts w:ascii="宋体" w:hAnsi="宋体" w:cs="宋体" w:eastAsia="宋体" w:hint="default"/>
          <w:spacing w:val="-2"/>
          <w:w w:val="100"/>
        </w:rPr>
        <w:t>2</w:t>
      </w:r>
      <w:r>
        <w:rPr>
          <w:rFonts w:ascii="宋体" w:hAnsi="宋体" w:cs="宋体" w:eastAsia="宋体" w:hint="default"/>
          <w:w w:val="100"/>
        </w:rPr>
        <w:t>0</w:t>
      </w:r>
      <w:r>
        <w:rPr>
          <w:rFonts w:ascii="宋体" w:hAnsi="宋体" w:cs="宋体" w:eastAsia="宋体" w:hint="default"/>
          <w:spacing w:val="-2"/>
          <w:w w:val="100"/>
        </w:rPr>
        <w:t>1</w:t>
      </w:r>
      <w:r>
        <w:rPr>
          <w:rFonts w:ascii="宋体" w:hAnsi="宋体" w:cs="宋体" w:eastAsia="宋体" w:hint="default"/>
          <w:w w:val="100"/>
        </w:rPr>
        <w:t>0</w:t>
      </w:r>
      <w:r>
        <w:rPr>
          <w:rFonts w:ascii="宋体" w:hAnsi="宋体" w:cs="宋体" w:eastAsia="宋体" w:hint="default"/>
          <w:spacing w:val="-69"/>
        </w:rPr>
        <w:t> </w:t>
      </w:r>
      <w:r>
        <w:rPr>
          <w:w w:val="100"/>
        </w:rPr>
        <w:t>年 度财务</w:t>
      </w:r>
      <w:r>
        <w:rPr>
          <w:spacing w:val="-3"/>
          <w:w w:val="100"/>
        </w:rPr>
        <w:t>报</w:t>
      </w:r>
      <w:r>
        <w:rPr>
          <w:w w:val="100"/>
        </w:rPr>
        <w:t>表审</w:t>
      </w:r>
      <w:r>
        <w:rPr>
          <w:spacing w:val="-3"/>
          <w:w w:val="100"/>
        </w:rPr>
        <w:t>计机</w:t>
      </w:r>
      <w:r>
        <w:rPr>
          <w:w w:val="100"/>
        </w:rPr>
        <w:t>构的议</w:t>
      </w:r>
      <w:r>
        <w:rPr>
          <w:spacing w:val="-3"/>
          <w:w w:val="100"/>
        </w:rPr>
        <w:t>案</w:t>
      </w:r>
      <w:r>
        <w:rPr>
          <w:spacing w:val="-140"/>
          <w:w w:val="100"/>
        </w:rPr>
        <w:t>》</w:t>
      </w:r>
      <w:r>
        <w:rPr>
          <w:w w:val="100"/>
        </w:rPr>
        <w:t>；</w:t>
      </w:r>
    </w:p>
    <w:p>
      <w:pPr>
        <w:pStyle w:val="Heading3"/>
        <w:spacing w:line="240" w:lineRule="auto" w:before="34"/>
        <w:ind w:left="697" w:right="106"/>
        <w:jc w:val="left"/>
      </w:pPr>
      <w:r>
        <w:rPr>
          <w:w w:val="100"/>
        </w:rPr>
        <w:t>（</w:t>
      </w:r>
      <w:r>
        <w:rPr>
          <w:rFonts w:ascii="宋体" w:hAnsi="宋体" w:cs="宋体" w:eastAsia="宋体" w:hint="default"/>
          <w:spacing w:val="-2"/>
          <w:w w:val="100"/>
        </w:rPr>
        <w:t>1</w:t>
      </w:r>
      <w:r>
        <w:rPr>
          <w:rFonts w:ascii="宋体" w:hAnsi="宋体" w:cs="宋体" w:eastAsia="宋体" w:hint="default"/>
          <w:spacing w:val="1"/>
          <w:w w:val="100"/>
        </w:rPr>
        <w:t>1</w:t>
      </w:r>
      <w:r>
        <w:rPr>
          <w:spacing w:val="-142"/>
          <w:w w:val="100"/>
        </w:rPr>
        <w:t>）</w:t>
      </w:r>
      <w:r>
        <w:rPr>
          <w:w w:val="100"/>
        </w:rPr>
        <w:t>《募</w:t>
      </w:r>
      <w:r>
        <w:rPr>
          <w:spacing w:val="-3"/>
          <w:w w:val="100"/>
        </w:rPr>
        <w:t>集</w:t>
      </w:r>
      <w:r>
        <w:rPr>
          <w:w w:val="100"/>
        </w:rPr>
        <w:t>资金</w:t>
      </w:r>
      <w:r>
        <w:rPr>
          <w:spacing w:val="-3"/>
          <w:w w:val="100"/>
        </w:rPr>
        <w:t>管</w:t>
      </w:r>
      <w:r>
        <w:rPr>
          <w:w w:val="100"/>
        </w:rPr>
        <w:t>理制</w:t>
      </w:r>
      <w:r>
        <w:rPr>
          <w:spacing w:val="-3"/>
          <w:w w:val="100"/>
        </w:rPr>
        <w:t>度</w:t>
      </w:r>
      <w:r>
        <w:rPr>
          <w:spacing w:val="-140"/>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1</w:t>
      </w:r>
      <w:r>
        <w:rPr>
          <w:rFonts w:ascii="宋体" w:hAnsi="宋体" w:cs="宋体" w:eastAsia="宋体" w:hint="default"/>
          <w:spacing w:val="1"/>
          <w:w w:val="100"/>
        </w:rPr>
        <w:t>2</w:t>
      </w:r>
      <w:r>
        <w:rPr>
          <w:spacing w:val="-142"/>
          <w:w w:val="100"/>
        </w:rPr>
        <w:t>）</w:t>
      </w:r>
      <w:r>
        <w:rPr>
          <w:w w:val="100"/>
        </w:rPr>
        <w:t>《审</w:t>
      </w:r>
      <w:r>
        <w:rPr>
          <w:spacing w:val="-3"/>
          <w:w w:val="100"/>
        </w:rPr>
        <w:t>计</w:t>
      </w:r>
      <w:r>
        <w:rPr>
          <w:w w:val="100"/>
        </w:rPr>
        <w:t>委员</w:t>
      </w:r>
      <w:r>
        <w:rPr>
          <w:spacing w:val="-3"/>
          <w:w w:val="100"/>
        </w:rPr>
        <w:t>会</w:t>
      </w:r>
      <w:r>
        <w:rPr>
          <w:w w:val="100"/>
        </w:rPr>
        <w:t>年报工</w:t>
      </w:r>
      <w:r>
        <w:rPr>
          <w:spacing w:val="-3"/>
          <w:w w:val="100"/>
        </w:rPr>
        <w:t>作</w:t>
      </w:r>
      <w:r>
        <w:rPr>
          <w:w w:val="100"/>
        </w:rPr>
        <w:t>规</w:t>
      </w:r>
      <w:r>
        <w:rPr>
          <w:spacing w:val="-3"/>
          <w:w w:val="100"/>
        </w:rPr>
        <w:t>程</w:t>
      </w:r>
      <w:r>
        <w:rPr>
          <w:spacing w:val="-140"/>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1</w:t>
      </w:r>
      <w:r>
        <w:rPr>
          <w:rFonts w:ascii="宋体" w:hAnsi="宋体" w:cs="宋体" w:eastAsia="宋体" w:hint="default"/>
          <w:spacing w:val="1"/>
          <w:w w:val="100"/>
        </w:rPr>
        <w:t>3</w:t>
      </w:r>
      <w:r>
        <w:rPr>
          <w:spacing w:val="-142"/>
          <w:w w:val="100"/>
        </w:rPr>
        <w:t>）</w:t>
      </w:r>
      <w:r>
        <w:rPr>
          <w:w w:val="100"/>
        </w:rPr>
        <w:t>《内</w:t>
      </w:r>
      <w:r>
        <w:rPr>
          <w:spacing w:val="-3"/>
          <w:w w:val="100"/>
        </w:rPr>
        <w:t>部</w:t>
      </w:r>
      <w:r>
        <w:rPr>
          <w:w w:val="100"/>
        </w:rPr>
        <w:t>审计</w:t>
      </w:r>
      <w:r>
        <w:rPr>
          <w:spacing w:val="-3"/>
          <w:w w:val="100"/>
        </w:rPr>
        <w:t>制</w:t>
      </w:r>
      <w:r>
        <w:rPr>
          <w:w w:val="100"/>
        </w:rPr>
        <w:t>度</w:t>
      </w:r>
      <w:r>
        <w:rPr>
          <w:spacing w:val="-140"/>
          <w:w w:val="100"/>
        </w:rPr>
        <w:t>》</w:t>
      </w:r>
      <w:r>
        <w:rPr>
          <w:w w:val="100"/>
        </w:rPr>
        <w:t>；</w:t>
      </w:r>
    </w:p>
    <w:p>
      <w:pPr>
        <w:pStyle w:val="Heading3"/>
        <w:spacing w:line="240" w:lineRule="auto" w:before="135"/>
        <w:ind w:left="697" w:right="106"/>
        <w:jc w:val="left"/>
      </w:pPr>
      <w:r>
        <w:rPr>
          <w:w w:val="100"/>
        </w:rPr>
        <w:t>（</w:t>
      </w:r>
      <w:r>
        <w:rPr>
          <w:rFonts w:ascii="宋体" w:hAnsi="宋体" w:cs="宋体" w:eastAsia="宋体" w:hint="default"/>
          <w:spacing w:val="-2"/>
          <w:w w:val="100"/>
        </w:rPr>
        <w:t>1</w:t>
      </w:r>
      <w:r>
        <w:rPr>
          <w:rFonts w:ascii="宋体" w:hAnsi="宋体" w:cs="宋体" w:eastAsia="宋体" w:hint="default"/>
          <w:spacing w:val="1"/>
          <w:w w:val="100"/>
        </w:rPr>
        <w:t>4</w:t>
      </w:r>
      <w:r>
        <w:rPr>
          <w:spacing w:val="-142"/>
          <w:w w:val="100"/>
        </w:rPr>
        <w:t>）</w:t>
      </w:r>
      <w:r>
        <w:rPr>
          <w:w w:val="100"/>
        </w:rPr>
        <w:t>《关</w:t>
      </w:r>
      <w:r>
        <w:rPr>
          <w:spacing w:val="-2"/>
          <w:w w:val="100"/>
        </w:rPr>
        <w:t>于</w:t>
      </w:r>
      <w:r>
        <w:rPr>
          <w:w w:val="100"/>
        </w:rPr>
        <w:t>聘任</w:t>
      </w:r>
      <w:r>
        <w:rPr>
          <w:spacing w:val="-3"/>
          <w:w w:val="100"/>
        </w:rPr>
        <w:t>内</w:t>
      </w:r>
      <w:r>
        <w:rPr>
          <w:w w:val="100"/>
        </w:rPr>
        <w:t>部审计</w:t>
      </w:r>
      <w:r>
        <w:rPr>
          <w:spacing w:val="-3"/>
          <w:w w:val="100"/>
        </w:rPr>
        <w:t>部</w:t>
      </w:r>
      <w:r>
        <w:rPr>
          <w:w w:val="100"/>
        </w:rPr>
        <w:t>门负</w:t>
      </w:r>
      <w:r>
        <w:rPr>
          <w:spacing w:val="-3"/>
          <w:w w:val="100"/>
        </w:rPr>
        <w:t>责人</w:t>
      </w:r>
      <w:r>
        <w:rPr>
          <w:w w:val="100"/>
        </w:rPr>
        <w:t>的议</w:t>
      </w:r>
      <w:r>
        <w:rPr>
          <w:spacing w:val="-3"/>
          <w:w w:val="100"/>
        </w:rPr>
        <w:t>案</w:t>
      </w:r>
      <w:r>
        <w:rPr>
          <w:spacing w:val="-140"/>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1</w:t>
      </w:r>
      <w:r>
        <w:rPr>
          <w:rFonts w:ascii="宋体" w:hAnsi="宋体" w:cs="宋体" w:eastAsia="宋体" w:hint="default"/>
          <w:spacing w:val="1"/>
          <w:w w:val="100"/>
        </w:rPr>
        <w:t>5</w:t>
      </w:r>
      <w:r>
        <w:rPr>
          <w:spacing w:val="-142"/>
          <w:w w:val="100"/>
        </w:rPr>
        <w:t>）</w:t>
      </w:r>
      <w:r>
        <w:rPr>
          <w:w w:val="100"/>
        </w:rPr>
        <w:t>《关</w:t>
      </w:r>
      <w:r>
        <w:rPr>
          <w:spacing w:val="-3"/>
          <w:w w:val="100"/>
        </w:rPr>
        <w:t>于</w:t>
      </w:r>
      <w:r>
        <w:rPr>
          <w:w w:val="100"/>
        </w:rPr>
        <w:t>修</w:t>
      </w:r>
      <w:r>
        <w:rPr>
          <w:spacing w:val="-2"/>
          <w:w w:val="100"/>
        </w:rPr>
        <w:t>改</w:t>
      </w:r>
      <w:r>
        <w:rPr>
          <w:rFonts w:ascii="宋体" w:hAnsi="宋体" w:cs="宋体" w:eastAsia="宋体" w:hint="default"/>
          <w:spacing w:val="-2"/>
          <w:w w:val="100"/>
        </w:rPr>
        <w:t>&lt;</w:t>
      </w:r>
      <w:r>
        <w:rPr>
          <w:w w:val="100"/>
        </w:rPr>
        <w:t>公司章</w:t>
      </w:r>
      <w:r>
        <w:rPr>
          <w:spacing w:val="-3"/>
          <w:w w:val="100"/>
        </w:rPr>
        <w:t>程</w:t>
      </w:r>
      <w:r>
        <w:rPr>
          <w:rFonts w:ascii="宋体" w:hAnsi="宋体" w:cs="宋体" w:eastAsia="宋体" w:hint="default"/>
          <w:spacing w:val="1"/>
          <w:w w:val="100"/>
        </w:rPr>
        <w:t>&gt;</w:t>
      </w:r>
      <w:r>
        <w:rPr>
          <w:spacing w:val="-3"/>
          <w:w w:val="100"/>
        </w:rPr>
        <w:t>的</w:t>
      </w:r>
      <w:r>
        <w:rPr>
          <w:w w:val="100"/>
        </w:rPr>
        <w:t>议</w:t>
      </w:r>
      <w:r>
        <w:rPr>
          <w:spacing w:val="-3"/>
          <w:w w:val="100"/>
        </w:rPr>
        <w:t>案</w:t>
      </w:r>
      <w:r>
        <w:rPr>
          <w:spacing w:val="-142"/>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1</w:t>
      </w:r>
      <w:r>
        <w:rPr>
          <w:rFonts w:ascii="宋体" w:hAnsi="宋体" w:cs="宋体" w:eastAsia="宋体" w:hint="default"/>
          <w:spacing w:val="1"/>
          <w:w w:val="100"/>
        </w:rPr>
        <w:t>6</w:t>
      </w:r>
      <w:r>
        <w:rPr>
          <w:spacing w:val="-142"/>
          <w:w w:val="100"/>
        </w:rPr>
        <w:t>）</w:t>
      </w:r>
      <w:r>
        <w:rPr>
          <w:w w:val="100"/>
        </w:rPr>
        <w:t>《关</w:t>
      </w:r>
      <w:r>
        <w:rPr>
          <w:spacing w:val="-3"/>
          <w:w w:val="100"/>
        </w:rPr>
        <w:t>于</w:t>
      </w:r>
      <w:r>
        <w:rPr>
          <w:w w:val="100"/>
        </w:rPr>
        <w:t>召开</w:t>
      </w:r>
      <w:r>
        <w:rPr>
          <w:spacing w:val="-70"/>
        </w:rPr>
        <w:t> </w:t>
      </w:r>
      <w:r>
        <w:rPr>
          <w:rFonts w:ascii="宋体" w:hAnsi="宋体" w:cs="宋体" w:eastAsia="宋体" w:hint="default"/>
          <w:spacing w:val="-2"/>
          <w:w w:val="100"/>
        </w:rPr>
        <w:t>20</w:t>
      </w:r>
      <w:r>
        <w:rPr>
          <w:rFonts w:ascii="宋体" w:hAnsi="宋体" w:cs="宋体" w:eastAsia="宋体" w:hint="default"/>
          <w:w w:val="100"/>
        </w:rPr>
        <w:t>09</w:t>
      </w:r>
      <w:r>
        <w:rPr>
          <w:rFonts w:ascii="宋体" w:hAnsi="宋体" w:cs="宋体" w:eastAsia="宋体" w:hint="default"/>
          <w:spacing w:val="-69"/>
        </w:rPr>
        <w:t> </w:t>
      </w:r>
      <w:r>
        <w:rPr>
          <w:spacing w:val="-3"/>
          <w:w w:val="100"/>
        </w:rPr>
        <w:t>年</w:t>
      </w:r>
      <w:r>
        <w:rPr>
          <w:w w:val="100"/>
        </w:rPr>
        <w:t>度股</w:t>
      </w:r>
      <w:r>
        <w:rPr>
          <w:spacing w:val="-3"/>
          <w:w w:val="100"/>
        </w:rPr>
        <w:t>东</w:t>
      </w:r>
      <w:r>
        <w:rPr>
          <w:w w:val="100"/>
        </w:rPr>
        <w:t>大会</w:t>
      </w:r>
      <w:r>
        <w:rPr>
          <w:spacing w:val="-3"/>
          <w:w w:val="100"/>
        </w:rPr>
        <w:t>的</w:t>
      </w:r>
      <w:r>
        <w:rPr>
          <w:w w:val="100"/>
        </w:rPr>
        <w:t>议案</w:t>
      </w:r>
      <w:r>
        <w:rPr>
          <w:spacing w:val="-142"/>
          <w:w w:val="100"/>
        </w:rPr>
        <w:t>》</w:t>
      </w:r>
      <w:r>
        <w:rPr>
          <w:w w:val="100"/>
        </w:rPr>
        <w:t>。</w:t>
      </w:r>
    </w:p>
    <w:p>
      <w:pPr>
        <w:pStyle w:val="Heading3"/>
        <w:spacing w:line="240" w:lineRule="auto" w:before="135"/>
        <w:ind w:left="697" w:right="0"/>
        <w:jc w:val="left"/>
      </w:pPr>
      <w:r>
        <w:rPr>
          <w:w w:val="100"/>
        </w:rPr>
        <w:t>该次会</w:t>
      </w:r>
      <w:r>
        <w:rPr>
          <w:spacing w:val="-3"/>
          <w:w w:val="100"/>
        </w:rPr>
        <w:t>议</w:t>
      </w:r>
      <w:r>
        <w:rPr>
          <w:w w:val="100"/>
        </w:rPr>
        <w:t>的决</w:t>
      </w:r>
      <w:r>
        <w:rPr>
          <w:spacing w:val="-3"/>
          <w:w w:val="100"/>
        </w:rPr>
        <w:t>议内</w:t>
      </w:r>
      <w:r>
        <w:rPr>
          <w:w w:val="100"/>
        </w:rPr>
        <w:t>容已刊登在</w:t>
      </w:r>
      <w:r>
        <w:rPr>
          <w:spacing w:val="-72"/>
        </w:rPr>
        <w:t> </w:t>
      </w:r>
      <w:r>
        <w:rPr>
          <w:rFonts w:ascii="宋体" w:hAnsi="宋体" w:cs="宋体" w:eastAsia="宋体" w:hint="default"/>
          <w:spacing w:val="-2"/>
          <w:w w:val="100"/>
        </w:rPr>
        <w:t>2</w:t>
      </w:r>
      <w:r>
        <w:rPr>
          <w:rFonts w:ascii="宋体" w:hAnsi="宋体" w:cs="宋体" w:eastAsia="宋体" w:hint="default"/>
          <w:w w:val="100"/>
        </w:rPr>
        <w:t>0</w:t>
      </w:r>
      <w:r>
        <w:rPr>
          <w:rFonts w:ascii="宋体" w:hAnsi="宋体" w:cs="宋体" w:eastAsia="宋体" w:hint="default"/>
          <w:spacing w:val="-2"/>
          <w:w w:val="100"/>
        </w:rPr>
        <w:t>1</w:t>
      </w:r>
      <w:r>
        <w:rPr>
          <w:rFonts w:ascii="宋体" w:hAnsi="宋体" w:cs="宋体" w:eastAsia="宋体" w:hint="default"/>
          <w:w w:val="100"/>
        </w:rPr>
        <w:t>0</w:t>
      </w:r>
      <w:r>
        <w:rPr>
          <w:rFonts w:ascii="宋体" w:hAnsi="宋体" w:cs="宋体" w:eastAsia="宋体" w:hint="default"/>
          <w:spacing w:val="-69"/>
        </w:rPr>
        <w:t> </w:t>
      </w:r>
      <w:r>
        <w:rPr>
          <w:w w:val="100"/>
        </w:rPr>
        <w:t>年</w:t>
      </w:r>
      <w:r>
        <w:rPr>
          <w:spacing w:val="-73"/>
        </w:rPr>
        <w:t> </w:t>
      </w:r>
      <w:r>
        <w:rPr>
          <w:rFonts w:ascii="宋体" w:hAnsi="宋体" w:cs="宋体" w:eastAsia="宋体" w:hint="default"/>
          <w:w w:val="100"/>
        </w:rPr>
        <w:t>2</w:t>
      </w:r>
      <w:r>
        <w:rPr>
          <w:rFonts w:ascii="宋体" w:hAnsi="宋体" w:cs="宋体" w:eastAsia="宋体" w:hint="default"/>
          <w:spacing w:val="-70"/>
        </w:rPr>
        <w:t> </w:t>
      </w:r>
      <w:r>
        <w:rPr>
          <w:w w:val="100"/>
        </w:rPr>
        <w:t>月</w:t>
      </w:r>
      <w:r>
        <w:rPr>
          <w:spacing w:val="-71"/>
        </w:rPr>
        <w:t> </w:t>
      </w:r>
      <w:r>
        <w:rPr>
          <w:rFonts w:ascii="宋体" w:hAnsi="宋体" w:cs="宋体" w:eastAsia="宋体" w:hint="default"/>
          <w:spacing w:val="-2"/>
          <w:w w:val="100"/>
        </w:rPr>
        <w:t>2</w:t>
      </w:r>
      <w:r>
        <w:rPr>
          <w:rFonts w:ascii="宋体" w:hAnsi="宋体" w:cs="宋体" w:eastAsia="宋体" w:hint="default"/>
          <w:w w:val="100"/>
        </w:rPr>
        <w:t>6</w:t>
      </w:r>
      <w:r>
        <w:rPr>
          <w:rFonts w:ascii="宋体" w:hAnsi="宋体" w:cs="宋体" w:eastAsia="宋体" w:hint="default"/>
          <w:spacing w:val="-70"/>
        </w:rPr>
        <w:t> </w:t>
      </w:r>
      <w:r>
        <w:rPr>
          <w:w w:val="100"/>
        </w:rPr>
        <w:t>日</w:t>
      </w:r>
      <w:r>
        <w:rPr>
          <w:spacing w:val="-89"/>
          <w:w w:val="100"/>
        </w:rPr>
        <w:t>的</w:t>
      </w:r>
      <w:r>
        <w:rPr>
          <w:spacing w:val="-3"/>
          <w:w w:val="100"/>
        </w:rPr>
        <w:t>《</w:t>
      </w:r>
      <w:r>
        <w:rPr>
          <w:w w:val="100"/>
        </w:rPr>
        <w:t>证</w:t>
      </w:r>
      <w:r>
        <w:rPr>
          <w:spacing w:val="-3"/>
          <w:w w:val="100"/>
        </w:rPr>
        <w:t>券</w:t>
      </w:r>
      <w:r>
        <w:rPr>
          <w:w w:val="100"/>
        </w:rPr>
        <w:t>时报</w:t>
      </w:r>
      <w:r>
        <w:rPr>
          <w:spacing w:val="-142"/>
          <w:w w:val="100"/>
        </w:rPr>
        <w:t>》</w:t>
      </w:r>
      <w:r>
        <w:rPr>
          <w:w w:val="100"/>
        </w:rPr>
        <w:t>、</w:t>
      </w:r>
    </w:p>
    <w:p>
      <w:pPr>
        <w:spacing w:line="326" w:lineRule="auto" w:before="132"/>
        <w:ind w:left="699" w:right="260" w:hanging="562"/>
        <w:jc w:val="left"/>
        <w:rPr>
          <w:rFonts w:ascii="宋体" w:hAnsi="宋体" w:cs="宋体" w:eastAsia="宋体" w:hint="default"/>
          <w:sz w:val="28"/>
          <w:szCs w:val="28"/>
        </w:rPr>
      </w:pPr>
      <w:r>
        <w:rPr>
          <w:rFonts w:ascii="宋体" w:hAnsi="宋体" w:cs="宋体" w:eastAsia="宋体" w:hint="default"/>
          <w:sz w:val="28"/>
          <w:szCs w:val="28"/>
        </w:rPr>
        <w:t>《中国证券报》和巨潮资讯网（</w:t>
      </w:r>
      <w:hyperlink r:id="rId12">
        <w:r>
          <w:rPr>
            <w:rFonts w:ascii="宋体" w:hAnsi="宋体" w:cs="宋体" w:eastAsia="宋体" w:hint="default"/>
            <w:sz w:val="28"/>
            <w:szCs w:val="28"/>
          </w:rPr>
          <w:t>http://www.cninfo.com.cn</w:t>
        </w:r>
      </w:hyperlink>
      <w:r>
        <w:rPr>
          <w:rFonts w:ascii="宋体" w:hAnsi="宋体" w:cs="宋体" w:eastAsia="宋体" w:hint="default"/>
          <w:sz w:val="28"/>
          <w:szCs w:val="28"/>
        </w:rPr>
        <w:t>）上。</w:t>
      </w:r>
      <w:r>
        <w:rPr>
          <w:rFonts w:ascii="宋体" w:hAnsi="宋体" w:cs="宋体" w:eastAsia="宋体" w:hint="default"/>
          <w:w w:val="100"/>
          <w:sz w:val="28"/>
          <w:szCs w:val="28"/>
        </w:rPr>
        <w:t> </w:t>
      </w:r>
      <w:r>
        <w:rPr>
          <w:rFonts w:ascii="宋体" w:hAnsi="宋体" w:cs="宋体" w:eastAsia="宋体" w:hint="default"/>
          <w:b/>
          <w:bCs/>
          <w:sz w:val="28"/>
          <w:szCs w:val="28"/>
        </w:rPr>
        <w:t>2</w:t>
      </w:r>
      <w:r>
        <w:rPr>
          <w:rFonts w:ascii="宋体" w:hAnsi="宋体" w:cs="宋体" w:eastAsia="宋体" w:hint="default"/>
          <w:b/>
          <w:bCs/>
          <w:sz w:val="28"/>
          <w:szCs w:val="28"/>
        </w:rPr>
        <w:t>、公司第三届董事会第七次会议于</w:t>
      </w:r>
      <w:r>
        <w:rPr>
          <w:rFonts w:ascii="宋体" w:hAnsi="宋体" w:cs="宋体" w:eastAsia="宋体" w:hint="default"/>
          <w:b/>
          <w:bCs/>
          <w:spacing w:val="-73"/>
          <w:sz w:val="28"/>
          <w:szCs w:val="28"/>
        </w:rPr>
        <w:t> </w:t>
      </w:r>
      <w:r>
        <w:rPr>
          <w:rFonts w:ascii="宋体" w:hAnsi="宋体" w:cs="宋体" w:eastAsia="宋体" w:hint="default"/>
          <w:b/>
          <w:bCs/>
          <w:sz w:val="28"/>
          <w:szCs w:val="28"/>
        </w:rPr>
        <w:t>2010</w:t>
      </w:r>
      <w:r>
        <w:rPr>
          <w:rFonts w:ascii="宋体" w:hAnsi="宋体" w:cs="宋体" w:eastAsia="宋体" w:hint="default"/>
          <w:b/>
          <w:bCs/>
          <w:spacing w:val="-72"/>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宋体" w:hAnsi="宋体" w:cs="宋体" w:eastAsia="宋体" w:hint="default"/>
          <w:b/>
          <w:bCs/>
          <w:sz w:val="28"/>
          <w:szCs w:val="28"/>
        </w:rPr>
        <w:t>4</w:t>
      </w:r>
      <w:r>
        <w:rPr>
          <w:rFonts w:ascii="宋体" w:hAnsi="宋体" w:cs="宋体" w:eastAsia="宋体" w:hint="default"/>
          <w:b/>
          <w:bCs/>
          <w:spacing w:val="-69"/>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宋体" w:hAnsi="宋体" w:cs="宋体" w:eastAsia="宋体" w:hint="default"/>
          <w:b/>
          <w:bCs/>
          <w:sz w:val="28"/>
          <w:szCs w:val="28"/>
        </w:rPr>
        <w:t>23</w:t>
      </w:r>
      <w:r>
        <w:rPr>
          <w:rFonts w:ascii="宋体" w:hAnsi="宋体" w:cs="宋体" w:eastAsia="宋体" w:hint="default"/>
          <w:b/>
          <w:bCs/>
          <w:spacing w:val="-72"/>
          <w:sz w:val="28"/>
          <w:szCs w:val="28"/>
        </w:rPr>
        <w:t> </w:t>
      </w:r>
      <w:r>
        <w:rPr>
          <w:rFonts w:ascii="宋体" w:hAnsi="宋体" w:cs="宋体" w:eastAsia="宋体" w:hint="default"/>
          <w:b/>
          <w:bCs/>
          <w:sz w:val="28"/>
          <w:szCs w:val="28"/>
        </w:rPr>
        <w:t>日以通讯表</w:t>
      </w:r>
      <w:r>
        <w:rPr>
          <w:rFonts w:ascii="宋体" w:hAnsi="宋体" w:cs="宋体" w:eastAsia="宋体" w:hint="default"/>
          <w:sz w:val="28"/>
          <w:szCs w:val="28"/>
        </w:rPr>
      </w:r>
    </w:p>
    <w:p>
      <w:pPr>
        <w:pStyle w:val="Heading2"/>
        <w:spacing w:line="240" w:lineRule="auto" w:before="34"/>
        <w:ind w:left="119" w:right="3206"/>
        <w:jc w:val="center"/>
        <w:rPr>
          <w:b w:val="0"/>
          <w:bCs w:val="0"/>
        </w:rPr>
      </w:pPr>
      <w:r>
        <w:rPr/>
        <w:t>决的方式召开，会议审议通过了以下议案：</w:t>
      </w:r>
      <w:r>
        <w:rPr>
          <w:b w:val="0"/>
          <w:bCs w:val="0"/>
        </w:rPr>
      </w:r>
    </w:p>
    <w:p>
      <w:pPr>
        <w:pStyle w:val="Heading3"/>
        <w:spacing w:line="240" w:lineRule="auto" w:before="132"/>
        <w:ind w:left="697" w:right="106"/>
        <w:jc w:val="left"/>
      </w:pPr>
      <w:r>
        <w:rPr>
          <w:w w:val="100"/>
        </w:rPr>
        <w:t>（</w:t>
      </w:r>
      <w:r>
        <w:rPr>
          <w:rFonts w:ascii="宋体" w:hAnsi="宋体" w:cs="宋体" w:eastAsia="宋体" w:hint="default"/>
          <w:spacing w:val="-2"/>
          <w:w w:val="100"/>
        </w:rPr>
        <w:t>1</w:t>
      </w:r>
      <w:r>
        <w:rPr>
          <w:spacing w:val="-140"/>
          <w:w w:val="100"/>
        </w:rPr>
        <w:t>）</w:t>
      </w:r>
      <w:r>
        <w:rPr>
          <w:spacing w:val="-3"/>
          <w:w w:val="100"/>
        </w:rPr>
        <w:t>《</w:t>
      </w:r>
      <w:r>
        <w:rPr>
          <w:rFonts w:ascii="宋体" w:hAnsi="宋体" w:cs="宋体" w:eastAsia="宋体" w:hint="default"/>
          <w:w w:val="100"/>
        </w:rPr>
        <w:t>2</w:t>
      </w:r>
      <w:r>
        <w:rPr>
          <w:rFonts w:ascii="宋体" w:hAnsi="宋体" w:cs="宋体" w:eastAsia="宋体" w:hint="default"/>
          <w:spacing w:val="-2"/>
          <w:w w:val="100"/>
        </w:rPr>
        <w:t>0</w:t>
      </w:r>
      <w:r>
        <w:rPr>
          <w:rFonts w:ascii="宋体" w:hAnsi="宋体" w:cs="宋体" w:eastAsia="宋体" w:hint="default"/>
          <w:w w:val="100"/>
        </w:rPr>
        <w:t>10</w:t>
      </w:r>
      <w:r>
        <w:rPr>
          <w:rFonts w:ascii="宋体" w:hAnsi="宋体" w:cs="宋体" w:eastAsia="宋体" w:hint="default"/>
          <w:spacing w:val="-71"/>
        </w:rPr>
        <w:t> </w:t>
      </w:r>
      <w:r>
        <w:rPr>
          <w:w w:val="100"/>
        </w:rPr>
        <w:t>年第</w:t>
      </w:r>
      <w:r>
        <w:rPr>
          <w:spacing w:val="-3"/>
          <w:w w:val="100"/>
        </w:rPr>
        <w:t>一</w:t>
      </w:r>
      <w:r>
        <w:rPr>
          <w:w w:val="100"/>
        </w:rPr>
        <w:t>季度报</w:t>
      </w:r>
      <w:r>
        <w:rPr>
          <w:spacing w:val="-3"/>
          <w:w w:val="100"/>
        </w:rPr>
        <w:t>告</w:t>
      </w:r>
      <w:r>
        <w:rPr>
          <w:spacing w:val="-140"/>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2</w:t>
      </w:r>
      <w:r>
        <w:rPr>
          <w:spacing w:val="-140"/>
          <w:w w:val="100"/>
        </w:rPr>
        <w:t>）</w:t>
      </w:r>
      <w:r>
        <w:rPr>
          <w:w w:val="100"/>
        </w:rPr>
        <w:t>《</w:t>
      </w:r>
      <w:r>
        <w:rPr>
          <w:spacing w:val="-3"/>
          <w:w w:val="100"/>
        </w:rPr>
        <w:t>外</w:t>
      </w:r>
      <w:r>
        <w:rPr>
          <w:w w:val="100"/>
        </w:rPr>
        <w:t>部信</w:t>
      </w:r>
      <w:r>
        <w:rPr>
          <w:spacing w:val="-3"/>
          <w:w w:val="100"/>
        </w:rPr>
        <w:t>息报</w:t>
      </w:r>
      <w:r>
        <w:rPr>
          <w:w w:val="100"/>
        </w:rPr>
        <w:t>送和使</w:t>
      </w:r>
      <w:r>
        <w:rPr>
          <w:spacing w:val="-3"/>
          <w:w w:val="100"/>
        </w:rPr>
        <w:t>用</w:t>
      </w:r>
      <w:r>
        <w:rPr>
          <w:w w:val="100"/>
        </w:rPr>
        <w:t>管理</w:t>
      </w:r>
      <w:r>
        <w:rPr>
          <w:spacing w:val="-3"/>
          <w:w w:val="100"/>
        </w:rPr>
        <w:t>制</w:t>
      </w:r>
      <w:r>
        <w:rPr>
          <w:w w:val="100"/>
        </w:rPr>
        <w:t>度</w:t>
      </w:r>
      <w:r>
        <w:rPr>
          <w:spacing w:val="-142"/>
          <w:w w:val="100"/>
        </w:rPr>
        <w:t>》</w:t>
      </w:r>
      <w:r>
        <w:rPr>
          <w:w w:val="100"/>
        </w:rPr>
        <w:t>；</w:t>
      </w:r>
    </w:p>
    <w:p>
      <w:pPr>
        <w:spacing w:after="0" w:line="240" w:lineRule="auto"/>
        <w:jc w:val="left"/>
        <w:sectPr>
          <w:headerReference w:type="default" r:id="rId31"/>
          <w:pgSz w:w="11910" w:h="16840"/>
          <w:pgMar w:header="624" w:footer="1045" w:top="1240" w:bottom="1240" w:left="1660" w:right="1540"/>
        </w:sectPr>
      </w:pPr>
    </w:p>
    <w:p>
      <w:pPr>
        <w:pStyle w:val="Heading3"/>
        <w:spacing w:line="328" w:lineRule="auto" w:before="73"/>
        <w:ind w:left="697" w:right="104"/>
        <w:jc w:val="left"/>
      </w:pPr>
      <w:r>
        <w:rPr>
          <w:w w:val="100"/>
        </w:rPr>
        <w:t>（</w:t>
      </w:r>
      <w:r>
        <w:rPr>
          <w:rFonts w:ascii="宋体" w:hAnsi="宋体" w:cs="宋体" w:eastAsia="宋体" w:hint="default"/>
          <w:spacing w:val="-2"/>
          <w:w w:val="100"/>
        </w:rPr>
        <w:t>3</w:t>
      </w:r>
      <w:r>
        <w:rPr>
          <w:spacing w:val="-140"/>
          <w:w w:val="100"/>
        </w:rPr>
        <w:t>）</w:t>
      </w:r>
      <w:r>
        <w:rPr>
          <w:w w:val="100"/>
        </w:rPr>
        <w:t>《</w:t>
      </w:r>
      <w:r>
        <w:rPr>
          <w:spacing w:val="-3"/>
          <w:w w:val="100"/>
        </w:rPr>
        <w:t>年</w:t>
      </w:r>
      <w:r>
        <w:rPr>
          <w:w w:val="100"/>
        </w:rPr>
        <w:t>报披</w:t>
      </w:r>
      <w:r>
        <w:rPr>
          <w:spacing w:val="-3"/>
          <w:w w:val="100"/>
        </w:rPr>
        <w:t>露重</w:t>
      </w:r>
      <w:r>
        <w:rPr>
          <w:w w:val="100"/>
        </w:rPr>
        <w:t>大差错</w:t>
      </w:r>
      <w:r>
        <w:rPr>
          <w:spacing w:val="-3"/>
          <w:w w:val="100"/>
        </w:rPr>
        <w:t>责</w:t>
      </w:r>
      <w:r>
        <w:rPr>
          <w:w w:val="100"/>
        </w:rPr>
        <w:t>任追</w:t>
      </w:r>
      <w:r>
        <w:rPr>
          <w:spacing w:val="-3"/>
          <w:w w:val="100"/>
        </w:rPr>
        <w:t>究制</w:t>
      </w:r>
      <w:r>
        <w:rPr>
          <w:w w:val="100"/>
        </w:rPr>
        <w:t>度</w:t>
      </w:r>
      <w:r>
        <w:rPr>
          <w:spacing w:val="-140"/>
          <w:w w:val="100"/>
        </w:rPr>
        <w:t>》</w:t>
      </w:r>
      <w:r>
        <w:rPr>
          <w:w w:val="100"/>
        </w:rPr>
        <w:t>。</w:t>
      </w:r>
      <w:r>
        <w:rPr>
          <w:w w:val="100"/>
        </w:rPr>
        <w:t> 该次会</w:t>
      </w:r>
      <w:r>
        <w:rPr>
          <w:spacing w:val="-3"/>
          <w:w w:val="100"/>
        </w:rPr>
        <w:t>议</w:t>
      </w:r>
      <w:r>
        <w:rPr>
          <w:w w:val="100"/>
        </w:rPr>
        <w:t>的决</w:t>
      </w:r>
      <w:r>
        <w:rPr>
          <w:spacing w:val="-3"/>
          <w:w w:val="100"/>
        </w:rPr>
        <w:t>议内</w:t>
      </w:r>
      <w:r>
        <w:rPr>
          <w:w w:val="100"/>
        </w:rPr>
        <w:t>容已</w:t>
      </w:r>
      <w:r>
        <w:rPr>
          <w:spacing w:val="1"/>
          <w:w w:val="100"/>
        </w:rPr>
        <w:t>刊</w:t>
      </w:r>
      <w:r>
        <w:rPr>
          <w:w w:val="100"/>
        </w:rPr>
        <w:t>登在</w:t>
      </w:r>
      <w:r>
        <w:rPr>
          <w:spacing w:val="-73"/>
        </w:rPr>
        <w:t> </w:t>
      </w:r>
      <w:r>
        <w:rPr>
          <w:rFonts w:ascii="宋体" w:hAnsi="宋体" w:cs="宋体" w:eastAsia="宋体" w:hint="default"/>
          <w:spacing w:val="-2"/>
          <w:w w:val="100"/>
        </w:rPr>
        <w:t>2</w:t>
      </w:r>
      <w:r>
        <w:rPr>
          <w:rFonts w:ascii="宋体" w:hAnsi="宋体" w:cs="宋体" w:eastAsia="宋体" w:hint="default"/>
          <w:w w:val="100"/>
        </w:rPr>
        <w:t>0</w:t>
      </w:r>
      <w:r>
        <w:rPr>
          <w:rFonts w:ascii="宋体" w:hAnsi="宋体" w:cs="宋体" w:eastAsia="宋体" w:hint="default"/>
          <w:spacing w:val="-2"/>
          <w:w w:val="100"/>
        </w:rPr>
        <w:t>1</w:t>
      </w:r>
      <w:r>
        <w:rPr>
          <w:rFonts w:ascii="宋体" w:hAnsi="宋体" w:cs="宋体" w:eastAsia="宋体" w:hint="default"/>
          <w:w w:val="100"/>
        </w:rPr>
        <w:t>0</w:t>
      </w:r>
      <w:r>
        <w:rPr>
          <w:rFonts w:ascii="宋体" w:hAnsi="宋体" w:cs="宋体" w:eastAsia="宋体" w:hint="default"/>
          <w:spacing w:val="-69"/>
        </w:rPr>
        <w:t> </w:t>
      </w:r>
      <w:r>
        <w:rPr>
          <w:w w:val="100"/>
        </w:rPr>
        <w:t>年</w:t>
      </w:r>
      <w:r>
        <w:rPr>
          <w:spacing w:val="-73"/>
        </w:rPr>
        <w:t> </w:t>
      </w:r>
      <w:r>
        <w:rPr>
          <w:rFonts w:ascii="宋体" w:hAnsi="宋体" w:cs="宋体" w:eastAsia="宋体" w:hint="default"/>
          <w:w w:val="100"/>
        </w:rPr>
        <w:t>4</w:t>
      </w:r>
      <w:r>
        <w:rPr>
          <w:rFonts w:ascii="宋体" w:hAnsi="宋体" w:cs="宋体" w:eastAsia="宋体" w:hint="default"/>
          <w:spacing w:val="-70"/>
        </w:rPr>
        <w:t> </w:t>
      </w:r>
      <w:r>
        <w:rPr>
          <w:w w:val="100"/>
        </w:rPr>
        <w:t>月</w:t>
      </w:r>
      <w:r>
        <w:rPr>
          <w:spacing w:val="-71"/>
        </w:rPr>
        <w:t> </w:t>
      </w:r>
      <w:r>
        <w:rPr>
          <w:rFonts w:ascii="宋体" w:hAnsi="宋体" w:cs="宋体" w:eastAsia="宋体" w:hint="default"/>
          <w:spacing w:val="-2"/>
          <w:w w:val="100"/>
        </w:rPr>
        <w:t>2</w:t>
      </w:r>
      <w:r>
        <w:rPr>
          <w:rFonts w:ascii="宋体" w:hAnsi="宋体" w:cs="宋体" w:eastAsia="宋体" w:hint="default"/>
          <w:w w:val="100"/>
        </w:rPr>
        <w:t>6</w:t>
      </w:r>
      <w:r>
        <w:rPr>
          <w:rFonts w:ascii="宋体" w:hAnsi="宋体" w:cs="宋体" w:eastAsia="宋体" w:hint="default"/>
          <w:spacing w:val="-70"/>
        </w:rPr>
        <w:t> </w:t>
      </w:r>
      <w:r>
        <w:rPr>
          <w:w w:val="100"/>
        </w:rPr>
        <w:t>日</w:t>
      </w:r>
      <w:r>
        <w:rPr>
          <w:spacing w:val="-89"/>
          <w:w w:val="100"/>
        </w:rPr>
        <w:t>的</w:t>
      </w:r>
      <w:r>
        <w:rPr>
          <w:spacing w:val="-3"/>
          <w:w w:val="100"/>
        </w:rPr>
        <w:t>《</w:t>
      </w:r>
      <w:r>
        <w:rPr>
          <w:w w:val="100"/>
        </w:rPr>
        <w:t>证</w:t>
      </w:r>
      <w:r>
        <w:rPr>
          <w:spacing w:val="-3"/>
          <w:w w:val="100"/>
        </w:rPr>
        <w:t>券</w:t>
      </w:r>
      <w:r>
        <w:rPr>
          <w:w w:val="100"/>
        </w:rPr>
        <w:t>时报</w:t>
      </w:r>
      <w:r>
        <w:rPr>
          <w:spacing w:val="-142"/>
          <w:w w:val="100"/>
        </w:rPr>
        <w:t>》</w:t>
      </w:r>
      <w:r>
        <w:rPr>
          <w:w w:val="100"/>
        </w:rPr>
        <w:t>、</w:t>
      </w:r>
    </w:p>
    <w:p>
      <w:pPr>
        <w:spacing w:line="326" w:lineRule="auto" w:before="29"/>
        <w:ind w:left="699" w:right="260" w:hanging="562"/>
        <w:jc w:val="left"/>
        <w:rPr>
          <w:rFonts w:ascii="宋体" w:hAnsi="宋体" w:cs="宋体" w:eastAsia="宋体" w:hint="default"/>
          <w:sz w:val="28"/>
          <w:szCs w:val="28"/>
        </w:rPr>
      </w:pPr>
      <w:r>
        <w:rPr>
          <w:rFonts w:ascii="宋体" w:hAnsi="宋体" w:cs="宋体" w:eastAsia="宋体" w:hint="default"/>
          <w:sz w:val="28"/>
          <w:szCs w:val="28"/>
        </w:rPr>
        <w:t>《中国证券报》和巨潮资讯网（</w:t>
      </w:r>
      <w:hyperlink r:id="rId12">
        <w:r>
          <w:rPr>
            <w:rFonts w:ascii="宋体" w:hAnsi="宋体" w:cs="宋体" w:eastAsia="宋体" w:hint="default"/>
            <w:sz w:val="28"/>
            <w:szCs w:val="28"/>
          </w:rPr>
          <w:t>http://www.cninfo.com.cn</w:t>
        </w:r>
      </w:hyperlink>
      <w:r>
        <w:rPr>
          <w:rFonts w:ascii="宋体" w:hAnsi="宋体" w:cs="宋体" w:eastAsia="宋体" w:hint="default"/>
          <w:sz w:val="28"/>
          <w:szCs w:val="28"/>
        </w:rPr>
        <w:t>）上。</w:t>
      </w:r>
      <w:r>
        <w:rPr>
          <w:rFonts w:ascii="宋体" w:hAnsi="宋体" w:cs="宋体" w:eastAsia="宋体" w:hint="default"/>
          <w:w w:val="100"/>
          <w:sz w:val="28"/>
          <w:szCs w:val="28"/>
        </w:rPr>
        <w:t> </w:t>
      </w:r>
      <w:r>
        <w:rPr>
          <w:rFonts w:ascii="宋体" w:hAnsi="宋体" w:cs="宋体" w:eastAsia="宋体" w:hint="default"/>
          <w:b/>
          <w:bCs/>
          <w:sz w:val="28"/>
          <w:szCs w:val="28"/>
        </w:rPr>
        <w:t>3</w:t>
      </w:r>
      <w:r>
        <w:rPr>
          <w:rFonts w:ascii="宋体" w:hAnsi="宋体" w:cs="宋体" w:eastAsia="宋体" w:hint="default"/>
          <w:b/>
          <w:bCs/>
          <w:sz w:val="28"/>
          <w:szCs w:val="28"/>
        </w:rPr>
        <w:t>、公司第三届董事会第八次会议于</w:t>
      </w:r>
      <w:r>
        <w:rPr>
          <w:rFonts w:ascii="宋体" w:hAnsi="宋体" w:cs="宋体" w:eastAsia="宋体" w:hint="default"/>
          <w:b/>
          <w:bCs/>
          <w:spacing w:val="-73"/>
          <w:sz w:val="28"/>
          <w:szCs w:val="28"/>
        </w:rPr>
        <w:t> </w:t>
      </w:r>
      <w:r>
        <w:rPr>
          <w:rFonts w:ascii="宋体" w:hAnsi="宋体" w:cs="宋体" w:eastAsia="宋体" w:hint="default"/>
          <w:b/>
          <w:bCs/>
          <w:sz w:val="28"/>
          <w:szCs w:val="28"/>
        </w:rPr>
        <w:t>2010</w:t>
      </w:r>
      <w:r>
        <w:rPr>
          <w:rFonts w:ascii="宋体" w:hAnsi="宋体" w:cs="宋体" w:eastAsia="宋体" w:hint="default"/>
          <w:b/>
          <w:bCs/>
          <w:spacing w:val="-72"/>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宋体" w:hAnsi="宋体" w:cs="宋体" w:eastAsia="宋体" w:hint="default"/>
          <w:b/>
          <w:bCs/>
          <w:sz w:val="28"/>
          <w:szCs w:val="28"/>
        </w:rPr>
        <w:t>6</w:t>
      </w:r>
      <w:r>
        <w:rPr>
          <w:rFonts w:ascii="宋体" w:hAnsi="宋体" w:cs="宋体" w:eastAsia="宋体" w:hint="default"/>
          <w:b/>
          <w:bCs/>
          <w:spacing w:val="-69"/>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宋体" w:hAnsi="宋体" w:cs="宋体" w:eastAsia="宋体" w:hint="default"/>
          <w:b/>
          <w:bCs/>
          <w:sz w:val="28"/>
          <w:szCs w:val="28"/>
        </w:rPr>
        <w:t>17</w:t>
      </w:r>
      <w:r>
        <w:rPr>
          <w:rFonts w:ascii="宋体" w:hAnsi="宋体" w:cs="宋体" w:eastAsia="宋体" w:hint="default"/>
          <w:b/>
          <w:bCs/>
          <w:spacing w:val="-72"/>
          <w:sz w:val="28"/>
          <w:szCs w:val="28"/>
        </w:rPr>
        <w:t> </w:t>
      </w:r>
      <w:r>
        <w:rPr>
          <w:rFonts w:ascii="宋体" w:hAnsi="宋体" w:cs="宋体" w:eastAsia="宋体" w:hint="default"/>
          <w:b/>
          <w:bCs/>
          <w:sz w:val="28"/>
          <w:szCs w:val="28"/>
        </w:rPr>
        <w:t>日以现场表</w:t>
      </w:r>
      <w:r>
        <w:rPr>
          <w:rFonts w:ascii="宋体" w:hAnsi="宋体" w:cs="宋体" w:eastAsia="宋体" w:hint="default"/>
          <w:sz w:val="28"/>
          <w:szCs w:val="28"/>
        </w:rPr>
      </w:r>
    </w:p>
    <w:p>
      <w:pPr>
        <w:pStyle w:val="Heading2"/>
        <w:spacing w:line="240" w:lineRule="auto" w:before="34"/>
        <w:ind w:right="106"/>
        <w:jc w:val="left"/>
        <w:rPr>
          <w:b w:val="0"/>
          <w:bCs w:val="0"/>
        </w:rPr>
      </w:pPr>
      <w:r>
        <w:rPr/>
        <w:t>决的方式召开，会议审议通过了以下议案：</w:t>
      </w:r>
      <w:r>
        <w:rPr>
          <w:b w:val="0"/>
          <w:bCs w:val="0"/>
        </w:rPr>
      </w:r>
    </w:p>
    <w:p>
      <w:pPr>
        <w:pStyle w:val="Heading3"/>
        <w:spacing w:line="240" w:lineRule="auto" w:before="132"/>
        <w:ind w:left="697" w:right="106"/>
        <w:jc w:val="left"/>
      </w:pPr>
      <w:r>
        <w:rPr>
          <w:w w:val="100"/>
        </w:rPr>
        <w:t>（</w:t>
      </w:r>
      <w:r>
        <w:rPr>
          <w:rFonts w:ascii="宋体" w:hAnsi="宋体" w:cs="宋体" w:eastAsia="宋体" w:hint="default"/>
          <w:spacing w:val="-2"/>
          <w:w w:val="100"/>
        </w:rPr>
        <w:t>1</w:t>
      </w:r>
      <w:r>
        <w:rPr>
          <w:spacing w:val="-140"/>
          <w:w w:val="100"/>
        </w:rPr>
        <w:t>）</w:t>
      </w:r>
      <w:r>
        <w:rPr>
          <w:w w:val="100"/>
        </w:rPr>
        <w:t>《</w:t>
      </w:r>
      <w:r>
        <w:rPr>
          <w:spacing w:val="-3"/>
          <w:w w:val="100"/>
        </w:rPr>
        <w:t>关</w:t>
      </w:r>
      <w:r>
        <w:rPr>
          <w:w w:val="100"/>
        </w:rPr>
        <w:t>于调</w:t>
      </w:r>
      <w:r>
        <w:rPr>
          <w:spacing w:val="-3"/>
          <w:w w:val="100"/>
        </w:rPr>
        <w:t>整公</w:t>
      </w:r>
      <w:r>
        <w:rPr>
          <w:w w:val="100"/>
        </w:rPr>
        <w:t>司内部</w:t>
      </w:r>
      <w:r>
        <w:rPr>
          <w:spacing w:val="-3"/>
          <w:w w:val="100"/>
        </w:rPr>
        <w:t>管</w:t>
      </w:r>
      <w:r>
        <w:rPr>
          <w:w w:val="100"/>
        </w:rPr>
        <w:t>理机</w:t>
      </w:r>
      <w:r>
        <w:rPr>
          <w:spacing w:val="-3"/>
          <w:w w:val="100"/>
        </w:rPr>
        <w:t>构设</w:t>
      </w:r>
      <w:r>
        <w:rPr>
          <w:w w:val="100"/>
        </w:rPr>
        <w:t>置的议</w:t>
      </w:r>
      <w:r>
        <w:rPr>
          <w:spacing w:val="-3"/>
          <w:w w:val="100"/>
        </w:rPr>
        <w:t>案</w:t>
      </w:r>
      <w:r>
        <w:rPr>
          <w:spacing w:val="-140"/>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2</w:t>
      </w:r>
      <w:r>
        <w:rPr>
          <w:spacing w:val="-140"/>
          <w:w w:val="100"/>
        </w:rPr>
        <w:t>）</w:t>
      </w:r>
      <w:r>
        <w:rPr>
          <w:w w:val="100"/>
        </w:rPr>
        <w:t>《</w:t>
      </w:r>
      <w:r>
        <w:rPr>
          <w:spacing w:val="-3"/>
          <w:w w:val="100"/>
        </w:rPr>
        <w:t>关</w:t>
      </w:r>
      <w:r>
        <w:rPr>
          <w:w w:val="100"/>
        </w:rPr>
        <w:t>于使</w:t>
      </w:r>
      <w:r>
        <w:rPr>
          <w:spacing w:val="-3"/>
          <w:w w:val="100"/>
        </w:rPr>
        <w:t>用部</w:t>
      </w:r>
      <w:r>
        <w:rPr>
          <w:w w:val="100"/>
        </w:rPr>
        <w:t>分超募</w:t>
      </w:r>
      <w:r>
        <w:rPr>
          <w:spacing w:val="-3"/>
          <w:w w:val="100"/>
        </w:rPr>
        <w:t>资</w:t>
      </w:r>
      <w:r>
        <w:rPr>
          <w:w w:val="100"/>
        </w:rPr>
        <w:t>金补</w:t>
      </w:r>
      <w:r>
        <w:rPr>
          <w:spacing w:val="-3"/>
          <w:w w:val="100"/>
        </w:rPr>
        <w:t>充流</w:t>
      </w:r>
      <w:r>
        <w:rPr>
          <w:w w:val="100"/>
        </w:rPr>
        <w:t>动资金</w:t>
      </w:r>
      <w:r>
        <w:rPr>
          <w:spacing w:val="-3"/>
          <w:w w:val="100"/>
        </w:rPr>
        <w:t>的</w:t>
      </w:r>
      <w:r>
        <w:rPr>
          <w:w w:val="100"/>
        </w:rPr>
        <w:t>议</w:t>
      </w:r>
      <w:r>
        <w:rPr>
          <w:spacing w:val="-3"/>
          <w:w w:val="100"/>
        </w:rPr>
        <w:t>案</w:t>
      </w:r>
      <w:r>
        <w:rPr>
          <w:spacing w:val="-140"/>
          <w:w w:val="100"/>
        </w:rPr>
        <w:t>》</w:t>
      </w:r>
      <w:r>
        <w:rPr>
          <w:w w:val="100"/>
        </w:rPr>
        <w:t>；</w:t>
      </w:r>
    </w:p>
    <w:p>
      <w:pPr>
        <w:pStyle w:val="Heading3"/>
        <w:spacing w:line="240" w:lineRule="auto" w:before="135"/>
        <w:ind w:left="697" w:right="106"/>
        <w:jc w:val="left"/>
      </w:pPr>
      <w:r>
        <w:rPr>
          <w:w w:val="100"/>
        </w:rPr>
        <w:t>（</w:t>
      </w:r>
      <w:r>
        <w:rPr>
          <w:rFonts w:ascii="宋体" w:hAnsi="宋体" w:cs="宋体" w:eastAsia="宋体" w:hint="default"/>
          <w:spacing w:val="-2"/>
          <w:w w:val="100"/>
        </w:rPr>
        <w:t>3</w:t>
      </w:r>
      <w:r>
        <w:rPr>
          <w:spacing w:val="-140"/>
          <w:w w:val="100"/>
        </w:rPr>
        <w:t>）</w:t>
      </w:r>
      <w:r>
        <w:rPr>
          <w:w w:val="100"/>
        </w:rPr>
        <w:t>《</w:t>
      </w:r>
      <w:r>
        <w:rPr>
          <w:spacing w:val="-3"/>
          <w:w w:val="100"/>
        </w:rPr>
        <w:t>总</w:t>
      </w:r>
      <w:r>
        <w:rPr>
          <w:w w:val="100"/>
        </w:rPr>
        <w:t>经理</w:t>
      </w:r>
      <w:r>
        <w:rPr>
          <w:spacing w:val="-3"/>
          <w:w w:val="100"/>
        </w:rPr>
        <w:t>工作</w:t>
      </w:r>
      <w:r>
        <w:rPr>
          <w:w w:val="100"/>
        </w:rPr>
        <w:t>细则</w:t>
      </w:r>
      <w:r>
        <w:rPr>
          <w:spacing w:val="-142"/>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4</w:t>
      </w:r>
      <w:r>
        <w:rPr>
          <w:spacing w:val="-140"/>
          <w:w w:val="100"/>
        </w:rPr>
        <w:t>）</w:t>
      </w:r>
      <w:r>
        <w:rPr>
          <w:w w:val="100"/>
        </w:rPr>
        <w:t>《</w:t>
      </w:r>
      <w:r>
        <w:rPr>
          <w:spacing w:val="-3"/>
          <w:w w:val="100"/>
        </w:rPr>
        <w:t>董</w:t>
      </w:r>
      <w:r>
        <w:rPr>
          <w:w w:val="100"/>
        </w:rPr>
        <w:t>事会</w:t>
      </w:r>
      <w:r>
        <w:rPr>
          <w:spacing w:val="-3"/>
          <w:w w:val="100"/>
        </w:rPr>
        <w:t>秘书</w:t>
      </w:r>
      <w:r>
        <w:rPr>
          <w:w w:val="100"/>
        </w:rPr>
        <w:t>工作细</w:t>
      </w:r>
      <w:r>
        <w:rPr>
          <w:spacing w:val="-3"/>
          <w:w w:val="100"/>
        </w:rPr>
        <w:t>则</w:t>
      </w:r>
      <w:r>
        <w:rPr>
          <w:spacing w:val="-140"/>
          <w:w w:val="100"/>
        </w:rPr>
        <w:t>》</w:t>
      </w:r>
      <w:r>
        <w:rPr>
          <w:w w:val="100"/>
        </w:rPr>
        <w:t>；</w:t>
      </w:r>
    </w:p>
    <w:p>
      <w:pPr>
        <w:pStyle w:val="Heading3"/>
        <w:spacing w:line="240" w:lineRule="auto" w:before="133"/>
        <w:ind w:left="697" w:right="106"/>
        <w:jc w:val="left"/>
      </w:pPr>
      <w:r>
        <w:rPr>
          <w:w w:val="100"/>
        </w:rPr>
        <w:t>（</w:t>
      </w:r>
      <w:r>
        <w:rPr>
          <w:rFonts w:ascii="宋体" w:hAnsi="宋体" w:cs="宋体" w:eastAsia="宋体" w:hint="default"/>
          <w:spacing w:val="-2"/>
          <w:w w:val="100"/>
        </w:rPr>
        <w:t>5</w:t>
      </w:r>
      <w:r>
        <w:rPr>
          <w:spacing w:val="-140"/>
          <w:w w:val="100"/>
        </w:rPr>
        <w:t>）</w:t>
      </w:r>
      <w:r>
        <w:rPr>
          <w:w w:val="100"/>
        </w:rPr>
        <w:t>《</w:t>
      </w:r>
      <w:r>
        <w:rPr>
          <w:spacing w:val="-3"/>
          <w:w w:val="100"/>
        </w:rPr>
        <w:t>投</w:t>
      </w:r>
      <w:r>
        <w:rPr>
          <w:w w:val="100"/>
        </w:rPr>
        <w:t>资者</w:t>
      </w:r>
      <w:r>
        <w:rPr>
          <w:spacing w:val="-3"/>
          <w:w w:val="100"/>
        </w:rPr>
        <w:t>关系</w:t>
      </w:r>
      <w:r>
        <w:rPr>
          <w:w w:val="100"/>
        </w:rPr>
        <w:t>管理制</w:t>
      </w:r>
      <w:r>
        <w:rPr>
          <w:spacing w:val="-3"/>
          <w:w w:val="100"/>
        </w:rPr>
        <w:t>度</w:t>
      </w:r>
      <w:r>
        <w:rPr>
          <w:spacing w:val="-140"/>
          <w:w w:val="100"/>
        </w:rPr>
        <w:t>》</w:t>
      </w:r>
      <w:r>
        <w:rPr>
          <w:w w:val="100"/>
        </w:rPr>
        <w:t>；</w:t>
      </w:r>
    </w:p>
    <w:p>
      <w:pPr>
        <w:pStyle w:val="Heading3"/>
        <w:spacing w:line="240" w:lineRule="auto" w:before="135"/>
        <w:ind w:left="697" w:right="106"/>
        <w:jc w:val="left"/>
      </w:pPr>
      <w:r>
        <w:rPr>
          <w:w w:val="100"/>
        </w:rPr>
        <w:t>（</w:t>
      </w:r>
      <w:r>
        <w:rPr>
          <w:rFonts w:ascii="宋体" w:hAnsi="宋体" w:cs="宋体" w:eastAsia="宋体" w:hint="default"/>
          <w:spacing w:val="-2"/>
          <w:w w:val="100"/>
        </w:rPr>
        <w:t>6</w:t>
      </w:r>
      <w:r>
        <w:rPr>
          <w:spacing w:val="-140"/>
          <w:w w:val="100"/>
        </w:rPr>
        <w:t>）</w:t>
      </w:r>
      <w:r>
        <w:rPr>
          <w:w w:val="100"/>
        </w:rPr>
        <w:t>《</w:t>
      </w:r>
      <w:r>
        <w:rPr>
          <w:spacing w:val="-3"/>
          <w:w w:val="100"/>
        </w:rPr>
        <w:t>董</w:t>
      </w:r>
      <w:r>
        <w:rPr>
          <w:w w:val="100"/>
        </w:rPr>
        <w:t>事会</w:t>
      </w:r>
      <w:r>
        <w:rPr>
          <w:spacing w:val="-3"/>
          <w:w w:val="100"/>
        </w:rPr>
        <w:t>审计</w:t>
      </w:r>
      <w:r>
        <w:rPr>
          <w:w w:val="100"/>
        </w:rPr>
        <w:t>委员会</w:t>
      </w:r>
      <w:r>
        <w:rPr>
          <w:spacing w:val="-3"/>
          <w:w w:val="100"/>
        </w:rPr>
        <w:t>议</w:t>
      </w:r>
      <w:r>
        <w:rPr>
          <w:w w:val="100"/>
        </w:rPr>
        <w:t>事规</w:t>
      </w:r>
      <w:r>
        <w:rPr>
          <w:spacing w:val="-3"/>
          <w:w w:val="100"/>
        </w:rPr>
        <w:t>则</w:t>
      </w:r>
      <w:r>
        <w:rPr>
          <w:spacing w:val="-140"/>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7</w:t>
      </w:r>
      <w:r>
        <w:rPr>
          <w:spacing w:val="-140"/>
          <w:w w:val="100"/>
        </w:rPr>
        <w:t>）</w:t>
      </w:r>
      <w:r>
        <w:rPr>
          <w:w w:val="100"/>
        </w:rPr>
        <w:t>《</w:t>
      </w:r>
      <w:r>
        <w:rPr>
          <w:spacing w:val="-3"/>
          <w:w w:val="100"/>
        </w:rPr>
        <w:t>董</w:t>
      </w:r>
      <w:r>
        <w:rPr>
          <w:w w:val="100"/>
        </w:rPr>
        <w:t>事会</w:t>
      </w:r>
      <w:r>
        <w:rPr>
          <w:spacing w:val="-3"/>
          <w:w w:val="100"/>
        </w:rPr>
        <w:t>提名</w:t>
      </w:r>
      <w:r>
        <w:rPr>
          <w:w w:val="100"/>
        </w:rPr>
        <w:t>委员会</w:t>
      </w:r>
      <w:r>
        <w:rPr>
          <w:spacing w:val="-3"/>
          <w:w w:val="100"/>
        </w:rPr>
        <w:t>议</w:t>
      </w:r>
      <w:r>
        <w:rPr>
          <w:w w:val="100"/>
        </w:rPr>
        <w:t>事规</w:t>
      </w:r>
      <w:r>
        <w:rPr>
          <w:spacing w:val="-3"/>
          <w:w w:val="100"/>
        </w:rPr>
        <w:t>则</w:t>
      </w:r>
      <w:r>
        <w:rPr>
          <w:spacing w:val="-140"/>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8</w:t>
      </w:r>
      <w:r>
        <w:rPr>
          <w:spacing w:val="-140"/>
          <w:w w:val="100"/>
        </w:rPr>
        <w:t>）</w:t>
      </w:r>
      <w:r>
        <w:rPr>
          <w:w w:val="100"/>
        </w:rPr>
        <w:t>《</w:t>
      </w:r>
      <w:r>
        <w:rPr>
          <w:spacing w:val="-3"/>
          <w:w w:val="100"/>
        </w:rPr>
        <w:t>董</w:t>
      </w:r>
      <w:r>
        <w:rPr>
          <w:w w:val="100"/>
        </w:rPr>
        <w:t>事会</w:t>
      </w:r>
      <w:r>
        <w:rPr>
          <w:spacing w:val="-3"/>
          <w:w w:val="100"/>
        </w:rPr>
        <w:t>薪酬</w:t>
      </w:r>
      <w:r>
        <w:rPr>
          <w:spacing w:val="1"/>
          <w:w w:val="100"/>
        </w:rPr>
        <w:t>与</w:t>
      </w:r>
      <w:r>
        <w:rPr>
          <w:w w:val="100"/>
        </w:rPr>
        <w:t>考核</w:t>
      </w:r>
      <w:r>
        <w:rPr>
          <w:spacing w:val="-3"/>
          <w:w w:val="100"/>
        </w:rPr>
        <w:t>委</w:t>
      </w:r>
      <w:r>
        <w:rPr>
          <w:w w:val="100"/>
        </w:rPr>
        <w:t>员会</w:t>
      </w:r>
      <w:r>
        <w:rPr>
          <w:spacing w:val="-3"/>
          <w:w w:val="100"/>
        </w:rPr>
        <w:t>议事</w:t>
      </w:r>
      <w:r>
        <w:rPr>
          <w:w w:val="100"/>
        </w:rPr>
        <w:t>规则</w:t>
      </w:r>
      <w:r>
        <w:rPr>
          <w:spacing w:val="-142"/>
          <w:w w:val="100"/>
        </w:rPr>
        <w:t>》</w:t>
      </w:r>
      <w:r>
        <w:rPr>
          <w:w w:val="100"/>
        </w:rPr>
        <w:t>；</w:t>
      </w:r>
    </w:p>
    <w:p>
      <w:pPr>
        <w:pStyle w:val="Heading3"/>
        <w:spacing w:line="240" w:lineRule="auto" w:before="135"/>
        <w:ind w:left="697" w:right="106"/>
        <w:jc w:val="left"/>
      </w:pPr>
      <w:r>
        <w:rPr>
          <w:w w:val="100"/>
        </w:rPr>
        <w:t>（</w:t>
      </w:r>
      <w:r>
        <w:rPr>
          <w:rFonts w:ascii="宋体" w:hAnsi="宋体" w:cs="宋体" w:eastAsia="宋体" w:hint="default"/>
          <w:spacing w:val="-2"/>
          <w:w w:val="100"/>
        </w:rPr>
        <w:t>9</w:t>
      </w:r>
      <w:r>
        <w:rPr>
          <w:spacing w:val="-140"/>
          <w:w w:val="100"/>
        </w:rPr>
        <w:t>）</w:t>
      </w:r>
      <w:r>
        <w:rPr>
          <w:w w:val="100"/>
        </w:rPr>
        <w:t>《</w:t>
      </w:r>
      <w:r>
        <w:rPr>
          <w:spacing w:val="-3"/>
          <w:w w:val="100"/>
        </w:rPr>
        <w:t>董</w:t>
      </w:r>
      <w:r>
        <w:rPr>
          <w:w w:val="100"/>
        </w:rPr>
        <w:t>事会</w:t>
      </w:r>
      <w:r>
        <w:rPr>
          <w:spacing w:val="-3"/>
          <w:w w:val="100"/>
        </w:rPr>
        <w:t>战略</w:t>
      </w:r>
      <w:r>
        <w:rPr>
          <w:w w:val="100"/>
        </w:rPr>
        <w:t>决策委</w:t>
      </w:r>
      <w:r>
        <w:rPr>
          <w:spacing w:val="-3"/>
          <w:w w:val="100"/>
        </w:rPr>
        <w:t>员</w:t>
      </w:r>
      <w:r>
        <w:rPr>
          <w:w w:val="100"/>
        </w:rPr>
        <w:t>会议</w:t>
      </w:r>
      <w:r>
        <w:rPr>
          <w:spacing w:val="-3"/>
          <w:w w:val="100"/>
        </w:rPr>
        <w:t>事规</w:t>
      </w:r>
      <w:r>
        <w:rPr>
          <w:w w:val="100"/>
        </w:rPr>
        <w:t>则</w:t>
      </w:r>
      <w:r>
        <w:rPr>
          <w:spacing w:val="-140"/>
          <w:w w:val="100"/>
        </w:rPr>
        <w:t>》</w:t>
      </w:r>
      <w:r>
        <w:rPr>
          <w:w w:val="100"/>
        </w:rPr>
        <w:t>；</w:t>
      </w:r>
    </w:p>
    <w:p>
      <w:pPr>
        <w:pStyle w:val="Heading3"/>
        <w:spacing w:line="326" w:lineRule="auto" w:before="132"/>
        <w:ind w:right="294" w:firstLine="559"/>
        <w:jc w:val="left"/>
      </w:pPr>
      <w:r>
        <w:rPr>
          <w:w w:val="100"/>
        </w:rPr>
        <w:t>（</w:t>
      </w:r>
      <w:r>
        <w:rPr>
          <w:rFonts w:ascii="宋体" w:hAnsi="宋体" w:cs="宋体" w:eastAsia="宋体" w:hint="default"/>
          <w:spacing w:val="-2"/>
          <w:w w:val="100"/>
        </w:rPr>
        <w:t>1</w:t>
      </w:r>
      <w:r>
        <w:rPr>
          <w:rFonts w:ascii="宋体" w:hAnsi="宋体" w:cs="宋体" w:eastAsia="宋体" w:hint="default"/>
          <w:spacing w:val="1"/>
          <w:w w:val="100"/>
        </w:rPr>
        <w:t>0</w:t>
      </w:r>
      <w:r>
        <w:rPr>
          <w:spacing w:val="-142"/>
          <w:w w:val="100"/>
        </w:rPr>
        <w:t>）</w:t>
      </w:r>
      <w:r>
        <w:rPr>
          <w:w w:val="100"/>
        </w:rPr>
        <w:t>《董</w:t>
      </w:r>
      <w:r>
        <w:rPr>
          <w:spacing w:val="-3"/>
          <w:w w:val="100"/>
        </w:rPr>
        <w:t>事</w:t>
      </w:r>
      <w:r>
        <w:rPr>
          <w:w w:val="100"/>
        </w:rPr>
        <w:t>、监</w:t>
      </w:r>
      <w:r>
        <w:rPr>
          <w:spacing w:val="-3"/>
          <w:w w:val="100"/>
        </w:rPr>
        <w:t>事</w:t>
      </w:r>
      <w:r>
        <w:rPr>
          <w:w w:val="100"/>
        </w:rPr>
        <w:t>和高级</w:t>
      </w:r>
      <w:r>
        <w:rPr>
          <w:spacing w:val="-3"/>
          <w:w w:val="100"/>
        </w:rPr>
        <w:t>管</w:t>
      </w:r>
      <w:r>
        <w:rPr>
          <w:w w:val="100"/>
        </w:rPr>
        <w:t>理人</w:t>
      </w:r>
      <w:r>
        <w:rPr>
          <w:spacing w:val="-3"/>
          <w:w w:val="100"/>
        </w:rPr>
        <w:t>员所</w:t>
      </w:r>
      <w:r>
        <w:rPr>
          <w:w w:val="100"/>
        </w:rPr>
        <w:t>持公司</w:t>
      </w:r>
      <w:r>
        <w:rPr>
          <w:spacing w:val="-3"/>
          <w:w w:val="100"/>
        </w:rPr>
        <w:t>股</w:t>
      </w:r>
      <w:r>
        <w:rPr>
          <w:w w:val="100"/>
        </w:rPr>
        <w:t>份及</w:t>
      </w:r>
      <w:r>
        <w:rPr>
          <w:spacing w:val="-3"/>
          <w:w w:val="100"/>
        </w:rPr>
        <w:t>其变</w:t>
      </w:r>
      <w:r>
        <w:rPr>
          <w:w w:val="100"/>
        </w:rPr>
        <w:t>动管理</w:t>
      </w:r>
      <w:r>
        <w:rPr>
          <w:w w:val="100"/>
        </w:rPr>
        <w:t> 制度</w:t>
      </w:r>
      <w:r>
        <w:rPr>
          <w:spacing w:val="-142"/>
          <w:w w:val="100"/>
        </w:rPr>
        <w:t>》</w:t>
      </w:r>
      <w:r>
        <w:rPr>
          <w:w w:val="100"/>
        </w:rPr>
        <w:t>。</w:t>
      </w:r>
    </w:p>
    <w:p>
      <w:pPr>
        <w:pStyle w:val="Heading3"/>
        <w:spacing w:line="326" w:lineRule="auto" w:before="34"/>
        <w:ind w:right="243" w:firstLine="559"/>
        <w:jc w:val="left"/>
      </w:pPr>
      <w:r>
        <w:rPr>
          <w:spacing w:val="-1"/>
          <w:w w:val="100"/>
        </w:rPr>
        <w:t>该次决议内容已刊登在</w:t>
      </w:r>
      <w:r>
        <w:rPr>
          <w:spacing w:val="-70"/>
          <w:w w:val="100"/>
        </w:rPr>
        <w:t> </w:t>
      </w:r>
      <w:r>
        <w:rPr>
          <w:rFonts w:ascii="宋体" w:hAnsi="宋体" w:cs="宋体" w:eastAsia="宋体" w:hint="default"/>
          <w:spacing w:val="-1"/>
          <w:w w:val="100"/>
        </w:rPr>
        <w:t>2010</w:t>
      </w:r>
      <w:r>
        <w:rPr>
          <w:rFonts w:ascii="宋体" w:hAnsi="宋体" w:cs="宋体" w:eastAsia="宋体" w:hint="default"/>
          <w:spacing w:val="-69"/>
          <w:w w:val="100"/>
        </w:rPr>
        <w:t> </w:t>
      </w:r>
      <w:r>
        <w:rPr>
          <w:w w:val="100"/>
        </w:rPr>
        <w:t>年</w:t>
      </w:r>
      <w:r>
        <w:rPr>
          <w:spacing w:val="-72"/>
          <w:w w:val="100"/>
        </w:rPr>
        <w:t> </w:t>
      </w:r>
      <w:r>
        <w:rPr>
          <w:rFonts w:ascii="宋体" w:hAnsi="宋体" w:cs="宋体" w:eastAsia="宋体" w:hint="default"/>
          <w:w w:val="100"/>
        </w:rPr>
        <w:t>6</w:t>
      </w:r>
      <w:r>
        <w:rPr>
          <w:rFonts w:ascii="宋体" w:hAnsi="宋体" w:cs="宋体" w:eastAsia="宋体" w:hint="default"/>
          <w:spacing w:val="-68"/>
          <w:w w:val="100"/>
        </w:rPr>
        <w:t> </w:t>
      </w:r>
      <w:r>
        <w:rPr>
          <w:w w:val="100"/>
        </w:rPr>
        <w:t>月</w:t>
      </w:r>
      <w:r>
        <w:rPr>
          <w:spacing w:val="-70"/>
          <w:w w:val="100"/>
        </w:rPr>
        <w:t> </w:t>
      </w:r>
      <w:r>
        <w:rPr>
          <w:rFonts w:ascii="宋体" w:hAnsi="宋体" w:cs="宋体" w:eastAsia="宋体" w:hint="default"/>
          <w:spacing w:val="-1"/>
          <w:w w:val="100"/>
        </w:rPr>
        <w:t>18</w:t>
      </w:r>
      <w:r>
        <w:rPr>
          <w:rFonts w:ascii="宋体" w:hAnsi="宋体" w:cs="宋体" w:eastAsia="宋体" w:hint="default"/>
          <w:spacing w:val="-69"/>
          <w:w w:val="100"/>
        </w:rPr>
        <w:t> </w:t>
      </w:r>
      <w:r>
        <w:rPr>
          <w:spacing w:val="-32"/>
          <w:w w:val="100"/>
        </w:rPr>
        <w:t>日的《证券时报》、《中国</w:t>
      </w:r>
      <w:r>
        <w:rPr>
          <w:w w:val="100"/>
        </w:rPr>
        <w:t> </w:t>
      </w:r>
      <w:r>
        <w:rPr/>
        <w:t>证券报》和巨潮资讯（</w:t>
      </w:r>
      <w:hyperlink r:id="rId12">
        <w:r>
          <w:rPr>
            <w:rFonts w:ascii="宋体" w:hAnsi="宋体" w:cs="宋体" w:eastAsia="宋体" w:hint="default"/>
          </w:rPr>
          <w:t>http://www.cninfo.com.cn</w:t>
        </w:r>
      </w:hyperlink>
      <w:r>
        <w:rPr/>
        <w:t>）上。</w:t>
      </w:r>
    </w:p>
    <w:p>
      <w:pPr>
        <w:pStyle w:val="Heading2"/>
        <w:spacing w:line="328" w:lineRule="auto" w:before="32"/>
        <w:ind w:right="260" w:firstLine="561"/>
        <w:jc w:val="left"/>
        <w:rPr>
          <w:b w:val="0"/>
          <w:bCs w:val="0"/>
        </w:rPr>
      </w:pPr>
      <w:r>
        <w:rPr>
          <w:rFonts w:ascii="宋体" w:hAnsi="宋体" w:cs="宋体" w:eastAsia="宋体" w:hint="default"/>
        </w:rPr>
        <w:t>4</w:t>
      </w:r>
      <w:r>
        <w:rPr/>
        <w:t>、公司第三届董事会第九次会议于</w:t>
      </w:r>
      <w:r>
        <w:rPr>
          <w:spacing w:val="-73"/>
        </w:rPr>
        <w:t> </w:t>
      </w:r>
      <w:r>
        <w:rPr>
          <w:rFonts w:ascii="宋体" w:hAnsi="宋体" w:cs="宋体" w:eastAsia="宋体" w:hint="default"/>
        </w:rPr>
        <w:t>2010</w:t>
      </w:r>
      <w:r>
        <w:rPr>
          <w:rFonts w:ascii="宋体" w:hAnsi="宋体" w:cs="宋体" w:eastAsia="宋体" w:hint="default"/>
          <w:spacing w:val="-72"/>
        </w:rPr>
        <w:t> </w:t>
      </w:r>
      <w:r>
        <w:rPr/>
        <w:t>年</w:t>
      </w:r>
      <w:r>
        <w:rPr>
          <w:spacing w:val="-73"/>
        </w:rPr>
        <w:t> </w:t>
      </w:r>
      <w:r>
        <w:rPr>
          <w:rFonts w:ascii="宋体" w:hAnsi="宋体" w:cs="宋体" w:eastAsia="宋体" w:hint="default"/>
        </w:rPr>
        <w:t>8</w:t>
      </w:r>
      <w:r>
        <w:rPr>
          <w:rFonts w:ascii="宋体" w:hAnsi="宋体" w:cs="宋体" w:eastAsia="宋体" w:hint="default"/>
          <w:spacing w:val="-69"/>
        </w:rPr>
        <w:t> </w:t>
      </w:r>
      <w:r>
        <w:rPr/>
        <w:t>月</w:t>
      </w:r>
      <w:r>
        <w:rPr>
          <w:spacing w:val="-73"/>
        </w:rPr>
        <w:t> </w:t>
      </w:r>
      <w:r>
        <w:rPr>
          <w:rFonts w:ascii="宋体" w:hAnsi="宋体" w:cs="宋体" w:eastAsia="宋体" w:hint="default"/>
        </w:rPr>
        <w:t>17</w:t>
      </w:r>
      <w:r>
        <w:rPr>
          <w:rFonts w:ascii="宋体" w:hAnsi="宋体" w:cs="宋体" w:eastAsia="宋体" w:hint="default"/>
          <w:spacing w:val="-72"/>
        </w:rPr>
        <w:t> </w:t>
      </w:r>
      <w:r>
        <w:rPr/>
        <w:t>日以现场表</w:t>
      </w:r>
      <w:r>
        <w:rPr>
          <w:w w:val="99"/>
        </w:rPr>
        <w:t> </w:t>
      </w:r>
      <w:r>
        <w:rPr/>
        <w:t>决的方式召开，会议审议通过了以下议案：</w:t>
      </w:r>
      <w:r>
        <w:rPr>
          <w:b w:val="0"/>
          <w:bCs w:val="0"/>
        </w:rPr>
      </w:r>
    </w:p>
    <w:p>
      <w:pPr>
        <w:pStyle w:val="Heading3"/>
        <w:spacing w:line="240" w:lineRule="auto"/>
        <w:ind w:left="697" w:right="106"/>
        <w:jc w:val="left"/>
      </w:pPr>
      <w:r>
        <w:rPr>
          <w:w w:val="100"/>
        </w:rPr>
        <w:t>（</w:t>
      </w:r>
      <w:r>
        <w:rPr>
          <w:rFonts w:ascii="宋体" w:hAnsi="宋体" w:cs="宋体" w:eastAsia="宋体" w:hint="default"/>
          <w:spacing w:val="-2"/>
          <w:w w:val="100"/>
        </w:rPr>
        <w:t>1</w:t>
      </w:r>
      <w:r>
        <w:rPr>
          <w:spacing w:val="-140"/>
          <w:w w:val="100"/>
        </w:rPr>
        <w:t>）</w:t>
      </w:r>
      <w:r>
        <w:rPr>
          <w:spacing w:val="-3"/>
          <w:w w:val="100"/>
        </w:rPr>
        <w:t>《</w:t>
      </w:r>
      <w:r>
        <w:rPr>
          <w:rFonts w:ascii="宋体" w:hAnsi="宋体" w:cs="宋体" w:eastAsia="宋体" w:hint="default"/>
          <w:w w:val="100"/>
        </w:rPr>
        <w:t>2</w:t>
      </w:r>
      <w:r>
        <w:rPr>
          <w:rFonts w:ascii="宋体" w:hAnsi="宋体" w:cs="宋体" w:eastAsia="宋体" w:hint="default"/>
          <w:spacing w:val="-2"/>
          <w:w w:val="100"/>
        </w:rPr>
        <w:t>0</w:t>
      </w:r>
      <w:r>
        <w:rPr>
          <w:rFonts w:ascii="宋体" w:hAnsi="宋体" w:cs="宋体" w:eastAsia="宋体" w:hint="default"/>
          <w:w w:val="100"/>
        </w:rPr>
        <w:t>10</w:t>
      </w:r>
      <w:r>
        <w:rPr>
          <w:rFonts w:ascii="宋体" w:hAnsi="宋体" w:cs="宋体" w:eastAsia="宋体" w:hint="default"/>
          <w:spacing w:val="-71"/>
        </w:rPr>
        <w:t> </w:t>
      </w:r>
      <w:r>
        <w:rPr>
          <w:w w:val="100"/>
        </w:rPr>
        <w:t>年半</w:t>
      </w:r>
      <w:r>
        <w:rPr>
          <w:spacing w:val="-3"/>
          <w:w w:val="100"/>
        </w:rPr>
        <w:t>年</w:t>
      </w:r>
      <w:r>
        <w:rPr>
          <w:w w:val="100"/>
        </w:rPr>
        <w:t>度报告</w:t>
      </w:r>
      <w:r>
        <w:rPr>
          <w:spacing w:val="-3"/>
          <w:w w:val="100"/>
        </w:rPr>
        <w:t>全</w:t>
      </w:r>
      <w:r>
        <w:rPr>
          <w:w w:val="100"/>
        </w:rPr>
        <w:t>文及</w:t>
      </w:r>
      <w:r>
        <w:rPr>
          <w:spacing w:val="-3"/>
          <w:w w:val="100"/>
        </w:rPr>
        <w:t>摘</w:t>
      </w:r>
      <w:r>
        <w:rPr>
          <w:w w:val="100"/>
        </w:rPr>
        <w:t>要</w:t>
      </w:r>
      <w:r>
        <w:rPr>
          <w:spacing w:val="-142"/>
          <w:w w:val="100"/>
        </w:rPr>
        <w:t>》</w:t>
      </w:r>
      <w:r>
        <w:rPr>
          <w:w w:val="100"/>
        </w:rPr>
        <w:t>；</w:t>
      </w:r>
    </w:p>
    <w:p>
      <w:pPr>
        <w:pStyle w:val="Heading3"/>
        <w:spacing w:line="328" w:lineRule="auto" w:before="132"/>
        <w:ind w:right="243" w:firstLine="559"/>
        <w:jc w:val="left"/>
      </w:pPr>
      <w:r>
        <w:rPr>
          <w:w w:val="100"/>
        </w:rPr>
        <w:t>（</w:t>
      </w:r>
      <w:r>
        <w:rPr>
          <w:rFonts w:ascii="宋体" w:hAnsi="宋体" w:cs="宋体" w:eastAsia="宋体" w:hint="default"/>
          <w:spacing w:val="-2"/>
          <w:w w:val="100"/>
        </w:rPr>
        <w:t>2</w:t>
      </w:r>
      <w:r>
        <w:rPr>
          <w:spacing w:val="-168"/>
          <w:w w:val="100"/>
        </w:rPr>
        <w:t>）</w:t>
      </w:r>
      <w:r>
        <w:rPr>
          <w:spacing w:val="-3"/>
          <w:w w:val="100"/>
        </w:rPr>
        <w:t>《</w:t>
      </w:r>
      <w:r>
        <w:rPr>
          <w:w w:val="100"/>
        </w:rPr>
        <w:t>关于使</w:t>
      </w:r>
      <w:r>
        <w:rPr>
          <w:spacing w:val="-3"/>
          <w:w w:val="100"/>
        </w:rPr>
        <w:t>用</w:t>
      </w:r>
      <w:r>
        <w:rPr>
          <w:spacing w:val="-2"/>
          <w:w w:val="100"/>
        </w:rPr>
        <w:t>部</w:t>
      </w:r>
      <w:r>
        <w:rPr>
          <w:w w:val="100"/>
        </w:rPr>
        <w:t>分超募</w:t>
      </w:r>
      <w:r>
        <w:rPr>
          <w:spacing w:val="-3"/>
          <w:w w:val="100"/>
        </w:rPr>
        <w:t>资</w:t>
      </w:r>
      <w:r>
        <w:rPr>
          <w:w w:val="100"/>
        </w:rPr>
        <w:t>金投</w:t>
      </w:r>
      <w:r>
        <w:rPr>
          <w:spacing w:val="-32"/>
          <w:w w:val="100"/>
        </w:rPr>
        <w:t>资</w:t>
      </w:r>
      <w:r>
        <w:rPr>
          <w:spacing w:val="-3"/>
          <w:w w:val="100"/>
        </w:rPr>
        <w:t>“</w:t>
      </w:r>
      <w:r>
        <w:rPr>
          <w:w w:val="100"/>
        </w:rPr>
        <w:t>铁路防</w:t>
      </w:r>
      <w:r>
        <w:rPr>
          <w:spacing w:val="-3"/>
          <w:w w:val="100"/>
        </w:rPr>
        <w:t>灾</w:t>
      </w:r>
      <w:r>
        <w:rPr>
          <w:w w:val="100"/>
        </w:rPr>
        <w:t>安全</w:t>
      </w:r>
      <w:r>
        <w:rPr>
          <w:spacing w:val="-3"/>
          <w:w w:val="100"/>
        </w:rPr>
        <w:t>监控</w:t>
      </w:r>
      <w:r>
        <w:rPr>
          <w:w w:val="100"/>
        </w:rPr>
        <w:t>系统</w:t>
      </w:r>
      <w:r>
        <w:rPr>
          <w:spacing w:val="-32"/>
          <w:w w:val="100"/>
        </w:rPr>
        <w:t>”</w:t>
      </w:r>
      <w:r>
        <w:rPr>
          <w:w w:val="100"/>
        </w:rPr>
        <w:t>项</w:t>
      </w:r>
      <w:r>
        <w:rPr>
          <w:w w:val="100"/>
        </w:rPr>
        <w:t> 目的议</w:t>
      </w:r>
      <w:r>
        <w:rPr>
          <w:spacing w:val="-3"/>
          <w:w w:val="100"/>
        </w:rPr>
        <w:t>案</w:t>
      </w:r>
      <w:r>
        <w:rPr>
          <w:spacing w:val="-140"/>
          <w:w w:val="100"/>
        </w:rPr>
        <w:t>》</w:t>
      </w:r>
      <w:r>
        <w:rPr>
          <w:w w:val="100"/>
        </w:rPr>
        <w:t>；</w:t>
      </w:r>
    </w:p>
    <w:p>
      <w:pPr>
        <w:pStyle w:val="Heading3"/>
        <w:spacing w:line="240" w:lineRule="auto"/>
        <w:ind w:left="697" w:right="106"/>
        <w:jc w:val="left"/>
      </w:pPr>
      <w:r>
        <w:rPr>
          <w:w w:val="100"/>
        </w:rPr>
        <w:t>（</w:t>
      </w:r>
      <w:r>
        <w:rPr>
          <w:rFonts w:ascii="宋体" w:hAnsi="宋体" w:cs="宋体" w:eastAsia="宋体" w:hint="default"/>
          <w:spacing w:val="-2"/>
          <w:w w:val="100"/>
        </w:rPr>
        <w:t>3</w:t>
      </w:r>
      <w:r>
        <w:rPr>
          <w:spacing w:val="-140"/>
          <w:w w:val="100"/>
        </w:rPr>
        <w:t>）</w:t>
      </w:r>
      <w:r>
        <w:rPr>
          <w:w w:val="100"/>
        </w:rPr>
        <w:t>《</w:t>
      </w:r>
      <w:r>
        <w:rPr>
          <w:spacing w:val="-3"/>
          <w:w w:val="100"/>
        </w:rPr>
        <w:t>关</w:t>
      </w:r>
      <w:r>
        <w:rPr>
          <w:w w:val="100"/>
        </w:rPr>
        <w:t>于投</w:t>
      </w:r>
      <w:r>
        <w:rPr>
          <w:spacing w:val="-3"/>
          <w:w w:val="100"/>
        </w:rPr>
        <w:t>资设</w:t>
      </w:r>
      <w:r>
        <w:rPr>
          <w:w w:val="100"/>
        </w:rPr>
        <w:t>立北京</w:t>
      </w:r>
      <w:r>
        <w:rPr>
          <w:spacing w:val="-3"/>
          <w:w w:val="100"/>
        </w:rPr>
        <w:t>全</w:t>
      </w:r>
      <w:r>
        <w:rPr>
          <w:w w:val="100"/>
        </w:rPr>
        <w:t>资子</w:t>
      </w:r>
      <w:r>
        <w:rPr>
          <w:spacing w:val="-3"/>
          <w:w w:val="100"/>
        </w:rPr>
        <w:t>公司</w:t>
      </w:r>
      <w:r>
        <w:rPr>
          <w:w w:val="100"/>
        </w:rPr>
        <w:t>的议</w:t>
      </w:r>
      <w:r>
        <w:rPr>
          <w:spacing w:val="-3"/>
          <w:w w:val="100"/>
        </w:rPr>
        <w:t>案</w:t>
      </w:r>
      <w:r>
        <w:rPr>
          <w:spacing w:val="-140"/>
          <w:w w:val="100"/>
        </w:rPr>
        <w:t>》</w:t>
      </w:r>
      <w:r>
        <w:rPr>
          <w:w w:val="100"/>
        </w:rPr>
        <w:t>；</w:t>
      </w:r>
    </w:p>
    <w:p>
      <w:pPr>
        <w:pStyle w:val="Heading3"/>
        <w:spacing w:line="240" w:lineRule="auto" w:before="133"/>
        <w:ind w:left="697" w:right="106"/>
        <w:jc w:val="left"/>
      </w:pPr>
      <w:r>
        <w:rPr>
          <w:w w:val="100"/>
        </w:rPr>
        <w:t>（</w:t>
      </w:r>
      <w:r>
        <w:rPr>
          <w:rFonts w:ascii="宋体" w:hAnsi="宋体" w:cs="宋体" w:eastAsia="宋体" w:hint="default"/>
          <w:spacing w:val="-2"/>
          <w:w w:val="100"/>
        </w:rPr>
        <w:t>4</w:t>
      </w:r>
      <w:r>
        <w:rPr>
          <w:spacing w:val="-140"/>
          <w:w w:val="100"/>
        </w:rPr>
        <w:t>）</w:t>
      </w:r>
      <w:r>
        <w:rPr>
          <w:w w:val="100"/>
        </w:rPr>
        <w:t>《</w:t>
      </w:r>
      <w:r>
        <w:rPr>
          <w:spacing w:val="-3"/>
          <w:w w:val="100"/>
        </w:rPr>
        <w:t>关</w:t>
      </w:r>
      <w:r>
        <w:rPr>
          <w:w w:val="100"/>
        </w:rPr>
        <w:t>于召开</w:t>
      </w:r>
      <w:r>
        <w:rPr>
          <w:spacing w:val="-72"/>
        </w:rPr>
        <w:t> </w:t>
      </w:r>
      <w:r>
        <w:rPr>
          <w:rFonts w:ascii="宋体" w:hAnsi="宋体" w:cs="宋体" w:eastAsia="宋体" w:hint="default"/>
          <w:w w:val="100"/>
        </w:rPr>
        <w:t>2</w:t>
      </w:r>
      <w:r>
        <w:rPr>
          <w:rFonts w:ascii="宋体" w:hAnsi="宋体" w:cs="宋体" w:eastAsia="宋体" w:hint="default"/>
          <w:spacing w:val="-2"/>
          <w:w w:val="100"/>
        </w:rPr>
        <w:t>01</w:t>
      </w:r>
      <w:r>
        <w:rPr>
          <w:rFonts w:ascii="宋体" w:hAnsi="宋体" w:cs="宋体" w:eastAsia="宋体" w:hint="default"/>
          <w:w w:val="100"/>
        </w:rPr>
        <w:t>0</w:t>
      </w:r>
      <w:r>
        <w:rPr>
          <w:rFonts w:ascii="宋体" w:hAnsi="宋体" w:cs="宋体" w:eastAsia="宋体" w:hint="default"/>
        </w:rPr>
        <w:t> </w:t>
      </w:r>
      <w:r>
        <w:rPr>
          <w:w w:val="100"/>
        </w:rPr>
        <w:t>年第</w:t>
      </w:r>
      <w:r>
        <w:rPr>
          <w:spacing w:val="-3"/>
          <w:w w:val="100"/>
        </w:rPr>
        <w:t>一</w:t>
      </w:r>
      <w:r>
        <w:rPr>
          <w:w w:val="100"/>
        </w:rPr>
        <w:t>次临</w:t>
      </w:r>
      <w:r>
        <w:rPr>
          <w:spacing w:val="-3"/>
          <w:w w:val="100"/>
        </w:rPr>
        <w:t>时股</w:t>
      </w:r>
      <w:r>
        <w:rPr>
          <w:w w:val="100"/>
        </w:rPr>
        <w:t>东大会</w:t>
      </w:r>
      <w:r>
        <w:rPr>
          <w:spacing w:val="-3"/>
          <w:w w:val="100"/>
        </w:rPr>
        <w:t>的</w:t>
      </w:r>
      <w:r>
        <w:rPr>
          <w:w w:val="100"/>
        </w:rPr>
        <w:t>议</w:t>
      </w:r>
      <w:r>
        <w:rPr>
          <w:spacing w:val="-3"/>
          <w:w w:val="100"/>
        </w:rPr>
        <w:t>案</w:t>
      </w:r>
      <w:r>
        <w:rPr>
          <w:spacing w:val="-140"/>
          <w:w w:val="100"/>
        </w:rPr>
        <w:t>》</w:t>
      </w:r>
      <w:r>
        <w:rPr>
          <w:w w:val="100"/>
        </w:rPr>
        <w:t>。</w:t>
      </w:r>
    </w:p>
    <w:p>
      <w:pPr>
        <w:pStyle w:val="Heading3"/>
        <w:spacing w:line="326" w:lineRule="auto" w:before="135"/>
        <w:ind w:right="243" w:firstLine="559"/>
        <w:jc w:val="left"/>
      </w:pPr>
      <w:r>
        <w:rPr>
          <w:spacing w:val="-1"/>
          <w:w w:val="100"/>
        </w:rPr>
        <w:t>该次决议内容已刊登在</w:t>
      </w:r>
      <w:r>
        <w:rPr>
          <w:spacing w:val="-70"/>
          <w:w w:val="100"/>
        </w:rPr>
        <w:t> </w:t>
      </w:r>
      <w:r>
        <w:rPr>
          <w:rFonts w:ascii="宋体" w:hAnsi="宋体" w:cs="宋体" w:eastAsia="宋体" w:hint="default"/>
          <w:spacing w:val="-1"/>
          <w:w w:val="100"/>
        </w:rPr>
        <w:t>2010</w:t>
      </w:r>
      <w:r>
        <w:rPr>
          <w:rFonts w:ascii="宋体" w:hAnsi="宋体" w:cs="宋体" w:eastAsia="宋体" w:hint="default"/>
          <w:spacing w:val="-69"/>
          <w:w w:val="100"/>
        </w:rPr>
        <w:t> </w:t>
      </w:r>
      <w:r>
        <w:rPr>
          <w:w w:val="100"/>
        </w:rPr>
        <w:t>年</w:t>
      </w:r>
      <w:r>
        <w:rPr>
          <w:spacing w:val="-72"/>
          <w:w w:val="100"/>
        </w:rPr>
        <w:t> </w:t>
      </w:r>
      <w:r>
        <w:rPr>
          <w:rFonts w:ascii="宋体" w:hAnsi="宋体" w:cs="宋体" w:eastAsia="宋体" w:hint="default"/>
          <w:w w:val="100"/>
        </w:rPr>
        <w:t>8</w:t>
      </w:r>
      <w:r>
        <w:rPr>
          <w:rFonts w:ascii="宋体" w:hAnsi="宋体" w:cs="宋体" w:eastAsia="宋体" w:hint="default"/>
          <w:spacing w:val="-68"/>
          <w:w w:val="100"/>
        </w:rPr>
        <w:t> </w:t>
      </w:r>
      <w:r>
        <w:rPr>
          <w:w w:val="100"/>
        </w:rPr>
        <w:t>月</w:t>
      </w:r>
      <w:r>
        <w:rPr>
          <w:spacing w:val="-70"/>
          <w:w w:val="100"/>
        </w:rPr>
        <w:t> </w:t>
      </w:r>
      <w:r>
        <w:rPr>
          <w:rFonts w:ascii="宋体" w:hAnsi="宋体" w:cs="宋体" w:eastAsia="宋体" w:hint="default"/>
          <w:spacing w:val="-1"/>
          <w:w w:val="100"/>
        </w:rPr>
        <w:t>19</w:t>
      </w:r>
      <w:r>
        <w:rPr>
          <w:rFonts w:ascii="宋体" w:hAnsi="宋体" w:cs="宋体" w:eastAsia="宋体" w:hint="default"/>
          <w:spacing w:val="-69"/>
          <w:w w:val="100"/>
        </w:rPr>
        <w:t> </w:t>
      </w:r>
      <w:r>
        <w:rPr>
          <w:spacing w:val="-32"/>
          <w:w w:val="100"/>
        </w:rPr>
        <w:t>日的《证券时报》、《中国</w:t>
      </w:r>
      <w:r>
        <w:rPr>
          <w:w w:val="100"/>
        </w:rPr>
        <w:t> </w:t>
      </w:r>
      <w:r>
        <w:rPr/>
        <w:t>证券报》和巨潮资讯（</w:t>
      </w:r>
      <w:hyperlink r:id="rId12">
        <w:r>
          <w:rPr>
            <w:rFonts w:ascii="宋体" w:hAnsi="宋体" w:cs="宋体" w:eastAsia="宋体" w:hint="default"/>
          </w:rPr>
          <w:t>http://www.cninfo.com.cn</w:t>
        </w:r>
      </w:hyperlink>
      <w:r>
        <w:rPr/>
        <w:t>）上。</w:t>
      </w:r>
    </w:p>
    <w:p>
      <w:pPr>
        <w:pStyle w:val="Heading2"/>
        <w:spacing w:line="240" w:lineRule="auto" w:before="32"/>
        <w:ind w:left="699" w:right="106"/>
        <w:jc w:val="left"/>
        <w:rPr>
          <w:b w:val="0"/>
          <w:bCs w:val="0"/>
        </w:rPr>
      </w:pPr>
      <w:r>
        <w:rPr>
          <w:rFonts w:ascii="宋体" w:hAnsi="宋体" w:cs="宋体" w:eastAsia="宋体" w:hint="default"/>
          <w:spacing w:val="1"/>
          <w:w w:val="99"/>
        </w:rPr>
        <w:t>5</w:t>
      </w:r>
      <w:r>
        <w:rPr>
          <w:spacing w:val="-125"/>
          <w:w w:val="99"/>
        </w:rPr>
        <w:t>、</w:t>
      </w:r>
      <w:r>
        <w:rPr>
          <w:w w:val="99"/>
        </w:rPr>
        <w:t>公司第三届</w:t>
      </w:r>
      <w:r>
        <w:rPr>
          <w:spacing w:val="2"/>
          <w:w w:val="99"/>
        </w:rPr>
        <w:t>董</w:t>
      </w:r>
      <w:r>
        <w:rPr>
          <w:w w:val="99"/>
        </w:rPr>
        <w:t>事会第</w:t>
      </w:r>
      <w:r>
        <w:rPr>
          <w:spacing w:val="2"/>
          <w:w w:val="99"/>
        </w:rPr>
        <w:t>十</w:t>
      </w:r>
      <w:r>
        <w:rPr>
          <w:w w:val="99"/>
        </w:rPr>
        <w:t>次会议于</w:t>
      </w:r>
      <w:r>
        <w:rPr>
          <w:spacing w:val="-72"/>
        </w:rPr>
        <w:t> </w:t>
      </w:r>
      <w:r>
        <w:rPr>
          <w:rFonts w:ascii="宋体" w:hAnsi="宋体" w:cs="宋体" w:eastAsia="宋体" w:hint="default"/>
          <w:spacing w:val="1"/>
          <w:w w:val="99"/>
        </w:rPr>
        <w:t>201</w:t>
      </w:r>
      <w:r>
        <w:rPr>
          <w:rFonts w:ascii="宋体" w:hAnsi="宋体" w:cs="宋体" w:eastAsia="宋体" w:hint="default"/>
          <w:w w:val="99"/>
        </w:rPr>
        <w:t>0</w:t>
      </w:r>
      <w:r>
        <w:rPr>
          <w:rFonts w:ascii="宋体" w:hAnsi="宋体" w:cs="宋体" w:eastAsia="宋体" w:hint="default"/>
          <w:spacing w:val="-71"/>
        </w:rPr>
        <w:t> </w:t>
      </w:r>
      <w:r>
        <w:rPr>
          <w:w w:val="99"/>
        </w:rPr>
        <w:t>年</w:t>
      </w:r>
      <w:r>
        <w:rPr>
          <w:spacing w:val="-72"/>
        </w:rPr>
        <w:t> </w:t>
      </w:r>
      <w:r>
        <w:rPr>
          <w:rFonts w:ascii="宋体" w:hAnsi="宋体" w:cs="宋体" w:eastAsia="宋体" w:hint="default"/>
          <w:spacing w:val="1"/>
          <w:w w:val="99"/>
        </w:rPr>
        <w:t>1</w:t>
      </w:r>
      <w:r>
        <w:rPr>
          <w:rFonts w:ascii="宋体" w:hAnsi="宋体" w:cs="宋体" w:eastAsia="宋体" w:hint="default"/>
          <w:w w:val="99"/>
        </w:rPr>
        <w:t>0</w:t>
      </w:r>
      <w:r>
        <w:rPr>
          <w:rFonts w:ascii="宋体" w:hAnsi="宋体" w:cs="宋体" w:eastAsia="宋体" w:hint="default"/>
          <w:spacing w:val="-68"/>
        </w:rPr>
        <w:t> </w:t>
      </w:r>
      <w:r>
        <w:rPr>
          <w:w w:val="99"/>
        </w:rPr>
        <w:t>月</w:t>
      </w:r>
      <w:r>
        <w:rPr>
          <w:spacing w:val="-72"/>
        </w:rPr>
        <w:t> </w:t>
      </w:r>
      <w:r>
        <w:rPr>
          <w:rFonts w:ascii="宋体" w:hAnsi="宋体" w:cs="宋体" w:eastAsia="宋体" w:hint="default"/>
          <w:spacing w:val="1"/>
          <w:w w:val="99"/>
        </w:rPr>
        <w:t>1</w:t>
      </w:r>
      <w:r>
        <w:rPr>
          <w:rFonts w:ascii="宋体" w:hAnsi="宋体" w:cs="宋体" w:eastAsia="宋体" w:hint="default"/>
          <w:w w:val="99"/>
        </w:rPr>
        <w:t>8</w:t>
      </w:r>
      <w:r>
        <w:rPr>
          <w:rFonts w:ascii="宋体" w:hAnsi="宋体" w:cs="宋体" w:eastAsia="宋体" w:hint="default"/>
          <w:spacing w:val="-71"/>
        </w:rPr>
        <w:t> </w:t>
      </w:r>
      <w:r>
        <w:rPr>
          <w:w w:val="99"/>
        </w:rPr>
        <w:t>日以现场表</w:t>
      </w:r>
      <w:r>
        <w:rPr>
          <w:b w:val="0"/>
          <w:bCs w:val="0"/>
        </w:rPr>
      </w:r>
    </w:p>
    <w:p>
      <w:pPr>
        <w:spacing w:after="0" w:line="240" w:lineRule="auto"/>
        <w:jc w:val="left"/>
        <w:sectPr>
          <w:pgSz w:w="11910" w:h="16840"/>
          <w:pgMar w:header="624" w:footer="1045" w:top="1240" w:bottom="1240" w:left="1660" w:right="1540"/>
        </w:sectPr>
      </w:pPr>
    </w:p>
    <w:p>
      <w:pPr>
        <w:pStyle w:val="Heading2"/>
        <w:spacing w:line="240" w:lineRule="auto" w:before="73"/>
        <w:ind w:right="106"/>
        <w:jc w:val="left"/>
        <w:rPr>
          <w:b w:val="0"/>
          <w:bCs w:val="0"/>
        </w:rPr>
      </w:pPr>
      <w:r>
        <w:rPr/>
        <w:t>决的方式召开，会议审议通过了以下议案：</w:t>
      </w:r>
      <w:r>
        <w:rPr>
          <w:b w:val="0"/>
          <w:bCs w:val="0"/>
        </w:rPr>
      </w:r>
    </w:p>
    <w:p>
      <w:pPr>
        <w:pStyle w:val="Heading3"/>
        <w:spacing w:line="240" w:lineRule="auto" w:before="135"/>
        <w:ind w:left="697" w:right="106"/>
        <w:jc w:val="left"/>
      </w:pPr>
      <w:r>
        <w:rPr>
          <w:w w:val="100"/>
        </w:rPr>
        <w:t>（</w:t>
      </w:r>
      <w:r>
        <w:rPr>
          <w:rFonts w:ascii="宋体" w:hAnsi="宋体" w:cs="宋体" w:eastAsia="宋体" w:hint="default"/>
          <w:spacing w:val="-2"/>
          <w:w w:val="100"/>
        </w:rPr>
        <w:t>1</w:t>
      </w:r>
      <w:r>
        <w:rPr>
          <w:spacing w:val="-140"/>
          <w:w w:val="100"/>
        </w:rPr>
        <w:t>）</w:t>
      </w:r>
      <w:r>
        <w:rPr>
          <w:spacing w:val="-3"/>
          <w:w w:val="100"/>
        </w:rPr>
        <w:t>《</w:t>
      </w:r>
      <w:r>
        <w:rPr>
          <w:rFonts w:ascii="宋体" w:hAnsi="宋体" w:cs="宋体" w:eastAsia="宋体" w:hint="default"/>
          <w:w w:val="100"/>
        </w:rPr>
        <w:t>2</w:t>
      </w:r>
      <w:r>
        <w:rPr>
          <w:rFonts w:ascii="宋体" w:hAnsi="宋体" w:cs="宋体" w:eastAsia="宋体" w:hint="default"/>
          <w:spacing w:val="-2"/>
          <w:w w:val="100"/>
        </w:rPr>
        <w:t>0</w:t>
      </w:r>
      <w:r>
        <w:rPr>
          <w:rFonts w:ascii="宋体" w:hAnsi="宋体" w:cs="宋体" w:eastAsia="宋体" w:hint="default"/>
          <w:w w:val="100"/>
        </w:rPr>
        <w:t>10</w:t>
      </w:r>
      <w:r>
        <w:rPr>
          <w:rFonts w:ascii="宋体" w:hAnsi="宋体" w:cs="宋体" w:eastAsia="宋体" w:hint="default"/>
          <w:spacing w:val="-71"/>
        </w:rPr>
        <w:t> </w:t>
      </w:r>
      <w:r>
        <w:rPr>
          <w:w w:val="100"/>
        </w:rPr>
        <w:t>年第</w:t>
      </w:r>
      <w:r>
        <w:rPr>
          <w:spacing w:val="-3"/>
          <w:w w:val="100"/>
        </w:rPr>
        <w:t>三</w:t>
      </w:r>
      <w:r>
        <w:rPr>
          <w:w w:val="100"/>
        </w:rPr>
        <w:t>季度报</w:t>
      </w:r>
      <w:r>
        <w:rPr>
          <w:spacing w:val="-3"/>
          <w:w w:val="100"/>
        </w:rPr>
        <w:t>告</w:t>
      </w:r>
      <w:r>
        <w:rPr>
          <w:spacing w:val="-140"/>
          <w:w w:val="100"/>
        </w:rPr>
        <w:t>》</w:t>
      </w:r>
      <w:r>
        <w:rPr>
          <w:w w:val="100"/>
        </w:rPr>
        <w:t>；</w:t>
      </w:r>
    </w:p>
    <w:p>
      <w:pPr>
        <w:pStyle w:val="Heading3"/>
        <w:spacing w:line="326" w:lineRule="auto" w:before="132"/>
        <w:ind w:left="697" w:right="296"/>
        <w:jc w:val="left"/>
      </w:pPr>
      <w:r>
        <w:rPr>
          <w:w w:val="100"/>
        </w:rPr>
        <w:t>（</w:t>
      </w:r>
      <w:r>
        <w:rPr>
          <w:rFonts w:ascii="宋体" w:hAnsi="宋体" w:cs="宋体" w:eastAsia="宋体" w:hint="default"/>
          <w:spacing w:val="-2"/>
          <w:w w:val="100"/>
        </w:rPr>
        <w:t>2</w:t>
      </w:r>
      <w:r>
        <w:rPr>
          <w:spacing w:val="-140"/>
          <w:w w:val="100"/>
        </w:rPr>
        <w:t>）</w:t>
      </w:r>
      <w:r>
        <w:rPr>
          <w:w w:val="100"/>
        </w:rPr>
        <w:t>《</w:t>
      </w:r>
      <w:r>
        <w:rPr>
          <w:spacing w:val="-3"/>
          <w:w w:val="100"/>
        </w:rPr>
        <w:t>关</w:t>
      </w:r>
      <w:r>
        <w:rPr>
          <w:w w:val="100"/>
        </w:rPr>
        <w:t>于向</w:t>
      </w:r>
      <w:r>
        <w:rPr>
          <w:spacing w:val="-3"/>
          <w:w w:val="100"/>
        </w:rPr>
        <w:t>金融</w:t>
      </w:r>
      <w:r>
        <w:rPr>
          <w:w w:val="100"/>
        </w:rPr>
        <w:t>机构申</w:t>
      </w:r>
      <w:r>
        <w:rPr>
          <w:spacing w:val="-3"/>
          <w:w w:val="100"/>
        </w:rPr>
        <w:t>请</w:t>
      </w:r>
      <w:r>
        <w:rPr>
          <w:w w:val="100"/>
        </w:rPr>
        <w:t>信用</w:t>
      </w:r>
      <w:r>
        <w:rPr>
          <w:spacing w:val="-3"/>
          <w:w w:val="100"/>
        </w:rPr>
        <w:t>贷款</w:t>
      </w:r>
      <w:r>
        <w:rPr>
          <w:w w:val="100"/>
        </w:rPr>
        <w:t>额度的</w:t>
      </w:r>
      <w:r>
        <w:rPr>
          <w:spacing w:val="-3"/>
          <w:w w:val="100"/>
        </w:rPr>
        <w:t>议</w:t>
      </w:r>
      <w:r>
        <w:rPr>
          <w:w w:val="100"/>
        </w:rPr>
        <w:t>案</w:t>
      </w:r>
      <w:r>
        <w:rPr>
          <w:spacing w:val="-142"/>
          <w:w w:val="100"/>
        </w:rPr>
        <w:t>》</w:t>
      </w:r>
      <w:r>
        <w:rPr>
          <w:w w:val="100"/>
        </w:rPr>
        <w:t>。</w:t>
      </w:r>
      <w:r>
        <w:rPr>
          <w:w w:val="100"/>
        </w:rPr>
        <w:t> 该次决</w:t>
      </w:r>
      <w:r>
        <w:rPr>
          <w:spacing w:val="-3"/>
          <w:w w:val="100"/>
        </w:rPr>
        <w:t>议</w:t>
      </w:r>
      <w:r>
        <w:rPr>
          <w:w w:val="100"/>
        </w:rPr>
        <w:t>内容</w:t>
      </w:r>
      <w:r>
        <w:rPr>
          <w:spacing w:val="-3"/>
          <w:w w:val="100"/>
        </w:rPr>
        <w:t>已刊</w:t>
      </w:r>
      <w:r>
        <w:rPr>
          <w:w w:val="100"/>
        </w:rPr>
        <w:t>登在</w:t>
      </w:r>
      <w:r>
        <w:rPr>
          <w:spacing w:val="-71"/>
        </w:rPr>
        <w:t> </w:t>
      </w:r>
      <w:r>
        <w:rPr>
          <w:rFonts w:ascii="宋体" w:hAnsi="宋体" w:cs="宋体" w:eastAsia="宋体" w:hint="default"/>
          <w:spacing w:val="-2"/>
          <w:w w:val="100"/>
        </w:rPr>
        <w:t>2</w:t>
      </w:r>
      <w:r>
        <w:rPr>
          <w:rFonts w:ascii="宋体" w:hAnsi="宋体" w:cs="宋体" w:eastAsia="宋体" w:hint="default"/>
          <w:spacing w:val="1"/>
          <w:w w:val="100"/>
        </w:rPr>
        <w:t>0</w:t>
      </w:r>
      <w:r>
        <w:rPr>
          <w:rFonts w:ascii="宋体" w:hAnsi="宋体" w:cs="宋体" w:eastAsia="宋体" w:hint="default"/>
          <w:spacing w:val="-2"/>
          <w:w w:val="100"/>
        </w:rPr>
        <w:t>1</w:t>
      </w:r>
      <w:r>
        <w:rPr>
          <w:rFonts w:ascii="宋体" w:hAnsi="宋体" w:cs="宋体" w:eastAsia="宋体" w:hint="default"/>
          <w:w w:val="100"/>
        </w:rPr>
        <w:t>0</w:t>
      </w:r>
      <w:r>
        <w:rPr>
          <w:rFonts w:ascii="宋体" w:hAnsi="宋体" w:cs="宋体" w:eastAsia="宋体" w:hint="default"/>
          <w:spacing w:val="-70"/>
        </w:rPr>
        <w:t> </w:t>
      </w:r>
      <w:r>
        <w:rPr>
          <w:w w:val="100"/>
        </w:rPr>
        <w:t>年</w:t>
      </w:r>
      <w:r>
        <w:rPr>
          <w:spacing w:val="-73"/>
        </w:rPr>
        <w:t> </w:t>
      </w:r>
      <w:r>
        <w:rPr>
          <w:rFonts w:ascii="宋体" w:hAnsi="宋体" w:cs="宋体" w:eastAsia="宋体" w:hint="default"/>
          <w:spacing w:val="1"/>
          <w:w w:val="100"/>
        </w:rPr>
        <w:t>1</w:t>
      </w:r>
      <w:r>
        <w:rPr>
          <w:rFonts w:ascii="宋体" w:hAnsi="宋体" w:cs="宋体" w:eastAsia="宋体" w:hint="default"/>
          <w:w w:val="100"/>
        </w:rPr>
        <w:t>0</w:t>
      </w:r>
      <w:r>
        <w:rPr>
          <w:rFonts w:ascii="宋体" w:hAnsi="宋体" w:cs="宋体" w:eastAsia="宋体" w:hint="default"/>
          <w:spacing w:val="-69"/>
        </w:rPr>
        <w:t> </w:t>
      </w:r>
      <w:r>
        <w:rPr>
          <w:w w:val="100"/>
        </w:rPr>
        <w:t>月</w:t>
      </w:r>
      <w:r>
        <w:rPr>
          <w:spacing w:val="-73"/>
        </w:rPr>
        <w:t> </w:t>
      </w:r>
      <w:r>
        <w:rPr>
          <w:rFonts w:ascii="宋体" w:hAnsi="宋体" w:cs="宋体" w:eastAsia="宋体" w:hint="default"/>
          <w:spacing w:val="-2"/>
          <w:w w:val="100"/>
        </w:rPr>
        <w:t>2</w:t>
      </w:r>
      <w:r>
        <w:rPr>
          <w:rFonts w:ascii="宋体" w:hAnsi="宋体" w:cs="宋体" w:eastAsia="宋体" w:hint="default"/>
          <w:w w:val="100"/>
        </w:rPr>
        <w:t>0</w:t>
      </w:r>
      <w:r>
        <w:rPr>
          <w:rFonts w:ascii="宋体" w:hAnsi="宋体" w:cs="宋体" w:eastAsia="宋体" w:hint="default"/>
          <w:spacing w:val="-70"/>
        </w:rPr>
        <w:t> </w:t>
      </w:r>
      <w:r>
        <w:rPr>
          <w:w w:val="100"/>
        </w:rPr>
        <w:t>日的</w:t>
      </w:r>
      <w:r>
        <w:rPr>
          <w:spacing w:val="-3"/>
          <w:w w:val="100"/>
        </w:rPr>
        <w:t>《</w:t>
      </w:r>
      <w:r>
        <w:rPr>
          <w:w w:val="100"/>
        </w:rPr>
        <w:t>证券</w:t>
      </w:r>
      <w:r>
        <w:rPr>
          <w:spacing w:val="-3"/>
          <w:w w:val="100"/>
        </w:rPr>
        <w:t>时</w:t>
      </w:r>
      <w:r>
        <w:rPr>
          <w:w w:val="100"/>
        </w:rPr>
        <w:t>报</w:t>
      </w:r>
      <w:r>
        <w:rPr>
          <w:spacing w:val="-142"/>
          <w:w w:val="100"/>
        </w:rPr>
        <w:t>》、</w:t>
      </w:r>
      <w:r>
        <w:rPr>
          <w:w w:val="100"/>
        </w:rPr>
        <w:t>《中</w:t>
      </w:r>
    </w:p>
    <w:p>
      <w:pPr>
        <w:spacing w:line="326" w:lineRule="auto" w:before="34"/>
        <w:ind w:left="699" w:right="245" w:hanging="562"/>
        <w:jc w:val="left"/>
        <w:rPr>
          <w:rFonts w:ascii="宋体" w:hAnsi="宋体" w:cs="宋体" w:eastAsia="宋体" w:hint="default"/>
          <w:sz w:val="28"/>
          <w:szCs w:val="28"/>
        </w:rPr>
      </w:pPr>
      <w:r>
        <w:rPr>
          <w:rFonts w:ascii="宋体" w:hAnsi="宋体" w:cs="宋体" w:eastAsia="宋体" w:hint="default"/>
          <w:sz w:val="28"/>
          <w:szCs w:val="28"/>
        </w:rPr>
        <w:t>国证券报》和巨潮资讯（</w:t>
      </w:r>
      <w:hyperlink r:id="rId12">
        <w:r>
          <w:rPr>
            <w:rFonts w:ascii="宋体" w:hAnsi="宋体" w:cs="宋体" w:eastAsia="宋体" w:hint="default"/>
            <w:sz w:val="28"/>
            <w:szCs w:val="28"/>
          </w:rPr>
          <w:t>http://www.cninfo.com.cn</w:t>
        </w:r>
      </w:hyperlink>
      <w:r>
        <w:rPr>
          <w:rFonts w:ascii="宋体" w:hAnsi="宋体" w:cs="宋体" w:eastAsia="宋体" w:hint="default"/>
          <w:sz w:val="28"/>
          <w:szCs w:val="28"/>
        </w:rPr>
        <w:t>）上。</w:t>
      </w:r>
      <w:r>
        <w:rPr>
          <w:rFonts w:ascii="宋体" w:hAnsi="宋体" w:cs="宋体" w:eastAsia="宋体" w:hint="default"/>
          <w:spacing w:val="-3"/>
          <w:w w:val="100"/>
          <w:sz w:val="28"/>
          <w:szCs w:val="28"/>
        </w:rPr>
        <w:t> </w:t>
      </w:r>
      <w:r>
        <w:rPr>
          <w:rFonts w:ascii="宋体" w:hAnsi="宋体" w:cs="宋体" w:eastAsia="宋体" w:hint="default"/>
          <w:b/>
          <w:bCs/>
          <w:spacing w:val="-8"/>
          <w:w w:val="99"/>
          <w:sz w:val="28"/>
          <w:szCs w:val="28"/>
        </w:rPr>
        <w:t>6</w:t>
      </w:r>
      <w:r>
        <w:rPr>
          <w:rFonts w:ascii="宋体" w:hAnsi="宋体" w:cs="宋体" w:eastAsia="宋体" w:hint="default"/>
          <w:b/>
          <w:bCs/>
          <w:spacing w:val="-8"/>
          <w:w w:val="99"/>
          <w:sz w:val="28"/>
          <w:szCs w:val="28"/>
        </w:rPr>
        <w:t>、公司第三届董事会第十一次会议于</w:t>
      </w:r>
      <w:r>
        <w:rPr>
          <w:rFonts w:ascii="宋体" w:hAnsi="宋体" w:cs="宋体" w:eastAsia="宋体" w:hint="default"/>
          <w:b/>
          <w:bCs/>
          <w:spacing w:val="-69"/>
          <w:w w:val="99"/>
          <w:sz w:val="28"/>
          <w:szCs w:val="28"/>
        </w:rPr>
        <w:t> </w:t>
      </w:r>
      <w:r>
        <w:rPr>
          <w:rFonts w:ascii="宋体" w:hAnsi="宋体" w:cs="宋体" w:eastAsia="宋体" w:hint="default"/>
          <w:b/>
          <w:bCs/>
          <w:w w:val="99"/>
          <w:sz w:val="28"/>
          <w:szCs w:val="28"/>
        </w:rPr>
        <w:t>2010</w:t>
      </w:r>
      <w:r>
        <w:rPr>
          <w:rFonts w:ascii="宋体" w:hAnsi="宋体" w:cs="宋体" w:eastAsia="宋体" w:hint="default"/>
          <w:b/>
          <w:bCs/>
          <w:spacing w:val="-67"/>
          <w:w w:val="99"/>
          <w:sz w:val="28"/>
          <w:szCs w:val="28"/>
        </w:rPr>
        <w:t> </w:t>
      </w:r>
      <w:r>
        <w:rPr>
          <w:rFonts w:ascii="宋体" w:hAnsi="宋体" w:cs="宋体" w:eastAsia="宋体" w:hint="default"/>
          <w:b/>
          <w:bCs/>
          <w:w w:val="99"/>
          <w:sz w:val="28"/>
          <w:szCs w:val="28"/>
        </w:rPr>
        <w:t>年</w:t>
      </w:r>
      <w:r>
        <w:rPr>
          <w:rFonts w:ascii="宋体" w:hAnsi="宋体" w:cs="宋体" w:eastAsia="宋体" w:hint="default"/>
          <w:b/>
          <w:bCs/>
          <w:spacing w:val="-69"/>
          <w:w w:val="99"/>
          <w:sz w:val="28"/>
          <w:szCs w:val="28"/>
        </w:rPr>
        <w:t> </w:t>
      </w:r>
      <w:r>
        <w:rPr>
          <w:rFonts w:ascii="宋体" w:hAnsi="宋体" w:cs="宋体" w:eastAsia="宋体" w:hint="default"/>
          <w:b/>
          <w:bCs/>
          <w:w w:val="99"/>
          <w:sz w:val="28"/>
          <w:szCs w:val="28"/>
        </w:rPr>
        <w:t>11</w:t>
      </w:r>
      <w:r>
        <w:rPr>
          <w:rFonts w:ascii="宋体" w:hAnsi="宋体" w:cs="宋体" w:eastAsia="宋体" w:hint="default"/>
          <w:b/>
          <w:bCs/>
          <w:spacing w:val="-67"/>
          <w:w w:val="99"/>
          <w:sz w:val="28"/>
          <w:szCs w:val="28"/>
        </w:rPr>
        <w:t> </w:t>
      </w:r>
      <w:r>
        <w:rPr>
          <w:rFonts w:ascii="宋体" w:hAnsi="宋体" w:cs="宋体" w:eastAsia="宋体" w:hint="default"/>
          <w:b/>
          <w:bCs/>
          <w:w w:val="99"/>
          <w:sz w:val="28"/>
          <w:szCs w:val="28"/>
        </w:rPr>
        <w:t>月</w:t>
      </w:r>
      <w:r>
        <w:rPr>
          <w:rFonts w:ascii="宋体" w:hAnsi="宋体" w:cs="宋体" w:eastAsia="宋体" w:hint="default"/>
          <w:b/>
          <w:bCs/>
          <w:spacing w:val="-69"/>
          <w:w w:val="99"/>
          <w:sz w:val="28"/>
          <w:szCs w:val="28"/>
        </w:rPr>
        <w:t> </w:t>
      </w:r>
      <w:r>
        <w:rPr>
          <w:rFonts w:ascii="宋体" w:hAnsi="宋体" w:cs="宋体" w:eastAsia="宋体" w:hint="default"/>
          <w:b/>
          <w:bCs/>
          <w:w w:val="99"/>
          <w:sz w:val="28"/>
          <w:szCs w:val="28"/>
        </w:rPr>
        <w:t>22</w:t>
      </w:r>
      <w:r>
        <w:rPr>
          <w:rFonts w:ascii="宋体" w:hAnsi="宋体" w:cs="宋体" w:eastAsia="宋体" w:hint="default"/>
          <w:b/>
          <w:bCs/>
          <w:spacing w:val="-66"/>
          <w:w w:val="99"/>
          <w:sz w:val="28"/>
          <w:szCs w:val="28"/>
        </w:rPr>
        <w:t> </w:t>
      </w:r>
      <w:r>
        <w:rPr>
          <w:rFonts w:ascii="宋体" w:hAnsi="宋体" w:cs="宋体" w:eastAsia="宋体" w:hint="default"/>
          <w:b/>
          <w:bCs/>
          <w:w w:val="99"/>
          <w:sz w:val="28"/>
          <w:szCs w:val="28"/>
        </w:rPr>
        <w:t>日以现场</w:t>
      </w:r>
      <w:r>
        <w:rPr>
          <w:rFonts w:ascii="宋体" w:hAnsi="宋体" w:cs="宋体" w:eastAsia="宋体" w:hint="default"/>
          <w:sz w:val="28"/>
          <w:szCs w:val="28"/>
        </w:rPr>
      </w:r>
    </w:p>
    <w:p>
      <w:pPr>
        <w:pStyle w:val="Heading2"/>
        <w:spacing w:line="240" w:lineRule="auto" w:before="32"/>
        <w:ind w:right="106"/>
        <w:jc w:val="left"/>
        <w:rPr>
          <w:b w:val="0"/>
          <w:bCs w:val="0"/>
        </w:rPr>
      </w:pPr>
      <w:r>
        <w:rPr/>
        <w:t>表决的方式召开，会议审议通过了以下议案：</w:t>
      </w:r>
      <w:r>
        <w:rPr>
          <w:b w:val="0"/>
          <w:bCs w:val="0"/>
        </w:rPr>
      </w:r>
    </w:p>
    <w:p>
      <w:pPr>
        <w:pStyle w:val="Heading3"/>
        <w:spacing w:line="240" w:lineRule="auto" w:before="135"/>
        <w:ind w:left="697" w:right="106"/>
        <w:jc w:val="left"/>
      </w:pPr>
      <w:r>
        <w:rPr>
          <w:w w:val="100"/>
        </w:rPr>
        <w:t>（</w:t>
      </w:r>
      <w:r>
        <w:rPr>
          <w:rFonts w:ascii="宋体" w:hAnsi="宋体" w:cs="宋体" w:eastAsia="宋体" w:hint="default"/>
          <w:spacing w:val="-2"/>
          <w:w w:val="100"/>
        </w:rPr>
        <w:t>1</w:t>
      </w:r>
      <w:r>
        <w:rPr>
          <w:spacing w:val="-140"/>
          <w:w w:val="100"/>
        </w:rPr>
        <w:t>）</w:t>
      </w:r>
      <w:r>
        <w:rPr>
          <w:w w:val="100"/>
        </w:rPr>
        <w:t>《</w:t>
      </w:r>
      <w:r>
        <w:rPr>
          <w:spacing w:val="-3"/>
          <w:w w:val="100"/>
        </w:rPr>
        <w:t>关</w:t>
      </w:r>
      <w:r>
        <w:rPr>
          <w:w w:val="100"/>
        </w:rPr>
        <w:t>于修</w:t>
      </w:r>
      <w:r>
        <w:rPr>
          <w:spacing w:val="-2"/>
          <w:w w:val="100"/>
        </w:rPr>
        <w:t>改</w:t>
      </w:r>
      <w:r>
        <w:rPr>
          <w:rFonts w:ascii="宋体" w:hAnsi="宋体" w:cs="宋体" w:eastAsia="宋体" w:hint="default"/>
          <w:spacing w:val="1"/>
          <w:w w:val="100"/>
        </w:rPr>
        <w:t>&lt;</w:t>
      </w:r>
      <w:r>
        <w:rPr>
          <w:spacing w:val="-3"/>
          <w:w w:val="100"/>
        </w:rPr>
        <w:t>公</w:t>
      </w:r>
      <w:r>
        <w:rPr>
          <w:w w:val="100"/>
        </w:rPr>
        <w:t>司章</w:t>
      </w:r>
      <w:r>
        <w:rPr>
          <w:spacing w:val="-3"/>
          <w:w w:val="100"/>
        </w:rPr>
        <w:t>程</w:t>
      </w:r>
      <w:r>
        <w:rPr>
          <w:rFonts w:ascii="宋体" w:hAnsi="宋体" w:cs="宋体" w:eastAsia="宋体" w:hint="default"/>
          <w:spacing w:val="1"/>
          <w:w w:val="100"/>
        </w:rPr>
        <w:t>&gt;</w:t>
      </w:r>
      <w:r>
        <w:rPr>
          <w:w w:val="100"/>
        </w:rPr>
        <w:t>的</w:t>
      </w:r>
      <w:r>
        <w:rPr>
          <w:spacing w:val="-3"/>
          <w:w w:val="100"/>
        </w:rPr>
        <w:t>议</w:t>
      </w:r>
      <w:r>
        <w:rPr>
          <w:w w:val="100"/>
        </w:rPr>
        <w:t>案</w:t>
      </w:r>
      <w:r>
        <w:rPr>
          <w:spacing w:val="-142"/>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2</w:t>
      </w:r>
      <w:r>
        <w:rPr>
          <w:spacing w:val="-140"/>
          <w:w w:val="100"/>
        </w:rPr>
        <w:t>）</w:t>
      </w:r>
      <w:r>
        <w:rPr>
          <w:w w:val="100"/>
        </w:rPr>
        <w:t>《</w:t>
      </w:r>
      <w:r>
        <w:rPr>
          <w:spacing w:val="-3"/>
          <w:w w:val="100"/>
        </w:rPr>
        <w:t>关</w:t>
      </w:r>
      <w:r>
        <w:rPr>
          <w:w w:val="100"/>
        </w:rPr>
        <w:t>于董</w:t>
      </w:r>
      <w:r>
        <w:rPr>
          <w:spacing w:val="-3"/>
          <w:w w:val="100"/>
        </w:rPr>
        <w:t>事会</w:t>
      </w:r>
      <w:r>
        <w:rPr>
          <w:w w:val="100"/>
        </w:rPr>
        <w:t>换届选</w:t>
      </w:r>
      <w:r>
        <w:rPr>
          <w:spacing w:val="-3"/>
          <w:w w:val="100"/>
        </w:rPr>
        <w:t>举</w:t>
      </w:r>
      <w:r>
        <w:rPr>
          <w:w w:val="100"/>
        </w:rPr>
        <w:t>的议</w:t>
      </w:r>
      <w:r>
        <w:rPr>
          <w:spacing w:val="-3"/>
          <w:w w:val="100"/>
        </w:rPr>
        <w:t>案</w:t>
      </w:r>
      <w:r>
        <w:rPr>
          <w:spacing w:val="-140"/>
          <w:w w:val="100"/>
        </w:rPr>
        <w:t>》</w:t>
      </w:r>
      <w:r>
        <w:rPr>
          <w:w w:val="100"/>
        </w:rPr>
        <w:t>；</w:t>
      </w:r>
    </w:p>
    <w:p>
      <w:pPr>
        <w:pStyle w:val="Heading3"/>
        <w:spacing w:line="240" w:lineRule="auto" w:before="133"/>
        <w:ind w:left="697" w:right="106"/>
        <w:jc w:val="left"/>
      </w:pPr>
      <w:r>
        <w:rPr>
          <w:w w:val="100"/>
        </w:rPr>
        <w:t>（</w:t>
      </w:r>
      <w:r>
        <w:rPr>
          <w:rFonts w:ascii="宋体" w:hAnsi="宋体" w:cs="宋体" w:eastAsia="宋体" w:hint="default"/>
          <w:spacing w:val="-2"/>
          <w:w w:val="100"/>
        </w:rPr>
        <w:t>3</w:t>
      </w:r>
      <w:r>
        <w:rPr>
          <w:spacing w:val="-140"/>
          <w:w w:val="100"/>
        </w:rPr>
        <w:t>）</w:t>
      </w:r>
      <w:r>
        <w:rPr>
          <w:w w:val="100"/>
        </w:rPr>
        <w:t>《</w:t>
      </w:r>
      <w:r>
        <w:rPr>
          <w:spacing w:val="-3"/>
          <w:w w:val="100"/>
        </w:rPr>
        <w:t>关</w:t>
      </w:r>
      <w:r>
        <w:rPr>
          <w:w w:val="100"/>
        </w:rPr>
        <w:t>于计提</w:t>
      </w:r>
      <w:r>
        <w:rPr>
          <w:spacing w:val="-72"/>
        </w:rPr>
        <w:t> </w:t>
      </w:r>
      <w:r>
        <w:rPr>
          <w:rFonts w:ascii="宋体" w:hAnsi="宋体" w:cs="宋体" w:eastAsia="宋体" w:hint="default"/>
          <w:w w:val="100"/>
        </w:rPr>
        <w:t>2</w:t>
      </w:r>
      <w:r>
        <w:rPr>
          <w:rFonts w:ascii="宋体" w:hAnsi="宋体" w:cs="宋体" w:eastAsia="宋体" w:hint="default"/>
          <w:spacing w:val="-2"/>
          <w:w w:val="100"/>
        </w:rPr>
        <w:t>01</w:t>
      </w:r>
      <w:r>
        <w:rPr>
          <w:rFonts w:ascii="宋体" w:hAnsi="宋体" w:cs="宋体" w:eastAsia="宋体" w:hint="default"/>
          <w:w w:val="100"/>
        </w:rPr>
        <w:t>0</w:t>
      </w:r>
      <w:r>
        <w:rPr>
          <w:rFonts w:ascii="宋体" w:hAnsi="宋体" w:cs="宋体" w:eastAsia="宋体" w:hint="default"/>
          <w:spacing w:val="-69"/>
        </w:rPr>
        <w:t> </w:t>
      </w:r>
      <w:r>
        <w:rPr>
          <w:w w:val="100"/>
        </w:rPr>
        <w:t>年战</w:t>
      </w:r>
      <w:r>
        <w:rPr>
          <w:spacing w:val="-3"/>
          <w:w w:val="100"/>
        </w:rPr>
        <w:t>略</w:t>
      </w:r>
      <w:r>
        <w:rPr>
          <w:w w:val="100"/>
        </w:rPr>
        <w:t>性人</w:t>
      </w:r>
      <w:r>
        <w:rPr>
          <w:spacing w:val="-3"/>
          <w:w w:val="100"/>
        </w:rPr>
        <w:t>才</w:t>
      </w:r>
      <w:r>
        <w:rPr>
          <w:w w:val="100"/>
        </w:rPr>
        <w:t>奖</w:t>
      </w:r>
      <w:r>
        <w:rPr>
          <w:spacing w:val="-3"/>
          <w:w w:val="100"/>
        </w:rPr>
        <w:t>金</w:t>
      </w:r>
      <w:r>
        <w:rPr>
          <w:w w:val="100"/>
        </w:rPr>
        <w:t>的议</w:t>
      </w:r>
      <w:r>
        <w:rPr>
          <w:spacing w:val="-3"/>
          <w:w w:val="100"/>
        </w:rPr>
        <w:t>案</w:t>
      </w:r>
      <w:r>
        <w:rPr>
          <w:spacing w:val="-140"/>
          <w:w w:val="100"/>
        </w:rPr>
        <w:t>》</w:t>
      </w:r>
      <w:r>
        <w:rPr>
          <w:w w:val="100"/>
        </w:rPr>
        <w:t>；</w:t>
      </w:r>
    </w:p>
    <w:p>
      <w:pPr>
        <w:pStyle w:val="Heading3"/>
        <w:spacing w:line="240" w:lineRule="auto" w:before="135"/>
        <w:ind w:left="697" w:right="106"/>
        <w:jc w:val="left"/>
      </w:pPr>
      <w:r>
        <w:rPr>
          <w:w w:val="100"/>
        </w:rPr>
        <w:t>（</w:t>
      </w:r>
      <w:r>
        <w:rPr>
          <w:rFonts w:ascii="宋体" w:hAnsi="宋体" w:cs="宋体" w:eastAsia="宋体" w:hint="default"/>
          <w:spacing w:val="-2"/>
          <w:w w:val="100"/>
        </w:rPr>
        <w:t>4</w:t>
      </w:r>
      <w:r>
        <w:rPr>
          <w:spacing w:val="-140"/>
          <w:w w:val="100"/>
        </w:rPr>
        <w:t>）</w:t>
      </w:r>
      <w:r>
        <w:rPr>
          <w:w w:val="100"/>
        </w:rPr>
        <w:t>《</w:t>
      </w:r>
      <w:r>
        <w:rPr>
          <w:spacing w:val="-3"/>
          <w:w w:val="100"/>
        </w:rPr>
        <w:t>关</w:t>
      </w:r>
      <w:r>
        <w:rPr>
          <w:w w:val="100"/>
        </w:rPr>
        <w:t>于提</w:t>
      </w:r>
      <w:r>
        <w:rPr>
          <w:spacing w:val="-3"/>
          <w:w w:val="100"/>
        </w:rPr>
        <w:t>高独</w:t>
      </w:r>
      <w:r>
        <w:rPr>
          <w:w w:val="100"/>
        </w:rPr>
        <w:t>立董事</w:t>
      </w:r>
      <w:r>
        <w:rPr>
          <w:spacing w:val="-3"/>
          <w:w w:val="100"/>
        </w:rPr>
        <w:t>薪</w:t>
      </w:r>
      <w:r>
        <w:rPr>
          <w:w w:val="100"/>
        </w:rPr>
        <w:t>酬的</w:t>
      </w:r>
      <w:r>
        <w:rPr>
          <w:spacing w:val="-3"/>
          <w:w w:val="100"/>
        </w:rPr>
        <w:t>议</w:t>
      </w:r>
      <w:r>
        <w:rPr>
          <w:w w:val="100"/>
        </w:rPr>
        <w:t>案</w:t>
      </w:r>
      <w:r>
        <w:rPr>
          <w:spacing w:val="-142"/>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5</w:t>
      </w:r>
      <w:r>
        <w:rPr>
          <w:spacing w:val="-140"/>
          <w:w w:val="100"/>
        </w:rPr>
        <w:t>）</w:t>
      </w:r>
      <w:r>
        <w:rPr>
          <w:w w:val="100"/>
        </w:rPr>
        <w:t>《</w:t>
      </w:r>
      <w:r>
        <w:rPr>
          <w:spacing w:val="-3"/>
          <w:w w:val="100"/>
        </w:rPr>
        <w:t>关</w:t>
      </w:r>
      <w:r>
        <w:rPr>
          <w:w w:val="100"/>
        </w:rPr>
        <w:t>于召开</w:t>
      </w:r>
      <w:r>
        <w:rPr>
          <w:spacing w:val="-72"/>
        </w:rPr>
        <w:t> </w:t>
      </w:r>
      <w:r>
        <w:rPr>
          <w:rFonts w:ascii="宋体" w:hAnsi="宋体" w:cs="宋体" w:eastAsia="宋体" w:hint="default"/>
          <w:w w:val="100"/>
        </w:rPr>
        <w:t>2</w:t>
      </w:r>
      <w:r>
        <w:rPr>
          <w:rFonts w:ascii="宋体" w:hAnsi="宋体" w:cs="宋体" w:eastAsia="宋体" w:hint="default"/>
          <w:spacing w:val="-2"/>
          <w:w w:val="100"/>
        </w:rPr>
        <w:t>01</w:t>
      </w:r>
      <w:r>
        <w:rPr>
          <w:rFonts w:ascii="宋体" w:hAnsi="宋体" w:cs="宋体" w:eastAsia="宋体" w:hint="default"/>
          <w:w w:val="100"/>
        </w:rPr>
        <w:t>0</w:t>
      </w:r>
      <w:r>
        <w:rPr>
          <w:rFonts w:ascii="宋体" w:hAnsi="宋体" w:cs="宋体" w:eastAsia="宋体" w:hint="default"/>
        </w:rPr>
        <w:t> </w:t>
      </w:r>
      <w:r>
        <w:rPr>
          <w:w w:val="100"/>
        </w:rPr>
        <w:t>年第</w:t>
      </w:r>
      <w:r>
        <w:rPr>
          <w:spacing w:val="-3"/>
          <w:w w:val="100"/>
        </w:rPr>
        <w:t>二</w:t>
      </w:r>
      <w:r>
        <w:rPr>
          <w:w w:val="100"/>
        </w:rPr>
        <w:t>次临</w:t>
      </w:r>
      <w:r>
        <w:rPr>
          <w:spacing w:val="-3"/>
          <w:w w:val="100"/>
        </w:rPr>
        <w:t>时股</w:t>
      </w:r>
      <w:r>
        <w:rPr>
          <w:w w:val="100"/>
        </w:rPr>
        <w:t>东大会</w:t>
      </w:r>
      <w:r>
        <w:rPr>
          <w:spacing w:val="-3"/>
          <w:w w:val="100"/>
        </w:rPr>
        <w:t>的</w:t>
      </w:r>
      <w:r>
        <w:rPr>
          <w:w w:val="100"/>
        </w:rPr>
        <w:t>议</w:t>
      </w:r>
      <w:r>
        <w:rPr>
          <w:spacing w:val="-3"/>
          <w:w w:val="100"/>
        </w:rPr>
        <w:t>案</w:t>
      </w:r>
      <w:r>
        <w:rPr>
          <w:spacing w:val="-140"/>
          <w:w w:val="100"/>
        </w:rPr>
        <w:t>》</w:t>
      </w:r>
      <w:r>
        <w:rPr>
          <w:w w:val="100"/>
        </w:rPr>
        <w:t>。</w:t>
      </w:r>
    </w:p>
    <w:p>
      <w:pPr>
        <w:pStyle w:val="Heading3"/>
        <w:spacing w:line="328" w:lineRule="auto" w:before="132"/>
        <w:ind w:right="298" w:firstLine="559"/>
        <w:jc w:val="left"/>
      </w:pPr>
      <w:r>
        <w:rPr>
          <w:spacing w:val="-1"/>
          <w:w w:val="100"/>
        </w:rPr>
        <w:t>该次决议内容已刊登在</w:t>
      </w:r>
      <w:r>
        <w:rPr>
          <w:spacing w:val="-70"/>
          <w:w w:val="100"/>
        </w:rPr>
        <w:t> </w:t>
      </w:r>
      <w:r>
        <w:rPr>
          <w:rFonts w:ascii="宋体" w:hAnsi="宋体" w:cs="宋体" w:eastAsia="宋体" w:hint="default"/>
          <w:spacing w:val="-1"/>
          <w:w w:val="100"/>
        </w:rPr>
        <w:t>2010</w:t>
      </w:r>
      <w:r>
        <w:rPr>
          <w:rFonts w:ascii="宋体" w:hAnsi="宋体" w:cs="宋体" w:eastAsia="宋体" w:hint="default"/>
          <w:spacing w:val="-69"/>
          <w:w w:val="100"/>
        </w:rPr>
        <w:t> </w:t>
      </w:r>
      <w:r>
        <w:rPr>
          <w:w w:val="100"/>
        </w:rPr>
        <w:t>年</w:t>
      </w:r>
      <w:r>
        <w:rPr>
          <w:spacing w:val="-72"/>
          <w:w w:val="100"/>
        </w:rPr>
        <w:t> </w:t>
      </w:r>
      <w:r>
        <w:rPr>
          <w:rFonts w:ascii="宋体" w:hAnsi="宋体" w:cs="宋体" w:eastAsia="宋体" w:hint="default"/>
          <w:w w:val="100"/>
        </w:rPr>
        <w:t>11</w:t>
      </w:r>
      <w:r>
        <w:rPr>
          <w:rFonts w:ascii="宋体" w:hAnsi="宋体" w:cs="宋体" w:eastAsia="宋体" w:hint="default"/>
          <w:spacing w:val="-68"/>
          <w:w w:val="100"/>
        </w:rPr>
        <w:t> </w:t>
      </w:r>
      <w:r>
        <w:rPr>
          <w:w w:val="100"/>
        </w:rPr>
        <w:t>月</w:t>
      </w:r>
      <w:r>
        <w:rPr>
          <w:spacing w:val="-72"/>
          <w:w w:val="100"/>
        </w:rPr>
        <w:t> </w:t>
      </w:r>
      <w:r>
        <w:rPr>
          <w:rFonts w:ascii="宋体" w:hAnsi="宋体" w:cs="宋体" w:eastAsia="宋体" w:hint="default"/>
          <w:spacing w:val="-1"/>
          <w:w w:val="100"/>
        </w:rPr>
        <w:t>23</w:t>
      </w:r>
      <w:r>
        <w:rPr>
          <w:rFonts w:ascii="宋体" w:hAnsi="宋体" w:cs="宋体" w:eastAsia="宋体" w:hint="default"/>
          <w:spacing w:val="-69"/>
          <w:w w:val="100"/>
        </w:rPr>
        <w:t> </w:t>
      </w:r>
      <w:r>
        <w:rPr>
          <w:spacing w:val="-27"/>
          <w:w w:val="100"/>
        </w:rPr>
        <w:t>日的《证券时报》、《中</w:t>
      </w:r>
      <w:r>
        <w:rPr>
          <w:w w:val="100"/>
        </w:rPr>
        <w:t> </w:t>
      </w:r>
      <w:r>
        <w:rPr/>
        <w:t>国证券报》和巨潮资讯（</w:t>
      </w:r>
      <w:hyperlink r:id="rId12">
        <w:r>
          <w:rPr>
            <w:rFonts w:ascii="宋体" w:hAnsi="宋体" w:cs="宋体" w:eastAsia="宋体" w:hint="default"/>
          </w:rPr>
          <w:t>http://www.cninfo.com.cn</w:t>
        </w:r>
      </w:hyperlink>
      <w:r>
        <w:rPr/>
        <w:t>）上。</w:t>
      </w:r>
    </w:p>
    <w:p>
      <w:pPr>
        <w:pStyle w:val="Heading2"/>
        <w:spacing w:line="326" w:lineRule="auto"/>
        <w:ind w:right="244" w:firstLine="561"/>
        <w:jc w:val="left"/>
        <w:rPr>
          <w:b w:val="0"/>
          <w:bCs w:val="0"/>
        </w:rPr>
      </w:pPr>
      <w:r>
        <w:rPr>
          <w:rFonts w:ascii="宋体" w:hAnsi="宋体" w:cs="宋体" w:eastAsia="宋体" w:hint="default"/>
          <w:spacing w:val="-8"/>
          <w:w w:val="99"/>
        </w:rPr>
        <w:t>7</w:t>
      </w:r>
      <w:r>
        <w:rPr>
          <w:spacing w:val="-8"/>
          <w:w w:val="99"/>
        </w:rPr>
        <w:t>、公司第四届董事会第一次会议于</w:t>
      </w:r>
      <w:r>
        <w:rPr>
          <w:spacing w:val="-70"/>
          <w:w w:val="99"/>
        </w:rPr>
        <w:t> </w:t>
      </w:r>
      <w:r>
        <w:rPr>
          <w:rFonts w:ascii="宋体" w:hAnsi="宋体" w:cs="宋体" w:eastAsia="宋体" w:hint="default"/>
          <w:w w:val="99"/>
        </w:rPr>
        <w:t>2010</w:t>
      </w:r>
      <w:r>
        <w:rPr>
          <w:rFonts w:ascii="宋体" w:hAnsi="宋体" w:cs="宋体" w:eastAsia="宋体" w:hint="default"/>
          <w:spacing w:val="-69"/>
          <w:w w:val="99"/>
        </w:rPr>
        <w:t> </w:t>
      </w:r>
      <w:r>
        <w:rPr>
          <w:w w:val="99"/>
        </w:rPr>
        <w:t>年</w:t>
      </w:r>
      <w:r>
        <w:rPr>
          <w:spacing w:val="-70"/>
          <w:w w:val="99"/>
        </w:rPr>
        <w:t> </w:t>
      </w:r>
      <w:r>
        <w:rPr>
          <w:rFonts w:ascii="宋体" w:hAnsi="宋体" w:cs="宋体" w:eastAsia="宋体" w:hint="default"/>
          <w:w w:val="99"/>
        </w:rPr>
        <w:t>12</w:t>
      </w:r>
      <w:r>
        <w:rPr>
          <w:rFonts w:ascii="宋体" w:hAnsi="宋体" w:cs="宋体" w:eastAsia="宋体" w:hint="default"/>
          <w:spacing w:val="-66"/>
          <w:w w:val="99"/>
        </w:rPr>
        <w:t> </w:t>
      </w:r>
      <w:r>
        <w:rPr>
          <w:w w:val="99"/>
        </w:rPr>
        <w:t>月</w:t>
      </w:r>
      <w:r>
        <w:rPr>
          <w:spacing w:val="-70"/>
          <w:w w:val="99"/>
        </w:rPr>
        <w:t> </w:t>
      </w:r>
      <w:r>
        <w:rPr>
          <w:rFonts w:ascii="宋体" w:hAnsi="宋体" w:cs="宋体" w:eastAsia="宋体" w:hint="default"/>
          <w:w w:val="99"/>
        </w:rPr>
        <w:t>11</w:t>
      </w:r>
      <w:r>
        <w:rPr>
          <w:rFonts w:ascii="宋体" w:hAnsi="宋体" w:cs="宋体" w:eastAsia="宋体" w:hint="default"/>
          <w:spacing w:val="-69"/>
          <w:w w:val="99"/>
        </w:rPr>
        <w:t> </w:t>
      </w:r>
      <w:r>
        <w:rPr>
          <w:w w:val="99"/>
        </w:rPr>
        <w:t>日以现场表</w:t>
      </w:r>
      <w:r>
        <w:rPr>
          <w:w w:val="99"/>
        </w:rPr>
        <w:t> </w:t>
      </w:r>
      <w:r>
        <w:rPr/>
        <w:t>决的方式召开，会议审议通过了以下议案：</w:t>
      </w:r>
      <w:r>
        <w:rPr>
          <w:b w:val="0"/>
          <w:bCs w:val="0"/>
        </w:rPr>
      </w:r>
    </w:p>
    <w:p>
      <w:pPr>
        <w:pStyle w:val="Heading3"/>
        <w:spacing w:line="240" w:lineRule="auto" w:before="34"/>
        <w:ind w:left="697" w:right="106"/>
        <w:jc w:val="left"/>
      </w:pPr>
      <w:r>
        <w:rPr>
          <w:w w:val="100"/>
        </w:rPr>
        <w:t>（</w:t>
      </w:r>
      <w:r>
        <w:rPr>
          <w:rFonts w:ascii="宋体" w:hAnsi="宋体" w:cs="宋体" w:eastAsia="宋体" w:hint="default"/>
          <w:spacing w:val="-2"/>
          <w:w w:val="100"/>
        </w:rPr>
        <w:t>1</w:t>
      </w:r>
      <w:r>
        <w:rPr>
          <w:spacing w:val="-140"/>
          <w:w w:val="100"/>
        </w:rPr>
        <w:t>）</w:t>
      </w:r>
      <w:r>
        <w:rPr>
          <w:w w:val="100"/>
        </w:rPr>
        <w:t>《</w:t>
      </w:r>
      <w:r>
        <w:rPr>
          <w:spacing w:val="-3"/>
          <w:w w:val="100"/>
        </w:rPr>
        <w:t>关</w:t>
      </w:r>
      <w:r>
        <w:rPr>
          <w:w w:val="100"/>
        </w:rPr>
        <w:t>于选</w:t>
      </w:r>
      <w:r>
        <w:rPr>
          <w:spacing w:val="-3"/>
          <w:w w:val="100"/>
        </w:rPr>
        <w:t>举公</w:t>
      </w:r>
      <w:r>
        <w:rPr>
          <w:w w:val="100"/>
        </w:rPr>
        <w:t>司董事</w:t>
      </w:r>
      <w:r>
        <w:rPr>
          <w:spacing w:val="-3"/>
          <w:w w:val="100"/>
        </w:rPr>
        <w:t>长</w:t>
      </w:r>
      <w:r>
        <w:rPr>
          <w:w w:val="100"/>
        </w:rPr>
        <w:t>的议</w:t>
      </w:r>
      <w:r>
        <w:rPr>
          <w:spacing w:val="-3"/>
          <w:w w:val="100"/>
        </w:rPr>
        <w:t>案</w:t>
      </w:r>
      <w:r>
        <w:rPr>
          <w:spacing w:val="-140"/>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2</w:t>
      </w:r>
      <w:r>
        <w:rPr>
          <w:spacing w:val="-140"/>
          <w:w w:val="100"/>
        </w:rPr>
        <w:t>）</w:t>
      </w:r>
      <w:r>
        <w:rPr>
          <w:w w:val="100"/>
        </w:rPr>
        <w:t>《</w:t>
      </w:r>
      <w:r>
        <w:rPr>
          <w:spacing w:val="-3"/>
          <w:w w:val="100"/>
        </w:rPr>
        <w:t>关</w:t>
      </w:r>
      <w:r>
        <w:rPr>
          <w:w w:val="100"/>
        </w:rPr>
        <w:t>于公</w:t>
      </w:r>
      <w:r>
        <w:rPr>
          <w:spacing w:val="-3"/>
          <w:w w:val="100"/>
        </w:rPr>
        <w:t>司董</w:t>
      </w:r>
      <w:r>
        <w:rPr>
          <w:w w:val="100"/>
        </w:rPr>
        <w:t>事会专</w:t>
      </w:r>
      <w:r>
        <w:rPr>
          <w:spacing w:val="-3"/>
          <w:w w:val="100"/>
        </w:rPr>
        <w:t>门</w:t>
      </w:r>
      <w:r>
        <w:rPr>
          <w:w w:val="100"/>
        </w:rPr>
        <w:t>委员</w:t>
      </w:r>
      <w:r>
        <w:rPr>
          <w:spacing w:val="-3"/>
          <w:w w:val="100"/>
        </w:rPr>
        <w:t>会成</w:t>
      </w:r>
      <w:r>
        <w:rPr>
          <w:w w:val="100"/>
        </w:rPr>
        <w:t>员组成</w:t>
      </w:r>
      <w:r>
        <w:rPr>
          <w:spacing w:val="-3"/>
          <w:w w:val="100"/>
        </w:rPr>
        <w:t>的</w:t>
      </w:r>
      <w:r>
        <w:rPr>
          <w:w w:val="100"/>
        </w:rPr>
        <w:t>议</w:t>
      </w:r>
      <w:r>
        <w:rPr>
          <w:spacing w:val="-3"/>
          <w:w w:val="100"/>
        </w:rPr>
        <w:t>案</w:t>
      </w:r>
      <w:r>
        <w:rPr>
          <w:spacing w:val="-140"/>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3</w:t>
      </w:r>
      <w:r>
        <w:rPr>
          <w:spacing w:val="-140"/>
          <w:w w:val="100"/>
        </w:rPr>
        <w:t>）</w:t>
      </w:r>
      <w:r>
        <w:rPr>
          <w:w w:val="100"/>
        </w:rPr>
        <w:t>《</w:t>
      </w:r>
      <w:r>
        <w:rPr>
          <w:spacing w:val="-3"/>
          <w:w w:val="100"/>
        </w:rPr>
        <w:t>关</w:t>
      </w:r>
      <w:r>
        <w:rPr>
          <w:w w:val="100"/>
        </w:rPr>
        <w:t>于聘</w:t>
      </w:r>
      <w:r>
        <w:rPr>
          <w:spacing w:val="-3"/>
          <w:w w:val="100"/>
        </w:rPr>
        <w:t>任公</w:t>
      </w:r>
      <w:r>
        <w:rPr>
          <w:w w:val="100"/>
        </w:rPr>
        <w:t>司总经</w:t>
      </w:r>
      <w:r>
        <w:rPr>
          <w:spacing w:val="-3"/>
          <w:w w:val="100"/>
        </w:rPr>
        <w:t>理</w:t>
      </w:r>
      <w:r>
        <w:rPr>
          <w:w w:val="100"/>
        </w:rPr>
        <w:t>的议</w:t>
      </w:r>
      <w:r>
        <w:rPr>
          <w:spacing w:val="-3"/>
          <w:w w:val="100"/>
        </w:rPr>
        <w:t>案</w:t>
      </w:r>
      <w:r>
        <w:rPr>
          <w:spacing w:val="-140"/>
          <w:w w:val="100"/>
        </w:rPr>
        <w:t>》</w:t>
      </w:r>
      <w:r>
        <w:rPr>
          <w:w w:val="100"/>
        </w:rPr>
        <w:t>；</w:t>
      </w:r>
    </w:p>
    <w:p>
      <w:pPr>
        <w:pStyle w:val="Heading3"/>
        <w:spacing w:line="240" w:lineRule="auto" w:before="135"/>
        <w:ind w:left="697" w:right="106"/>
        <w:jc w:val="left"/>
      </w:pPr>
      <w:r>
        <w:rPr>
          <w:w w:val="100"/>
        </w:rPr>
        <w:t>（</w:t>
      </w:r>
      <w:r>
        <w:rPr>
          <w:rFonts w:ascii="宋体" w:hAnsi="宋体" w:cs="宋体" w:eastAsia="宋体" w:hint="default"/>
          <w:spacing w:val="-2"/>
          <w:w w:val="100"/>
        </w:rPr>
        <w:t>4</w:t>
      </w:r>
      <w:r>
        <w:rPr>
          <w:spacing w:val="-140"/>
          <w:w w:val="100"/>
        </w:rPr>
        <w:t>）</w:t>
      </w:r>
      <w:r>
        <w:rPr>
          <w:w w:val="100"/>
        </w:rPr>
        <w:t>《</w:t>
      </w:r>
      <w:r>
        <w:rPr>
          <w:spacing w:val="-3"/>
          <w:w w:val="100"/>
        </w:rPr>
        <w:t>关</w:t>
      </w:r>
      <w:r>
        <w:rPr>
          <w:w w:val="100"/>
        </w:rPr>
        <w:t>于聘</w:t>
      </w:r>
      <w:r>
        <w:rPr>
          <w:spacing w:val="-3"/>
          <w:w w:val="100"/>
        </w:rPr>
        <w:t>任公</w:t>
      </w:r>
      <w:r>
        <w:rPr>
          <w:w w:val="100"/>
        </w:rPr>
        <w:t>司董事</w:t>
      </w:r>
      <w:r>
        <w:rPr>
          <w:spacing w:val="-3"/>
          <w:w w:val="100"/>
        </w:rPr>
        <w:t>会</w:t>
      </w:r>
      <w:r>
        <w:rPr>
          <w:w w:val="100"/>
        </w:rPr>
        <w:t>秘书</w:t>
      </w:r>
      <w:r>
        <w:rPr>
          <w:spacing w:val="-3"/>
          <w:w w:val="100"/>
        </w:rPr>
        <w:t>的议</w:t>
      </w:r>
      <w:r>
        <w:rPr>
          <w:w w:val="100"/>
        </w:rPr>
        <w:t>案</w:t>
      </w:r>
      <w:r>
        <w:rPr>
          <w:spacing w:val="-140"/>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5</w:t>
      </w:r>
      <w:r>
        <w:rPr>
          <w:spacing w:val="-140"/>
          <w:w w:val="100"/>
        </w:rPr>
        <w:t>）</w:t>
      </w:r>
      <w:r>
        <w:rPr>
          <w:w w:val="100"/>
        </w:rPr>
        <w:t>《</w:t>
      </w:r>
      <w:r>
        <w:rPr>
          <w:spacing w:val="-3"/>
          <w:w w:val="100"/>
        </w:rPr>
        <w:t>关</w:t>
      </w:r>
      <w:r>
        <w:rPr>
          <w:w w:val="100"/>
        </w:rPr>
        <w:t>于聘</w:t>
      </w:r>
      <w:r>
        <w:rPr>
          <w:spacing w:val="-3"/>
          <w:w w:val="100"/>
        </w:rPr>
        <w:t>任公</w:t>
      </w:r>
      <w:r>
        <w:rPr>
          <w:w w:val="100"/>
        </w:rPr>
        <w:t>司副总</w:t>
      </w:r>
      <w:r>
        <w:rPr>
          <w:spacing w:val="-3"/>
          <w:w w:val="100"/>
        </w:rPr>
        <w:t>经</w:t>
      </w:r>
      <w:r>
        <w:rPr>
          <w:w w:val="100"/>
        </w:rPr>
        <w:t>理及</w:t>
      </w:r>
      <w:r>
        <w:rPr>
          <w:spacing w:val="-3"/>
          <w:w w:val="100"/>
        </w:rPr>
        <w:t>其他</w:t>
      </w:r>
      <w:r>
        <w:rPr>
          <w:w w:val="100"/>
        </w:rPr>
        <w:t>高级管</w:t>
      </w:r>
      <w:r>
        <w:rPr>
          <w:spacing w:val="-3"/>
          <w:w w:val="100"/>
        </w:rPr>
        <w:t>理</w:t>
      </w:r>
      <w:r>
        <w:rPr>
          <w:w w:val="100"/>
        </w:rPr>
        <w:t>人员</w:t>
      </w:r>
      <w:r>
        <w:rPr>
          <w:spacing w:val="-3"/>
          <w:w w:val="100"/>
        </w:rPr>
        <w:t>的议</w:t>
      </w:r>
      <w:r>
        <w:rPr>
          <w:w w:val="100"/>
        </w:rPr>
        <w:t>案</w:t>
      </w:r>
      <w:r>
        <w:rPr>
          <w:spacing w:val="-140"/>
          <w:w w:val="100"/>
        </w:rPr>
        <w:t>》</w:t>
      </w:r>
      <w:r>
        <w:rPr>
          <w:w w:val="100"/>
        </w:rPr>
        <w:t>；</w:t>
      </w:r>
    </w:p>
    <w:p>
      <w:pPr>
        <w:pStyle w:val="Heading3"/>
        <w:spacing w:line="240" w:lineRule="auto" w:before="132"/>
        <w:ind w:left="697" w:right="106"/>
        <w:jc w:val="left"/>
      </w:pPr>
      <w:r>
        <w:rPr>
          <w:w w:val="100"/>
        </w:rPr>
        <w:t>（</w:t>
      </w:r>
      <w:r>
        <w:rPr>
          <w:rFonts w:ascii="宋体" w:hAnsi="宋体" w:cs="宋体" w:eastAsia="宋体" w:hint="default"/>
          <w:spacing w:val="-2"/>
          <w:w w:val="100"/>
        </w:rPr>
        <w:t>6</w:t>
      </w:r>
      <w:r>
        <w:rPr>
          <w:spacing w:val="-140"/>
          <w:w w:val="100"/>
        </w:rPr>
        <w:t>）</w:t>
      </w:r>
      <w:r>
        <w:rPr>
          <w:w w:val="100"/>
        </w:rPr>
        <w:t>《</w:t>
      </w:r>
      <w:r>
        <w:rPr>
          <w:spacing w:val="-3"/>
          <w:w w:val="100"/>
        </w:rPr>
        <w:t>关</w:t>
      </w:r>
      <w:r>
        <w:rPr>
          <w:w w:val="100"/>
        </w:rPr>
        <w:t>于聘</w:t>
      </w:r>
      <w:r>
        <w:rPr>
          <w:spacing w:val="-3"/>
          <w:w w:val="100"/>
        </w:rPr>
        <w:t>任内</w:t>
      </w:r>
      <w:r>
        <w:rPr>
          <w:w w:val="100"/>
        </w:rPr>
        <w:t>部审计</w:t>
      </w:r>
      <w:r>
        <w:rPr>
          <w:spacing w:val="-3"/>
          <w:w w:val="100"/>
        </w:rPr>
        <w:t>部</w:t>
      </w:r>
      <w:r>
        <w:rPr>
          <w:w w:val="100"/>
        </w:rPr>
        <w:t>门负</w:t>
      </w:r>
      <w:r>
        <w:rPr>
          <w:spacing w:val="-3"/>
          <w:w w:val="100"/>
        </w:rPr>
        <w:t>责人</w:t>
      </w:r>
      <w:r>
        <w:rPr>
          <w:w w:val="100"/>
        </w:rPr>
        <w:t>的议</w:t>
      </w:r>
      <w:r>
        <w:rPr>
          <w:spacing w:val="-3"/>
          <w:w w:val="100"/>
        </w:rPr>
        <w:t>案</w:t>
      </w:r>
      <w:r>
        <w:rPr>
          <w:spacing w:val="-140"/>
          <w:w w:val="100"/>
        </w:rPr>
        <w:t>》</w:t>
      </w:r>
      <w:r>
        <w:rPr>
          <w:w w:val="100"/>
        </w:rPr>
        <w:t>；</w:t>
      </w:r>
    </w:p>
    <w:p>
      <w:pPr>
        <w:pStyle w:val="Heading3"/>
        <w:spacing w:line="240" w:lineRule="auto" w:before="135"/>
        <w:ind w:left="697" w:right="106"/>
        <w:jc w:val="left"/>
      </w:pPr>
      <w:r>
        <w:rPr>
          <w:w w:val="100"/>
        </w:rPr>
        <w:t>（</w:t>
      </w:r>
      <w:r>
        <w:rPr>
          <w:rFonts w:ascii="宋体" w:hAnsi="宋体" w:cs="宋体" w:eastAsia="宋体" w:hint="default"/>
          <w:spacing w:val="-2"/>
          <w:w w:val="100"/>
        </w:rPr>
        <w:t>7</w:t>
      </w:r>
      <w:r>
        <w:rPr>
          <w:spacing w:val="-140"/>
          <w:w w:val="100"/>
        </w:rPr>
        <w:t>）</w:t>
      </w:r>
      <w:r>
        <w:rPr>
          <w:w w:val="100"/>
        </w:rPr>
        <w:t>《</w:t>
      </w:r>
      <w:r>
        <w:rPr>
          <w:spacing w:val="-3"/>
          <w:w w:val="100"/>
        </w:rPr>
        <w:t>高</w:t>
      </w:r>
      <w:r>
        <w:rPr>
          <w:w w:val="100"/>
        </w:rPr>
        <w:t>级管</w:t>
      </w:r>
      <w:r>
        <w:rPr>
          <w:spacing w:val="-3"/>
          <w:w w:val="100"/>
        </w:rPr>
        <w:t>理人</w:t>
      </w:r>
      <w:r>
        <w:rPr>
          <w:w w:val="100"/>
        </w:rPr>
        <w:t>员薪酬</w:t>
      </w:r>
      <w:r>
        <w:rPr>
          <w:spacing w:val="-3"/>
          <w:w w:val="100"/>
        </w:rPr>
        <w:t>管</w:t>
      </w:r>
      <w:r>
        <w:rPr>
          <w:w w:val="100"/>
        </w:rPr>
        <w:t>理制</w:t>
      </w:r>
      <w:r>
        <w:rPr>
          <w:spacing w:val="-3"/>
          <w:w w:val="100"/>
        </w:rPr>
        <w:t>度</w:t>
      </w:r>
      <w:r>
        <w:rPr>
          <w:spacing w:val="-140"/>
          <w:w w:val="100"/>
        </w:rPr>
        <w:t>》</w:t>
      </w:r>
      <w:r>
        <w:rPr>
          <w:w w:val="100"/>
        </w:rPr>
        <w:t>。</w:t>
      </w:r>
    </w:p>
    <w:p>
      <w:pPr>
        <w:pStyle w:val="Heading3"/>
        <w:spacing w:line="326" w:lineRule="auto" w:before="132"/>
        <w:ind w:right="298" w:firstLine="559"/>
        <w:jc w:val="left"/>
      </w:pPr>
      <w:r>
        <w:rPr>
          <w:spacing w:val="-1"/>
          <w:w w:val="100"/>
        </w:rPr>
        <w:t>该次决议内容已刊登在</w:t>
      </w:r>
      <w:r>
        <w:rPr>
          <w:spacing w:val="-70"/>
          <w:w w:val="100"/>
        </w:rPr>
        <w:t> </w:t>
      </w:r>
      <w:r>
        <w:rPr>
          <w:rFonts w:ascii="宋体" w:hAnsi="宋体" w:cs="宋体" w:eastAsia="宋体" w:hint="default"/>
          <w:spacing w:val="-1"/>
          <w:w w:val="100"/>
        </w:rPr>
        <w:t>2010</w:t>
      </w:r>
      <w:r>
        <w:rPr>
          <w:rFonts w:ascii="宋体" w:hAnsi="宋体" w:cs="宋体" w:eastAsia="宋体" w:hint="default"/>
          <w:spacing w:val="-69"/>
          <w:w w:val="100"/>
        </w:rPr>
        <w:t> </w:t>
      </w:r>
      <w:r>
        <w:rPr>
          <w:w w:val="100"/>
        </w:rPr>
        <w:t>年</w:t>
      </w:r>
      <w:r>
        <w:rPr>
          <w:spacing w:val="-72"/>
          <w:w w:val="100"/>
        </w:rPr>
        <w:t> </w:t>
      </w:r>
      <w:r>
        <w:rPr>
          <w:rFonts w:ascii="宋体" w:hAnsi="宋体" w:cs="宋体" w:eastAsia="宋体" w:hint="default"/>
          <w:w w:val="100"/>
        </w:rPr>
        <w:t>12</w:t>
      </w:r>
      <w:r>
        <w:rPr>
          <w:rFonts w:ascii="宋体" w:hAnsi="宋体" w:cs="宋体" w:eastAsia="宋体" w:hint="default"/>
          <w:spacing w:val="-68"/>
          <w:w w:val="100"/>
        </w:rPr>
        <w:t> </w:t>
      </w:r>
      <w:r>
        <w:rPr>
          <w:w w:val="100"/>
        </w:rPr>
        <w:t>月</w:t>
      </w:r>
      <w:r>
        <w:rPr>
          <w:spacing w:val="-72"/>
          <w:w w:val="100"/>
        </w:rPr>
        <w:t> </w:t>
      </w:r>
      <w:r>
        <w:rPr>
          <w:rFonts w:ascii="宋体" w:hAnsi="宋体" w:cs="宋体" w:eastAsia="宋体" w:hint="default"/>
          <w:spacing w:val="-1"/>
          <w:w w:val="100"/>
        </w:rPr>
        <w:t>13</w:t>
      </w:r>
      <w:r>
        <w:rPr>
          <w:rFonts w:ascii="宋体" w:hAnsi="宋体" w:cs="宋体" w:eastAsia="宋体" w:hint="default"/>
          <w:spacing w:val="-69"/>
          <w:w w:val="100"/>
        </w:rPr>
        <w:t> </w:t>
      </w:r>
      <w:r>
        <w:rPr>
          <w:spacing w:val="-27"/>
          <w:w w:val="100"/>
        </w:rPr>
        <w:t>日的《证券时报》、《中</w:t>
      </w:r>
      <w:r>
        <w:rPr>
          <w:w w:val="100"/>
        </w:rPr>
        <w:t> </w:t>
      </w:r>
      <w:r>
        <w:rPr/>
        <w:t>国证券报》和巨潮资讯（</w:t>
      </w:r>
      <w:hyperlink r:id="rId12">
        <w:r>
          <w:rPr>
            <w:rFonts w:ascii="宋体" w:hAnsi="宋体" w:cs="宋体" w:eastAsia="宋体" w:hint="default"/>
          </w:rPr>
          <w:t>http://www.cninfo.com.cn</w:t>
        </w:r>
      </w:hyperlink>
      <w:r>
        <w:rPr/>
        <w:t>）上。</w:t>
      </w:r>
    </w:p>
    <w:p>
      <w:pPr>
        <w:spacing w:line="326" w:lineRule="auto" w:before="34"/>
        <w:ind w:left="697" w:right="105" w:hanging="560"/>
        <w:jc w:val="left"/>
        <w:rPr>
          <w:rFonts w:ascii="宋体" w:hAnsi="宋体" w:cs="宋体" w:eastAsia="宋体" w:hint="default"/>
          <w:sz w:val="28"/>
          <w:szCs w:val="28"/>
        </w:rPr>
      </w:pPr>
      <w:r>
        <w:rPr>
          <w:rFonts w:ascii="宋体" w:hAnsi="宋体" w:cs="宋体" w:eastAsia="宋体" w:hint="default"/>
          <w:b/>
          <w:bCs/>
          <w:sz w:val="28"/>
          <w:szCs w:val="28"/>
        </w:rPr>
        <w:t>（二）董事会对股东大会决议的执行情况</w:t>
      </w:r>
      <w:r>
        <w:rPr>
          <w:rFonts w:ascii="宋体" w:hAnsi="宋体" w:cs="宋体" w:eastAsia="宋体" w:hint="default"/>
          <w:b/>
          <w:bCs/>
          <w:w w:val="99"/>
          <w:sz w:val="28"/>
          <w:szCs w:val="28"/>
        </w:rPr>
        <w:t> </w:t>
      </w:r>
      <w:r>
        <w:rPr>
          <w:rFonts w:ascii="宋体" w:hAnsi="宋体" w:cs="宋体" w:eastAsia="宋体" w:hint="default"/>
          <w:spacing w:val="-18"/>
          <w:w w:val="100"/>
          <w:sz w:val="28"/>
          <w:szCs w:val="28"/>
        </w:rPr>
        <w:t>报告期内，公司董事会根据《公司法》、《证券法》和《公司章程》</w:t>
      </w:r>
    </w:p>
    <w:p>
      <w:pPr>
        <w:pStyle w:val="Heading3"/>
        <w:spacing w:line="240" w:lineRule="auto" w:before="32"/>
        <w:ind w:right="106"/>
        <w:jc w:val="left"/>
      </w:pPr>
      <w:r>
        <w:rPr>
          <w:spacing w:val="-4"/>
        </w:rPr>
        <w:t>等有关法律法规，严格按照股东大会的决议和授权，认真执行股东大</w:t>
      </w:r>
    </w:p>
    <w:p>
      <w:pPr>
        <w:spacing w:after="0" w:line="240" w:lineRule="auto"/>
        <w:jc w:val="left"/>
        <w:sectPr>
          <w:pgSz w:w="11910" w:h="16840"/>
          <w:pgMar w:header="624" w:footer="1045" w:top="1240" w:bottom="1240" w:left="1660" w:right="1540"/>
        </w:sectPr>
      </w:pPr>
    </w:p>
    <w:p>
      <w:pPr>
        <w:pStyle w:val="Heading3"/>
        <w:spacing w:line="240" w:lineRule="auto" w:before="73"/>
        <w:ind w:right="0"/>
        <w:jc w:val="both"/>
      </w:pPr>
      <w:r>
        <w:rPr/>
        <w:t>会通过的各项决议。具体如下：</w:t>
      </w:r>
    </w:p>
    <w:p>
      <w:pPr>
        <w:pStyle w:val="Heading3"/>
        <w:spacing w:line="240" w:lineRule="auto" w:before="135"/>
        <w:ind w:left="697" w:right="0"/>
        <w:jc w:val="left"/>
      </w:pPr>
      <w:r>
        <w:rPr>
          <w:rFonts w:ascii="宋体" w:hAnsi="宋体" w:cs="宋体" w:eastAsia="宋体" w:hint="default"/>
          <w:spacing w:val="1"/>
          <w:w w:val="100"/>
        </w:rPr>
        <w:t>1</w:t>
      </w:r>
      <w:r>
        <w:rPr>
          <w:spacing w:val="-142"/>
          <w:w w:val="100"/>
        </w:rPr>
        <w:t>、</w:t>
      </w:r>
      <w:r>
        <w:rPr>
          <w:w w:val="100"/>
        </w:rPr>
        <w:t>根据</w:t>
      </w:r>
      <w:r>
        <w:rPr>
          <w:spacing w:val="-83"/>
        </w:rPr>
        <w:t> </w:t>
      </w:r>
      <w:r>
        <w:rPr>
          <w:rFonts w:ascii="宋体" w:hAnsi="宋体" w:cs="宋体" w:eastAsia="宋体" w:hint="default"/>
          <w:spacing w:val="-2"/>
          <w:w w:val="100"/>
        </w:rPr>
        <w:t>2</w:t>
      </w:r>
      <w:r>
        <w:rPr>
          <w:rFonts w:ascii="宋体" w:hAnsi="宋体" w:cs="宋体" w:eastAsia="宋体" w:hint="default"/>
          <w:spacing w:val="1"/>
          <w:w w:val="100"/>
        </w:rPr>
        <w:t>0</w:t>
      </w:r>
      <w:r>
        <w:rPr>
          <w:rFonts w:ascii="宋体" w:hAnsi="宋体" w:cs="宋体" w:eastAsia="宋体" w:hint="default"/>
          <w:spacing w:val="-2"/>
          <w:w w:val="100"/>
        </w:rPr>
        <w:t>1</w:t>
      </w:r>
      <w:r>
        <w:rPr>
          <w:rFonts w:ascii="宋体" w:hAnsi="宋体" w:cs="宋体" w:eastAsia="宋体" w:hint="default"/>
          <w:w w:val="100"/>
        </w:rPr>
        <w:t>0</w:t>
      </w:r>
      <w:r>
        <w:rPr>
          <w:rFonts w:ascii="宋体" w:hAnsi="宋体" w:cs="宋体" w:eastAsia="宋体" w:hint="default"/>
          <w:spacing w:val="-81"/>
        </w:rPr>
        <w:t> </w:t>
      </w:r>
      <w:r>
        <w:rPr>
          <w:w w:val="100"/>
        </w:rPr>
        <w:t>年</w:t>
      </w:r>
      <w:r>
        <w:rPr>
          <w:spacing w:val="-83"/>
        </w:rPr>
        <w:t> </w:t>
      </w:r>
      <w:r>
        <w:rPr>
          <w:rFonts w:ascii="宋体" w:hAnsi="宋体" w:cs="宋体" w:eastAsia="宋体" w:hint="default"/>
          <w:w w:val="100"/>
        </w:rPr>
        <w:t>1</w:t>
      </w:r>
      <w:r>
        <w:rPr>
          <w:rFonts w:ascii="宋体" w:hAnsi="宋体" w:cs="宋体" w:eastAsia="宋体" w:hint="default"/>
          <w:spacing w:val="-82"/>
        </w:rPr>
        <w:t> </w:t>
      </w:r>
      <w:r>
        <w:rPr>
          <w:w w:val="100"/>
        </w:rPr>
        <w:t>月</w:t>
      </w:r>
      <w:r>
        <w:rPr>
          <w:spacing w:val="-83"/>
        </w:rPr>
        <w:t> </w:t>
      </w:r>
      <w:r>
        <w:rPr>
          <w:rFonts w:ascii="宋体" w:hAnsi="宋体" w:cs="宋体" w:eastAsia="宋体" w:hint="default"/>
          <w:spacing w:val="-2"/>
          <w:w w:val="100"/>
        </w:rPr>
        <w:t>1</w:t>
      </w:r>
      <w:r>
        <w:rPr>
          <w:rFonts w:ascii="宋体" w:hAnsi="宋体" w:cs="宋体" w:eastAsia="宋体" w:hint="default"/>
          <w:w w:val="100"/>
        </w:rPr>
        <w:t>9</w:t>
      </w:r>
      <w:r>
        <w:rPr>
          <w:rFonts w:ascii="宋体" w:hAnsi="宋体" w:cs="宋体" w:eastAsia="宋体" w:hint="default"/>
          <w:spacing w:val="-79"/>
        </w:rPr>
        <w:t> </w:t>
      </w:r>
      <w:r>
        <w:rPr>
          <w:w w:val="100"/>
        </w:rPr>
        <w:t>日</w:t>
      </w:r>
      <w:r>
        <w:rPr>
          <w:spacing w:val="-3"/>
          <w:w w:val="100"/>
        </w:rPr>
        <w:t>公</w:t>
      </w:r>
      <w:r>
        <w:rPr>
          <w:w w:val="100"/>
        </w:rPr>
        <w:t>司</w:t>
      </w:r>
      <w:r>
        <w:rPr>
          <w:spacing w:val="-83"/>
        </w:rPr>
        <w:t> </w:t>
      </w:r>
      <w:r>
        <w:rPr>
          <w:rFonts w:ascii="宋体" w:hAnsi="宋体" w:cs="宋体" w:eastAsia="宋体" w:hint="default"/>
          <w:w w:val="100"/>
        </w:rPr>
        <w:t>2</w:t>
      </w:r>
      <w:r>
        <w:rPr>
          <w:rFonts w:ascii="宋体" w:hAnsi="宋体" w:cs="宋体" w:eastAsia="宋体" w:hint="default"/>
          <w:spacing w:val="-2"/>
          <w:w w:val="100"/>
        </w:rPr>
        <w:t>0</w:t>
      </w:r>
      <w:r>
        <w:rPr>
          <w:rFonts w:ascii="宋体" w:hAnsi="宋体" w:cs="宋体" w:eastAsia="宋体" w:hint="default"/>
          <w:spacing w:val="-1"/>
          <w:w w:val="100"/>
        </w:rPr>
        <w:t>0</w:t>
      </w:r>
      <w:r>
        <w:rPr>
          <w:rFonts w:ascii="宋体" w:hAnsi="宋体" w:cs="宋体" w:eastAsia="宋体" w:hint="default"/>
          <w:w w:val="100"/>
        </w:rPr>
        <w:t>9</w:t>
      </w:r>
      <w:r>
        <w:rPr>
          <w:rFonts w:ascii="宋体" w:hAnsi="宋体" w:cs="宋体" w:eastAsia="宋体" w:hint="default"/>
          <w:spacing w:val="-82"/>
        </w:rPr>
        <w:t> </w:t>
      </w:r>
      <w:r>
        <w:rPr>
          <w:w w:val="100"/>
        </w:rPr>
        <w:t>年</w:t>
      </w:r>
      <w:r>
        <w:rPr>
          <w:spacing w:val="-3"/>
          <w:w w:val="100"/>
        </w:rPr>
        <w:t>第</w:t>
      </w:r>
      <w:r>
        <w:rPr>
          <w:w w:val="100"/>
        </w:rPr>
        <w:t>一次临</w:t>
      </w:r>
      <w:r>
        <w:rPr>
          <w:spacing w:val="-3"/>
          <w:w w:val="100"/>
        </w:rPr>
        <w:t>时</w:t>
      </w:r>
      <w:r>
        <w:rPr>
          <w:w w:val="100"/>
        </w:rPr>
        <w:t>股东</w:t>
      </w:r>
      <w:r>
        <w:rPr>
          <w:spacing w:val="-3"/>
          <w:w w:val="100"/>
        </w:rPr>
        <w:t>大</w:t>
      </w:r>
      <w:r>
        <w:rPr>
          <w:spacing w:val="-2"/>
          <w:w w:val="100"/>
        </w:rPr>
        <w:t>会</w:t>
      </w:r>
      <w:r>
        <w:rPr>
          <w:w w:val="100"/>
        </w:rPr>
        <w:t>决议，</w:t>
      </w:r>
    </w:p>
    <w:p>
      <w:pPr>
        <w:pStyle w:val="Heading3"/>
        <w:spacing w:line="326" w:lineRule="auto" w:before="132"/>
        <w:ind w:right="304"/>
        <w:jc w:val="both"/>
      </w:pPr>
      <w:r>
        <w:rPr/>
        <w:t>公司变更天健正信会计事务所有限公司为公司</w:t>
      </w:r>
      <w:r>
        <w:rPr>
          <w:spacing w:val="-74"/>
        </w:rPr>
        <w:t> </w:t>
      </w:r>
      <w:r>
        <w:rPr>
          <w:rFonts w:ascii="宋体" w:hAnsi="宋体" w:cs="宋体" w:eastAsia="宋体" w:hint="default"/>
        </w:rPr>
        <w:t>2009</w:t>
      </w:r>
      <w:r>
        <w:rPr>
          <w:rFonts w:ascii="宋体" w:hAnsi="宋体" w:cs="宋体" w:eastAsia="宋体" w:hint="default"/>
          <w:spacing w:val="-71"/>
        </w:rPr>
        <w:t> </w:t>
      </w:r>
      <w:r>
        <w:rPr/>
        <w:t>年度财务审计机</w:t>
      </w:r>
      <w:r>
        <w:rPr>
          <w:w w:val="100"/>
        </w:rPr>
        <w:t> </w:t>
      </w:r>
      <w:r>
        <w:rPr/>
        <w:t>构。</w:t>
      </w:r>
    </w:p>
    <w:p>
      <w:pPr>
        <w:pStyle w:val="Heading3"/>
        <w:spacing w:line="240" w:lineRule="auto" w:before="34"/>
        <w:ind w:left="697" w:right="106"/>
        <w:jc w:val="left"/>
      </w:pP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72"/>
        </w:rPr>
        <w:t> </w:t>
      </w:r>
      <w:r>
        <w:rPr/>
        <w:t>年</w:t>
      </w:r>
      <w:r>
        <w:rPr>
          <w:spacing w:val="-71"/>
        </w:rPr>
        <w:t> </w:t>
      </w:r>
      <w:r>
        <w:rPr>
          <w:rFonts w:ascii="宋体" w:hAnsi="宋体" w:cs="宋体" w:eastAsia="宋体" w:hint="default"/>
        </w:rPr>
        <w:t>3</w:t>
      </w:r>
      <w:r>
        <w:rPr>
          <w:rFonts w:ascii="宋体" w:hAnsi="宋体" w:cs="宋体" w:eastAsia="宋体" w:hint="default"/>
          <w:spacing w:val="-69"/>
        </w:rPr>
        <w:t> </w:t>
      </w:r>
      <w:r>
        <w:rPr/>
        <w:t>月</w:t>
      </w:r>
      <w:r>
        <w:rPr>
          <w:spacing w:val="-73"/>
        </w:rPr>
        <w:t> </w:t>
      </w:r>
      <w:r>
        <w:rPr>
          <w:rFonts w:ascii="宋体" w:hAnsi="宋体" w:cs="宋体" w:eastAsia="宋体" w:hint="default"/>
        </w:rPr>
        <w:t>19</w:t>
      </w:r>
      <w:r>
        <w:rPr>
          <w:rFonts w:ascii="宋体" w:hAnsi="宋体" w:cs="宋体" w:eastAsia="宋体" w:hint="default"/>
          <w:spacing w:val="-72"/>
        </w:rPr>
        <w:t> </w:t>
      </w:r>
      <w:r>
        <w:rPr/>
        <w:t>日召开的</w:t>
      </w:r>
      <w:r>
        <w:rPr>
          <w:spacing w:val="-73"/>
        </w:rPr>
        <w:t> </w:t>
      </w:r>
      <w:r>
        <w:rPr>
          <w:rFonts w:ascii="宋体" w:hAnsi="宋体" w:cs="宋体" w:eastAsia="宋体" w:hint="default"/>
        </w:rPr>
        <w:t>2009</w:t>
      </w:r>
      <w:r>
        <w:rPr>
          <w:rFonts w:ascii="宋体" w:hAnsi="宋体" w:cs="宋体" w:eastAsia="宋体" w:hint="default"/>
          <w:spacing w:val="-69"/>
        </w:rPr>
        <w:t> </w:t>
      </w:r>
      <w:r>
        <w:rPr/>
        <w:t>年度股东大会决议执行情况：</w:t>
      </w:r>
    </w:p>
    <w:p>
      <w:pPr>
        <w:pStyle w:val="Heading3"/>
        <w:spacing w:line="240" w:lineRule="auto" w:before="132"/>
        <w:ind w:left="697" w:right="106"/>
        <w:jc w:val="left"/>
      </w:pPr>
      <w:r>
        <w:rPr>
          <w:w w:val="100"/>
        </w:rPr>
        <w:t>（</w:t>
      </w:r>
      <w:r>
        <w:rPr>
          <w:rFonts w:ascii="宋体" w:hAnsi="宋体" w:cs="宋体" w:eastAsia="宋体" w:hint="default"/>
          <w:spacing w:val="-2"/>
          <w:w w:val="100"/>
        </w:rPr>
        <w:t>1</w:t>
      </w:r>
      <w:r>
        <w:rPr>
          <w:spacing w:val="-147"/>
          <w:w w:val="100"/>
        </w:rPr>
        <w:t>）</w:t>
      </w:r>
      <w:r>
        <w:rPr>
          <w:w w:val="100"/>
        </w:rPr>
        <w:t>《</w:t>
      </w:r>
      <w:r>
        <w:rPr>
          <w:rFonts w:ascii="宋体" w:hAnsi="宋体" w:cs="宋体" w:eastAsia="宋体" w:hint="default"/>
          <w:spacing w:val="-2"/>
          <w:w w:val="100"/>
        </w:rPr>
        <w:t>2</w:t>
      </w:r>
      <w:r>
        <w:rPr>
          <w:rFonts w:ascii="宋体" w:hAnsi="宋体" w:cs="宋体" w:eastAsia="宋体" w:hint="default"/>
          <w:w w:val="100"/>
        </w:rPr>
        <w:t>0</w:t>
      </w:r>
      <w:r>
        <w:rPr>
          <w:rFonts w:ascii="宋体" w:hAnsi="宋体" w:cs="宋体" w:eastAsia="宋体" w:hint="default"/>
          <w:spacing w:val="-2"/>
          <w:w w:val="100"/>
        </w:rPr>
        <w:t>0</w:t>
      </w:r>
      <w:r>
        <w:rPr>
          <w:rFonts w:ascii="宋体" w:hAnsi="宋体" w:cs="宋体" w:eastAsia="宋体" w:hint="default"/>
          <w:w w:val="100"/>
        </w:rPr>
        <w:t>9</w:t>
      </w:r>
      <w:r>
        <w:rPr>
          <w:rFonts w:ascii="宋体" w:hAnsi="宋体" w:cs="宋体" w:eastAsia="宋体" w:hint="default"/>
          <w:spacing w:val="-69"/>
        </w:rPr>
        <w:t> </w:t>
      </w:r>
      <w:r>
        <w:rPr>
          <w:spacing w:val="-3"/>
          <w:w w:val="100"/>
        </w:rPr>
        <w:t>年</w:t>
      </w:r>
      <w:r>
        <w:rPr>
          <w:w w:val="100"/>
        </w:rPr>
        <w:t>度</w:t>
      </w:r>
      <w:r>
        <w:rPr>
          <w:spacing w:val="-3"/>
          <w:w w:val="100"/>
        </w:rPr>
        <w:t>利</w:t>
      </w:r>
      <w:r>
        <w:rPr>
          <w:w w:val="100"/>
        </w:rPr>
        <w:t>润分配</w:t>
      </w:r>
      <w:r>
        <w:rPr>
          <w:spacing w:val="-3"/>
          <w:w w:val="100"/>
        </w:rPr>
        <w:t>方</w:t>
      </w:r>
      <w:r>
        <w:rPr>
          <w:w w:val="100"/>
        </w:rPr>
        <w:t>案</w:t>
      </w:r>
      <w:r>
        <w:rPr>
          <w:spacing w:val="-140"/>
          <w:w w:val="100"/>
        </w:rPr>
        <w:t>》</w:t>
      </w:r>
      <w:r>
        <w:rPr>
          <w:spacing w:val="-8"/>
          <w:w w:val="100"/>
        </w:rPr>
        <w:t>：</w:t>
      </w:r>
      <w:r>
        <w:rPr>
          <w:spacing w:val="-3"/>
          <w:w w:val="100"/>
        </w:rPr>
        <w:t>根据</w:t>
      </w:r>
      <w:r>
        <w:rPr>
          <w:w w:val="100"/>
        </w:rPr>
        <w:t>议案</w:t>
      </w:r>
      <w:r>
        <w:rPr>
          <w:spacing w:val="-8"/>
          <w:w w:val="100"/>
        </w:rPr>
        <w:t>，</w:t>
      </w:r>
      <w:r>
        <w:rPr>
          <w:w w:val="100"/>
        </w:rPr>
        <w:t>公司</w:t>
      </w:r>
      <w:r>
        <w:rPr>
          <w:spacing w:val="-3"/>
          <w:w w:val="100"/>
        </w:rPr>
        <w:t>在</w:t>
      </w:r>
      <w:r>
        <w:rPr>
          <w:w w:val="100"/>
        </w:rPr>
        <w:t>报</w:t>
      </w:r>
      <w:r>
        <w:rPr>
          <w:spacing w:val="-3"/>
          <w:w w:val="100"/>
        </w:rPr>
        <w:t>告</w:t>
      </w:r>
      <w:r>
        <w:rPr>
          <w:w w:val="100"/>
        </w:rPr>
        <w:t>期内进</w:t>
      </w:r>
    </w:p>
    <w:p>
      <w:pPr>
        <w:pStyle w:val="Heading3"/>
        <w:spacing w:line="240" w:lineRule="auto" w:before="132"/>
        <w:ind w:right="0"/>
        <w:jc w:val="both"/>
      </w:pPr>
      <w:r>
        <w:rPr/>
        <w:t>行了以</w:t>
      </w:r>
      <w:r>
        <w:rPr>
          <w:spacing w:val="-72"/>
        </w:rPr>
        <w:t> </w:t>
      </w:r>
      <w:r>
        <w:rPr>
          <w:rFonts w:ascii="宋体" w:hAnsi="宋体" w:cs="宋体" w:eastAsia="宋体" w:hint="default"/>
        </w:rPr>
        <w:t>2009</w:t>
      </w:r>
      <w:r>
        <w:rPr>
          <w:rFonts w:ascii="宋体" w:hAnsi="宋体" w:cs="宋体" w:eastAsia="宋体" w:hint="default"/>
          <w:spacing w:val="-70"/>
        </w:rPr>
        <w:t> </w:t>
      </w:r>
      <w:r>
        <w:rPr/>
        <w:t>年</w:t>
      </w:r>
      <w:r>
        <w:rPr>
          <w:spacing w:val="-74"/>
        </w:rPr>
        <w:t> </w:t>
      </w:r>
      <w:r>
        <w:rPr>
          <w:rFonts w:ascii="宋体" w:hAnsi="宋体" w:cs="宋体" w:eastAsia="宋体" w:hint="default"/>
        </w:rPr>
        <w:t>12</w:t>
      </w:r>
      <w:r>
        <w:rPr>
          <w:rFonts w:ascii="宋体" w:hAnsi="宋体" w:cs="宋体" w:eastAsia="宋体" w:hint="default"/>
          <w:spacing w:val="-72"/>
        </w:rPr>
        <w:t> </w:t>
      </w:r>
      <w:r>
        <w:rPr/>
        <w:t>月</w:t>
      </w:r>
      <w:r>
        <w:rPr>
          <w:spacing w:val="-72"/>
        </w:rPr>
        <w:t> </w:t>
      </w:r>
      <w:r>
        <w:rPr>
          <w:rFonts w:ascii="宋体" w:hAnsi="宋体" w:cs="宋体" w:eastAsia="宋体" w:hint="default"/>
        </w:rPr>
        <w:t>31</w:t>
      </w:r>
      <w:r>
        <w:rPr>
          <w:rFonts w:ascii="宋体" w:hAnsi="宋体" w:cs="宋体" w:eastAsia="宋体" w:hint="default"/>
          <w:spacing w:val="-73"/>
        </w:rPr>
        <w:t> </w:t>
      </w:r>
      <w:r>
        <w:rPr/>
        <w:t>日的公司总股本</w:t>
      </w:r>
      <w:r>
        <w:rPr>
          <w:spacing w:val="-71"/>
        </w:rPr>
        <w:t> </w:t>
      </w:r>
      <w:r>
        <w:rPr>
          <w:rFonts w:ascii="宋体" w:hAnsi="宋体" w:cs="宋体" w:eastAsia="宋体" w:hint="default"/>
        </w:rPr>
        <w:t>6150</w:t>
      </w:r>
      <w:r>
        <w:rPr>
          <w:rFonts w:ascii="宋体" w:hAnsi="宋体" w:cs="宋体" w:eastAsia="宋体" w:hint="default"/>
          <w:spacing w:val="-70"/>
        </w:rPr>
        <w:t> </w:t>
      </w:r>
      <w:r>
        <w:rPr/>
        <w:t>万股为基数，每</w:t>
      </w:r>
      <w:r>
        <w:rPr>
          <w:spacing w:val="-71"/>
        </w:rPr>
        <w:t> </w:t>
      </w:r>
      <w:r>
        <w:rPr>
          <w:rFonts w:ascii="宋体" w:hAnsi="宋体" w:cs="宋体" w:eastAsia="宋体" w:hint="default"/>
        </w:rPr>
        <w:t>10</w:t>
      </w:r>
      <w:r>
        <w:rPr>
          <w:rFonts w:ascii="宋体" w:hAnsi="宋体" w:cs="宋体" w:eastAsia="宋体" w:hint="default"/>
          <w:spacing w:val="-71"/>
        </w:rPr>
        <w:t> </w:t>
      </w:r>
      <w:r>
        <w:rPr/>
        <w:t>股</w:t>
      </w:r>
    </w:p>
    <w:p>
      <w:pPr>
        <w:pStyle w:val="Heading3"/>
        <w:spacing w:line="240" w:lineRule="auto" w:before="135"/>
        <w:ind w:right="0"/>
        <w:jc w:val="both"/>
      </w:pPr>
      <w:r>
        <w:rPr>
          <w:w w:val="100"/>
        </w:rPr>
        <w:t>派发现</w:t>
      </w:r>
      <w:r>
        <w:rPr>
          <w:spacing w:val="-3"/>
          <w:w w:val="100"/>
        </w:rPr>
        <w:t>金</w:t>
      </w:r>
      <w:r>
        <w:rPr>
          <w:w w:val="100"/>
        </w:rPr>
        <w:t>红利</w:t>
      </w:r>
      <w:r>
        <w:rPr>
          <w:spacing w:val="-71"/>
        </w:rPr>
        <w:t> </w:t>
      </w:r>
      <w:r>
        <w:rPr>
          <w:rFonts w:ascii="宋体" w:hAnsi="宋体" w:cs="宋体" w:eastAsia="宋体" w:hint="default"/>
          <w:spacing w:val="-2"/>
          <w:w w:val="100"/>
        </w:rPr>
        <w:t>7.</w:t>
      </w:r>
      <w:r>
        <w:rPr>
          <w:rFonts w:ascii="宋体" w:hAnsi="宋体" w:cs="宋体" w:eastAsia="宋体" w:hint="default"/>
          <w:w w:val="100"/>
        </w:rPr>
        <w:t>00</w:t>
      </w:r>
      <w:r>
        <w:rPr>
          <w:rFonts w:ascii="宋体" w:hAnsi="宋体" w:cs="宋体" w:eastAsia="宋体" w:hint="default"/>
          <w:spacing w:val="-71"/>
        </w:rPr>
        <w:t> </w:t>
      </w:r>
      <w:r>
        <w:rPr>
          <w:w w:val="100"/>
        </w:rPr>
        <w:t>元（含</w:t>
      </w:r>
      <w:r>
        <w:rPr>
          <w:spacing w:val="-3"/>
          <w:w w:val="100"/>
        </w:rPr>
        <w:t>税</w:t>
      </w:r>
      <w:r>
        <w:rPr>
          <w:spacing w:val="-140"/>
          <w:w w:val="100"/>
        </w:rPr>
        <w:t>）</w:t>
      </w:r>
      <w:r>
        <w:rPr>
          <w:w w:val="100"/>
        </w:rPr>
        <w:t>，每</w:t>
      </w:r>
      <w:r>
        <w:rPr>
          <w:spacing w:val="-73"/>
        </w:rPr>
        <w:t> </w:t>
      </w:r>
      <w:r>
        <w:rPr>
          <w:rFonts w:ascii="宋体" w:hAnsi="宋体" w:cs="宋体" w:eastAsia="宋体" w:hint="default"/>
          <w:spacing w:val="-2"/>
          <w:w w:val="100"/>
        </w:rPr>
        <w:t>1</w:t>
      </w:r>
      <w:r>
        <w:rPr>
          <w:rFonts w:ascii="宋体" w:hAnsi="宋体" w:cs="宋体" w:eastAsia="宋体" w:hint="default"/>
          <w:w w:val="100"/>
        </w:rPr>
        <w:t>0</w:t>
      </w:r>
      <w:r>
        <w:rPr>
          <w:rFonts w:ascii="宋体" w:hAnsi="宋体" w:cs="宋体" w:eastAsia="宋体" w:hint="default"/>
          <w:spacing w:val="-72"/>
        </w:rPr>
        <w:t> </w:t>
      </w:r>
      <w:r>
        <w:rPr>
          <w:w w:val="100"/>
        </w:rPr>
        <w:t>股转增</w:t>
      </w:r>
      <w:r>
        <w:rPr>
          <w:spacing w:val="-71"/>
        </w:rPr>
        <w:t> </w:t>
      </w:r>
      <w:r>
        <w:rPr>
          <w:rFonts w:ascii="宋体" w:hAnsi="宋体" w:cs="宋体" w:eastAsia="宋体" w:hint="default"/>
          <w:w w:val="100"/>
        </w:rPr>
        <w:t>7</w:t>
      </w:r>
      <w:r>
        <w:rPr>
          <w:rFonts w:ascii="宋体" w:hAnsi="宋体" w:cs="宋体" w:eastAsia="宋体" w:hint="default"/>
          <w:spacing w:val="-72"/>
        </w:rPr>
        <w:t> </w:t>
      </w:r>
      <w:r>
        <w:rPr>
          <w:w w:val="100"/>
        </w:rPr>
        <w:t>股的</w:t>
      </w:r>
      <w:r>
        <w:rPr>
          <w:spacing w:val="-3"/>
          <w:w w:val="100"/>
        </w:rPr>
        <w:t>利润</w:t>
      </w:r>
      <w:r>
        <w:rPr>
          <w:w w:val="100"/>
        </w:rPr>
        <w:t>分配。</w:t>
      </w:r>
    </w:p>
    <w:p>
      <w:pPr>
        <w:pStyle w:val="Heading3"/>
        <w:spacing w:line="328" w:lineRule="auto" w:before="132"/>
        <w:ind w:right="304" w:firstLine="559"/>
        <w:jc w:val="both"/>
      </w:pPr>
      <w:r>
        <w:rPr>
          <w:spacing w:val="-7"/>
          <w:w w:val="100"/>
        </w:rPr>
        <w:t>（</w:t>
      </w:r>
      <w:r>
        <w:rPr>
          <w:rFonts w:ascii="宋体" w:hAnsi="宋体" w:cs="宋体" w:eastAsia="宋体" w:hint="default"/>
          <w:spacing w:val="-7"/>
          <w:w w:val="100"/>
        </w:rPr>
        <w:t>2</w:t>
      </w:r>
      <w:r>
        <w:rPr>
          <w:spacing w:val="-7"/>
          <w:w w:val="100"/>
        </w:rPr>
        <w:t>）《关于续聘天健正信会计事务所有限公司为公司</w:t>
      </w:r>
      <w:r>
        <w:rPr>
          <w:spacing w:val="-69"/>
          <w:w w:val="100"/>
        </w:rPr>
        <w:t> </w:t>
      </w:r>
      <w:r>
        <w:rPr>
          <w:rFonts w:ascii="宋体" w:hAnsi="宋体" w:cs="宋体" w:eastAsia="宋体" w:hint="default"/>
          <w:spacing w:val="-1"/>
          <w:w w:val="100"/>
        </w:rPr>
        <w:t>2010</w:t>
      </w:r>
      <w:r>
        <w:rPr>
          <w:rFonts w:ascii="宋体" w:hAnsi="宋体" w:cs="宋体" w:eastAsia="宋体" w:hint="default"/>
          <w:spacing w:val="-67"/>
          <w:w w:val="100"/>
        </w:rPr>
        <w:t> </w:t>
      </w:r>
      <w:r>
        <w:rPr>
          <w:w w:val="100"/>
        </w:rPr>
        <w:t>年度 </w:t>
      </w:r>
      <w:r>
        <w:rPr>
          <w:spacing w:val="-6"/>
          <w:w w:val="100"/>
        </w:rPr>
        <w:t>财务报表审计机构的议案》：公司在报告期内已续聘天健正信会计事</w:t>
      </w:r>
      <w:r>
        <w:rPr>
          <w:spacing w:val="-130"/>
          <w:w w:val="100"/>
        </w:rPr>
        <w:t> </w:t>
      </w:r>
      <w:r>
        <w:rPr>
          <w:spacing w:val="-130"/>
          <w:w w:val="100"/>
        </w:rPr>
      </w:r>
      <w:r>
        <w:rPr/>
        <w:t>务所有限公司为公司</w:t>
      </w:r>
      <w:r>
        <w:rPr>
          <w:spacing w:val="-71"/>
        </w:rPr>
        <w:t> </w:t>
      </w:r>
      <w:r>
        <w:rPr>
          <w:rFonts w:ascii="宋体" w:hAnsi="宋体" w:cs="宋体" w:eastAsia="宋体" w:hint="default"/>
        </w:rPr>
        <w:t>2010</w:t>
      </w:r>
      <w:r>
        <w:rPr>
          <w:rFonts w:ascii="宋体" w:hAnsi="宋体" w:cs="宋体" w:eastAsia="宋体" w:hint="default"/>
          <w:spacing w:val="-71"/>
        </w:rPr>
        <w:t> </w:t>
      </w:r>
      <w:r>
        <w:rPr/>
        <w:t>年度财务审计机构。</w:t>
      </w:r>
    </w:p>
    <w:p>
      <w:pPr>
        <w:pStyle w:val="Heading3"/>
        <w:spacing w:line="326" w:lineRule="auto"/>
        <w:ind w:right="106" w:firstLine="559"/>
        <w:jc w:val="left"/>
      </w:pPr>
      <w:r>
        <w:rPr>
          <w:spacing w:val="-20"/>
          <w:w w:val="100"/>
        </w:rPr>
        <w:t>（</w:t>
      </w:r>
      <w:r>
        <w:rPr>
          <w:rFonts w:ascii="宋体" w:hAnsi="宋体" w:cs="宋体" w:eastAsia="宋体" w:hint="default"/>
          <w:spacing w:val="-20"/>
          <w:w w:val="100"/>
        </w:rPr>
        <w:t>3</w:t>
      </w:r>
      <w:r>
        <w:rPr>
          <w:spacing w:val="-20"/>
          <w:w w:val="100"/>
        </w:rPr>
        <w:t>）《募集资金管理制度》、《关于修改</w:t>
      </w:r>
      <w:r>
        <w:rPr>
          <w:rFonts w:ascii="宋体" w:hAnsi="宋体" w:cs="宋体" w:eastAsia="宋体" w:hint="default"/>
          <w:spacing w:val="-20"/>
          <w:w w:val="100"/>
        </w:rPr>
        <w:t>&lt;</w:t>
      </w:r>
      <w:r>
        <w:rPr>
          <w:spacing w:val="-20"/>
          <w:w w:val="100"/>
        </w:rPr>
        <w:t>公司章程</w:t>
      </w:r>
      <w:r>
        <w:rPr>
          <w:rFonts w:ascii="宋体" w:hAnsi="宋体" w:cs="宋体" w:eastAsia="宋体" w:hint="default"/>
          <w:spacing w:val="-20"/>
          <w:w w:val="100"/>
        </w:rPr>
        <w:t>&gt;</w:t>
      </w:r>
      <w:r>
        <w:rPr>
          <w:spacing w:val="-20"/>
          <w:w w:val="100"/>
        </w:rPr>
        <w:t>的议案》：报</w:t>
      </w:r>
      <w:r>
        <w:rPr>
          <w:w w:val="100"/>
        </w:rPr>
        <w:t> </w:t>
      </w:r>
      <w:r>
        <w:rPr/>
        <w:t>告期内以上制度得到了有效地执行。</w:t>
      </w:r>
    </w:p>
    <w:p>
      <w:pPr>
        <w:pStyle w:val="Heading3"/>
        <w:spacing w:line="240" w:lineRule="auto" w:before="34"/>
        <w:ind w:left="697" w:right="106"/>
        <w:jc w:val="left"/>
      </w:pPr>
      <w:r>
        <w:rPr>
          <w:rFonts w:ascii="宋体" w:hAnsi="宋体" w:cs="宋体" w:eastAsia="宋体" w:hint="default"/>
        </w:rPr>
        <w:t>3</w:t>
      </w:r>
      <w:r>
        <w:rPr/>
        <w:t>、根据</w:t>
      </w:r>
      <w:r>
        <w:rPr>
          <w:spacing w:val="-73"/>
        </w:rPr>
        <w:t> </w:t>
      </w:r>
      <w:r>
        <w:rPr>
          <w:rFonts w:ascii="宋体" w:hAnsi="宋体" w:cs="宋体" w:eastAsia="宋体" w:hint="default"/>
        </w:rPr>
        <w:t>2010</w:t>
      </w:r>
      <w:r>
        <w:rPr>
          <w:rFonts w:ascii="宋体" w:hAnsi="宋体" w:cs="宋体" w:eastAsia="宋体" w:hint="default"/>
          <w:spacing w:val="-69"/>
        </w:rPr>
        <w:t> </w:t>
      </w:r>
      <w:r>
        <w:rPr/>
        <w:t>年</w:t>
      </w:r>
      <w:r>
        <w:rPr>
          <w:spacing w:val="-73"/>
        </w:rPr>
        <w:t> </w:t>
      </w:r>
      <w:r>
        <w:rPr>
          <w:rFonts w:ascii="宋体" w:hAnsi="宋体" w:cs="宋体" w:eastAsia="宋体" w:hint="default"/>
        </w:rPr>
        <w:t>9</w:t>
      </w:r>
      <w:r>
        <w:rPr>
          <w:rFonts w:ascii="宋体" w:hAnsi="宋体" w:cs="宋体" w:eastAsia="宋体" w:hint="default"/>
          <w:spacing w:val="-72"/>
        </w:rPr>
        <w:t> </w:t>
      </w:r>
      <w:r>
        <w:rPr/>
        <w:t>月</w:t>
      </w:r>
      <w:r>
        <w:rPr>
          <w:spacing w:val="-71"/>
        </w:rPr>
        <w:t> </w:t>
      </w:r>
      <w:r>
        <w:rPr>
          <w:rFonts w:ascii="宋体" w:hAnsi="宋体" w:cs="宋体" w:eastAsia="宋体" w:hint="default"/>
        </w:rPr>
        <w:t>7</w:t>
      </w:r>
      <w:r>
        <w:rPr>
          <w:rFonts w:ascii="宋体" w:hAnsi="宋体" w:cs="宋体" w:eastAsia="宋体" w:hint="default"/>
          <w:spacing w:val="-70"/>
        </w:rPr>
        <w:t> </w:t>
      </w:r>
      <w:r>
        <w:rPr/>
        <w:t>日召开的</w:t>
      </w:r>
      <w:r>
        <w:rPr>
          <w:spacing w:val="-70"/>
        </w:rPr>
        <w:t> </w:t>
      </w:r>
      <w:r>
        <w:rPr>
          <w:rFonts w:ascii="宋体" w:hAnsi="宋体" w:cs="宋体" w:eastAsia="宋体" w:hint="default"/>
        </w:rPr>
        <w:t>2010</w:t>
      </w:r>
      <w:r>
        <w:rPr>
          <w:rFonts w:ascii="宋体" w:hAnsi="宋体" w:cs="宋体" w:eastAsia="宋体" w:hint="default"/>
          <w:spacing w:val="-72"/>
        </w:rPr>
        <w:t> </w:t>
      </w:r>
      <w:r>
        <w:rPr/>
        <w:t>年第一次临时股东大会的</w:t>
      </w:r>
    </w:p>
    <w:p>
      <w:pPr>
        <w:pStyle w:val="Heading3"/>
        <w:spacing w:line="240" w:lineRule="auto" w:before="132"/>
        <w:ind w:right="0"/>
        <w:jc w:val="both"/>
      </w:pPr>
      <w:r>
        <w:rPr>
          <w:spacing w:val="-9"/>
        </w:rPr>
        <w:t>决议，公司将超募资金中的</w:t>
      </w:r>
      <w:r>
        <w:rPr>
          <w:spacing w:val="-66"/>
        </w:rPr>
        <w:t> </w:t>
      </w:r>
      <w:r>
        <w:rPr>
          <w:rFonts w:ascii="宋体" w:hAnsi="宋体" w:cs="宋体" w:eastAsia="宋体" w:hint="default"/>
        </w:rPr>
        <w:t>5,091</w:t>
      </w:r>
      <w:r>
        <w:rPr>
          <w:rFonts w:ascii="宋体" w:hAnsi="宋体" w:cs="宋体" w:eastAsia="宋体" w:hint="default"/>
          <w:spacing w:val="-66"/>
        </w:rPr>
        <w:t> </w:t>
      </w:r>
      <w:r>
        <w:rPr/>
        <w:t>万元用于铁路防灾安全监控系统项</w:t>
      </w:r>
    </w:p>
    <w:p>
      <w:pPr>
        <w:pStyle w:val="Heading3"/>
        <w:spacing w:line="240" w:lineRule="auto" w:before="132"/>
        <w:ind w:right="0"/>
        <w:jc w:val="both"/>
      </w:pPr>
      <w:r>
        <w:rPr/>
        <w:t>目。公司于</w:t>
      </w:r>
      <w:r>
        <w:rPr>
          <w:spacing w:val="-73"/>
        </w:rPr>
        <w:t> </w:t>
      </w:r>
      <w:r>
        <w:rPr>
          <w:rFonts w:ascii="宋体" w:hAnsi="宋体" w:cs="宋体" w:eastAsia="宋体" w:hint="default"/>
        </w:rPr>
        <w:t>2010</w:t>
      </w:r>
      <w:r>
        <w:rPr>
          <w:rFonts w:ascii="宋体" w:hAnsi="宋体" w:cs="宋体" w:eastAsia="宋体" w:hint="default"/>
          <w:spacing w:val="-69"/>
        </w:rPr>
        <w:t> </w:t>
      </w:r>
      <w:r>
        <w:rPr/>
        <w:t>年</w:t>
      </w:r>
      <w:r>
        <w:rPr>
          <w:spacing w:val="-73"/>
        </w:rPr>
        <w:t> </w:t>
      </w:r>
      <w:r>
        <w:rPr>
          <w:rFonts w:ascii="宋体" w:hAnsi="宋体" w:cs="宋体" w:eastAsia="宋体" w:hint="default"/>
        </w:rPr>
        <w:t>10</w:t>
      </w:r>
      <w:r>
        <w:rPr>
          <w:rFonts w:ascii="宋体" w:hAnsi="宋体" w:cs="宋体" w:eastAsia="宋体" w:hint="default"/>
          <w:spacing w:val="-70"/>
        </w:rPr>
        <w:t> </w:t>
      </w:r>
      <w:r>
        <w:rPr/>
        <w:t>月</w:t>
      </w:r>
      <w:r>
        <w:rPr>
          <w:spacing w:val="-73"/>
        </w:rPr>
        <w:t> </w:t>
      </w:r>
      <w:r>
        <w:rPr>
          <w:rFonts w:ascii="宋体" w:hAnsi="宋体" w:cs="宋体" w:eastAsia="宋体" w:hint="default"/>
        </w:rPr>
        <w:t>28</w:t>
      </w:r>
      <w:r>
        <w:rPr>
          <w:rFonts w:ascii="宋体" w:hAnsi="宋体" w:cs="宋体" w:eastAsia="宋体" w:hint="default"/>
          <w:spacing w:val="-72"/>
        </w:rPr>
        <w:t> </w:t>
      </w:r>
      <w:r>
        <w:rPr/>
        <w:t>日，在中信银行股份有限公司郑州分行</w:t>
      </w:r>
    </w:p>
    <w:p>
      <w:pPr>
        <w:pStyle w:val="Heading3"/>
        <w:spacing w:line="326" w:lineRule="auto" w:before="135"/>
        <w:ind w:right="305"/>
        <w:jc w:val="both"/>
      </w:pPr>
      <w:r>
        <w:rPr>
          <w:spacing w:val="-6"/>
          <w:w w:val="100"/>
        </w:rPr>
        <w:t>（以下简称“中信银行”）开设了该项目专项账户，并与中信银行、</w:t>
      </w:r>
      <w:r>
        <w:rPr>
          <w:spacing w:val="-130"/>
          <w:w w:val="100"/>
        </w:rPr>
        <w:t> </w:t>
      </w:r>
      <w:r>
        <w:rPr>
          <w:spacing w:val="-130"/>
          <w:w w:val="100"/>
        </w:rPr>
      </w:r>
      <w:r>
        <w:rPr>
          <w:spacing w:val="-6"/>
          <w:w w:val="100"/>
        </w:rPr>
        <w:t>中德证券有限责任公司签订了《募集资金三方监管协议》，目前该项</w:t>
      </w:r>
      <w:r>
        <w:rPr>
          <w:spacing w:val="-130"/>
          <w:w w:val="100"/>
        </w:rPr>
        <w:t> </w:t>
      </w:r>
      <w:r>
        <w:rPr>
          <w:spacing w:val="-130"/>
          <w:w w:val="100"/>
        </w:rPr>
      </w:r>
      <w:r>
        <w:rPr/>
        <w:t>目按计划进度实施。</w:t>
      </w:r>
    </w:p>
    <w:p>
      <w:pPr>
        <w:pStyle w:val="Heading3"/>
        <w:spacing w:line="326" w:lineRule="auto" w:before="34"/>
        <w:ind w:right="248" w:firstLine="559"/>
        <w:jc w:val="left"/>
      </w:pPr>
      <w:r>
        <w:rPr>
          <w:rFonts w:ascii="宋体" w:hAnsi="宋体" w:cs="宋体" w:eastAsia="宋体" w:hint="default"/>
          <w:spacing w:val="-4"/>
        </w:rPr>
        <w:t>4</w:t>
      </w:r>
      <w:r>
        <w:rPr>
          <w:spacing w:val="-4"/>
        </w:rPr>
        <w:t>、</w:t>
      </w:r>
      <w:r>
        <w:rPr>
          <w:rFonts w:ascii="宋体" w:hAnsi="宋体" w:cs="宋体" w:eastAsia="宋体" w:hint="default"/>
          <w:spacing w:val="-4"/>
        </w:rPr>
        <w:t>2010</w:t>
      </w:r>
      <w:r>
        <w:rPr>
          <w:rFonts w:ascii="宋体" w:hAnsi="宋体" w:cs="宋体" w:eastAsia="宋体" w:hint="default"/>
          <w:spacing w:val="-68"/>
        </w:rPr>
        <w:t> </w:t>
      </w:r>
      <w:r>
        <w:rPr/>
        <w:t>年</w:t>
      </w:r>
      <w:r>
        <w:rPr>
          <w:spacing w:val="-73"/>
        </w:rPr>
        <w:t> </w:t>
      </w:r>
      <w:r>
        <w:rPr>
          <w:rFonts w:ascii="宋体" w:hAnsi="宋体" w:cs="宋体" w:eastAsia="宋体" w:hint="default"/>
        </w:rPr>
        <w:t>12</w:t>
      </w:r>
      <w:r>
        <w:rPr>
          <w:rFonts w:ascii="宋体" w:hAnsi="宋体" w:cs="宋体" w:eastAsia="宋体" w:hint="default"/>
          <w:spacing w:val="-68"/>
        </w:rPr>
        <w:t> </w:t>
      </w:r>
      <w:r>
        <w:rPr/>
        <w:t>月</w:t>
      </w:r>
      <w:r>
        <w:rPr>
          <w:spacing w:val="-73"/>
        </w:rPr>
        <w:t> </w:t>
      </w:r>
      <w:r>
        <w:rPr>
          <w:rFonts w:ascii="宋体" w:hAnsi="宋体" w:cs="宋体" w:eastAsia="宋体" w:hint="default"/>
        </w:rPr>
        <w:t>8</w:t>
      </w:r>
      <w:r>
        <w:rPr>
          <w:rFonts w:ascii="宋体" w:hAnsi="宋体" w:cs="宋体" w:eastAsia="宋体" w:hint="default"/>
          <w:spacing w:val="-72"/>
        </w:rPr>
        <w:t> </w:t>
      </w:r>
      <w:r>
        <w:rPr/>
        <w:t>日召开的</w:t>
      </w:r>
      <w:r>
        <w:rPr>
          <w:spacing w:val="-73"/>
        </w:rPr>
        <w:t> </w:t>
      </w:r>
      <w:r>
        <w:rPr>
          <w:rFonts w:ascii="宋体" w:hAnsi="宋体" w:cs="宋体" w:eastAsia="宋体" w:hint="default"/>
        </w:rPr>
        <w:t>2010</w:t>
      </w:r>
      <w:r>
        <w:rPr>
          <w:rFonts w:ascii="宋体" w:hAnsi="宋体" w:cs="宋体" w:eastAsia="宋体" w:hint="default"/>
          <w:spacing w:val="-68"/>
        </w:rPr>
        <w:t> </w:t>
      </w:r>
      <w:r>
        <w:rPr/>
        <w:t>年第二次临时股东大会决议执</w:t>
      </w:r>
      <w:r>
        <w:rPr>
          <w:w w:val="100"/>
        </w:rPr>
        <w:t> </w:t>
      </w:r>
      <w:r>
        <w:rPr/>
        <w:t>行情况：</w:t>
      </w:r>
    </w:p>
    <w:p>
      <w:pPr>
        <w:pStyle w:val="Heading3"/>
        <w:spacing w:line="328" w:lineRule="auto" w:before="32"/>
        <w:ind w:right="106" w:firstLine="559"/>
        <w:jc w:val="left"/>
      </w:pPr>
      <w:r>
        <w:rPr>
          <w:spacing w:val="-11"/>
          <w:w w:val="100"/>
        </w:rPr>
        <w:t>（</w:t>
      </w:r>
      <w:r>
        <w:rPr>
          <w:rFonts w:ascii="宋体" w:hAnsi="宋体" w:cs="宋体" w:eastAsia="宋体" w:hint="default"/>
          <w:spacing w:val="-11"/>
          <w:w w:val="100"/>
        </w:rPr>
        <w:t>1</w:t>
      </w:r>
      <w:r>
        <w:rPr>
          <w:spacing w:val="-11"/>
          <w:w w:val="100"/>
        </w:rPr>
        <w:t>）《关于修改</w:t>
      </w:r>
      <w:r>
        <w:rPr>
          <w:rFonts w:ascii="宋体" w:hAnsi="宋体" w:cs="宋体" w:eastAsia="宋体" w:hint="default"/>
          <w:spacing w:val="-11"/>
          <w:w w:val="100"/>
        </w:rPr>
        <w:t>&lt;</w:t>
      </w:r>
      <w:r>
        <w:rPr>
          <w:spacing w:val="-11"/>
          <w:w w:val="100"/>
        </w:rPr>
        <w:t>公司章程</w:t>
      </w:r>
      <w:r>
        <w:rPr>
          <w:rFonts w:ascii="宋体" w:hAnsi="宋体" w:cs="宋体" w:eastAsia="宋体" w:hint="default"/>
          <w:spacing w:val="-11"/>
          <w:w w:val="100"/>
        </w:rPr>
        <w:t>&gt;</w:t>
      </w:r>
      <w:r>
        <w:rPr>
          <w:spacing w:val="-11"/>
          <w:w w:val="100"/>
        </w:rPr>
        <w:t>的议案》：报告期内该制度得到了有</w:t>
      </w:r>
      <w:r>
        <w:rPr>
          <w:w w:val="100"/>
        </w:rPr>
        <w:t> </w:t>
      </w:r>
      <w:r>
        <w:rPr/>
        <w:t>效地执行。</w:t>
      </w:r>
    </w:p>
    <w:p>
      <w:pPr>
        <w:pStyle w:val="Heading3"/>
        <w:spacing w:line="326" w:lineRule="auto"/>
        <w:ind w:right="241" w:firstLine="559"/>
        <w:jc w:val="left"/>
      </w:pPr>
      <w:r>
        <w:rPr>
          <w:w w:val="100"/>
        </w:rPr>
        <w:t>（</w:t>
      </w:r>
      <w:r>
        <w:rPr>
          <w:rFonts w:ascii="宋体" w:hAnsi="宋体" w:cs="宋体" w:eastAsia="宋体" w:hint="default"/>
          <w:spacing w:val="-2"/>
          <w:w w:val="100"/>
        </w:rPr>
        <w:t>2</w:t>
      </w:r>
      <w:r>
        <w:rPr>
          <w:spacing w:val="-183"/>
          <w:w w:val="100"/>
        </w:rPr>
        <w:t>）</w:t>
      </w:r>
      <w:r>
        <w:rPr>
          <w:spacing w:val="-3"/>
          <w:w w:val="100"/>
        </w:rPr>
        <w:t>《</w:t>
      </w:r>
      <w:r>
        <w:rPr>
          <w:w w:val="100"/>
        </w:rPr>
        <w:t>关于</w:t>
      </w:r>
      <w:r>
        <w:rPr>
          <w:spacing w:val="-3"/>
          <w:w w:val="100"/>
        </w:rPr>
        <w:t>董</w:t>
      </w:r>
      <w:r>
        <w:rPr>
          <w:w w:val="100"/>
        </w:rPr>
        <w:t>事</w:t>
      </w:r>
      <w:r>
        <w:rPr>
          <w:spacing w:val="-3"/>
          <w:w w:val="100"/>
        </w:rPr>
        <w:t>会</w:t>
      </w:r>
      <w:r>
        <w:rPr>
          <w:w w:val="100"/>
        </w:rPr>
        <w:t>换届选</w:t>
      </w:r>
      <w:r>
        <w:rPr>
          <w:spacing w:val="-3"/>
          <w:w w:val="100"/>
        </w:rPr>
        <w:t>举</w:t>
      </w:r>
      <w:r>
        <w:rPr>
          <w:w w:val="100"/>
        </w:rPr>
        <w:t>的议</w:t>
      </w:r>
      <w:r>
        <w:rPr>
          <w:spacing w:val="-3"/>
          <w:w w:val="100"/>
        </w:rPr>
        <w:t>案</w:t>
      </w:r>
      <w:r>
        <w:rPr>
          <w:spacing w:val="-142"/>
          <w:w w:val="100"/>
        </w:rPr>
        <w:t>》</w:t>
      </w:r>
      <w:r>
        <w:rPr>
          <w:spacing w:val="-185"/>
          <w:w w:val="100"/>
        </w:rPr>
        <w:t>、</w:t>
      </w:r>
      <w:r>
        <w:rPr>
          <w:w w:val="100"/>
        </w:rPr>
        <w:t>《关</w:t>
      </w:r>
      <w:r>
        <w:rPr>
          <w:spacing w:val="-3"/>
          <w:w w:val="100"/>
        </w:rPr>
        <w:t>于</w:t>
      </w:r>
      <w:r>
        <w:rPr>
          <w:w w:val="100"/>
        </w:rPr>
        <w:t>监事</w:t>
      </w:r>
      <w:r>
        <w:rPr>
          <w:spacing w:val="-3"/>
          <w:w w:val="100"/>
        </w:rPr>
        <w:t>会</w:t>
      </w:r>
      <w:r>
        <w:rPr>
          <w:w w:val="100"/>
        </w:rPr>
        <w:t>换</w:t>
      </w:r>
      <w:r>
        <w:rPr>
          <w:spacing w:val="-3"/>
          <w:w w:val="100"/>
        </w:rPr>
        <w:t>届</w:t>
      </w:r>
      <w:r>
        <w:rPr>
          <w:w w:val="100"/>
        </w:rPr>
        <w:t>选举的议</w:t>
      </w:r>
      <w:r>
        <w:rPr>
          <w:w w:val="100"/>
        </w:rPr>
        <w:t> 案</w:t>
      </w:r>
      <w:r>
        <w:rPr>
          <w:spacing w:val="-140"/>
          <w:w w:val="100"/>
        </w:rPr>
        <w:t>》</w:t>
      </w:r>
      <w:r>
        <w:rPr>
          <w:spacing w:val="-3"/>
          <w:w w:val="100"/>
        </w:rPr>
        <w:t>：</w:t>
      </w:r>
      <w:r>
        <w:rPr>
          <w:w w:val="100"/>
        </w:rPr>
        <w:t>董事</w:t>
      </w:r>
      <w:r>
        <w:rPr>
          <w:spacing w:val="-3"/>
          <w:w w:val="100"/>
        </w:rPr>
        <w:t>会</w:t>
      </w:r>
      <w:r>
        <w:rPr>
          <w:w w:val="100"/>
        </w:rPr>
        <w:t>、监</w:t>
      </w:r>
      <w:r>
        <w:rPr>
          <w:spacing w:val="-3"/>
          <w:w w:val="100"/>
        </w:rPr>
        <w:t>事</w:t>
      </w:r>
      <w:r>
        <w:rPr>
          <w:w w:val="100"/>
        </w:rPr>
        <w:t>会换届</w:t>
      </w:r>
      <w:r>
        <w:rPr>
          <w:spacing w:val="-3"/>
          <w:w w:val="100"/>
        </w:rPr>
        <w:t>选</w:t>
      </w:r>
      <w:r>
        <w:rPr>
          <w:w w:val="100"/>
        </w:rPr>
        <w:t>举已</w:t>
      </w:r>
      <w:r>
        <w:rPr>
          <w:spacing w:val="-3"/>
          <w:w w:val="100"/>
        </w:rPr>
        <w:t>经完</w:t>
      </w:r>
      <w:r>
        <w:rPr>
          <w:w w:val="100"/>
        </w:rPr>
        <w:t>成，各</w:t>
      </w:r>
      <w:r>
        <w:rPr>
          <w:spacing w:val="-3"/>
          <w:w w:val="100"/>
        </w:rPr>
        <w:t>董</w:t>
      </w:r>
      <w:r>
        <w:rPr>
          <w:w w:val="100"/>
        </w:rPr>
        <w:t>事、</w:t>
      </w:r>
      <w:r>
        <w:rPr>
          <w:spacing w:val="-3"/>
          <w:w w:val="100"/>
        </w:rPr>
        <w:t>监事</w:t>
      </w:r>
      <w:r>
        <w:rPr>
          <w:w w:val="100"/>
        </w:rPr>
        <w:t>正常履</w:t>
      </w:r>
      <w:r>
        <w:rPr>
          <w:spacing w:val="-3"/>
          <w:w w:val="100"/>
        </w:rPr>
        <w:t>职</w:t>
      </w:r>
      <w:r>
        <w:rPr>
          <w:w w:val="100"/>
        </w:rPr>
        <w:t>。</w:t>
      </w:r>
    </w:p>
    <w:p>
      <w:pPr>
        <w:pStyle w:val="Heading3"/>
        <w:spacing w:line="326" w:lineRule="auto" w:before="34"/>
        <w:ind w:right="305" w:firstLine="559"/>
        <w:jc w:val="left"/>
      </w:pPr>
      <w:r>
        <w:rPr>
          <w:spacing w:val="-11"/>
          <w:w w:val="100"/>
        </w:rPr>
        <w:t>（</w:t>
      </w:r>
      <w:r>
        <w:rPr>
          <w:rFonts w:ascii="宋体" w:hAnsi="宋体" w:cs="宋体" w:eastAsia="宋体" w:hint="default"/>
          <w:spacing w:val="-11"/>
          <w:w w:val="100"/>
        </w:rPr>
        <w:t>3</w:t>
      </w:r>
      <w:r>
        <w:rPr>
          <w:spacing w:val="-11"/>
          <w:w w:val="100"/>
        </w:rPr>
        <w:t>）《关于提高独立董事薪酬的议案》：公司董事会在报告期内</w:t>
      </w:r>
      <w:r>
        <w:rPr>
          <w:w w:val="100"/>
        </w:rPr>
        <w:t> </w:t>
      </w:r>
      <w:r>
        <w:rPr/>
        <w:t>已实施该方案。</w:t>
      </w:r>
    </w:p>
    <w:p>
      <w:pPr>
        <w:pStyle w:val="Heading2"/>
        <w:spacing w:line="365" w:lineRule="exact" w:before="0"/>
        <w:ind w:right="0"/>
        <w:jc w:val="both"/>
        <w:rPr>
          <w:b w:val="0"/>
          <w:bCs w:val="0"/>
        </w:rPr>
      </w:pPr>
      <w:r>
        <w:rPr/>
        <w:t>（三）董事会各委员会的履职情况</w:t>
      </w:r>
      <w:r>
        <w:rPr>
          <w:b w:val="0"/>
          <w:bCs w:val="0"/>
        </w:rPr>
      </w:r>
    </w:p>
    <w:p>
      <w:pPr>
        <w:spacing w:after="0" w:line="365" w:lineRule="exact"/>
        <w:jc w:val="both"/>
        <w:sectPr>
          <w:pgSz w:w="11910" w:h="16840"/>
          <w:pgMar w:header="624" w:footer="1045" w:top="1240" w:bottom="1240" w:left="1660" w:right="1540"/>
        </w:sectPr>
      </w:pPr>
    </w:p>
    <w:p>
      <w:pPr>
        <w:spacing w:line="240" w:lineRule="auto" w:before="11"/>
        <w:rPr>
          <w:rFonts w:ascii="宋体" w:hAnsi="宋体" w:cs="宋体" w:eastAsia="宋体" w:hint="default"/>
          <w:b/>
          <w:bCs/>
          <w:sz w:val="18"/>
          <w:szCs w:val="18"/>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324" w:lineRule="auto" w:before="34"/>
        <w:ind w:left="697" w:right="98" w:firstLine="2"/>
        <w:jc w:val="left"/>
        <w:rPr>
          <w:rFonts w:ascii="宋体" w:hAnsi="宋体" w:cs="宋体" w:eastAsia="宋体" w:hint="default"/>
          <w:sz w:val="28"/>
          <w:szCs w:val="28"/>
        </w:rPr>
      </w:pPr>
      <w:r>
        <w:rPr>
          <w:rFonts w:ascii="宋体" w:hAnsi="宋体" w:cs="宋体" w:eastAsia="宋体" w:hint="default"/>
          <w:b/>
          <w:bCs/>
          <w:sz w:val="28"/>
          <w:szCs w:val="28"/>
        </w:rPr>
        <w:t>1</w:t>
      </w:r>
      <w:r>
        <w:rPr>
          <w:rFonts w:ascii="宋体" w:hAnsi="宋体" w:cs="宋体" w:eastAsia="宋体" w:hint="default"/>
          <w:b/>
          <w:bCs/>
          <w:sz w:val="28"/>
          <w:szCs w:val="28"/>
        </w:rPr>
        <w:t>、战略决策委员会</w:t>
      </w:r>
      <w:r>
        <w:rPr>
          <w:rFonts w:ascii="宋体" w:hAnsi="宋体" w:cs="宋体" w:eastAsia="宋体" w:hint="default"/>
          <w:b/>
          <w:bCs/>
          <w:w w:val="99"/>
          <w:sz w:val="28"/>
          <w:szCs w:val="28"/>
        </w:rPr>
        <w:t> </w:t>
      </w:r>
      <w:r>
        <w:rPr>
          <w:rFonts w:ascii="宋体" w:hAnsi="宋体" w:cs="宋体" w:eastAsia="宋体" w:hint="default"/>
          <w:spacing w:val="-4"/>
          <w:sz w:val="28"/>
          <w:szCs w:val="28"/>
        </w:rPr>
        <w:t>报告期内，公司战略决策委员会召开了两次会议，对公司的的长</w:t>
      </w:r>
    </w:p>
    <w:p>
      <w:pPr>
        <w:pStyle w:val="Heading3"/>
        <w:spacing w:line="328" w:lineRule="auto" w:before="34"/>
        <w:ind w:right="107"/>
        <w:jc w:val="both"/>
      </w:pPr>
      <w:r>
        <w:rPr>
          <w:spacing w:val="-1"/>
        </w:rPr>
        <w:t>期发展战略进行了讨论和研究，并根据市场状况进行了适当的调整，</w:t>
      </w:r>
      <w:r>
        <w:rPr>
          <w:spacing w:val="-116"/>
        </w:rPr>
        <w:t> </w:t>
      </w:r>
      <w:r>
        <w:rPr>
          <w:spacing w:val="-116"/>
        </w:rPr>
      </w:r>
      <w:r>
        <w:rPr>
          <w:spacing w:val="-4"/>
        </w:rPr>
        <w:t>对公司的投资和融资方案进行了研究讨论，并对公司募集资金投资项</w:t>
      </w:r>
      <w:r>
        <w:rPr>
          <w:spacing w:val="-114"/>
        </w:rPr>
        <w:t> </w:t>
      </w:r>
      <w:r>
        <w:rPr>
          <w:spacing w:val="-114"/>
        </w:rPr>
      </w:r>
      <w:r>
        <w:rPr/>
        <w:t>目提出建议。</w:t>
      </w:r>
    </w:p>
    <w:p>
      <w:pPr>
        <w:spacing w:line="328" w:lineRule="auto" w:before="29"/>
        <w:ind w:left="697" w:right="98" w:firstLine="2"/>
        <w:jc w:val="left"/>
        <w:rPr>
          <w:rFonts w:ascii="宋体" w:hAnsi="宋体" w:cs="宋体" w:eastAsia="宋体" w:hint="default"/>
          <w:sz w:val="28"/>
          <w:szCs w:val="28"/>
        </w:rPr>
      </w:pPr>
      <w:r>
        <w:rPr>
          <w:rFonts w:ascii="宋体" w:hAnsi="宋体" w:cs="宋体" w:eastAsia="宋体" w:hint="default"/>
          <w:b/>
          <w:bCs/>
          <w:sz w:val="28"/>
          <w:szCs w:val="28"/>
        </w:rPr>
        <w:t>2</w:t>
      </w:r>
      <w:r>
        <w:rPr>
          <w:rFonts w:ascii="宋体" w:hAnsi="宋体" w:cs="宋体" w:eastAsia="宋体" w:hint="default"/>
          <w:b/>
          <w:bCs/>
          <w:sz w:val="28"/>
          <w:szCs w:val="28"/>
        </w:rPr>
        <w:t>、薪酬与考核委员会</w:t>
      </w:r>
      <w:r>
        <w:rPr>
          <w:rFonts w:ascii="宋体" w:hAnsi="宋体" w:cs="宋体" w:eastAsia="宋体" w:hint="default"/>
          <w:b/>
          <w:bCs/>
          <w:w w:val="99"/>
          <w:sz w:val="28"/>
          <w:szCs w:val="28"/>
        </w:rPr>
        <w:t> </w:t>
      </w:r>
      <w:r>
        <w:rPr>
          <w:rFonts w:ascii="宋体" w:hAnsi="宋体" w:cs="宋体" w:eastAsia="宋体" w:hint="default"/>
          <w:spacing w:val="-4"/>
          <w:sz w:val="28"/>
          <w:szCs w:val="28"/>
        </w:rPr>
        <w:t>报告期内，薪酬与考核委员会召开了两次会议，根据公司及个人</w:t>
      </w:r>
    </w:p>
    <w:p>
      <w:pPr>
        <w:pStyle w:val="Heading3"/>
        <w:spacing w:line="328" w:lineRule="auto"/>
        <w:ind w:right="193"/>
        <w:jc w:val="both"/>
      </w:pPr>
      <w:r>
        <w:rPr>
          <w:spacing w:val="-4"/>
        </w:rPr>
        <w:t>业绩对公司董事、监事及高级管理人员进行考核，确认其薪酬、奖金</w:t>
      </w:r>
      <w:r>
        <w:rPr>
          <w:spacing w:val="-113"/>
        </w:rPr>
        <w:t> </w:t>
      </w:r>
      <w:r>
        <w:rPr>
          <w:spacing w:val="-113"/>
        </w:rPr>
      </w:r>
      <w:r>
        <w:rPr>
          <w:spacing w:val="-4"/>
        </w:rPr>
        <w:t>情况；另外，依据公司所处的行业及地区的薪酬水平，结合公司的实</w:t>
      </w:r>
      <w:r>
        <w:rPr>
          <w:spacing w:val="-114"/>
        </w:rPr>
        <w:t> </w:t>
      </w:r>
      <w:r>
        <w:rPr>
          <w:spacing w:val="-114"/>
        </w:rPr>
      </w:r>
      <w:r>
        <w:rPr/>
        <w:t>际经营情况，将公司独立董事的薪酬提高至</w:t>
      </w:r>
      <w:r>
        <w:rPr>
          <w:spacing w:val="-70"/>
        </w:rPr>
        <w:t> </w:t>
      </w:r>
      <w:r>
        <w:rPr>
          <w:rFonts w:ascii="宋体" w:hAnsi="宋体" w:cs="宋体" w:eastAsia="宋体" w:hint="default"/>
        </w:rPr>
        <w:t>5</w:t>
      </w:r>
      <w:r>
        <w:rPr>
          <w:rFonts w:ascii="宋体" w:hAnsi="宋体" w:cs="宋体" w:eastAsia="宋体" w:hint="default"/>
          <w:spacing w:val="-73"/>
        </w:rPr>
        <w:t> </w:t>
      </w:r>
      <w:r>
        <w:rPr/>
        <w:t>万元</w:t>
      </w:r>
      <w:r>
        <w:rPr>
          <w:rFonts w:ascii="宋体" w:hAnsi="宋体" w:cs="宋体" w:eastAsia="宋体" w:hint="default"/>
        </w:rPr>
        <w:t>/</w:t>
      </w:r>
      <w:r>
        <w:rPr/>
        <w:t>年。</w:t>
      </w:r>
    </w:p>
    <w:p>
      <w:pPr>
        <w:spacing w:line="326" w:lineRule="auto" w:before="29"/>
        <w:ind w:left="697" w:right="98" w:firstLine="2"/>
        <w:jc w:val="left"/>
        <w:rPr>
          <w:rFonts w:ascii="宋体" w:hAnsi="宋体" w:cs="宋体" w:eastAsia="宋体" w:hint="default"/>
          <w:sz w:val="28"/>
          <w:szCs w:val="28"/>
        </w:rPr>
      </w:pPr>
      <w:r>
        <w:rPr>
          <w:rFonts w:ascii="宋体" w:hAnsi="宋体" w:cs="宋体" w:eastAsia="宋体" w:hint="default"/>
          <w:b/>
          <w:bCs/>
          <w:sz w:val="28"/>
          <w:szCs w:val="28"/>
        </w:rPr>
        <w:t>3</w:t>
      </w:r>
      <w:r>
        <w:rPr>
          <w:rFonts w:ascii="宋体" w:hAnsi="宋体" w:cs="宋体" w:eastAsia="宋体" w:hint="default"/>
          <w:b/>
          <w:bCs/>
          <w:sz w:val="28"/>
          <w:szCs w:val="28"/>
        </w:rPr>
        <w:t>、审计委员会</w:t>
      </w:r>
      <w:r>
        <w:rPr>
          <w:rFonts w:ascii="宋体" w:hAnsi="宋体" w:cs="宋体" w:eastAsia="宋体" w:hint="default"/>
          <w:b/>
          <w:bCs/>
          <w:w w:val="99"/>
          <w:sz w:val="28"/>
          <w:szCs w:val="28"/>
        </w:rPr>
        <w:t> </w:t>
      </w:r>
      <w:r>
        <w:rPr>
          <w:rFonts w:ascii="宋体" w:hAnsi="宋体" w:cs="宋体" w:eastAsia="宋体" w:hint="default"/>
          <w:spacing w:val="-1"/>
          <w:sz w:val="28"/>
          <w:szCs w:val="28"/>
        </w:rPr>
        <w:t>报告期内，审计委员会共召开了四次会议，对公司的定期报告、</w:t>
      </w:r>
    </w:p>
    <w:p>
      <w:pPr>
        <w:pStyle w:val="Heading3"/>
        <w:spacing w:line="326" w:lineRule="auto" w:before="34"/>
        <w:ind w:right="191"/>
        <w:jc w:val="both"/>
      </w:pPr>
      <w:r>
        <w:rPr>
          <w:spacing w:val="-4"/>
        </w:rPr>
        <w:t>募集资金存放与使用状况、公司外部审计机构的聘任、内部控制的审</w:t>
      </w:r>
      <w:r>
        <w:rPr>
          <w:spacing w:val="-110"/>
        </w:rPr>
        <w:t> </w:t>
      </w:r>
      <w:r>
        <w:rPr>
          <w:spacing w:val="-110"/>
        </w:rPr>
      </w:r>
      <w:r>
        <w:rPr/>
        <w:t>查等情况情形了审计。</w:t>
      </w:r>
    </w:p>
    <w:p>
      <w:pPr>
        <w:spacing w:line="328" w:lineRule="auto" w:before="32"/>
        <w:ind w:left="697" w:right="98" w:firstLine="2"/>
        <w:jc w:val="left"/>
        <w:rPr>
          <w:rFonts w:ascii="宋体" w:hAnsi="宋体" w:cs="宋体" w:eastAsia="宋体" w:hint="default"/>
          <w:sz w:val="28"/>
          <w:szCs w:val="28"/>
        </w:rPr>
      </w:pPr>
      <w:r>
        <w:rPr>
          <w:rFonts w:ascii="宋体" w:hAnsi="宋体" w:cs="宋体" w:eastAsia="宋体" w:hint="default"/>
          <w:b/>
          <w:bCs/>
          <w:sz w:val="28"/>
          <w:szCs w:val="28"/>
        </w:rPr>
        <w:t>4</w:t>
      </w:r>
      <w:r>
        <w:rPr>
          <w:rFonts w:ascii="宋体" w:hAnsi="宋体" w:cs="宋体" w:eastAsia="宋体" w:hint="default"/>
          <w:b/>
          <w:bCs/>
          <w:sz w:val="28"/>
          <w:szCs w:val="28"/>
        </w:rPr>
        <w:t>、提名委员会</w:t>
      </w:r>
      <w:r>
        <w:rPr>
          <w:rFonts w:ascii="宋体" w:hAnsi="宋体" w:cs="宋体" w:eastAsia="宋体" w:hint="default"/>
          <w:b/>
          <w:bCs/>
          <w:w w:val="99"/>
          <w:sz w:val="28"/>
          <w:szCs w:val="28"/>
        </w:rPr>
        <w:t> </w:t>
      </w:r>
      <w:r>
        <w:rPr>
          <w:rFonts w:ascii="宋体" w:hAnsi="宋体" w:cs="宋体" w:eastAsia="宋体" w:hint="default"/>
          <w:spacing w:val="-5"/>
          <w:sz w:val="28"/>
          <w:szCs w:val="28"/>
        </w:rPr>
        <w:t>报告期内，提名委员会召开了两次会议，对董事会、监事会换届</w:t>
      </w:r>
    </w:p>
    <w:p>
      <w:pPr>
        <w:pStyle w:val="Heading3"/>
        <w:spacing w:line="326" w:lineRule="auto"/>
        <w:ind w:right="193"/>
        <w:jc w:val="both"/>
      </w:pPr>
      <w:r>
        <w:rPr>
          <w:spacing w:val="-4"/>
        </w:rPr>
        <w:t>选举的候选人以及高级管理人员的候选人进行了搜集、资格审查，并</w:t>
      </w:r>
      <w:r>
        <w:rPr>
          <w:spacing w:val="-113"/>
        </w:rPr>
        <w:t> </w:t>
      </w:r>
      <w:r>
        <w:rPr>
          <w:spacing w:val="-113"/>
        </w:rPr>
      </w:r>
      <w:r>
        <w:rPr/>
        <w:t>对公司的人力资源需求情况进行分析。</w:t>
      </w:r>
    </w:p>
    <w:p>
      <w:pPr>
        <w:spacing w:line="326" w:lineRule="auto" w:before="34"/>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五、公司</w:t>
      </w:r>
      <w:r>
        <w:rPr>
          <w:rFonts w:ascii="宋体" w:hAnsi="宋体" w:cs="宋体" w:eastAsia="宋体" w:hint="default"/>
          <w:b/>
          <w:bCs/>
          <w:spacing w:val="-73"/>
          <w:sz w:val="28"/>
          <w:szCs w:val="28"/>
        </w:rPr>
        <w:t> </w:t>
      </w:r>
      <w:r>
        <w:rPr>
          <w:rFonts w:ascii="宋体" w:hAnsi="宋体" w:cs="宋体" w:eastAsia="宋体" w:hint="default"/>
          <w:b/>
          <w:bCs/>
          <w:sz w:val="28"/>
          <w:szCs w:val="28"/>
        </w:rPr>
        <w:t>2010</w:t>
      </w:r>
      <w:r>
        <w:rPr>
          <w:rFonts w:ascii="宋体" w:hAnsi="宋体" w:cs="宋体" w:eastAsia="宋体" w:hint="default"/>
          <w:b/>
          <w:bCs/>
          <w:spacing w:val="-72"/>
          <w:sz w:val="28"/>
          <w:szCs w:val="28"/>
        </w:rPr>
        <w:t> </w:t>
      </w:r>
      <w:r>
        <w:rPr>
          <w:rFonts w:ascii="宋体" w:hAnsi="宋体" w:cs="宋体" w:eastAsia="宋体" w:hint="default"/>
          <w:b/>
          <w:bCs/>
          <w:sz w:val="28"/>
          <w:szCs w:val="28"/>
        </w:rPr>
        <w:t>年利润分配及资本公积金转增股本预案</w:t>
      </w:r>
      <w:r>
        <w:rPr>
          <w:rFonts w:ascii="宋体" w:hAnsi="宋体" w:cs="宋体" w:eastAsia="宋体" w:hint="default"/>
          <w:b/>
          <w:bCs/>
          <w:w w:val="99"/>
          <w:sz w:val="28"/>
          <w:szCs w:val="28"/>
        </w:rPr>
        <w:t> </w:t>
      </w:r>
      <w:r>
        <w:rPr>
          <w:rFonts w:ascii="宋体" w:hAnsi="宋体" w:cs="宋体" w:eastAsia="宋体" w:hint="default"/>
          <w:spacing w:val="-1"/>
          <w:sz w:val="28"/>
          <w:szCs w:val="28"/>
        </w:rPr>
        <w:t>经天健正信会计师事务所审计，</w:t>
      </w:r>
      <w:r>
        <w:rPr>
          <w:rFonts w:ascii="Arial" w:hAnsi="Arial" w:cs="Arial" w:eastAsia="Arial" w:hint="default"/>
          <w:spacing w:val="-1"/>
          <w:sz w:val="28"/>
          <w:szCs w:val="28"/>
        </w:rPr>
        <w:t>2010</w:t>
      </w:r>
      <w:r>
        <w:rPr>
          <w:rFonts w:ascii="宋体" w:hAnsi="宋体" w:cs="宋体" w:eastAsia="宋体" w:hint="default"/>
          <w:spacing w:val="-1"/>
          <w:sz w:val="28"/>
          <w:szCs w:val="28"/>
        </w:rPr>
        <w:t>年度母公司实现净利润</w:t>
      </w:r>
    </w:p>
    <w:p>
      <w:pPr>
        <w:pStyle w:val="Heading3"/>
        <w:spacing w:line="240" w:lineRule="auto" w:before="0"/>
        <w:ind w:right="0"/>
        <w:jc w:val="both"/>
      </w:pPr>
      <w:r>
        <w:rPr>
          <w:rFonts w:ascii="Arial" w:hAnsi="Arial" w:cs="Arial" w:eastAsia="Arial" w:hint="default"/>
        </w:rPr>
        <w:t>45,221,658.78</w:t>
      </w:r>
      <w:r>
        <w:rPr/>
        <w:t>元。根据《公司章程》规定，按</w:t>
      </w:r>
      <w:r>
        <w:rPr>
          <w:rFonts w:ascii="Arial" w:hAnsi="Arial" w:cs="Arial" w:eastAsia="Arial" w:hint="default"/>
        </w:rPr>
        <w:t>10%</w:t>
      </w:r>
      <w:r>
        <w:rPr/>
        <w:t>提取法定公积金</w:t>
      </w:r>
    </w:p>
    <w:p>
      <w:pPr>
        <w:pStyle w:val="Heading3"/>
        <w:spacing w:line="309" w:lineRule="auto" w:before="115"/>
        <w:ind w:right="98"/>
        <w:jc w:val="left"/>
      </w:pPr>
      <w:r>
        <w:rPr>
          <w:rFonts w:ascii="Arial" w:hAnsi="Arial" w:cs="Arial" w:eastAsia="Arial" w:hint="default"/>
          <w:spacing w:val="-1"/>
        </w:rPr>
        <w:t>4,522,165.88</w:t>
      </w:r>
      <w:r>
        <w:rPr>
          <w:spacing w:val="-1"/>
        </w:rPr>
        <w:t>元；加上以前年度未分配利润</w:t>
      </w:r>
      <w:r>
        <w:rPr>
          <w:rFonts w:ascii="Arial" w:hAnsi="Arial" w:cs="Arial" w:eastAsia="Arial" w:hint="default"/>
          <w:spacing w:val="-1"/>
        </w:rPr>
        <w:t>55,012,962.27</w:t>
      </w:r>
      <w:r>
        <w:rPr>
          <w:spacing w:val="-1"/>
        </w:rPr>
        <w:t>元，本年</w:t>
      </w:r>
      <w:r>
        <w:rPr>
          <w:spacing w:val="-107"/>
        </w:rPr>
        <w:t> </w:t>
      </w:r>
      <w:r>
        <w:rPr>
          <w:spacing w:val="-107"/>
        </w:rPr>
      </w:r>
      <w:r>
        <w:rPr/>
        <w:t>度实际可供投资者分配的利润为</w:t>
      </w:r>
      <w:r>
        <w:rPr>
          <w:rFonts w:ascii="Arial" w:hAnsi="Arial" w:cs="Arial" w:eastAsia="Arial" w:hint="default"/>
        </w:rPr>
        <w:t>95,712,455.17</w:t>
      </w:r>
      <w:r>
        <w:rPr/>
        <w:t>元。</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rFonts w:ascii="Arial" w:hAnsi="Arial" w:cs="Arial" w:eastAsia="Arial" w:hint="default"/>
          <w:spacing w:val="-1"/>
          <w:w w:val="100"/>
        </w:rPr>
        <w:t> </w:t>
      </w:r>
      <w:r>
        <w:rPr/>
        <w:t>日，资本公积为</w:t>
      </w:r>
      <w:r>
        <w:rPr>
          <w:rFonts w:ascii="Arial" w:hAnsi="Arial" w:cs="Arial" w:eastAsia="Arial" w:hint="default"/>
        </w:rPr>
        <w:t>311,557,240.00</w:t>
      </w:r>
      <w:r>
        <w:rPr/>
        <w:t>元。</w:t>
      </w:r>
    </w:p>
    <w:p>
      <w:pPr>
        <w:pStyle w:val="Heading3"/>
        <w:spacing w:line="309" w:lineRule="auto" w:before="25"/>
        <w:ind w:right="189" w:firstLine="559"/>
        <w:jc w:val="both"/>
      </w:pPr>
      <w:r>
        <w:rPr/>
        <w:t>公司</w:t>
      </w:r>
      <w:r>
        <w:rPr>
          <w:rFonts w:ascii="Arial" w:hAnsi="Arial" w:cs="Arial" w:eastAsia="Arial" w:hint="default"/>
        </w:rPr>
        <w:t>2010</w:t>
      </w:r>
      <w:r>
        <w:rPr/>
        <w:t>年度利润分配预案为：以</w:t>
      </w:r>
      <w:r>
        <w:rPr>
          <w:rFonts w:ascii="Arial" w:hAnsi="Arial" w:cs="Arial" w:eastAsia="Arial" w:hint="default"/>
        </w:rPr>
        <w:t>2010</w:t>
      </w:r>
      <w:r>
        <w:rPr/>
        <w:t>年底的股本总额</w:t>
      </w:r>
      <w:r>
        <w:rPr>
          <w:rFonts w:ascii="Arial" w:hAnsi="Arial" w:cs="Arial" w:eastAsia="Arial" w:hint="default"/>
        </w:rPr>
        <w:t>10,455</w:t>
      </w:r>
      <w:r>
        <w:rPr>
          <w:rFonts w:ascii="Arial" w:hAnsi="Arial" w:cs="Arial" w:eastAsia="Arial" w:hint="default"/>
          <w:w w:val="100"/>
        </w:rPr>
        <w:t> </w:t>
      </w:r>
      <w:r>
        <w:rPr>
          <w:spacing w:val="-5"/>
        </w:rPr>
        <w:t>万股为基数，向全体股东每</w:t>
      </w:r>
      <w:r>
        <w:rPr>
          <w:rFonts w:ascii="Arial" w:hAnsi="Arial" w:cs="Arial" w:eastAsia="Arial" w:hint="default"/>
          <w:spacing w:val="-5"/>
        </w:rPr>
        <w:t>10</w:t>
      </w:r>
      <w:r>
        <w:rPr>
          <w:spacing w:val="-5"/>
        </w:rPr>
        <w:t>股派发现金红利</w:t>
      </w:r>
      <w:r>
        <w:rPr>
          <w:rFonts w:ascii="Arial" w:hAnsi="Arial" w:cs="Arial" w:eastAsia="Arial" w:hint="default"/>
          <w:spacing w:val="-5"/>
        </w:rPr>
        <w:t>3.50</w:t>
      </w:r>
      <w:r>
        <w:rPr>
          <w:spacing w:val="-5"/>
        </w:rPr>
        <w:t>元（含税），共计</w:t>
      </w:r>
      <w:r>
        <w:rPr>
          <w:spacing w:val="-85"/>
        </w:rPr>
        <w:t> </w:t>
      </w:r>
      <w:r>
        <w:rPr>
          <w:spacing w:val="-85"/>
        </w:rPr>
      </w:r>
      <w:r>
        <w:rPr/>
        <w:t>分配股利</w:t>
      </w:r>
      <w:r>
        <w:rPr>
          <w:rFonts w:ascii="Arial" w:hAnsi="Arial" w:cs="Arial" w:eastAsia="Arial" w:hint="default"/>
        </w:rPr>
        <w:t>3,659.25</w:t>
      </w:r>
      <w:r>
        <w:rPr/>
        <w:t>万元。</w:t>
      </w:r>
    </w:p>
    <w:p>
      <w:pPr>
        <w:pStyle w:val="Heading3"/>
        <w:spacing w:line="240" w:lineRule="auto" w:before="24"/>
        <w:ind w:left="697" w:right="98"/>
        <w:jc w:val="left"/>
      </w:pPr>
      <w:r>
        <w:rPr/>
        <w:t>公司</w:t>
      </w:r>
      <w:r>
        <w:rPr>
          <w:rFonts w:ascii="Arial" w:hAnsi="Arial" w:cs="Arial" w:eastAsia="Arial" w:hint="default"/>
        </w:rPr>
        <w:t>2010</w:t>
      </w:r>
      <w:r>
        <w:rPr/>
        <w:t>年度资本公积转增股本预案为：以</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日的</w:t>
      </w:r>
    </w:p>
    <w:p>
      <w:pPr>
        <w:spacing w:after="0" w:line="240" w:lineRule="auto"/>
        <w:jc w:val="left"/>
        <w:sectPr>
          <w:headerReference w:type="default" r:id="rId32"/>
          <w:pgSz w:w="11910" w:h="16840"/>
          <w:pgMar w:header="624" w:footer="1045" w:top="980" w:bottom="1240" w:left="1660" w:right="1600"/>
        </w:sectPr>
      </w:pPr>
    </w:p>
    <w:p>
      <w:pPr>
        <w:spacing w:line="240" w:lineRule="auto" w:before="11"/>
        <w:rPr>
          <w:rFonts w:ascii="宋体" w:hAnsi="宋体" w:cs="宋体" w:eastAsia="宋体" w:hint="default"/>
          <w:sz w:val="18"/>
          <w:szCs w:val="18"/>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pStyle w:val="Heading3"/>
        <w:spacing w:line="312" w:lineRule="auto" w:before="68"/>
        <w:ind w:right="0"/>
        <w:jc w:val="left"/>
      </w:pPr>
      <w:r>
        <w:rPr>
          <w:spacing w:val="-2"/>
        </w:rPr>
        <w:t>公司总股本</w:t>
      </w:r>
      <w:r>
        <w:rPr>
          <w:rFonts w:ascii="Arial" w:hAnsi="Arial" w:cs="Arial" w:eastAsia="Arial" w:hint="default"/>
          <w:spacing w:val="-2"/>
        </w:rPr>
        <w:t>10,455</w:t>
      </w:r>
      <w:r>
        <w:rPr>
          <w:spacing w:val="-2"/>
        </w:rPr>
        <w:t>万股为基数，以资本公积转增股本，每</w:t>
      </w:r>
      <w:r>
        <w:rPr>
          <w:rFonts w:ascii="Arial" w:hAnsi="Arial" w:cs="Arial" w:eastAsia="Arial" w:hint="default"/>
          <w:spacing w:val="-2"/>
        </w:rPr>
        <w:t>10</w:t>
      </w:r>
      <w:r>
        <w:rPr>
          <w:spacing w:val="-2"/>
        </w:rPr>
        <w:t>股转增</w:t>
      </w:r>
      <w:r>
        <w:rPr>
          <w:rFonts w:ascii="Arial" w:hAnsi="Arial" w:cs="Arial" w:eastAsia="Arial" w:hint="default"/>
          <w:spacing w:val="-2"/>
        </w:rPr>
        <w:t>7</w:t>
      </w:r>
      <w:r>
        <w:rPr>
          <w:rFonts w:ascii="Arial" w:hAnsi="Arial" w:cs="Arial" w:eastAsia="Arial" w:hint="default"/>
          <w:spacing w:val="-26"/>
        </w:rPr>
        <w:t> </w:t>
      </w:r>
      <w:r>
        <w:rPr/>
        <w:t>股。</w:t>
      </w:r>
    </w:p>
    <w:p>
      <w:pPr>
        <w:pStyle w:val="Heading3"/>
        <w:spacing w:line="312" w:lineRule="auto" w:before="48"/>
        <w:ind w:right="0" w:firstLine="559"/>
        <w:jc w:val="left"/>
      </w:pPr>
      <w:r>
        <w:rPr/>
        <w:t>本预案需提交公司</w:t>
      </w:r>
      <w:r>
        <w:rPr>
          <w:rFonts w:ascii="Arial" w:hAnsi="Arial" w:cs="Arial" w:eastAsia="Arial" w:hint="default"/>
        </w:rPr>
        <w:t>2010</w:t>
      </w:r>
      <w:r>
        <w:rPr/>
        <w:t>年度股东大会审议，若本议案获得股东</w:t>
      </w:r>
      <w:r>
        <w:rPr>
          <w:w w:val="100"/>
        </w:rPr>
        <w:t> </w:t>
      </w:r>
      <w:r>
        <w:rPr>
          <w:spacing w:val="-1"/>
        </w:rPr>
        <w:t>大会审议通过，公司的总股本将增至</w:t>
      </w:r>
      <w:r>
        <w:rPr>
          <w:rFonts w:ascii="Arial" w:hAnsi="Arial" w:cs="Arial" w:eastAsia="Arial" w:hint="default"/>
          <w:spacing w:val="-1"/>
        </w:rPr>
        <w:t>17773.5</w:t>
      </w:r>
      <w:r>
        <w:rPr>
          <w:spacing w:val="-1"/>
        </w:rPr>
        <w:t>万股，注册资本将增至</w:t>
      </w:r>
      <w:r>
        <w:rPr>
          <w:spacing w:val="-113"/>
        </w:rPr>
        <w:t> </w:t>
      </w:r>
      <w:r>
        <w:rPr>
          <w:spacing w:val="-113"/>
        </w:rPr>
      </w:r>
      <w:r>
        <w:rPr>
          <w:rFonts w:ascii="Arial" w:hAnsi="Arial" w:cs="Arial" w:eastAsia="Arial" w:hint="default"/>
        </w:rPr>
        <w:t>17773.5</w:t>
      </w:r>
      <w:r>
        <w:rPr/>
        <w:t>万元。</w:t>
      </w:r>
    </w:p>
    <w:p>
      <w:pPr>
        <w:pStyle w:val="Heading3"/>
        <w:spacing w:line="240" w:lineRule="auto" w:before="19"/>
        <w:ind w:left="697" w:right="0"/>
        <w:jc w:val="left"/>
      </w:pPr>
      <w:r>
        <w:rPr/>
        <w:t>公司最近三年现金分红情况如下表：</w:t>
      </w:r>
    </w:p>
    <w:p>
      <w:pPr>
        <w:pStyle w:val="BodyText"/>
        <w:spacing w:line="240" w:lineRule="auto" w:before="214"/>
        <w:ind w:left="0" w:right="471"/>
        <w:jc w:val="right"/>
      </w:pPr>
      <w:r>
        <w:rPr>
          <w:spacing w:val="-1"/>
        </w:rPr>
        <w:t>单位：元</w:t>
      </w:r>
    </w:p>
    <w:p>
      <w:pPr>
        <w:spacing w:line="240" w:lineRule="auto" w:before="6"/>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124"/>
        <w:gridCol w:w="1700"/>
        <w:gridCol w:w="1985"/>
        <w:gridCol w:w="1985"/>
        <w:gridCol w:w="1844"/>
      </w:tblGrid>
      <w:tr>
        <w:trPr>
          <w:trHeight w:val="161" w:hRule="exact"/>
        </w:trPr>
        <w:tc>
          <w:tcPr>
            <w:tcW w:w="1124" w:type="dxa"/>
            <w:vMerge w:val="restart"/>
            <w:tcBorders>
              <w:top w:val="single" w:sz="4" w:space="0" w:color="000000"/>
              <w:left w:val="single" w:sz="4" w:space="0" w:color="000000"/>
              <w:right w:val="single" w:sz="4" w:space="0" w:color="000000"/>
            </w:tcBorders>
            <w:shd w:val="clear" w:color="auto" w:fill="DCDCDC"/>
          </w:tcPr>
          <w:p>
            <w:pPr/>
          </w:p>
        </w:tc>
        <w:tc>
          <w:tcPr>
            <w:tcW w:w="17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985"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ind w:left="28" w:right="0"/>
              <w:jc w:val="left"/>
              <w:rPr>
                <w:rFonts w:ascii="宋体" w:hAnsi="宋体" w:cs="宋体" w:eastAsia="宋体" w:hint="default"/>
                <w:sz w:val="24"/>
                <w:szCs w:val="24"/>
              </w:rPr>
            </w:pPr>
            <w:r>
              <w:rPr>
                <w:rFonts w:ascii="宋体" w:hAnsi="宋体" w:cs="宋体" w:eastAsia="宋体" w:hint="default"/>
                <w:sz w:val="24"/>
                <w:szCs w:val="24"/>
              </w:rPr>
              <w:t>分红年度合并报表</w:t>
            </w:r>
          </w:p>
          <w:p>
            <w:pPr>
              <w:pStyle w:val="TableParagraph"/>
              <w:spacing w:line="312" w:lineRule="exact" w:before="28"/>
              <w:ind w:left="268" w:right="24" w:hanging="240"/>
              <w:jc w:val="left"/>
              <w:rPr>
                <w:rFonts w:ascii="宋体" w:hAnsi="宋体" w:cs="宋体" w:eastAsia="宋体" w:hint="default"/>
                <w:sz w:val="24"/>
                <w:szCs w:val="24"/>
              </w:rPr>
            </w:pPr>
            <w:r>
              <w:rPr>
                <w:rFonts w:ascii="宋体" w:hAnsi="宋体" w:cs="宋体" w:eastAsia="宋体" w:hint="default"/>
                <w:sz w:val="24"/>
                <w:szCs w:val="24"/>
              </w:rPr>
              <w:t>中归属于上市公司 股东的净利润</w:t>
            </w:r>
          </w:p>
        </w:tc>
        <w:tc>
          <w:tcPr>
            <w:tcW w:w="1985"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ind w:left="26" w:right="0"/>
              <w:jc w:val="left"/>
              <w:rPr>
                <w:rFonts w:ascii="宋体" w:hAnsi="宋体" w:cs="宋体" w:eastAsia="宋体" w:hint="default"/>
                <w:sz w:val="24"/>
                <w:szCs w:val="24"/>
              </w:rPr>
            </w:pPr>
            <w:r>
              <w:rPr>
                <w:rFonts w:ascii="宋体" w:hAnsi="宋体" w:cs="宋体" w:eastAsia="宋体" w:hint="default"/>
                <w:sz w:val="24"/>
                <w:szCs w:val="24"/>
              </w:rPr>
              <w:t>占合并报表中归属</w:t>
            </w:r>
          </w:p>
          <w:p>
            <w:pPr>
              <w:pStyle w:val="TableParagraph"/>
              <w:spacing w:line="312" w:lineRule="exact" w:before="28"/>
              <w:ind w:left="266" w:right="26" w:hanging="240"/>
              <w:jc w:val="left"/>
              <w:rPr>
                <w:rFonts w:ascii="宋体" w:hAnsi="宋体" w:cs="宋体" w:eastAsia="宋体" w:hint="default"/>
                <w:sz w:val="24"/>
                <w:szCs w:val="24"/>
              </w:rPr>
            </w:pPr>
            <w:r>
              <w:rPr>
                <w:rFonts w:ascii="宋体" w:hAnsi="宋体" w:cs="宋体" w:eastAsia="宋体" w:hint="default"/>
                <w:sz w:val="24"/>
                <w:szCs w:val="24"/>
              </w:rPr>
              <w:t>于上市公司股东的 净利润的比率</w:t>
            </w:r>
          </w:p>
        </w:tc>
        <w:tc>
          <w:tcPr>
            <w:tcW w:w="1844" w:type="dxa"/>
            <w:vMerge w:val="restart"/>
            <w:tcBorders>
              <w:top w:val="single" w:sz="4" w:space="0" w:color="000000"/>
              <w:left w:val="single" w:sz="4" w:space="0" w:color="000000"/>
              <w:right w:val="single" w:sz="4" w:space="0" w:color="000000"/>
            </w:tcBorders>
            <w:shd w:val="clear" w:color="auto" w:fill="DCDCDC"/>
          </w:tcPr>
          <w:p>
            <w:pPr/>
          </w:p>
        </w:tc>
      </w:tr>
      <w:tr>
        <w:trPr>
          <w:trHeight w:val="154" w:hRule="exact"/>
        </w:trPr>
        <w:tc>
          <w:tcPr>
            <w:tcW w:w="1124" w:type="dxa"/>
            <w:vMerge/>
            <w:tcBorders>
              <w:left w:val="single" w:sz="4" w:space="0" w:color="000000"/>
              <w:bottom w:val="nil" w:sz="6" w:space="0" w:color="auto"/>
              <w:right w:val="single" w:sz="4" w:space="0" w:color="000000"/>
            </w:tcBorders>
            <w:shd w:val="clear" w:color="auto" w:fill="DCDCDC"/>
          </w:tcPr>
          <w:p>
            <w:pPr/>
          </w:p>
        </w:tc>
        <w:tc>
          <w:tcPr>
            <w:tcW w:w="1700" w:type="dxa"/>
            <w:vMerge w:val="restart"/>
            <w:tcBorders>
              <w:top w:val="nil" w:sz="6" w:space="0" w:color="auto"/>
              <w:left w:val="single" w:sz="4" w:space="0" w:color="000000"/>
              <w:right w:val="single" w:sz="4" w:space="0" w:color="000000"/>
            </w:tcBorders>
            <w:shd w:val="clear" w:color="auto" w:fill="DCDCDC"/>
          </w:tcPr>
          <w:p>
            <w:pPr>
              <w:pStyle w:val="TableParagraph"/>
              <w:spacing w:line="272" w:lineRule="exact"/>
              <w:ind w:right="3"/>
              <w:jc w:val="center"/>
              <w:rPr>
                <w:rFonts w:ascii="宋体" w:hAnsi="宋体" w:cs="宋体" w:eastAsia="宋体" w:hint="default"/>
                <w:sz w:val="24"/>
                <w:szCs w:val="24"/>
              </w:rPr>
            </w:pPr>
            <w:r>
              <w:rPr>
                <w:rFonts w:ascii="宋体" w:hAnsi="宋体" w:cs="宋体" w:eastAsia="宋体" w:hint="default"/>
                <w:sz w:val="24"/>
                <w:szCs w:val="24"/>
              </w:rPr>
              <w:t>现金分红金额</w:t>
            </w:r>
          </w:p>
          <w:p>
            <w:pPr>
              <w:pStyle w:val="TableParagraph"/>
              <w:spacing w:line="312" w:lineRule="exact"/>
              <w:ind w:right="3"/>
              <w:jc w:val="center"/>
              <w:rPr>
                <w:rFonts w:ascii="宋体" w:hAnsi="宋体" w:cs="宋体" w:eastAsia="宋体" w:hint="default"/>
                <w:sz w:val="24"/>
                <w:szCs w:val="24"/>
              </w:rPr>
            </w:pPr>
            <w:r>
              <w:rPr>
                <w:rFonts w:ascii="宋体" w:hAnsi="宋体" w:cs="宋体" w:eastAsia="宋体" w:hint="default"/>
                <w:sz w:val="24"/>
                <w:szCs w:val="24"/>
              </w:rPr>
              <w:t>（含税）</w:t>
            </w:r>
          </w:p>
        </w:tc>
        <w:tc>
          <w:tcPr>
            <w:tcW w:w="1985" w:type="dxa"/>
            <w:vMerge/>
            <w:tcBorders>
              <w:left w:val="single" w:sz="4" w:space="0" w:color="000000"/>
              <w:right w:val="single" w:sz="4" w:space="0" w:color="000000"/>
            </w:tcBorders>
            <w:shd w:val="clear" w:color="auto" w:fill="DCDCDC"/>
          </w:tcPr>
          <w:p>
            <w:pPr/>
          </w:p>
        </w:tc>
        <w:tc>
          <w:tcPr>
            <w:tcW w:w="1985" w:type="dxa"/>
            <w:vMerge/>
            <w:tcBorders>
              <w:left w:val="single" w:sz="4" w:space="0" w:color="000000"/>
              <w:right w:val="single" w:sz="4" w:space="0" w:color="000000"/>
            </w:tcBorders>
            <w:shd w:val="clear" w:color="auto" w:fill="DCDCDC"/>
          </w:tcPr>
          <w:p>
            <w:pPr/>
          </w:p>
        </w:tc>
        <w:tc>
          <w:tcPr>
            <w:tcW w:w="1844" w:type="dxa"/>
            <w:vMerge/>
            <w:tcBorders>
              <w:left w:val="single" w:sz="4" w:space="0" w:color="000000"/>
              <w:bottom w:val="nil" w:sz="6" w:space="0" w:color="auto"/>
              <w:right w:val="single" w:sz="4" w:space="0" w:color="000000"/>
            </w:tcBorders>
            <w:shd w:val="clear" w:color="auto" w:fill="DCDCDC"/>
          </w:tcPr>
          <w:p>
            <w:pPr/>
          </w:p>
        </w:tc>
      </w:tr>
      <w:tr>
        <w:trPr>
          <w:trHeight w:val="312" w:hRule="exact"/>
        </w:trPr>
        <w:tc>
          <w:tcPr>
            <w:tcW w:w="1124" w:type="dxa"/>
            <w:tcBorders>
              <w:top w:val="nil" w:sz="6" w:space="0" w:color="auto"/>
              <w:left w:val="single" w:sz="12" w:space="0" w:color="DCDCDC"/>
              <w:bottom w:val="nil" w:sz="6" w:space="0" w:color="auto"/>
              <w:right w:val="single" w:sz="22" w:space="0" w:color="DCDCDC"/>
            </w:tcBorders>
          </w:tcPr>
          <w:p>
            <w:pPr>
              <w:pStyle w:val="TableParagraph"/>
              <w:tabs>
                <w:tab w:pos="1079" w:val="left" w:leader="none"/>
              </w:tabs>
              <w:spacing w:line="274" w:lineRule="exact"/>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shd w:fill="DCDCDC" w:color="auto" w:val="clear"/>
              </w:rPr>
              <w:t> </w:t>
            </w:r>
            <w:r>
              <w:rPr>
                <w:rFonts w:ascii="宋体" w:hAnsi="宋体" w:cs="宋体" w:eastAsia="宋体" w:hint="default"/>
                <w:sz w:val="24"/>
                <w:szCs w:val="24"/>
                <w:shd w:fill="DCDCDC" w:color="auto" w:val="clear"/>
              </w:rPr>
              <w:t>分红年度</w:t>
              <w:tab/>
            </w:r>
            <w:r>
              <w:rPr>
                <w:rFonts w:ascii="宋体" w:hAnsi="宋体" w:cs="宋体" w:eastAsia="宋体" w:hint="default"/>
                <w:sz w:val="24"/>
                <w:szCs w:val="24"/>
              </w:rPr>
            </w:r>
          </w:p>
        </w:tc>
        <w:tc>
          <w:tcPr>
            <w:tcW w:w="1700" w:type="dxa"/>
            <w:vMerge/>
            <w:tcBorders>
              <w:left w:val="single" w:sz="4" w:space="0" w:color="000000"/>
              <w:right w:val="single" w:sz="4" w:space="0" w:color="000000"/>
            </w:tcBorders>
            <w:shd w:val="clear" w:color="auto" w:fill="DCDCDC"/>
          </w:tcPr>
          <w:p>
            <w:pPr/>
          </w:p>
        </w:tc>
        <w:tc>
          <w:tcPr>
            <w:tcW w:w="1985" w:type="dxa"/>
            <w:vMerge/>
            <w:tcBorders>
              <w:left w:val="single" w:sz="4" w:space="0" w:color="000000"/>
              <w:right w:val="single" w:sz="4" w:space="0" w:color="000000"/>
            </w:tcBorders>
            <w:shd w:val="clear" w:color="auto" w:fill="DCDCDC"/>
          </w:tcPr>
          <w:p>
            <w:pPr/>
          </w:p>
        </w:tc>
        <w:tc>
          <w:tcPr>
            <w:tcW w:w="1985" w:type="dxa"/>
            <w:vMerge/>
            <w:tcBorders>
              <w:left w:val="single" w:sz="4" w:space="0" w:color="000000"/>
              <w:right w:val="single" w:sz="4" w:space="0" w:color="000000"/>
            </w:tcBorders>
            <w:shd w:val="clear" w:color="auto" w:fill="DCDCDC"/>
          </w:tcPr>
          <w:p>
            <w:pPr/>
          </w:p>
        </w:tc>
        <w:tc>
          <w:tcPr>
            <w:tcW w:w="1844" w:type="dxa"/>
            <w:tcBorders>
              <w:top w:val="nil" w:sz="6" w:space="0" w:color="auto"/>
              <w:left w:val="single" w:sz="10" w:space="0" w:color="DCDCDC"/>
              <w:bottom w:val="nil" w:sz="6" w:space="0" w:color="auto"/>
              <w:right w:val="single" w:sz="10" w:space="0" w:color="DCDCDC"/>
            </w:tcBorders>
          </w:tcPr>
          <w:p>
            <w:pPr>
              <w:pStyle w:val="TableParagraph"/>
              <w:tabs>
                <w:tab w:pos="1788" w:val="left" w:leader="none"/>
              </w:tabs>
              <w:spacing w:line="274" w:lineRule="exact"/>
              <w:ind w:right="14"/>
              <w:jc w:val="righ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8"/>
                <w:sz w:val="24"/>
                <w:szCs w:val="24"/>
                <w:shd w:fill="DCDCDC" w:color="auto" w:val="clear"/>
              </w:rPr>
              <w:t> </w:t>
            </w:r>
            <w:r>
              <w:rPr>
                <w:rFonts w:ascii="宋体" w:hAnsi="宋体" w:cs="宋体" w:eastAsia="宋体" w:hint="default"/>
                <w:sz w:val="24"/>
                <w:szCs w:val="24"/>
                <w:shd w:fill="DCDCDC" w:color="auto" w:val="clear"/>
              </w:rPr>
              <w:t>年度可分配利润</w:t>
              <w:tab/>
            </w:r>
            <w:r>
              <w:rPr>
                <w:rFonts w:ascii="宋体" w:hAnsi="宋体" w:cs="宋体" w:eastAsia="宋体" w:hint="default"/>
                <w:sz w:val="24"/>
                <w:szCs w:val="24"/>
              </w:rPr>
            </w:r>
          </w:p>
        </w:tc>
      </w:tr>
      <w:tr>
        <w:trPr>
          <w:trHeight w:val="156" w:hRule="exact"/>
        </w:trPr>
        <w:tc>
          <w:tcPr>
            <w:tcW w:w="1124" w:type="dxa"/>
            <w:vMerge w:val="restart"/>
            <w:tcBorders>
              <w:top w:val="nil" w:sz="6" w:space="0" w:color="auto"/>
              <w:left w:val="single" w:sz="4" w:space="0" w:color="000000"/>
              <w:right w:val="single" w:sz="4" w:space="0" w:color="000000"/>
            </w:tcBorders>
            <w:shd w:val="clear" w:color="auto" w:fill="DCDCDC"/>
          </w:tcPr>
          <w:p>
            <w:pPr/>
          </w:p>
        </w:tc>
        <w:tc>
          <w:tcPr>
            <w:tcW w:w="1700" w:type="dxa"/>
            <w:vMerge/>
            <w:tcBorders>
              <w:left w:val="single" w:sz="4" w:space="0" w:color="000000"/>
              <w:bottom w:val="nil" w:sz="6" w:space="0" w:color="auto"/>
              <w:right w:val="single" w:sz="4" w:space="0" w:color="000000"/>
            </w:tcBorders>
            <w:shd w:val="clear" w:color="auto" w:fill="DCDCDC"/>
          </w:tcPr>
          <w:p>
            <w:pPr/>
          </w:p>
        </w:tc>
        <w:tc>
          <w:tcPr>
            <w:tcW w:w="1985" w:type="dxa"/>
            <w:vMerge/>
            <w:tcBorders>
              <w:left w:val="single" w:sz="4" w:space="0" w:color="000000"/>
              <w:right w:val="single" w:sz="4" w:space="0" w:color="000000"/>
            </w:tcBorders>
            <w:shd w:val="clear" w:color="auto" w:fill="DCDCDC"/>
          </w:tcPr>
          <w:p>
            <w:pPr/>
          </w:p>
        </w:tc>
        <w:tc>
          <w:tcPr>
            <w:tcW w:w="1985" w:type="dxa"/>
            <w:vMerge/>
            <w:tcBorders>
              <w:left w:val="single" w:sz="4" w:space="0" w:color="000000"/>
              <w:right w:val="single" w:sz="4" w:space="0" w:color="000000"/>
            </w:tcBorders>
            <w:shd w:val="clear" w:color="auto" w:fill="DCDCDC"/>
          </w:tcPr>
          <w:p>
            <w:pPr/>
          </w:p>
        </w:tc>
        <w:tc>
          <w:tcPr>
            <w:tcW w:w="1844" w:type="dxa"/>
            <w:vMerge w:val="restart"/>
            <w:tcBorders>
              <w:top w:val="nil" w:sz="6" w:space="0" w:color="auto"/>
              <w:left w:val="single" w:sz="4" w:space="0" w:color="000000"/>
              <w:right w:val="single" w:sz="4" w:space="0" w:color="000000"/>
            </w:tcBorders>
            <w:shd w:val="clear" w:color="auto" w:fill="DCDCDC"/>
          </w:tcPr>
          <w:p>
            <w:pPr/>
          </w:p>
        </w:tc>
      </w:tr>
      <w:tr>
        <w:trPr>
          <w:trHeight w:val="161" w:hRule="exact"/>
        </w:trPr>
        <w:tc>
          <w:tcPr>
            <w:tcW w:w="1124" w:type="dxa"/>
            <w:vMerge/>
            <w:tcBorders>
              <w:left w:val="single" w:sz="4" w:space="0" w:color="000000"/>
              <w:bottom w:val="single" w:sz="4" w:space="0" w:color="000000"/>
              <w:right w:val="single" w:sz="4" w:space="0" w:color="000000"/>
            </w:tcBorders>
            <w:shd w:val="clear" w:color="auto" w:fill="DCDCDC"/>
          </w:tcPr>
          <w:p>
            <w:pPr/>
          </w:p>
        </w:tc>
        <w:tc>
          <w:tcPr>
            <w:tcW w:w="17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985" w:type="dxa"/>
            <w:vMerge/>
            <w:tcBorders>
              <w:left w:val="single" w:sz="4" w:space="0" w:color="000000"/>
              <w:bottom w:val="single" w:sz="4" w:space="0" w:color="000000"/>
              <w:right w:val="single" w:sz="4" w:space="0" w:color="000000"/>
            </w:tcBorders>
            <w:shd w:val="clear" w:color="auto" w:fill="DCDCDC"/>
          </w:tcPr>
          <w:p>
            <w:pPr/>
          </w:p>
        </w:tc>
        <w:tc>
          <w:tcPr>
            <w:tcW w:w="1985" w:type="dxa"/>
            <w:vMerge/>
            <w:tcBorders>
              <w:left w:val="single" w:sz="4" w:space="0" w:color="000000"/>
              <w:bottom w:val="single" w:sz="4" w:space="0" w:color="000000"/>
              <w:right w:val="single" w:sz="4" w:space="0" w:color="000000"/>
            </w:tcBorders>
            <w:shd w:val="clear" w:color="auto" w:fill="DCDCDC"/>
          </w:tcPr>
          <w:p>
            <w:pPr/>
          </w:p>
        </w:tc>
        <w:tc>
          <w:tcPr>
            <w:tcW w:w="1844"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1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2" w:lineRule="exact"/>
              <w:ind w:right="13"/>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sz w:val="24"/>
              </w:rPr>
              <w:t>43,050,000.00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4"/>
                <w:szCs w:val="24"/>
              </w:rPr>
            </w:pPr>
            <w:r>
              <w:rPr>
                <w:rFonts w:ascii="Times New Roman"/>
                <w:sz w:val="24"/>
              </w:rPr>
              <w:t>54,380,447.46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4"/>
                <w:szCs w:val="24"/>
              </w:rPr>
            </w:pPr>
            <w:r>
              <w:rPr>
                <w:rFonts w:ascii="Times New Roman"/>
                <w:w w:val="95"/>
                <w:sz w:val="24"/>
              </w:rPr>
              <w:t>79.16%</w:t>
            </w:r>
            <w:r>
              <w:rPr>
                <w:rFonts w:ascii="Times New Roman"/>
                <w:sz w:val="24"/>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4"/>
                <w:szCs w:val="24"/>
              </w:rPr>
            </w:pPr>
            <w:r>
              <w:rPr>
                <w:rFonts w:ascii="Times New Roman"/>
                <w:sz w:val="24"/>
              </w:rPr>
              <w:t>149,719,380.78</w:t>
            </w:r>
          </w:p>
        </w:tc>
      </w:tr>
      <w:tr>
        <w:trPr>
          <w:trHeight w:val="319" w:hRule="exact"/>
        </w:trPr>
        <w:tc>
          <w:tcPr>
            <w:tcW w:w="11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2" w:lineRule="exact"/>
              <w:ind w:right="13"/>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4"/>
                <w:szCs w:val="24"/>
              </w:rPr>
            </w:pPr>
            <w:r>
              <w:rPr>
                <w:rFonts w:ascii="Times New Roman"/>
                <w:sz w:val="24"/>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4"/>
                <w:szCs w:val="24"/>
              </w:rPr>
            </w:pPr>
            <w:r>
              <w:rPr>
                <w:rFonts w:ascii="Times New Roman"/>
                <w:sz w:val="24"/>
              </w:rPr>
              <w:t>43,590,534.18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4"/>
                <w:szCs w:val="24"/>
              </w:rPr>
            </w:pPr>
            <w:r>
              <w:rPr>
                <w:rFonts w:ascii="Times New Roman"/>
                <w:sz w:val="24"/>
              </w:rPr>
              <w:t>98,560,584.41</w:t>
            </w:r>
          </w:p>
        </w:tc>
      </w:tr>
      <w:tr>
        <w:trPr>
          <w:trHeight w:val="322" w:hRule="exact"/>
        </w:trPr>
        <w:tc>
          <w:tcPr>
            <w:tcW w:w="11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4" w:lineRule="exact"/>
              <w:ind w:right="13"/>
              <w:jc w:val="center"/>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z w:val="24"/>
              </w:rPr>
              <w:t>9,200,000.00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4"/>
                <w:szCs w:val="24"/>
              </w:rPr>
            </w:pPr>
            <w:r>
              <w:rPr>
                <w:rFonts w:ascii="Times New Roman"/>
                <w:sz w:val="24"/>
              </w:rPr>
              <w:t>33,222,507.57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4"/>
                <w:szCs w:val="24"/>
              </w:rPr>
            </w:pPr>
            <w:r>
              <w:rPr>
                <w:rFonts w:ascii="Times New Roman"/>
                <w:w w:val="95"/>
                <w:sz w:val="24"/>
              </w:rPr>
              <w:t>27.69%</w:t>
            </w:r>
            <w:r>
              <w:rPr>
                <w:rFonts w:ascii="Times New Roman"/>
                <w:sz w:val="24"/>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66,156,018.52</w:t>
            </w:r>
          </w:p>
        </w:tc>
      </w:tr>
      <w:tr>
        <w:trPr>
          <w:trHeight w:val="634" w:hRule="exact"/>
        </w:trPr>
        <w:tc>
          <w:tcPr>
            <w:tcW w:w="480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14"/>
              <w:jc w:val="center"/>
              <w:rPr>
                <w:rFonts w:ascii="宋体" w:hAnsi="宋体" w:cs="宋体" w:eastAsia="宋体" w:hint="default"/>
                <w:sz w:val="24"/>
                <w:szCs w:val="24"/>
              </w:rPr>
            </w:pPr>
            <w:r>
              <w:rPr>
                <w:rFonts w:ascii="宋体" w:hAnsi="宋体" w:cs="宋体" w:eastAsia="宋体" w:hint="default"/>
                <w:sz w:val="24"/>
                <w:szCs w:val="24"/>
              </w:rPr>
              <w:t>最近三年累计现金分红金额占最近年均净利</w:t>
            </w:r>
          </w:p>
          <w:p>
            <w:pPr>
              <w:pStyle w:val="TableParagraph"/>
              <w:spacing w:line="331" w:lineRule="exact"/>
              <w:ind w:right="11"/>
              <w:jc w:val="center"/>
              <w:rPr>
                <w:rFonts w:ascii="宋体" w:hAnsi="宋体" w:cs="宋体" w:eastAsia="宋体" w:hint="default"/>
                <w:sz w:val="24"/>
                <w:szCs w:val="24"/>
              </w:rPr>
            </w:pPr>
            <w:r>
              <w:rPr>
                <w:rFonts w:ascii="宋体" w:hAnsi="宋体" w:cs="宋体" w:eastAsia="宋体" w:hint="default"/>
                <w:sz w:val="24"/>
                <w:szCs w:val="24"/>
              </w:rPr>
              <w:t>润的比例（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3829"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7"/>
              <w:ind w:right="23"/>
              <w:jc w:val="right"/>
              <w:rPr>
                <w:rFonts w:ascii="Times New Roman" w:hAnsi="Times New Roman" w:cs="Times New Roman" w:eastAsia="Times New Roman" w:hint="default"/>
                <w:sz w:val="24"/>
                <w:szCs w:val="24"/>
              </w:rPr>
            </w:pPr>
            <w:r>
              <w:rPr>
                <w:rFonts w:ascii="Times New Roman"/>
                <w:spacing w:val="-2"/>
                <w:sz w:val="24"/>
              </w:rPr>
              <w:t>119.48%</w:t>
            </w:r>
          </w:p>
        </w:tc>
      </w:tr>
    </w:tbl>
    <w:p>
      <w:pPr>
        <w:spacing w:after="0" w:line="240" w:lineRule="auto"/>
        <w:jc w:val="right"/>
        <w:rPr>
          <w:rFonts w:ascii="Times New Roman" w:hAnsi="Times New Roman" w:cs="Times New Roman" w:eastAsia="Times New Roman" w:hint="default"/>
          <w:sz w:val="24"/>
          <w:szCs w:val="24"/>
        </w:rPr>
        <w:sectPr>
          <w:pgSz w:w="11910" w:h="16840"/>
          <w:pgMar w:header="624" w:footer="1045" w:top="980" w:bottom="1240" w:left="1660" w:right="1320"/>
        </w:sectPr>
      </w:pPr>
    </w:p>
    <w:p>
      <w:pPr>
        <w:spacing w:line="240" w:lineRule="auto" w:before="4"/>
        <w:rPr>
          <w:rFonts w:ascii="宋体" w:hAnsi="宋体" w:cs="宋体" w:eastAsia="宋体" w:hint="default"/>
          <w:sz w:val="9"/>
          <w:szCs w:val="9"/>
        </w:rPr>
      </w:pPr>
    </w:p>
    <w:p>
      <w:pPr>
        <w:pStyle w:val="Heading1"/>
        <w:spacing w:line="240" w:lineRule="auto"/>
        <w:ind w:left="2999" w:right="3055"/>
        <w:jc w:val="center"/>
      </w:pPr>
      <w:bookmarkStart w:name="_TOC_250003" w:id="8"/>
      <w:r>
        <w:rPr/>
        <w:t>第八节</w:t>
      </w:r>
      <w:r>
        <w:rPr>
          <w:spacing w:val="1"/>
        </w:rPr>
        <w:t> </w:t>
      </w:r>
      <w:bookmarkEnd w:id="8"/>
      <w:r>
        <w:rPr/>
        <w:t>监事会报告</w:t>
      </w:r>
    </w:p>
    <w:p>
      <w:pPr>
        <w:spacing w:line="240" w:lineRule="auto" w:before="10"/>
        <w:rPr>
          <w:rFonts w:ascii="黑体" w:hAnsi="黑体" w:cs="黑体" w:eastAsia="黑体" w:hint="default"/>
          <w:sz w:val="20"/>
          <w:szCs w:val="20"/>
        </w:rPr>
      </w:pPr>
    </w:p>
    <w:p>
      <w:pPr>
        <w:pStyle w:val="Heading3"/>
        <w:spacing w:line="328" w:lineRule="auto" w:before="0"/>
        <w:ind w:right="107" w:firstLine="559"/>
        <w:jc w:val="both"/>
      </w:pPr>
      <w:r>
        <w:rPr>
          <w:spacing w:val="-4"/>
        </w:rPr>
        <w:t>河南辉煌科技股份有限公司（以下简称“公司”）监事会在</w:t>
      </w:r>
      <w:r>
        <w:rPr>
          <w:rFonts w:ascii="宋体" w:hAnsi="宋体" w:cs="宋体" w:eastAsia="宋体" w:hint="default"/>
          <w:spacing w:val="-4"/>
        </w:rPr>
        <w:t>2010</w:t>
      </w:r>
      <w:r>
        <w:rPr>
          <w:rFonts w:ascii="宋体" w:hAnsi="宋体" w:cs="宋体" w:eastAsia="宋体" w:hint="default"/>
          <w:w w:val="100"/>
        </w:rPr>
        <w:t> </w:t>
      </w:r>
      <w:r>
        <w:rPr>
          <w:spacing w:val="-4"/>
        </w:rPr>
        <w:t>年度（报告期）内严格依照《中华人民共和国公司法》、《河南辉煌</w:t>
      </w:r>
      <w:r>
        <w:rPr>
          <w:spacing w:val="-112"/>
        </w:rPr>
        <w:t> </w:t>
      </w:r>
      <w:r>
        <w:rPr>
          <w:spacing w:val="-112"/>
        </w:rPr>
      </w:r>
      <w:r>
        <w:rPr>
          <w:spacing w:val="-4"/>
        </w:rPr>
        <w:t>科技股份有限公司章程》（“《公司章程》”）、《河南辉煌科技股</w:t>
      </w:r>
      <w:r>
        <w:rPr>
          <w:spacing w:val="-115"/>
        </w:rPr>
        <w:t> </w:t>
      </w:r>
      <w:r>
        <w:rPr>
          <w:spacing w:val="-115"/>
        </w:rPr>
      </w:r>
      <w:r>
        <w:rPr>
          <w:spacing w:val="-4"/>
        </w:rPr>
        <w:t>份有限公司监事会议事规则》等有关规定，本着对全体股东负责的精</w:t>
      </w:r>
      <w:r>
        <w:rPr>
          <w:spacing w:val="-113"/>
        </w:rPr>
        <w:t> </w:t>
      </w:r>
      <w:r>
        <w:rPr>
          <w:spacing w:val="-113"/>
        </w:rPr>
      </w:r>
      <w:r>
        <w:rPr>
          <w:spacing w:val="-1"/>
        </w:rPr>
        <w:t>神，依法独立行使职权，认真履行监督职责，对公司主要经营活动、</w:t>
      </w:r>
      <w:r>
        <w:rPr>
          <w:spacing w:val="-116"/>
        </w:rPr>
        <w:t> </w:t>
      </w:r>
      <w:r>
        <w:rPr>
          <w:spacing w:val="-116"/>
        </w:rPr>
      </w:r>
      <w:r>
        <w:rPr>
          <w:spacing w:val="-4"/>
        </w:rPr>
        <w:t>财务状况及关联交易等事项进行了有效监督，为公司的规范运作和健</w:t>
      </w:r>
      <w:r>
        <w:rPr>
          <w:spacing w:val="-115"/>
        </w:rPr>
        <w:t> </w:t>
      </w:r>
      <w:r>
        <w:rPr>
          <w:spacing w:val="-115"/>
        </w:rPr>
      </w:r>
      <w:r>
        <w:rPr>
          <w:spacing w:val="-4"/>
        </w:rPr>
        <w:t>康发展提供了有力的保障。现将监事会</w:t>
      </w:r>
      <w:r>
        <w:rPr>
          <w:rFonts w:ascii="宋体" w:hAnsi="宋体" w:cs="宋体" w:eastAsia="宋体" w:hint="default"/>
          <w:spacing w:val="-4"/>
        </w:rPr>
        <w:t>2010</w:t>
      </w:r>
      <w:r>
        <w:rPr>
          <w:spacing w:val="-4"/>
        </w:rPr>
        <w:t>年度工作的相关情况报告</w:t>
      </w:r>
      <w:r>
        <w:rPr>
          <w:spacing w:val="-108"/>
        </w:rPr>
        <w:t> </w:t>
      </w:r>
      <w:r>
        <w:rPr>
          <w:spacing w:val="-108"/>
        </w:rPr>
      </w:r>
      <w:r>
        <w:rPr/>
        <w:t>如下：</w:t>
      </w:r>
    </w:p>
    <w:p>
      <w:pPr>
        <w:pStyle w:val="Heading3"/>
        <w:spacing w:line="326" w:lineRule="auto" w:before="0"/>
        <w:ind w:left="697" w:right="98" w:hanging="560"/>
        <w:jc w:val="left"/>
      </w:pPr>
      <w:r>
        <w:rPr>
          <w:rFonts w:ascii="宋体" w:hAnsi="宋体" w:cs="宋体" w:eastAsia="宋体" w:hint="default"/>
          <w:b/>
          <w:bCs/>
        </w:rPr>
        <w:t>一、召开会议情况</w:t>
      </w:r>
      <w:r>
        <w:rPr>
          <w:rFonts w:ascii="宋体" w:hAnsi="宋体" w:cs="宋体" w:eastAsia="宋体" w:hint="default"/>
          <w:b/>
          <w:bCs/>
          <w:w w:val="99"/>
        </w:rPr>
        <w:t> </w:t>
      </w:r>
      <w:r>
        <w:rPr/>
        <w:t>报告期内，公司共召开了七次监事会会议，具体情况如下：</w:t>
      </w:r>
      <w:r>
        <w:rPr>
          <w:w w:val="100"/>
        </w:rPr>
        <w:t> </w:t>
      </w:r>
      <w:r>
        <w:rPr>
          <w:rFonts w:ascii="宋体" w:hAnsi="宋体" w:cs="宋体" w:eastAsia="宋体" w:hint="default"/>
          <w:spacing w:val="-4"/>
        </w:rPr>
        <w:t>1</w:t>
      </w:r>
      <w:r>
        <w:rPr>
          <w:spacing w:val="-4"/>
        </w:rPr>
        <w:t>、</w:t>
      </w:r>
      <w:r>
        <w:rPr>
          <w:rFonts w:ascii="宋体" w:hAnsi="宋体" w:cs="宋体" w:eastAsia="宋体" w:hint="default"/>
          <w:spacing w:val="-4"/>
        </w:rPr>
        <w:t>2010</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24</w:t>
      </w:r>
      <w:r>
        <w:rPr>
          <w:spacing w:val="-4"/>
        </w:rPr>
        <w:t>日，第三届监事会第六次以现场表决的方式审议</w:t>
      </w:r>
    </w:p>
    <w:p>
      <w:pPr>
        <w:pStyle w:val="Heading3"/>
        <w:spacing w:line="240" w:lineRule="auto" w:before="32"/>
        <w:ind w:right="98"/>
        <w:jc w:val="left"/>
      </w:pPr>
      <w:r>
        <w:rPr/>
        <w:t>通过了以下议案：</w:t>
      </w:r>
    </w:p>
    <w:p>
      <w:pPr>
        <w:pStyle w:val="Heading3"/>
        <w:spacing w:line="240" w:lineRule="auto" w:before="135"/>
        <w:ind w:left="697" w:right="98"/>
        <w:jc w:val="left"/>
      </w:pPr>
      <w:r>
        <w:rPr/>
        <w:t>（</w:t>
      </w:r>
      <w:r>
        <w:rPr>
          <w:rFonts w:ascii="宋体" w:hAnsi="宋体" w:cs="宋体" w:eastAsia="宋体" w:hint="default"/>
        </w:rPr>
        <w:t>1</w:t>
      </w:r>
      <w:r>
        <w:rPr/>
        <w:t>）《</w:t>
      </w:r>
      <w:r>
        <w:rPr>
          <w:rFonts w:ascii="宋体" w:hAnsi="宋体" w:cs="宋体" w:eastAsia="宋体" w:hint="default"/>
        </w:rPr>
        <w:t>2009</w:t>
      </w:r>
      <w:r>
        <w:rPr/>
        <w:t>年度监事会工作报告》；</w:t>
      </w:r>
    </w:p>
    <w:p>
      <w:pPr>
        <w:pStyle w:val="Heading3"/>
        <w:spacing w:line="240" w:lineRule="auto" w:before="132"/>
        <w:ind w:left="697" w:right="98"/>
        <w:jc w:val="left"/>
      </w:pPr>
      <w:r>
        <w:rPr/>
        <w:t>（</w:t>
      </w:r>
      <w:r>
        <w:rPr>
          <w:rFonts w:ascii="宋体" w:hAnsi="宋体" w:cs="宋体" w:eastAsia="宋体" w:hint="default"/>
        </w:rPr>
        <w:t>2</w:t>
      </w:r>
      <w:r>
        <w:rPr/>
        <w:t>）《</w:t>
      </w:r>
      <w:r>
        <w:rPr>
          <w:rFonts w:ascii="宋体" w:hAnsi="宋体" w:cs="宋体" w:eastAsia="宋体" w:hint="default"/>
        </w:rPr>
        <w:t>2009</w:t>
      </w:r>
      <w:r>
        <w:rPr/>
        <w:t>年年度报告及摘要》；</w:t>
      </w:r>
    </w:p>
    <w:p>
      <w:pPr>
        <w:pStyle w:val="Heading3"/>
        <w:spacing w:line="240" w:lineRule="auto" w:before="132"/>
        <w:ind w:left="697" w:right="98"/>
        <w:jc w:val="left"/>
      </w:pPr>
      <w:r>
        <w:rPr/>
        <w:t>（</w:t>
      </w:r>
      <w:r>
        <w:rPr>
          <w:rFonts w:ascii="宋体" w:hAnsi="宋体" w:cs="宋体" w:eastAsia="宋体" w:hint="default"/>
        </w:rPr>
        <w:t>3</w:t>
      </w:r>
      <w:r>
        <w:rPr/>
        <w:t>）《</w:t>
      </w:r>
      <w:r>
        <w:rPr>
          <w:rFonts w:ascii="宋体" w:hAnsi="宋体" w:cs="宋体" w:eastAsia="宋体" w:hint="default"/>
        </w:rPr>
        <w:t>2009</w:t>
      </w:r>
      <w:r>
        <w:rPr/>
        <w:t>年度财务决算报告》；</w:t>
      </w:r>
    </w:p>
    <w:p>
      <w:pPr>
        <w:pStyle w:val="Heading3"/>
        <w:spacing w:line="240" w:lineRule="auto" w:before="135"/>
        <w:ind w:left="697" w:right="98"/>
        <w:jc w:val="left"/>
      </w:pPr>
      <w:r>
        <w:rPr/>
        <w:t>（</w:t>
      </w:r>
      <w:r>
        <w:rPr>
          <w:rFonts w:ascii="宋体" w:hAnsi="宋体" w:cs="宋体" w:eastAsia="宋体" w:hint="default"/>
        </w:rPr>
        <w:t>4</w:t>
      </w:r>
      <w:r>
        <w:rPr/>
        <w:t>）《</w:t>
      </w:r>
      <w:r>
        <w:rPr>
          <w:rFonts w:ascii="宋体" w:hAnsi="宋体" w:cs="宋体" w:eastAsia="宋体" w:hint="default"/>
        </w:rPr>
        <w:t>2009</w:t>
      </w:r>
      <w:r>
        <w:rPr/>
        <w:t>年度利润分配预案》；</w:t>
      </w:r>
    </w:p>
    <w:p>
      <w:pPr>
        <w:pStyle w:val="Heading3"/>
        <w:spacing w:line="240" w:lineRule="auto" w:before="132"/>
        <w:ind w:left="697" w:right="98"/>
        <w:jc w:val="left"/>
      </w:pPr>
      <w:r>
        <w:rPr/>
        <w:t>（</w:t>
      </w:r>
      <w:r>
        <w:rPr>
          <w:rFonts w:ascii="宋体" w:hAnsi="宋体" w:cs="宋体" w:eastAsia="宋体" w:hint="default"/>
        </w:rPr>
        <w:t>5</w:t>
      </w:r>
      <w:r>
        <w:rPr/>
        <w:t>）《</w:t>
      </w:r>
      <w:r>
        <w:rPr>
          <w:rFonts w:ascii="宋体" w:hAnsi="宋体" w:cs="宋体" w:eastAsia="宋体" w:hint="default"/>
        </w:rPr>
        <w:t>2009</w:t>
      </w:r>
      <w:r>
        <w:rPr/>
        <w:t>年度内部控制自我评价报告》；</w:t>
      </w:r>
    </w:p>
    <w:p>
      <w:pPr>
        <w:pStyle w:val="Heading3"/>
        <w:spacing w:line="240" w:lineRule="auto" w:before="132"/>
        <w:ind w:left="697" w:right="98"/>
        <w:jc w:val="left"/>
      </w:pPr>
      <w:r>
        <w:rPr/>
        <w:t>（</w:t>
      </w:r>
      <w:r>
        <w:rPr>
          <w:rFonts w:ascii="宋体" w:hAnsi="宋体" w:cs="宋体" w:eastAsia="宋体" w:hint="default"/>
        </w:rPr>
        <w:t>6</w:t>
      </w:r>
      <w:r>
        <w:rPr/>
        <w:t>）《</w:t>
      </w:r>
      <w:r>
        <w:rPr>
          <w:rFonts w:ascii="宋体" w:hAnsi="宋体" w:cs="宋体" w:eastAsia="宋体" w:hint="default"/>
        </w:rPr>
        <w:t>2009</w:t>
      </w:r>
      <w:r>
        <w:rPr/>
        <w:t>年度募集资金存放与实际使用情况的专项报告》；</w:t>
      </w:r>
    </w:p>
    <w:p>
      <w:pPr>
        <w:pStyle w:val="Heading3"/>
        <w:spacing w:line="326" w:lineRule="auto" w:before="135"/>
        <w:ind w:right="98" w:firstLine="559"/>
        <w:jc w:val="left"/>
      </w:pPr>
      <w:r>
        <w:rPr>
          <w:spacing w:val="-1"/>
        </w:rPr>
        <w:t>（</w:t>
      </w:r>
      <w:r>
        <w:rPr>
          <w:rFonts w:ascii="宋体" w:hAnsi="宋体" w:cs="宋体" w:eastAsia="宋体" w:hint="default"/>
          <w:spacing w:val="-1"/>
        </w:rPr>
        <w:t>7</w:t>
      </w:r>
      <w:r>
        <w:rPr>
          <w:spacing w:val="-1"/>
        </w:rPr>
        <w:t>）《关于用募集资金置换已预先投入募集资金投资项目的自</w:t>
      </w:r>
      <w:r>
        <w:rPr>
          <w:w w:val="100"/>
        </w:rPr>
        <w:t> </w:t>
      </w:r>
      <w:r>
        <w:rPr/>
        <w:t>筹资金的议案》。</w:t>
      </w:r>
    </w:p>
    <w:p>
      <w:pPr>
        <w:pStyle w:val="Heading3"/>
        <w:spacing w:line="328" w:lineRule="auto" w:before="32"/>
        <w:ind w:right="98" w:firstLine="559"/>
        <w:jc w:val="left"/>
      </w:pPr>
      <w:r>
        <w:rPr>
          <w:rFonts w:ascii="宋体" w:hAnsi="宋体" w:cs="宋体" w:eastAsia="宋体" w:hint="default"/>
          <w:spacing w:val="-4"/>
        </w:rPr>
        <w:t>2</w:t>
      </w:r>
      <w:r>
        <w:rPr>
          <w:spacing w:val="-4"/>
        </w:rPr>
        <w:t>、</w:t>
      </w:r>
      <w:r>
        <w:rPr>
          <w:rFonts w:ascii="宋体" w:hAnsi="宋体" w:cs="宋体" w:eastAsia="宋体" w:hint="default"/>
          <w:spacing w:val="-4"/>
        </w:rPr>
        <w:t>2010</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23</w:t>
      </w:r>
      <w:r>
        <w:rPr>
          <w:spacing w:val="-4"/>
        </w:rPr>
        <w:t>日，第三届监事会第七次以通讯表决的方式审议</w:t>
      </w:r>
      <w:r>
        <w:rPr>
          <w:w w:val="100"/>
        </w:rPr>
        <w:t> </w:t>
      </w:r>
      <w:r>
        <w:rPr/>
        <w:t>通过了《</w:t>
      </w:r>
      <w:r>
        <w:rPr>
          <w:rFonts w:ascii="宋体" w:hAnsi="宋体" w:cs="宋体" w:eastAsia="宋体" w:hint="default"/>
        </w:rPr>
        <w:t>2010</w:t>
      </w:r>
      <w:r>
        <w:rPr/>
        <w:t>年第一季度报告》；</w:t>
      </w:r>
    </w:p>
    <w:p>
      <w:pPr>
        <w:pStyle w:val="Heading3"/>
        <w:spacing w:line="326" w:lineRule="auto"/>
        <w:ind w:right="98" w:firstLine="559"/>
        <w:jc w:val="left"/>
      </w:pPr>
      <w:r>
        <w:rPr>
          <w:rFonts w:ascii="宋体" w:hAnsi="宋体" w:cs="宋体" w:eastAsia="宋体" w:hint="default"/>
          <w:spacing w:val="-4"/>
        </w:rPr>
        <w:t>3</w:t>
      </w:r>
      <w:r>
        <w:rPr>
          <w:spacing w:val="-4"/>
        </w:rPr>
        <w:t>、</w:t>
      </w:r>
      <w:r>
        <w:rPr>
          <w:rFonts w:ascii="宋体" w:hAnsi="宋体" w:cs="宋体" w:eastAsia="宋体" w:hint="default"/>
          <w:spacing w:val="-4"/>
        </w:rPr>
        <w:t>2010</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17</w:t>
      </w:r>
      <w:r>
        <w:rPr>
          <w:spacing w:val="-4"/>
        </w:rPr>
        <w:t>日，第三届监事会第八次以现场表决的方式审议</w:t>
      </w:r>
      <w:r>
        <w:rPr>
          <w:w w:val="100"/>
        </w:rPr>
        <w:t> </w:t>
      </w:r>
      <w:r>
        <w:rPr/>
        <w:t>通过了《关于使用部分超募资金补充流动资金的议案》；</w:t>
      </w:r>
    </w:p>
    <w:p>
      <w:pPr>
        <w:pStyle w:val="Heading3"/>
        <w:spacing w:line="326" w:lineRule="auto" w:before="34"/>
        <w:ind w:right="98" w:firstLine="559"/>
        <w:jc w:val="left"/>
      </w:pPr>
      <w:r>
        <w:rPr>
          <w:rFonts w:ascii="宋体" w:hAnsi="宋体" w:cs="宋体" w:eastAsia="宋体" w:hint="default"/>
          <w:spacing w:val="-4"/>
        </w:rPr>
        <w:t>4</w:t>
      </w:r>
      <w:r>
        <w:rPr>
          <w:spacing w:val="-4"/>
        </w:rPr>
        <w:t>、</w:t>
      </w:r>
      <w:r>
        <w:rPr>
          <w:rFonts w:ascii="宋体" w:hAnsi="宋体" w:cs="宋体" w:eastAsia="宋体" w:hint="default"/>
          <w:spacing w:val="-4"/>
        </w:rPr>
        <w:t>2010</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17</w:t>
      </w:r>
      <w:r>
        <w:rPr>
          <w:spacing w:val="-4"/>
        </w:rPr>
        <w:t>日，第三届监事会第九次以现场表决的方式审议</w:t>
      </w:r>
      <w:r>
        <w:rPr>
          <w:w w:val="100"/>
        </w:rPr>
        <w:t> </w:t>
      </w:r>
      <w:r>
        <w:rPr/>
        <w:t>通过了以下议案：</w:t>
      </w:r>
    </w:p>
    <w:p>
      <w:pPr>
        <w:pStyle w:val="Heading3"/>
        <w:spacing w:line="240" w:lineRule="auto" w:before="32"/>
        <w:ind w:left="697" w:right="98"/>
        <w:jc w:val="left"/>
      </w:pPr>
      <w:r>
        <w:rPr/>
        <w:t>（</w:t>
      </w:r>
      <w:r>
        <w:rPr>
          <w:rFonts w:ascii="宋体" w:hAnsi="宋体" w:cs="宋体" w:eastAsia="宋体" w:hint="default"/>
        </w:rPr>
        <w:t>1</w:t>
      </w:r>
      <w:r>
        <w:rPr/>
        <w:t>）《</w:t>
      </w:r>
      <w:r>
        <w:rPr>
          <w:rFonts w:ascii="宋体" w:hAnsi="宋体" w:cs="宋体" w:eastAsia="宋体" w:hint="default"/>
        </w:rPr>
        <w:t>2010</w:t>
      </w:r>
      <w:r>
        <w:rPr/>
        <w:t>年半年度报告全文及摘要》；</w:t>
      </w:r>
    </w:p>
    <w:p>
      <w:pPr>
        <w:spacing w:after="0" w:line="240" w:lineRule="auto"/>
        <w:jc w:val="left"/>
        <w:sectPr>
          <w:headerReference w:type="default" r:id="rId33"/>
          <w:pgSz w:w="11910" w:h="16840"/>
          <w:pgMar w:header="624" w:footer="1045" w:top="1240" w:bottom="1240" w:left="1660" w:right="1600"/>
        </w:sectPr>
      </w:pPr>
    </w:p>
    <w:p>
      <w:pPr>
        <w:pStyle w:val="Heading3"/>
        <w:spacing w:line="328" w:lineRule="auto" w:before="73"/>
        <w:ind w:right="98" w:firstLine="559"/>
        <w:jc w:val="left"/>
      </w:pPr>
      <w:r>
        <w:rPr>
          <w:spacing w:val="-1"/>
        </w:rPr>
        <w:t>（</w:t>
      </w:r>
      <w:r>
        <w:rPr>
          <w:rFonts w:ascii="宋体" w:hAnsi="宋体" w:cs="宋体" w:eastAsia="宋体" w:hint="default"/>
          <w:spacing w:val="-1"/>
        </w:rPr>
        <w:t>2</w:t>
      </w:r>
      <w:r>
        <w:rPr>
          <w:spacing w:val="-1"/>
        </w:rPr>
        <w:t>）《关于使用部分超募资金投资“铁路防灾安全监控系统”</w:t>
      </w:r>
      <w:r>
        <w:rPr>
          <w:w w:val="100"/>
        </w:rPr>
        <w:t> </w:t>
      </w:r>
      <w:r>
        <w:rPr/>
        <w:t>项目的议案》；</w:t>
      </w:r>
    </w:p>
    <w:p>
      <w:pPr>
        <w:pStyle w:val="Heading3"/>
        <w:spacing w:line="326" w:lineRule="auto"/>
        <w:ind w:left="697" w:right="98"/>
        <w:jc w:val="left"/>
      </w:pPr>
      <w:r>
        <w:rPr/>
        <w:t>（</w:t>
      </w:r>
      <w:r>
        <w:rPr>
          <w:rFonts w:ascii="宋体" w:hAnsi="宋体" w:cs="宋体" w:eastAsia="宋体" w:hint="default"/>
        </w:rPr>
        <w:t>3</w:t>
      </w:r>
      <w:r>
        <w:rPr/>
        <w:t>）《关于投资设立北京全资子公司的议案》。</w:t>
      </w:r>
      <w:r>
        <w:rPr>
          <w:w w:val="100"/>
        </w:rPr>
        <w:t> </w:t>
      </w:r>
      <w:r>
        <w:rPr>
          <w:rFonts w:ascii="宋体" w:hAnsi="宋体" w:cs="宋体" w:eastAsia="宋体" w:hint="default"/>
          <w:spacing w:val="-1"/>
        </w:rPr>
        <w:t>5</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18</w:t>
      </w:r>
      <w:r>
        <w:rPr>
          <w:spacing w:val="-1"/>
        </w:rPr>
        <w:t>日，第三届监事会第十次以现场表决的方式审</w:t>
      </w:r>
    </w:p>
    <w:p>
      <w:pPr>
        <w:pStyle w:val="Heading3"/>
        <w:spacing w:line="326" w:lineRule="auto" w:before="34"/>
        <w:ind w:left="697" w:right="98" w:hanging="560"/>
        <w:jc w:val="left"/>
      </w:pPr>
      <w:r>
        <w:rPr/>
        <w:t>议通过了《</w:t>
      </w:r>
      <w:r>
        <w:rPr>
          <w:rFonts w:ascii="宋体" w:hAnsi="宋体" w:cs="宋体" w:eastAsia="宋体" w:hint="default"/>
        </w:rPr>
        <w:t>2010</w:t>
      </w:r>
      <w:r>
        <w:rPr/>
        <w:t>年第三季度报告》；</w:t>
      </w:r>
      <w:r>
        <w:rPr>
          <w:w w:val="100"/>
        </w:rPr>
        <w:t> </w:t>
      </w:r>
      <w:r>
        <w:rPr>
          <w:rFonts w:ascii="宋体" w:hAnsi="宋体" w:cs="宋体" w:eastAsia="宋体" w:hint="default"/>
          <w:spacing w:val="-1"/>
        </w:rPr>
        <w:t>6</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22</w:t>
      </w:r>
      <w:r>
        <w:rPr>
          <w:spacing w:val="-1"/>
        </w:rPr>
        <w:t>日，第三届监事会第十一次以现场表决的方式</w:t>
      </w:r>
    </w:p>
    <w:p>
      <w:pPr>
        <w:pStyle w:val="Heading3"/>
        <w:spacing w:line="240" w:lineRule="auto" w:before="32"/>
        <w:ind w:right="0"/>
        <w:jc w:val="both"/>
      </w:pPr>
      <w:r>
        <w:rPr/>
        <w:t>审议通过了以下议案：</w:t>
      </w:r>
    </w:p>
    <w:p>
      <w:pPr>
        <w:pStyle w:val="Heading3"/>
        <w:spacing w:line="240" w:lineRule="auto" w:before="135"/>
        <w:ind w:left="697" w:right="98"/>
        <w:jc w:val="left"/>
      </w:pPr>
      <w:r>
        <w:rPr/>
        <w:t>（</w:t>
      </w:r>
      <w:r>
        <w:rPr>
          <w:rFonts w:ascii="宋体" w:hAnsi="宋体" w:cs="宋体" w:eastAsia="宋体" w:hint="default"/>
        </w:rPr>
        <w:t>1</w:t>
      </w:r>
      <w:r>
        <w:rPr/>
        <w:t>）《关于修改</w:t>
      </w:r>
      <w:r>
        <w:rPr>
          <w:rFonts w:ascii="宋体" w:hAnsi="宋体" w:cs="宋体" w:eastAsia="宋体" w:hint="default"/>
        </w:rPr>
        <w:t>&lt;</w:t>
      </w:r>
      <w:r>
        <w:rPr/>
        <w:t>公司章程</w:t>
      </w:r>
      <w:r>
        <w:rPr>
          <w:rFonts w:ascii="宋体" w:hAnsi="宋体" w:cs="宋体" w:eastAsia="宋体" w:hint="default"/>
        </w:rPr>
        <w:t>&gt;</w:t>
      </w:r>
      <w:r>
        <w:rPr/>
        <w:t>的议案》；</w:t>
      </w:r>
    </w:p>
    <w:p>
      <w:pPr>
        <w:pStyle w:val="Heading3"/>
        <w:spacing w:line="326" w:lineRule="auto" w:before="132"/>
        <w:ind w:left="697" w:right="98"/>
        <w:jc w:val="left"/>
      </w:pPr>
      <w:r>
        <w:rPr/>
        <w:t>（</w:t>
      </w:r>
      <w:r>
        <w:rPr>
          <w:rFonts w:ascii="宋体" w:hAnsi="宋体" w:cs="宋体" w:eastAsia="宋体" w:hint="default"/>
        </w:rPr>
        <w:t>2</w:t>
      </w:r>
      <w:r>
        <w:rPr/>
        <w:t>）《关于监事会换届选举的议案》。</w:t>
      </w:r>
      <w:r>
        <w:rPr>
          <w:w w:val="100"/>
        </w:rPr>
        <w:t> </w:t>
      </w:r>
      <w:r>
        <w:rPr>
          <w:rFonts w:ascii="宋体" w:hAnsi="宋体" w:cs="宋体" w:eastAsia="宋体" w:hint="default"/>
          <w:spacing w:val="-1"/>
        </w:rPr>
        <w:t>7</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11</w:t>
      </w:r>
      <w:r>
        <w:rPr>
          <w:spacing w:val="-1"/>
        </w:rPr>
        <w:t>日，第四届监事会第一次会议以现场表决的方</w:t>
      </w:r>
    </w:p>
    <w:p>
      <w:pPr>
        <w:pStyle w:val="Heading3"/>
        <w:spacing w:line="326" w:lineRule="auto" w:before="34"/>
        <w:ind w:left="697" w:right="98" w:hanging="560"/>
        <w:jc w:val="left"/>
      </w:pPr>
      <w:r>
        <w:rPr/>
        <w:t>式审议通过了《关于选举公司第四届监事会主席的议案》。</w:t>
      </w:r>
      <w:r>
        <w:rPr>
          <w:w w:val="100"/>
        </w:rPr>
        <w:t> </w:t>
      </w:r>
      <w:r>
        <w:rPr>
          <w:spacing w:val="-5"/>
        </w:rPr>
        <w:t>以上会议决议公告详情请查阅《证券时报》、《中国证券报》及</w:t>
      </w:r>
    </w:p>
    <w:p>
      <w:pPr>
        <w:spacing w:line="307" w:lineRule="auto" w:before="32"/>
        <w:ind w:left="138" w:right="98" w:firstLine="0"/>
        <w:jc w:val="left"/>
        <w:rPr>
          <w:rFonts w:ascii="宋体" w:hAnsi="宋体" w:cs="宋体" w:eastAsia="宋体" w:hint="default"/>
          <w:sz w:val="28"/>
          <w:szCs w:val="28"/>
        </w:rPr>
      </w:pPr>
      <w:r>
        <w:rPr>
          <w:rFonts w:ascii="宋体" w:hAnsi="宋体" w:cs="宋体" w:eastAsia="宋体" w:hint="default"/>
          <w:spacing w:val="-2"/>
          <w:sz w:val="28"/>
          <w:szCs w:val="28"/>
        </w:rPr>
        <w:t>巨潮资讯网</w:t>
      </w:r>
      <w:hyperlink r:id="rId12">
        <w:r>
          <w:rPr>
            <w:rFonts w:ascii="宋体" w:hAnsi="宋体" w:cs="宋体" w:eastAsia="宋体" w:hint="default"/>
            <w:spacing w:val="-2"/>
            <w:sz w:val="28"/>
            <w:szCs w:val="28"/>
          </w:rPr>
          <w:t>http://www.cninfo.com.cn</w:t>
        </w:r>
      </w:hyperlink>
      <w:r>
        <w:rPr>
          <w:rFonts w:ascii="宋体" w:hAnsi="宋体" w:cs="宋体" w:eastAsia="宋体" w:hint="default"/>
          <w:spacing w:val="-2"/>
          <w:sz w:val="28"/>
          <w:szCs w:val="28"/>
        </w:rPr>
        <w:t>。</w:t>
      </w:r>
      <w:r>
        <w:rPr>
          <w:rFonts w:ascii="宋体" w:hAnsi="宋体" w:cs="宋体" w:eastAsia="宋体" w:hint="default"/>
          <w:spacing w:val="-98"/>
          <w:sz w:val="28"/>
          <w:szCs w:val="28"/>
        </w:rPr>
        <w:t> </w:t>
      </w:r>
      <w:r>
        <w:rPr>
          <w:rFonts w:ascii="宋体" w:hAnsi="宋体" w:cs="宋体" w:eastAsia="宋体" w:hint="default"/>
          <w:b/>
          <w:bCs/>
          <w:sz w:val="28"/>
          <w:szCs w:val="28"/>
        </w:rPr>
        <w:t>二、监事会对有关事项的独立意见</w:t>
      </w:r>
      <w:r>
        <w:rPr>
          <w:rFonts w:ascii="宋体" w:hAnsi="宋体" w:cs="宋体" w:eastAsia="宋体" w:hint="default"/>
          <w:sz w:val="28"/>
          <w:szCs w:val="28"/>
        </w:rPr>
      </w:r>
    </w:p>
    <w:p>
      <w:pPr>
        <w:spacing w:line="324" w:lineRule="auto" w:before="13"/>
        <w:ind w:left="697" w:right="98" w:firstLine="2"/>
        <w:jc w:val="left"/>
        <w:rPr>
          <w:rFonts w:ascii="宋体" w:hAnsi="宋体" w:cs="宋体" w:eastAsia="宋体" w:hint="default"/>
          <w:sz w:val="28"/>
          <w:szCs w:val="28"/>
        </w:rPr>
      </w:pPr>
      <w:r>
        <w:rPr>
          <w:rFonts w:ascii="宋体" w:hAnsi="宋体" w:cs="宋体" w:eastAsia="宋体" w:hint="default"/>
          <w:b/>
          <w:bCs/>
          <w:sz w:val="28"/>
          <w:szCs w:val="28"/>
        </w:rPr>
        <w:t>1</w:t>
      </w:r>
      <w:r>
        <w:rPr>
          <w:rFonts w:ascii="宋体" w:hAnsi="宋体" w:cs="宋体" w:eastAsia="宋体" w:hint="default"/>
          <w:b/>
          <w:bCs/>
          <w:sz w:val="28"/>
          <w:szCs w:val="28"/>
        </w:rPr>
        <w:t>、公司依法运作情况</w:t>
      </w:r>
      <w:r>
        <w:rPr>
          <w:rFonts w:ascii="宋体" w:hAnsi="宋体" w:cs="宋体" w:eastAsia="宋体" w:hint="default"/>
          <w:b/>
          <w:bCs/>
          <w:w w:val="99"/>
          <w:sz w:val="28"/>
          <w:szCs w:val="28"/>
        </w:rPr>
        <w:t> </w:t>
      </w:r>
      <w:r>
        <w:rPr>
          <w:rFonts w:ascii="宋体" w:hAnsi="宋体" w:cs="宋体" w:eastAsia="宋体" w:hint="default"/>
          <w:spacing w:val="-5"/>
          <w:sz w:val="28"/>
          <w:szCs w:val="28"/>
        </w:rPr>
        <w:t>公司监事会严格按照《公司法》、《公司章程》等的规定，认真</w:t>
      </w:r>
    </w:p>
    <w:p>
      <w:pPr>
        <w:pStyle w:val="Heading3"/>
        <w:spacing w:line="328" w:lineRule="auto" w:before="35"/>
        <w:ind w:right="191"/>
        <w:jc w:val="both"/>
      </w:pPr>
      <w:r>
        <w:rPr>
          <w:spacing w:val="-4"/>
        </w:rPr>
        <w:t>履行职责，积极参加股东大会，列席董事会会议，对公司</w:t>
      </w:r>
      <w:r>
        <w:rPr>
          <w:rFonts w:ascii="宋体" w:hAnsi="宋体" w:cs="宋体" w:eastAsia="宋体" w:hint="default"/>
          <w:spacing w:val="-4"/>
        </w:rPr>
        <w:t>2010</w:t>
      </w:r>
      <w:r>
        <w:rPr>
          <w:spacing w:val="-4"/>
        </w:rPr>
        <w:t>年依法</w:t>
      </w:r>
      <w:r>
        <w:rPr>
          <w:spacing w:val="-105"/>
        </w:rPr>
        <w:t> </w:t>
      </w:r>
      <w:r>
        <w:rPr>
          <w:spacing w:val="-105"/>
        </w:rPr>
      </w:r>
      <w:r>
        <w:rPr>
          <w:spacing w:val="-4"/>
        </w:rPr>
        <w:t>运作进行监督，认为：公司不断健全和完善内部控制制度，董事会运</w:t>
      </w:r>
      <w:r>
        <w:rPr>
          <w:spacing w:val="-113"/>
        </w:rPr>
        <w:t> </w:t>
      </w:r>
      <w:r>
        <w:rPr>
          <w:spacing w:val="-113"/>
        </w:rPr>
      </w:r>
      <w:r>
        <w:rPr>
          <w:spacing w:val="-4"/>
        </w:rPr>
        <w:t>作规范、决策合理、程序合法，认真执行股东大会的各项决议，忠实</w:t>
      </w:r>
      <w:r>
        <w:rPr>
          <w:spacing w:val="-111"/>
        </w:rPr>
        <w:t> </w:t>
      </w:r>
      <w:r>
        <w:rPr>
          <w:spacing w:val="-111"/>
        </w:rPr>
      </w:r>
      <w:r>
        <w:rPr>
          <w:spacing w:val="-4"/>
        </w:rPr>
        <w:t>履行了诚信义务；公司董事、高级管理人员执行公司职务时不存在违</w:t>
      </w:r>
      <w:r>
        <w:rPr>
          <w:spacing w:val="-113"/>
        </w:rPr>
        <w:t> </w:t>
      </w:r>
      <w:r>
        <w:rPr>
          <w:spacing w:val="-113"/>
        </w:rPr>
      </w:r>
      <w:r>
        <w:rPr/>
        <w:t>反法律、法规、《公司章程》或损害公司利益的行为。</w:t>
      </w:r>
    </w:p>
    <w:p>
      <w:pPr>
        <w:spacing w:line="324" w:lineRule="auto" w:before="0"/>
        <w:ind w:left="697" w:right="98" w:firstLine="2"/>
        <w:jc w:val="left"/>
        <w:rPr>
          <w:rFonts w:ascii="宋体" w:hAnsi="宋体" w:cs="宋体" w:eastAsia="宋体" w:hint="default"/>
          <w:sz w:val="28"/>
          <w:szCs w:val="28"/>
        </w:rPr>
      </w:pPr>
      <w:r>
        <w:rPr>
          <w:rFonts w:ascii="宋体" w:hAnsi="宋体" w:cs="宋体" w:eastAsia="宋体" w:hint="default"/>
          <w:b/>
          <w:bCs/>
          <w:sz w:val="28"/>
          <w:szCs w:val="28"/>
        </w:rPr>
        <w:t>2</w:t>
      </w:r>
      <w:r>
        <w:rPr>
          <w:rFonts w:ascii="宋体" w:hAnsi="宋体" w:cs="宋体" w:eastAsia="宋体" w:hint="default"/>
          <w:b/>
          <w:bCs/>
          <w:sz w:val="28"/>
          <w:szCs w:val="28"/>
        </w:rPr>
        <w:t>、检查公司财务的情况</w:t>
      </w:r>
      <w:r>
        <w:rPr>
          <w:rFonts w:ascii="宋体" w:hAnsi="宋体" w:cs="宋体" w:eastAsia="宋体" w:hint="default"/>
          <w:b/>
          <w:bCs/>
          <w:w w:val="99"/>
          <w:sz w:val="28"/>
          <w:szCs w:val="28"/>
        </w:rPr>
        <w:t> </w:t>
      </w:r>
      <w:r>
        <w:rPr>
          <w:rFonts w:ascii="宋体" w:hAnsi="宋体" w:cs="宋体" w:eastAsia="宋体" w:hint="default"/>
          <w:spacing w:val="-1"/>
          <w:sz w:val="28"/>
          <w:szCs w:val="28"/>
        </w:rPr>
        <w:t>公司监事会对</w:t>
      </w:r>
      <w:r>
        <w:rPr>
          <w:rFonts w:ascii="宋体" w:hAnsi="宋体" w:cs="宋体" w:eastAsia="宋体" w:hint="default"/>
          <w:spacing w:val="-1"/>
          <w:sz w:val="28"/>
          <w:szCs w:val="28"/>
        </w:rPr>
        <w:t>2010</w:t>
      </w:r>
      <w:r>
        <w:rPr>
          <w:rFonts w:ascii="宋体" w:hAnsi="宋体" w:cs="宋体" w:eastAsia="宋体" w:hint="default"/>
          <w:spacing w:val="-1"/>
          <w:sz w:val="28"/>
          <w:szCs w:val="28"/>
        </w:rPr>
        <w:t>年度公司的财务状况和财务成果等进行了有</w:t>
      </w:r>
    </w:p>
    <w:p>
      <w:pPr>
        <w:pStyle w:val="Heading3"/>
        <w:spacing w:line="328" w:lineRule="auto" w:before="34"/>
        <w:ind w:right="107"/>
        <w:jc w:val="both"/>
      </w:pPr>
      <w:r>
        <w:rPr>
          <w:spacing w:val="-1"/>
        </w:rPr>
        <w:t>效的监督、检查和审核，认为：公司财务制度健全、内控制度完善，</w:t>
      </w:r>
      <w:r>
        <w:rPr>
          <w:spacing w:val="-116"/>
        </w:rPr>
        <w:t> </w:t>
      </w:r>
      <w:r>
        <w:rPr>
          <w:spacing w:val="-116"/>
        </w:rPr>
      </w:r>
      <w:r>
        <w:rPr>
          <w:spacing w:val="-4"/>
        </w:rPr>
        <w:t>财务运作规范、财务状况良好。财务报告真实、客观地反映了公司的</w:t>
      </w:r>
      <w:r>
        <w:rPr>
          <w:spacing w:val="-113"/>
        </w:rPr>
        <w:t> </w:t>
      </w:r>
      <w:r>
        <w:rPr>
          <w:spacing w:val="-113"/>
        </w:rPr>
      </w:r>
      <w:r>
        <w:rPr/>
        <w:t>财务状况和经营成果。</w:t>
      </w:r>
    </w:p>
    <w:p>
      <w:pPr>
        <w:spacing w:line="324" w:lineRule="auto" w:before="0"/>
        <w:ind w:left="697" w:right="98" w:firstLine="2"/>
        <w:jc w:val="left"/>
        <w:rPr>
          <w:rFonts w:ascii="宋体" w:hAnsi="宋体" w:cs="宋体" w:eastAsia="宋体" w:hint="default"/>
          <w:sz w:val="28"/>
          <w:szCs w:val="28"/>
        </w:rPr>
      </w:pPr>
      <w:r>
        <w:rPr>
          <w:rFonts w:ascii="宋体" w:hAnsi="宋体" w:cs="宋体" w:eastAsia="宋体" w:hint="default"/>
          <w:b/>
          <w:bCs/>
          <w:sz w:val="28"/>
          <w:szCs w:val="28"/>
        </w:rPr>
        <w:t>3</w:t>
      </w:r>
      <w:r>
        <w:rPr>
          <w:rFonts w:ascii="宋体" w:hAnsi="宋体" w:cs="宋体" w:eastAsia="宋体" w:hint="default"/>
          <w:b/>
          <w:bCs/>
          <w:sz w:val="28"/>
          <w:szCs w:val="28"/>
        </w:rPr>
        <w:t>、募集资金投入情况</w:t>
      </w:r>
      <w:r>
        <w:rPr>
          <w:rFonts w:ascii="宋体" w:hAnsi="宋体" w:cs="宋体" w:eastAsia="宋体" w:hint="default"/>
          <w:b/>
          <w:bCs/>
          <w:w w:val="99"/>
          <w:sz w:val="28"/>
          <w:szCs w:val="28"/>
        </w:rPr>
        <w:t> </w:t>
      </w:r>
      <w:r>
        <w:rPr>
          <w:rFonts w:ascii="宋体" w:hAnsi="宋体" w:cs="宋体" w:eastAsia="宋体" w:hint="default"/>
          <w:spacing w:val="-5"/>
          <w:sz w:val="28"/>
          <w:szCs w:val="28"/>
        </w:rPr>
        <w:t>公司监事会对公司募集资金的使用情况进行监督，认为：公司认</w:t>
      </w:r>
    </w:p>
    <w:p>
      <w:pPr>
        <w:spacing w:after="0" w:line="324" w:lineRule="auto"/>
        <w:jc w:val="left"/>
        <w:rPr>
          <w:rFonts w:ascii="宋体" w:hAnsi="宋体" w:cs="宋体" w:eastAsia="宋体" w:hint="default"/>
          <w:sz w:val="28"/>
          <w:szCs w:val="28"/>
        </w:rPr>
        <w:sectPr>
          <w:pgSz w:w="11910" w:h="16840"/>
          <w:pgMar w:header="624" w:footer="1045" w:top="1240" w:bottom="1240" w:left="1660" w:right="1600"/>
        </w:sectPr>
      </w:pPr>
    </w:p>
    <w:p>
      <w:pPr>
        <w:pStyle w:val="Heading3"/>
        <w:spacing w:line="328" w:lineRule="auto" w:before="73"/>
        <w:ind w:right="253"/>
        <w:jc w:val="both"/>
      </w:pPr>
      <w:r>
        <w:rPr>
          <w:spacing w:val="-4"/>
        </w:rPr>
        <w:t>真按照《募集资金管理办法》的要求管理和使用募集资金，募集资金</w:t>
      </w:r>
      <w:r>
        <w:rPr>
          <w:spacing w:val="-113"/>
        </w:rPr>
        <w:t> </w:t>
      </w:r>
      <w:r>
        <w:rPr>
          <w:spacing w:val="-113"/>
        </w:rPr>
      </w:r>
      <w:r>
        <w:rPr>
          <w:spacing w:val="-4"/>
        </w:rPr>
        <w:t>实际投入项目与承诺投入项目一致。报告期内，公司未发生实际投资</w:t>
      </w:r>
      <w:r>
        <w:rPr>
          <w:spacing w:val="-113"/>
        </w:rPr>
        <w:t> </w:t>
      </w:r>
      <w:r>
        <w:rPr>
          <w:spacing w:val="-113"/>
        </w:rPr>
      </w:r>
      <w:r>
        <w:rPr/>
        <w:t>项目变更的情况。</w:t>
      </w:r>
    </w:p>
    <w:p>
      <w:pPr>
        <w:spacing w:line="314" w:lineRule="auto" w:before="0"/>
        <w:ind w:left="697" w:right="3525" w:firstLine="2"/>
        <w:jc w:val="left"/>
        <w:rPr>
          <w:rFonts w:ascii="宋体" w:hAnsi="宋体" w:cs="宋体" w:eastAsia="宋体" w:hint="default"/>
          <w:sz w:val="28"/>
          <w:szCs w:val="28"/>
        </w:rPr>
      </w:pPr>
      <w:r>
        <w:rPr>
          <w:rFonts w:ascii="宋体" w:hAnsi="宋体" w:cs="宋体" w:eastAsia="宋体" w:hint="default"/>
          <w:b/>
          <w:bCs/>
          <w:sz w:val="28"/>
          <w:szCs w:val="28"/>
        </w:rPr>
        <w:t>4</w:t>
      </w:r>
      <w:r>
        <w:rPr>
          <w:rFonts w:ascii="宋体" w:hAnsi="宋体" w:cs="宋体" w:eastAsia="宋体" w:hint="default"/>
          <w:b/>
          <w:bCs/>
          <w:sz w:val="28"/>
          <w:szCs w:val="28"/>
        </w:rPr>
        <w:t>、收购、出售资产情况</w:t>
      </w:r>
      <w:r>
        <w:rPr>
          <w:rFonts w:ascii="宋体" w:hAnsi="宋体" w:cs="宋体" w:eastAsia="宋体" w:hint="default"/>
          <w:b/>
          <w:bCs/>
          <w:w w:val="99"/>
          <w:sz w:val="28"/>
          <w:szCs w:val="28"/>
        </w:rPr>
        <w:t> </w:t>
      </w:r>
      <w:r>
        <w:rPr>
          <w:rFonts w:ascii="宋体" w:hAnsi="宋体" w:cs="宋体" w:eastAsia="宋体" w:hint="default"/>
          <w:spacing w:val="-1"/>
          <w:sz w:val="28"/>
          <w:szCs w:val="28"/>
        </w:rPr>
        <w:t>报告期内公司无收购出售资产情况。</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b/>
          <w:bCs/>
          <w:sz w:val="28"/>
          <w:szCs w:val="28"/>
        </w:rPr>
        <w:t>5</w:t>
      </w:r>
      <w:r>
        <w:rPr>
          <w:rFonts w:ascii="宋体" w:hAnsi="宋体" w:cs="宋体" w:eastAsia="宋体" w:hint="default"/>
          <w:b/>
          <w:bCs/>
          <w:sz w:val="28"/>
          <w:szCs w:val="28"/>
        </w:rPr>
        <w:t>、关联交易情况</w:t>
      </w:r>
      <w:r>
        <w:rPr>
          <w:rFonts w:ascii="宋体" w:hAnsi="宋体" w:cs="宋体" w:eastAsia="宋体" w:hint="default"/>
          <w:b/>
          <w:bCs/>
          <w:w w:val="99"/>
          <w:sz w:val="28"/>
          <w:szCs w:val="28"/>
        </w:rPr>
        <w:t> </w:t>
      </w:r>
      <w:r>
        <w:rPr>
          <w:rFonts w:ascii="宋体" w:hAnsi="宋体" w:cs="宋体" w:eastAsia="宋体" w:hint="default"/>
          <w:sz w:val="28"/>
          <w:szCs w:val="28"/>
        </w:rPr>
        <w:t>公司无重大关联交易情况发生。</w:t>
      </w:r>
      <w:r>
        <w:rPr>
          <w:rFonts w:ascii="宋体" w:hAnsi="宋体" w:cs="宋体" w:eastAsia="宋体" w:hint="default"/>
          <w:w w:val="100"/>
          <w:sz w:val="28"/>
          <w:szCs w:val="28"/>
        </w:rPr>
        <w:t> </w:t>
      </w:r>
      <w:r>
        <w:rPr>
          <w:rFonts w:ascii="宋体" w:hAnsi="宋体" w:cs="宋体" w:eastAsia="宋体" w:hint="default"/>
          <w:b/>
          <w:bCs/>
          <w:sz w:val="28"/>
          <w:szCs w:val="28"/>
        </w:rPr>
        <w:t>6</w:t>
      </w:r>
      <w:r>
        <w:rPr>
          <w:rFonts w:ascii="宋体" w:hAnsi="宋体" w:cs="宋体" w:eastAsia="宋体" w:hint="default"/>
          <w:b/>
          <w:bCs/>
          <w:sz w:val="28"/>
          <w:szCs w:val="28"/>
        </w:rPr>
        <w:t>、内部控制自我评价报告</w:t>
      </w:r>
      <w:r>
        <w:rPr>
          <w:rFonts w:ascii="宋体" w:hAnsi="宋体" w:cs="宋体" w:eastAsia="宋体" w:hint="default"/>
          <w:sz w:val="28"/>
          <w:szCs w:val="28"/>
        </w:rPr>
      </w:r>
    </w:p>
    <w:p>
      <w:pPr>
        <w:pStyle w:val="Heading3"/>
        <w:spacing w:line="326" w:lineRule="auto" w:before="41"/>
        <w:ind w:right="106" w:firstLine="559"/>
        <w:jc w:val="left"/>
      </w:pPr>
      <w:r>
        <w:rPr/>
        <w:t>公司监事会对董事会关于公司</w:t>
      </w:r>
      <w:r>
        <w:rPr>
          <w:rFonts w:ascii="宋体" w:hAnsi="宋体" w:cs="宋体" w:eastAsia="宋体" w:hint="default"/>
        </w:rPr>
        <w:t>2010</w:t>
      </w:r>
      <w:r>
        <w:rPr/>
        <w:t>年度内部控制有效性的自我</w:t>
      </w:r>
      <w:r>
        <w:rPr>
          <w:w w:val="100"/>
        </w:rPr>
        <w:t> </w:t>
      </w:r>
      <w:r>
        <w:rPr>
          <w:spacing w:val="-1"/>
        </w:rPr>
        <w:t>评价报告、公司内部控制制度的建设和运行情况进行了审核，认为：</w:t>
      </w:r>
      <w:r>
        <w:rPr>
          <w:spacing w:val="-115"/>
        </w:rPr>
        <w:t> </w:t>
      </w:r>
      <w:r>
        <w:rPr>
          <w:spacing w:val="-115"/>
        </w:rPr>
      </w:r>
      <w:r>
        <w:rPr>
          <w:spacing w:val="-4"/>
        </w:rPr>
        <w:t>公司已建立了较为健全的内部控制体系，制订了较为完善、合理的内</w:t>
      </w:r>
      <w:r>
        <w:rPr>
          <w:spacing w:val="-114"/>
        </w:rPr>
        <w:t> </w:t>
      </w:r>
      <w:r>
        <w:rPr>
          <w:spacing w:val="-114"/>
        </w:rPr>
      </w:r>
      <w:r>
        <w:rPr>
          <w:spacing w:val="-4"/>
        </w:rPr>
        <w:t>部控制制度，公司的内控制度符合国家有关法规和证券监管部门的要</w:t>
      </w:r>
      <w:r>
        <w:rPr>
          <w:spacing w:val="-115"/>
        </w:rPr>
        <w:t> </w:t>
      </w:r>
      <w:r>
        <w:rPr>
          <w:spacing w:val="-115"/>
        </w:rPr>
      </w:r>
      <w:r>
        <w:rPr>
          <w:spacing w:val="-4"/>
        </w:rPr>
        <w:t>求，各项内部控制在生产经营等公司营运的各个环节中得到了持续和</w:t>
      </w:r>
      <w:r>
        <w:rPr>
          <w:spacing w:val="-115"/>
        </w:rPr>
        <w:t> </w:t>
      </w:r>
      <w:r>
        <w:rPr>
          <w:spacing w:val="-115"/>
        </w:rPr>
      </w:r>
      <w:r>
        <w:rPr>
          <w:spacing w:val="-1"/>
        </w:rPr>
        <w:t>严格的执行。董事会出具的《关于内部控制有效性的自我评价报告》</w:t>
      </w:r>
      <w:r>
        <w:rPr>
          <w:spacing w:val="-115"/>
        </w:rPr>
        <w:t> </w:t>
      </w:r>
      <w:r>
        <w:rPr>
          <w:spacing w:val="-115"/>
        </w:rPr>
      </w:r>
      <w:r>
        <w:rPr/>
        <w:t>客观地反映了公司的内部控制状况。</w:t>
      </w:r>
    </w:p>
    <w:p>
      <w:pPr>
        <w:pStyle w:val="Heading3"/>
        <w:spacing w:line="328" w:lineRule="auto" w:before="32"/>
        <w:ind w:right="106" w:firstLine="559"/>
        <w:jc w:val="left"/>
      </w:pPr>
      <w:r>
        <w:rPr>
          <w:spacing w:val="-9"/>
          <w:w w:val="100"/>
        </w:rPr>
        <w:t>在</w:t>
      </w:r>
      <w:r>
        <w:rPr>
          <w:rFonts w:ascii="宋体" w:hAnsi="宋体" w:cs="宋体" w:eastAsia="宋体" w:hint="default"/>
          <w:spacing w:val="-9"/>
          <w:w w:val="100"/>
        </w:rPr>
        <w:t>2011</w:t>
      </w:r>
      <w:r>
        <w:rPr>
          <w:spacing w:val="-9"/>
          <w:w w:val="100"/>
        </w:rPr>
        <w:t>年，监事会将切实履行监事会的工作职责，遵循诚信原则，</w:t>
      </w:r>
      <w:r>
        <w:rPr>
          <w:w w:val="100"/>
        </w:rPr>
        <w:t> </w:t>
      </w:r>
      <w:r>
        <w:rPr>
          <w:spacing w:val="-4"/>
        </w:rPr>
        <w:t>加强监督力度，以切实维护和保障公司及广大股东利益，忠实、勤勉</w:t>
      </w:r>
      <w:r>
        <w:rPr>
          <w:spacing w:val="-113"/>
        </w:rPr>
        <w:t> </w:t>
      </w:r>
      <w:r>
        <w:rPr>
          <w:spacing w:val="-113"/>
        </w:rPr>
      </w:r>
      <w:r>
        <w:rPr/>
        <w:t>地履行监督职责，扎实做好各项工作，以促进公司更好更快地发展。</w:t>
      </w:r>
    </w:p>
    <w:p>
      <w:pPr>
        <w:spacing w:after="0" w:line="328" w:lineRule="auto"/>
        <w:jc w:val="left"/>
        <w:sectPr>
          <w:pgSz w:w="11910" w:h="16840"/>
          <w:pgMar w:header="624" w:footer="1045" w:top="1240" w:bottom="1240" w:left="1660" w:right="1540"/>
        </w:sectPr>
      </w:pPr>
    </w:p>
    <w:p>
      <w:pPr>
        <w:spacing w:line="240" w:lineRule="auto" w:before="4"/>
        <w:rPr>
          <w:rFonts w:ascii="宋体" w:hAnsi="宋体" w:cs="宋体" w:eastAsia="宋体" w:hint="default"/>
          <w:sz w:val="9"/>
          <w:szCs w:val="9"/>
        </w:rPr>
      </w:pPr>
    </w:p>
    <w:p>
      <w:pPr>
        <w:pStyle w:val="Heading1"/>
        <w:spacing w:line="240" w:lineRule="auto"/>
        <w:ind w:left="2997" w:right="3055"/>
        <w:jc w:val="center"/>
      </w:pPr>
      <w:bookmarkStart w:name="_TOC_250002" w:id="9"/>
      <w:r>
        <w:rPr/>
        <w:t>第九节</w:t>
      </w:r>
      <w:r>
        <w:rPr>
          <w:spacing w:val="1"/>
        </w:rPr>
        <w:t> </w:t>
      </w:r>
      <w:bookmarkEnd w:id="9"/>
      <w:r>
        <w:rPr/>
        <w:t>重要事项</w:t>
      </w:r>
    </w:p>
    <w:p>
      <w:pPr>
        <w:spacing w:line="240" w:lineRule="auto" w:before="10"/>
        <w:rPr>
          <w:rFonts w:ascii="黑体" w:hAnsi="黑体" w:cs="黑体" w:eastAsia="黑体" w:hint="default"/>
          <w:sz w:val="20"/>
          <w:szCs w:val="20"/>
        </w:rPr>
      </w:pPr>
    </w:p>
    <w:p>
      <w:pPr>
        <w:spacing w:line="328" w:lineRule="auto" w:before="0"/>
        <w:ind w:left="697" w:right="992" w:hanging="560"/>
        <w:jc w:val="left"/>
        <w:rPr>
          <w:rFonts w:ascii="宋体" w:hAnsi="宋体" w:cs="宋体" w:eastAsia="宋体" w:hint="default"/>
          <w:sz w:val="28"/>
          <w:szCs w:val="28"/>
        </w:rPr>
      </w:pPr>
      <w:r>
        <w:rPr>
          <w:rFonts w:ascii="宋体" w:hAnsi="宋体" w:cs="宋体" w:eastAsia="宋体" w:hint="default"/>
          <w:b/>
          <w:bCs/>
          <w:sz w:val="28"/>
          <w:szCs w:val="28"/>
        </w:rPr>
        <w:t>一、重大诉讼、仲裁事项</w:t>
      </w:r>
      <w:r>
        <w:rPr>
          <w:rFonts w:ascii="宋体" w:hAnsi="宋体" w:cs="宋体" w:eastAsia="宋体" w:hint="default"/>
          <w:b/>
          <w:bCs/>
          <w:w w:val="99"/>
          <w:sz w:val="28"/>
          <w:szCs w:val="28"/>
        </w:rPr>
        <w:t> </w:t>
      </w:r>
      <w:r>
        <w:rPr>
          <w:rFonts w:ascii="宋体" w:hAnsi="宋体" w:cs="宋体" w:eastAsia="宋体" w:hint="default"/>
          <w:spacing w:val="-1"/>
          <w:sz w:val="28"/>
          <w:szCs w:val="28"/>
        </w:rPr>
        <w:t>报告期内，公司无重大诉讼、仲裁事项。</w:t>
      </w:r>
    </w:p>
    <w:p>
      <w:pPr>
        <w:spacing w:line="326" w:lineRule="auto" w:before="29"/>
        <w:ind w:left="697" w:right="992" w:hanging="560"/>
        <w:jc w:val="left"/>
        <w:rPr>
          <w:rFonts w:ascii="宋体" w:hAnsi="宋体" w:cs="宋体" w:eastAsia="宋体" w:hint="default"/>
          <w:sz w:val="28"/>
          <w:szCs w:val="28"/>
        </w:rPr>
      </w:pPr>
      <w:r>
        <w:rPr>
          <w:rFonts w:ascii="宋体" w:hAnsi="宋体" w:cs="宋体" w:eastAsia="宋体" w:hint="default"/>
          <w:b/>
          <w:bCs/>
          <w:sz w:val="28"/>
          <w:szCs w:val="28"/>
        </w:rPr>
        <w:t>二、破产重整相关事项</w:t>
      </w:r>
      <w:r>
        <w:rPr>
          <w:rFonts w:ascii="宋体" w:hAnsi="宋体" w:cs="宋体" w:eastAsia="宋体" w:hint="default"/>
          <w:b/>
          <w:bCs/>
          <w:w w:val="99"/>
          <w:sz w:val="28"/>
          <w:szCs w:val="28"/>
        </w:rPr>
        <w:t> </w:t>
      </w:r>
      <w:r>
        <w:rPr>
          <w:rFonts w:ascii="宋体" w:hAnsi="宋体" w:cs="宋体" w:eastAsia="宋体" w:hint="default"/>
          <w:spacing w:val="-2"/>
          <w:sz w:val="28"/>
          <w:szCs w:val="28"/>
        </w:rPr>
        <w:t>报告期内，公司无破产重整相关事项。</w:t>
      </w:r>
    </w:p>
    <w:p>
      <w:pPr>
        <w:spacing w:line="326" w:lineRule="auto" w:before="34"/>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三、持有其他上市公司股权及参股金融企业股权情况</w:t>
      </w:r>
      <w:r>
        <w:rPr>
          <w:rFonts w:ascii="宋体" w:hAnsi="宋体" w:cs="宋体" w:eastAsia="宋体" w:hint="default"/>
          <w:b/>
          <w:bCs/>
          <w:w w:val="99"/>
          <w:sz w:val="28"/>
          <w:szCs w:val="28"/>
        </w:rPr>
        <w:t> </w:t>
      </w:r>
      <w:r>
        <w:rPr>
          <w:rFonts w:ascii="宋体" w:hAnsi="宋体" w:cs="宋体" w:eastAsia="宋体" w:hint="default"/>
          <w:spacing w:val="-1"/>
          <w:sz w:val="28"/>
          <w:szCs w:val="28"/>
        </w:rPr>
        <w:t>报告期内，公司未发生买卖其他上市公司股权或参股商业银行、</w:t>
      </w:r>
    </w:p>
    <w:p>
      <w:pPr>
        <w:spacing w:line="328" w:lineRule="auto" w:before="32"/>
        <w:ind w:left="138" w:right="98" w:firstLine="0"/>
        <w:jc w:val="left"/>
        <w:rPr>
          <w:rFonts w:ascii="宋体" w:hAnsi="宋体" w:cs="宋体" w:eastAsia="宋体" w:hint="default"/>
          <w:sz w:val="28"/>
          <w:szCs w:val="28"/>
        </w:rPr>
      </w:pPr>
      <w:r>
        <w:rPr>
          <w:rFonts w:ascii="宋体" w:hAnsi="宋体" w:cs="宋体" w:eastAsia="宋体" w:hint="default"/>
          <w:spacing w:val="-1"/>
          <w:sz w:val="28"/>
          <w:szCs w:val="28"/>
        </w:rPr>
        <w:t>证券公司、保险公司、信托公司和期货公司等金融企业股权的事项；</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公司无持有其他上市公司股权及参股金融企业股权的情况。</w:t>
      </w:r>
      <w:r>
        <w:rPr>
          <w:rFonts w:ascii="宋体" w:hAnsi="宋体" w:cs="宋体" w:eastAsia="宋体" w:hint="default"/>
          <w:w w:val="100"/>
          <w:sz w:val="28"/>
          <w:szCs w:val="28"/>
        </w:rPr>
        <w:t> </w:t>
      </w:r>
      <w:r>
        <w:rPr>
          <w:rFonts w:ascii="宋体" w:hAnsi="宋体" w:cs="宋体" w:eastAsia="宋体" w:hint="default"/>
          <w:b/>
          <w:bCs/>
          <w:sz w:val="28"/>
          <w:szCs w:val="28"/>
        </w:rPr>
        <w:t>四、收购及出售资产、企业合并事项</w:t>
      </w:r>
      <w:r>
        <w:rPr>
          <w:rFonts w:ascii="宋体" w:hAnsi="宋体" w:cs="宋体" w:eastAsia="宋体" w:hint="default"/>
          <w:sz w:val="28"/>
          <w:szCs w:val="28"/>
        </w:rPr>
      </w:r>
    </w:p>
    <w:p>
      <w:pPr>
        <w:pStyle w:val="Heading3"/>
        <w:spacing w:line="328" w:lineRule="auto"/>
        <w:ind w:right="194" w:firstLine="559"/>
        <w:jc w:val="both"/>
      </w:pPr>
      <w:r>
        <w:rPr>
          <w:spacing w:val="-5"/>
        </w:rPr>
        <w:t>报告期内，公司无收购及出售资产事项发生，无企业合并事项发</w:t>
      </w:r>
      <w:r>
        <w:rPr>
          <w:w w:val="100"/>
        </w:rPr>
        <w:t> </w:t>
      </w:r>
      <w:r>
        <w:rPr/>
        <w:t>生。</w:t>
      </w:r>
    </w:p>
    <w:p>
      <w:pPr>
        <w:spacing w:line="326" w:lineRule="auto" w:before="29"/>
        <w:ind w:left="697" w:right="3744" w:hanging="560"/>
        <w:jc w:val="left"/>
        <w:rPr>
          <w:rFonts w:ascii="宋体" w:hAnsi="宋体" w:cs="宋体" w:eastAsia="宋体" w:hint="default"/>
          <w:sz w:val="28"/>
          <w:szCs w:val="28"/>
        </w:rPr>
      </w:pPr>
      <w:r>
        <w:rPr>
          <w:rFonts w:ascii="宋体" w:hAnsi="宋体" w:cs="宋体" w:eastAsia="宋体" w:hint="default"/>
          <w:b/>
          <w:bCs/>
          <w:sz w:val="28"/>
          <w:szCs w:val="28"/>
        </w:rPr>
        <w:t>五、股权激励计划实施事项</w:t>
      </w:r>
      <w:r>
        <w:rPr>
          <w:rFonts w:ascii="宋体" w:hAnsi="宋体" w:cs="宋体" w:eastAsia="宋体" w:hint="default"/>
          <w:b/>
          <w:bCs/>
          <w:w w:val="99"/>
          <w:sz w:val="28"/>
          <w:szCs w:val="28"/>
        </w:rPr>
        <w:t> </w:t>
      </w:r>
      <w:r>
        <w:rPr>
          <w:rFonts w:ascii="宋体" w:hAnsi="宋体" w:cs="宋体" w:eastAsia="宋体" w:hint="default"/>
          <w:spacing w:val="-1"/>
          <w:sz w:val="28"/>
          <w:szCs w:val="28"/>
        </w:rPr>
        <w:t>报告期内，公司无股权激励计划。</w:t>
      </w:r>
    </w:p>
    <w:p>
      <w:pPr>
        <w:spacing w:line="326" w:lineRule="auto" w:before="34"/>
        <w:ind w:left="697" w:right="98" w:hanging="560"/>
        <w:jc w:val="left"/>
        <w:rPr>
          <w:rFonts w:ascii="宋体" w:hAnsi="宋体" w:cs="宋体" w:eastAsia="宋体" w:hint="default"/>
          <w:sz w:val="28"/>
          <w:szCs w:val="28"/>
        </w:rPr>
      </w:pPr>
      <w:r>
        <w:rPr>
          <w:rFonts w:ascii="宋体" w:hAnsi="宋体" w:cs="宋体" w:eastAsia="宋体" w:hint="default"/>
          <w:b/>
          <w:bCs/>
          <w:sz w:val="28"/>
          <w:szCs w:val="28"/>
        </w:rPr>
        <w:t>六、重大关联交易事项</w:t>
      </w:r>
      <w:r>
        <w:rPr>
          <w:rFonts w:ascii="宋体" w:hAnsi="宋体" w:cs="宋体" w:eastAsia="宋体" w:hint="default"/>
          <w:b/>
          <w:bCs/>
          <w:w w:val="99"/>
          <w:sz w:val="28"/>
          <w:szCs w:val="28"/>
        </w:rPr>
        <w:t> </w:t>
      </w:r>
      <w:r>
        <w:rPr>
          <w:rFonts w:ascii="宋体" w:hAnsi="宋体" w:cs="宋体" w:eastAsia="宋体" w:hint="default"/>
          <w:spacing w:val="-1"/>
          <w:sz w:val="28"/>
          <w:szCs w:val="28"/>
        </w:rPr>
        <w:t>1</w:t>
      </w:r>
      <w:r>
        <w:rPr>
          <w:rFonts w:ascii="宋体" w:hAnsi="宋体" w:cs="宋体" w:eastAsia="宋体" w:hint="default"/>
          <w:spacing w:val="-1"/>
          <w:sz w:val="28"/>
          <w:szCs w:val="28"/>
        </w:rPr>
        <w:t>、报告期内，公司未发生与经营相关的关联交易；</w:t>
      </w:r>
    </w:p>
    <w:p>
      <w:pPr>
        <w:pStyle w:val="Heading3"/>
        <w:spacing w:line="240" w:lineRule="auto" w:before="32"/>
        <w:ind w:left="697" w:right="98"/>
        <w:jc w:val="left"/>
      </w:pPr>
      <w:r>
        <w:rPr>
          <w:rFonts w:ascii="宋体" w:hAnsi="宋体" w:cs="宋体" w:eastAsia="宋体" w:hint="default"/>
        </w:rPr>
        <w:t>2</w:t>
      </w:r>
      <w:r>
        <w:rPr/>
        <w:t>、报告期内，公司未发生与资产收购、出售相关的关联交易；</w:t>
      </w:r>
    </w:p>
    <w:p>
      <w:pPr>
        <w:pStyle w:val="Heading3"/>
        <w:spacing w:line="309" w:lineRule="auto" w:before="135"/>
        <w:ind w:right="245" w:firstLine="559"/>
        <w:jc w:val="both"/>
      </w:pPr>
      <w:r>
        <w:rPr>
          <w:rFonts w:ascii="Times New Roman" w:hAnsi="Times New Roman" w:cs="Times New Roman" w:eastAsia="Times New Roman" w:hint="default"/>
          <w:spacing w:val="-1"/>
        </w:rPr>
        <w:t>3</w:t>
      </w:r>
      <w:r>
        <w:rPr>
          <w:spacing w:val="-1"/>
        </w:rPr>
        <w:t>、报告期内，公司未发生与关联方共同对外投资发生的关联交</w:t>
      </w:r>
      <w:r>
        <w:rPr>
          <w:w w:val="100"/>
        </w:rPr>
        <w:t> </w:t>
      </w:r>
      <w:r>
        <w:rPr/>
        <w:t>易；</w:t>
      </w:r>
    </w:p>
    <w:p>
      <w:pPr>
        <w:pStyle w:val="Heading3"/>
        <w:spacing w:line="328" w:lineRule="auto" w:before="51"/>
        <w:ind w:right="245" w:firstLine="559"/>
        <w:jc w:val="both"/>
      </w:pPr>
      <w:r>
        <w:rPr>
          <w:rFonts w:ascii="宋体" w:hAnsi="宋体" w:cs="宋体" w:eastAsia="宋体" w:hint="default"/>
          <w:spacing w:val="-1"/>
        </w:rPr>
        <w:t>4</w:t>
      </w:r>
      <w:r>
        <w:rPr>
          <w:spacing w:val="-1"/>
        </w:rPr>
        <w:t>、报告期内，公司为发生与关联方存在债权债务往来、担保等</w:t>
      </w:r>
      <w:r>
        <w:rPr>
          <w:w w:val="100"/>
        </w:rPr>
        <w:t> </w:t>
      </w:r>
      <w:r>
        <w:rPr/>
        <w:t>事项。</w:t>
      </w:r>
    </w:p>
    <w:p>
      <w:pPr>
        <w:pStyle w:val="Heading2"/>
        <w:spacing w:line="240" w:lineRule="auto"/>
        <w:ind w:right="98"/>
        <w:jc w:val="left"/>
        <w:rPr>
          <w:b w:val="0"/>
          <w:bCs w:val="0"/>
        </w:rPr>
      </w:pPr>
      <w:r>
        <w:rPr/>
        <w:t>七、重大合同及其履行情况</w:t>
      </w:r>
      <w:r>
        <w:rPr>
          <w:b w:val="0"/>
          <w:bCs w:val="0"/>
        </w:rPr>
      </w:r>
    </w:p>
    <w:p>
      <w:pPr>
        <w:pStyle w:val="Heading3"/>
        <w:spacing w:line="328" w:lineRule="auto" w:before="132"/>
        <w:ind w:right="193" w:firstLine="559"/>
        <w:jc w:val="both"/>
      </w:pPr>
      <w:r>
        <w:rPr>
          <w:spacing w:val="-5"/>
        </w:rPr>
        <w:t>（一）报告期内，公司未发生且没有以前期间发生但延续到报告</w:t>
      </w:r>
      <w:r>
        <w:rPr>
          <w:w w:val="100"/>
        </w:rPr>
        <w:t> </w:t>
      </w:r>
      <w:r>
        <w:rPr>
          <w:spacing w:val="-4"/>
        </w:rPr>
        <w:t>期的托管、承包、租赁其他公司资产或其他公司托管、承包和租赁公</w:t>
      </w:r>
      <w:r>
        <w:rPr>
          <w:spacing w:val="-113"/>
        </w:rPr>
        <w:t> </w:t>
      </w:r>
      <w:r>
        <w:rPr>
          <w:spacing w:val="-113"/>
        </w:rPr>
      </w:r>
      <w:r>
        <w:rPr/>
        <w:t>司资产的重大事项；</w:t>
      </w:r>
    </w:p>
    <w:p>
      <w:pPr>
        <w:pStyle w:val="Heading3"/>
        <w:spacing w:line="240" w:lineRule="auto"/>
        <w:ind w:left="697" w:right="98"/>
        <w:jc w:val="left"/>
      </w:pPr>
      <w:r>
        <w:rPr/>
        <w:t>（二）报告期内，公司不存在对外担保事项；</w:t>
      </w:r>
    </w:p>
    <w:p>
      <w:pPr>
        <w:pStyle w:val="Heading3"/>
        <w:spacing w:line="326" w:lineRule="auto" w:before="135"/>
        <w:ind w:right="197" w:firstLine="559"/>
        <w:jc w:val="both"/>
      </w:pPr>
      <w:r>
        <w:rPr>
          <w:spacing w:val="-5"/>
        </w:rPr>
        <w:t>（三）报告期内，公司未发生且没有以前期间发生延续到报告期</w:t>
      </w:r>
      <w:r>
        <w:rPr>
          <w:w w:val="100"/>
        </w:rPr>
        <w:t> </w:t>
      </w:r>
      <w:r>
        <w:rPr/>
        <w:t>的委托他人进行现金资产管理的事项；</w:t>
      </w:r>
    </w:p>
    <w:p>
      <w:pPr>
        <w:spacing w:after="0" w:line="326" w:lineRule="auto"/>
        <w:jc w:val="both"/>
        <w:sectPr>
          <w:pgSz w:w="11910" w:h="16840"/>
          <w:pgMar w:header="624" w:footer="1045" w:top="1240" w:bottom="1240" w:left="1660" w:right="1600"/>
        </w:sectPr>
      </w:pPr>
    </w:p>
    <w:p>
      <w:pPr>
        <w:spacing w:line="328" w:lineRule="auto" w:before="73"/>
        <w:ind w:left="138" w:right="98" w:firstLine="559"/>
        <w:jc w:val="left"/>
        <w:rPr>
          <w:rFonts w:ascii="宋体" w:hAnsi="宋体" w:cs="宋体" w:eastAsia="宋体" w:hint="default"/>
          <w:sz w:val="28"/>
          <w:szCs w:val="28"/>
        </w:rPr>
      </w:pPr>
      <w:r>
        <w:rPr>
          <w:rFonts w:ascii="宋体" w:hAnsi="宋体" w:cs="宋体" w:eastAsia="宋体" w:hint="default"/>
          <w:spacing w:val="-1"/>
          <w:sz w:val="28"/>
          <w:szCs w:val="28"/>
        </w:rPr>
        <w:t>（四）报告期内，公司无其他重大合同。</w:t>
      </w:r>
      <w:r>
        <w:rPr>
          <w:rFonts w:ascii="宋体" w:hAnsi="宋体" w:cs="宋体" w:eastAsia="宋体" w:hint="default"/>
          <w:w w:val="100"/>
          <w:sz w:val="28"/>
          <w:szCs w:val="28"/>
        </w:rPr>
        <w:t> </w:t>
      </w:r>
      <w:r>
        <w:rPr>
          <w:rFonts w:ascii="宋体" w:hAnsi="宋体" w:cs="宋体" w:eastAsia="宋体" w:hint="default"/>
          <w:b/>
          <w:bCs/>
          <w:sz w:val="28"/>
          <w:szCs w:val="28"/>
        </w:rPr>
        <w:t>八、承诺事项及履行情况</w:t>
      </w:r>
      <w:r>
        <w:rPr>
          <w:rFonts w:ascii="宋体" w:hAnsi="宋体" w:cs="宋体" w:eastAsia="宋体" w:hint="default"/>
          <w:sz w:val="28"/>
          <w:szCs w:val="28"/>
        </w:rPr>
      </w:r>
    </w:p>
    <w:p>
      <w:pPr>
        <w:pStyle w:val="Heading3"/>
        <w:spacing w:line="328" w:lineRule="auto"/>
        <w:ind w:right="193" w:firstLine="559"/>
        <w:jc w:val="both"/>
      </w:pPr>
      <w:r>
        <w:rPr>
          <w:spacing w:val="-5"/>
        </w:rPr>
        <w:t>（一）公司股东李海鹰、李劲松、谢春生、胡江平、苗卫东、李</w:t>
      </w:r>
      <w:r>
        <w:rPr>
          <w:w w:val="100"/>
        </w:rPr>
        <w:t> </w:t>
      </w:r>
      <w:r>
        <w:rPr>
          <w:spacing w:val="-4"/>
        </w:rPr>
        <w:t>力、刘锐承诺：自公司股票上市之日起三十六个月内，不转让或者委</w:t>
      </w:r>
      <w:r>
        <w:rPr>
          <w:spacing w:val="-113"/>
        </w:rPr>
        <w:t> </w:t>
      </w:r>
      <w:r>
        <w:rPr>
          <w:spacing w:val="-113"/>
        </w:rPr>
      </w:r>
      <w:r>
        <w:rPr>
          <w:spacing w:val="-4"/>
        </w:rPr>
        <w:t>托他人管理本次发行前本人已持有的发行人股份，也不由发行人收购</w:t>
      </w:r>
      <w:r>
        <w:rPr>
          <w:spacing w:val="-115"/>
        </w:rPr>
        <w:t> </w:t>
      </w:r>
      <w:r>
        <w:rPr>
          <w:spacing w:val="-115"/>
        </w:rPr>
      </w:r>
      <w:r>
        <w:rPr>
          <w:spacing w:val="-4"/>
        </w:rPr>
        <w:t>该部分股份。公司股东李翀、宋丹斌承诺：自公司股票上市之日起十</w:t>
      </w:r>
      <w:r>
        <w:rPr>
          <w:spacing w:val="-113"/>
        </w:rPr>
        <w:t> </w:t>
      </w:r>
      <w:r>
        <w:rPr>
          <w:spacing w:val="-113"/>
        </w:rPr>
      </w:r>
      <w:r>
        <w:rPr>
          <w:spacing w:val="-4"/>
        </w:rPr>
        <w:t>二个月内，不转让或者委托他人管理本次发行前本人已持有的发行人</w:t>
      </w:r>
      <w:r>
        <w:rPr>
          <w:spacing w:val="-115"/>
        </w:rPr>
        <w:t> </w:t>
      </w:r>
      <w:r>
        <w:rPr>
          <w:spacing w:val="-115"/>
        </w:rPr>
      </w:r>
      <w:r>
        <w:rPr/>
        <w:t>股份，也不由发行人收购该部分股份。</w:t>
      </w:r>
    </w:p>
    <w:p>
      <w:pPr>
        <w:pStyle w:val="Heading3"/>
        <w:spacing w:line="326" w:lineRule="auto"/>
        <w:ind w:right="194" w:firstLine="559"/>
        <w:jc w:val="both"/>
      </w:pPr>
      <w:r>
        <w:rPr>
          <w:spacing w:val="-5"/>
        </w:rPr>
        <w:t>报告期内，未发生违反以上承诺的事项。其中股东宋丹斌的承诺</w:t>
      </w:r>
      <w:r>
        <w:rPr>
          <w:w w:val="100"/>
        </w:rPr>
        <w:t> </w:t>
      </w:r>
      <w:r>
        <w:rPr/>
        <w:t>已履行完毕。</w:t>
      </w:r>
    </w:p>
    <w:p>
      <w:pPr>
        <w:pStyle w:val="Heading3"/>
        <w:spacing w:line="326" w:lineRule="auto" w:before="34"/>
        <w:ind w:right="192" w:firstLine="559"/>
        <w:jc w:val="both"/>
      </w:pPr>
      <w:r>
        <w:rPr>
          <w:spacing w:val="-5"/>
        </w:rPr>
        <w:t>（二）公司股东李海鹰出具了《避免同业竞争承诺》，承诺“在</w:t>
      </w:r>
      <w:r>
        <w:rPr>
          <w:w w:val="100"/>
        </w:rPr>
        <w:t> </w:t>
      </w:r>
      <w:r>
        <w:rPr>
          <w:spacing w:val="-4"/>
        </w:rPr>
        <w:t>持有辉煌科技股权或担任辉煌科技董事、监事、高级管理人员或核心</w:t>
      </w:r>
      <w:r>
        <w:rPr>
          <w:spacing w:val="-116"/>
        </w:rPr>
        <w:t> </w:t>
      </w:r>
      <w:r>
        <w:rPr>
          <w:spacing w:val="-116"/>
        </w:rPr>
      </w:r>
      <w:r>
        <w:rPr>
          <w:spacing w:val="-4"/>
        </w:rPr>
        <w:t>技术人员期间及法定期限内，不经营或投资于任何与辉煌科技主营业</w:t>
      </w:r>
      <w:r>
        <w:rPr>
          <w:spacing w:val="-115"/>
        </w:rPr>
        <w:t> </w:t>
      </w:r>
      <w:r>
        <w:rPr>
          <w:spacing w:val="-115"/>
        </w:rPr>
      </w:r>
      <w:r>
        <w:rPr/>
        <w:t>务构成同业竞争的企业”。</w:t>
      </w:r>
    </w:p>
    <w:p>
      <w:pPr>
        <w:pStyle w:val="Heading3"/>
        <w:spacing w:line="240" w:lineRule="auto" w:before="32"/>
        <w:ind w:left="697" w:right="98"/>
        <w:jc w:val="left"/>
      </w:pPr>
      <w:r>
        <w:rPr/>
        <w:t>报告期内，未发生同业竞争的情况。</w:t>
      </w:r>
    </w:p>
    <w:p>
      <w:pPr>
        <w:pStyle w:val="Heading3"/>
        <w:spacing w:line="328" w:lineRule="auto" w:before="132"/>
        <w:ind w:right="107" w:firstLine="559"/>
        <w:jc w:val="both"/>
      </w:pPr>
      <w:r>
        <w:rPr>
          <w:spacing w:val="-5"/>
        </w:rPr>
        <w:t>（三）公司承诺：在募集资金使用过程中，如出现暂时性的资金</w:t>
      </w:r>
      <w:r>
        <w:rPr>
          <w:w w:val="100"/>
        </w:rPr>
        <w:t> </w:t>
      </w:r>
      <w:r>
        <w:rPr>
          <w:spacing w:val="-4"/>
        </w:rPr>
        <w:t>闲置情况，本公司不将募集资金作为持有交易性金融资产和可供出售</w:t>
      </w:r>
      <w:r>
        <w:rPr>
          <w:spacing w:val="-115"/>
        </w:rPr>
        <w:t> </w:t>
      </w:r>
      <w:r>
        <w:rPr>
          <w:spacing w:val="-115"/>
        </w:rPr>
      </w:r>
      <w:r>
        <w:rPr>
          <w:spacing w:val="-4"/>
        </w:rPr>
        <w:t>的金融资产、借予他人、委托理财等财务性投资，不直接或者间接投</w:t>
      </w:r>
      <w:r>
        <w:rPr>
          <w:spacing w:val="-113"/>
        </w:rPr>
        <w:t> </w:t>
      </w:r>
      <w:r>
        <w:rPr>
          <w:spacing w:val="-113"/>
        </w:rPr>
      </w:r>
      <w:r>
        <w:rPr>
          <w:spacing w:val="-4"/>
        </w:rPr>
        <w:t>资于以买卖有价证券为主要业务的公司，不将募集资金用于质押、委</w:t>
      </w:r>
      <w:r>
        <w:rPr>
          <w:spacing w:val="-114"/>
        </w:rPr>
        <w:t> </w:t>
      </w:r>
      <w:r>
        <w:rPr>
          <w:spacing w:val="-114"/>
        </w:rPr>
      </w:r>
      <w:r>
        <w:rPr>
          <w:spacing w:val="-4"/>
        </w:rPr>
        <w:t>托贷款或其他变相改变募集资金用途的投资。控股股东、实际控制人</w:t>
      </w:r>
      <w:r>
        <w:rPr>
          <w:spacing w:val="-116"/>
        </w:rPr>
        <w:t> </w:t>
      </w:r>
      <w:r>
        <w:rPr>
          <w:spacing w:val="-116"/>
        </w:rPr>
      </w:r>
      <w:r>
        <w:rPr>
          <w:spacing w:val="-2"/>
        </w:rPr>
        <w:t>等关联人不占用或挪用募集资金，不利用募投项目获得不正当利益。</w:t>
      </w:r>
      <w:r>
        <w:rPr>
          <w:spacing w:val="-87"/>
        </w:rPr>
        <w:t> </w:t>
      </w:r>
      <w:r>
        <w:rPr>
          <w:spacing w:val="-87"/>
        </w:rPr>
      </w:r>
      <w:r>
        <w:rPr>
          <w:spacing w:val="-4"/>
        </w:rPr>
        <w:t>该部分闲置资金将暂时存放于募集资金专户，待公司在主营业务发展</w:t>
      </w:r>
      <w:r>
        <w:rPr>
          <w:spacing w:val="-115"/>
        </w:rPr>
        <w:t> </w:t>
      </w:r>
      <w:r>
        <w:rPr>
          <w:spacing w:val="-115"/>
        </w:rPr>
      </w:r>
      <w:r>
        <w:rPr/>
        <w:t>方面存在资金需求的情况下使用。</w:t>
      </w:r>
    </w:p>
    <w:p>
      <w:pPr>
        <w:spacing w:line="326" w:lineRule="auto" w:before="29"/>
        <w:ind w:left="138" w:right="98" w:firstLine="559"/>
        <w:jc w:val="left"/>
        <w:rPr>
          <w:rFonts w:ascii="宋体" w:hAnsi="宋体" w:cs="宋体" w:eastAsia="宋体" w:hint="default"/>
          <w:sz w:val="28"/>
          <w:szCs w:val="28"/>
        </w:rPr>
      </w:pPr>
      <w:r>
        <w:rPr>
          <w:rFonts w:ascii="宋体" w:hAnsi="宋体" w:cs="宋体" w:eastAsia="宋体" w:hint="default"/>
          <w:spacing w:val="-1"/>
          <w:sz w:val="28"/>
          <w:szCs w:val="28"/>
        </w:rPr>
        <w:t>报告期内，未发生违反以上承诺的事项。</w:t>
      </w:r>
      <w:r>
        <w:rPr>
          <w:rFonts w:ascii="宋体" w:hAnsi="宋体" w:cs="宋体" w:eastAsia="宋体" w:hint="default"/>
          <w:w w:val="100"/>
          <w:sz w:val="28"/>
          <w:szCs w:val="28"/>
        </w:rPr>
        <w:t> </w:t>
      </w:r>
      <w:r>
        <w:rPr>
          <w:rFonts w:ascii="宋体" w:hAnsi="宋体" w:cs="宋体" w:eastAsia="宋体" w:hint="default"/>
          <w:b/>
          <w:bCs/>
          <w:sz w:val="28"/>
          <w:szCs w:val="28"/>
        </w:rPr>
        <w:t>九、聘任会计师事务所情况</w:t>
      </w:r>
      <w:r>
        <w:rPr>
          <w:rFonts w:ascii="宋体" w:hAnsi="宋体" w:cs="宋体" w:eastAsia="宋体" w:hint="default"/>
          <w:sz w:val="28"/>
          <w:szCs w:val="28"/>
        </w:rPr>
      </w:r>
    </w:p>
    <w:p>
      <w:pPr>
        <w:pStyle w:val="Heading3"/>
        <w:spacing w:line="326" w:lineRule="auto" w:before="34"/>
        <w:ind w:right="98" w:firstLine="559"/>
        <w:jc w:val="left"/>
      </w:pP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19</w:t>
      </w:r>
      <w:r>
        <w:rPr/>
        <w:t>日，经公司</w:t>
      </w:r>
      <w:r>
        <w:rPr>
          <w:rFonts w:ascii="宋体" w:hAnsi="宋体" w:cs="宋体" w:eastAsia="宋体" w:hint="default"/>
        </w:rPr>
        <w:t>2009</w:t>
      </w:r>
      <w:r>
        <w:rPr/>
        <w:t>年度股东大会审议通过《关于续聘</w:t>
      </w:r>
      <w:r>
        <w:rPr>
          <w:w w:val="100"/>
        </w:rPr>
        <w:t> </w:t>
      </w:r>
      <w:r>
        <w:rPr/>
        <w:t>天健正信会计师事务所有限公司为公司</w:t>
      </w:r>
      <w:r>
        <w:rPr>
          <w:rFonts w:ascii="宋体" w:hAnsi="宋体" w:cs="宋体" w:eastAsia="宋体" w:hint="default"/>
        </w:rPr>
        <w:t>2010</w:t>
      </w:r>
      <w:r>
        <w:rPr/>
        <w:t>年度财务报表审计机构</w:t>
      </w:r>
      <w:r>
        <w:rPr>
          <w:w w:val="100"/>
        </w:rPr>
        <w:t> </w:t>
      </w:r>
      <w:r>
        <w:rPr>
          <w:spacing w:val="-4"/>
        </w:rPr>
        <w:t>的议案》，现为公司</w:t>
      </w:r>
      <w:r>
        <w:rPr>
          <w:rFonts w:ascii="宋体" w:hAnsi="宋体" w:cs="宋体" w:eastAsia="宋体" w:hint="default"/>
          <w:spacing w:val="-4"/>
        </w:rPr>
        <w:t>2010</w:t>
      </w:r>
      <w:r>
        <w:rPr>
          <w:spacing w:val="-4"/>
        </w:rPr>
        <w:t>年年度财务报告提供审计服务的签字会计师</w:t>
      </w:r>
    </w:p>
    <w:p>
      <w:pPr>
        <w:spacing w:after="0" w:line="326" w:lineRule="auto"/>
        <w:jc w:val="left"/>
        <w:sectPr>
          <w:footerReference w:type="default" r:id="rId34"/>
          <w:pgSz w:w="11910" w:h="16840"/>
          <w:pgMar w:footer="1045" w:header="624" w:top="1240" w:bottom="1240" w:left="1660" w:right="1600"/>
          <w:pgNumType w:start="60"/>
        </w:sectPr>
      </w:pPr>
    </w:p>
    <w:p>
      <w:pPr>
        <w:pStyle w:val="Heading3"/>
        <w:spacing w:line="328" w:lineRule="auto" w:before="73"/>
        <w:ind w:left="658" w:right="0"/>
        <w:jc w:val="left"/>
      </w:pPr>
      <w:r>
        <w:rPr>
          <w:spacing w:val="-4"/>
        </w:rPr>
        <w:t>是李斌先生和董超先生，目前该审计机构已连续为公司提供审计服务</w:t>
      </w:r>
      <w:r>
        <w:rPr>
          <w:spacing w:val="-115"/>
        </w:rPr>
        <w:t> </w:t>
      </w:r>
      <w:r>
        <w:rPr>
          <w:spacing w:val="-115"/>
        </w:rPr>
      </w:r>
      <w:r>
        <w:rPr>
          <w:rFonts w:ascii="宋体" w:hAnsi="宋体" w:cs="宋体" w:eastAsia="宋体" w:hint="default"/>
        </w:rPr>
        <w:t>10</w:t>
      </w:r>
      <w:r>
        <w:rPr/>
        <w:t>年。</w:t>
      </w:r>
    </w:p>
    <w:p>
      <w:pPr>
        <w:spacing w:line="326" w:lineRule="auto" w:before="29"/>
        <w:ind w:left="1217" w:right="0" w:hanging="560"/>
        <w:jc w:val="left"/>
        <w:rPr>
          <w:rFonts w:ascii="宋体" w:hAnsi="宋体" w:cs="宋体" w:eastAsia="宋体" w:hint="default"/>
          <w:sz w:val="28"/>
          <w:szCs w:val="28"/>
        </w:rPr>
      </w:pPr>
      <w:r>
        <w:rPr>
          <w:rFonts w:ascii="宋体" w:hAnsi="宋体" w:cs="宋体" w:eastAsia="宋体" w:hint="default"/>
          <w:b/>
          <w:bCs/>
          <w:sz w:val="28"/>
          <w:szCs w:val="28"/>
        </w:rPr>
        <w:t>十、受监管部门处罚、通报批评、公开谴责及巡检整改情况</w:t>
      </w:r>
      <w:r>
        <w:rPr>
          <w:rFonts w:ascii="宋体" w:hAnsi="宋体" w:cs="宋体" w:eastAsia="宋体" w:hint="default"/>
          <w:b/>
          <w:bCs/>
          <w:w w:val="99"/>
          <w:sz w:val="28"/>
          <w:szCs w:val="28"/>
        </w:rPr>
        <w:t> </w:t>
      </w:r>
      <w:r>
        <w:rPr>
          <w:rFonts w:ascii="宋体" w:hAnsi="宋体" w:cs="宋体" w:eastAsia="宋体" w:hint="default"/>
          <w:spacing w:val="-9"/>
          <w:sz w:val="28"/>
          <w:szCs w:val="28"/>
        </w:rPr>
        <w:t>报告期内，公司、公司董事、监事、高级管理人员、发起人股东、</w:t>
      </w:r>
    </w:p>
    <w:p>
      <w:pPr>
        <w:spacing w:line="326" w:lineRule="auto" w:before="34"/>
        <w:ind w:left="658" w:right="638" w:firstLine="0"/>
        <w:jc w:val="left"/>
        <w:rPr>
          <w:rFonts w:ascii="宋体" w:hAnsi="宋体" w:cs="宋体" w:eastAsia="宋体" w:hint="default"/>
          <w:sz w:val="28"/>
          <w:szCs w:val="28"/>
        </w:rPr>
      </w:pPr>
      <w:r>
        <w:rPr>
          <w:rFonts w:ascii="宋体" w:hAnsi="宋体" w:cs="宋体" w:eastAsia="宋体" w:hint="default"/>
          <w:sz w:val="28"/>
          <w:szCs w:val="28"/>
        </w:rPr>
        <w:t>实际控制人均不存在受到有权机关调查、司法纪检部门采取强制措</w:t>
      </w:r>
      <w:r>
        <w:rPr>
          <w:rFonts w:ascii="宋体" w:hAnsi="宋体" w:cs="宋体" w:eastAsia="宋体" w:hint="default"/>
          <w:w w:val="100"/>
          <w:sz w:val="28"/>
          <w:szCs w:val="28"/>
        </w:rPr>
        <w:t> </w:t>
      </w:r>
      <w:r>
        <w:rPr>
          <w:rFonts w:ascii="宋体" w:hAnsi="宋体" w:cs="宋体" w:eastAsia="宋体" w:hint="default"/>
          <w:spacing w:val="-4"/>
          <w:sz w:val="28"/>
          <w:szCs w:val="28"/>
        </w:rPr>
        <w:t>施、被移送司法机关或追究刑事责任、中国证监会稽查、中国证监会</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4"/>
          <w:sz w:val="28"/>
          <w:szCs w:val="28"/>
        </w:rPr>
        <w:t>行政处罚、证券市场禁入、认定为不适当人选被其他行政管理部门处</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罚及被深圳证券交易所公开谴责的情形。</w:t>
      </w:r>
      <w:r>
        <w:rPr>
          <w:rFonts w:ascii="宋体" w:hAnsi="宋体" w:cs="宋体" w:eastAsia="宋体" w:hint="default"/>
          <w:w w:val="100"/>
          <w:sz w:val="28"/>
          <w:szCs w:val="28"/>
        </w:rPr>
        <w:t> </w:t>
      </w:r>
      <w:r>
        <w:rPr>
          <w:rFonts w:ascii="宋体" w:hAnsi="宋体" w:cs="宋体" w:eastAsia="宋体" w:hint="default"/>
          <w:b/>
          <w:bCs/>
          <w:spacing w:val="-5"/>
          <w:sz w:val="28"/>
          <w:szCs w:val="28"/>
        </w:rPr>
        <w:t>十一、报告期内，公司未发生《证券法》第六十七条、《公开发行股</w:t>
      </w:r>
      <w:r>
        <w:rPr>
          <w:rFonts w:ascii="宋体" w:hAnsi="宋体" w:cs="宋体" w:eastAsia="宋体" w:hint="default"/>
          <w:b/>
          <w:bCs/>
          <w:spacing w:val="-117"/>
          <w:sz w:val="28"/>
          <w:szCs w:val="28"/>
        </w:rPr>
        <w:t> </w:t>
      </w:r>
      <w:r>
        <w:rPr>
          <w:rFonts w:ascii="宋体" w:hAnsi="宋体" w:cs="宋体" w:eastAsia="宋体" w:hint="default"/>
          <w:b/>
          <w:bCs/>
          <w:spacing w:val="-117"/>
          <w:sz w:val="28"/>
          <w:szCs w:val="28"/>
        </w:rPr>
      </w:r>
      <w:r>
        <w:rPr>
          <w:rFonts w:ascii="宋体" w:hAnsi="宋体" w:cs="宋体" w:eastAsia="宋体" w:hint="default"/>
          <w:b/>
          <w:bCs/>
          <w:sz w:val="28"/>
          <w:szCs w:val="28"/>
        </w:rPr>
        <w:t>票公司信息披露实施细则（试行）》第十七条所列的重大事件。</w:t>
      </w:r>
      <w:r>
        <w:rPr>
          <w:rFonts w:ascii="宋体" w:hAnsi="宋体" w:cs="宋体" w:eastAsia="宋体" w:hint="default"/>
          <w:b/>
          <w:bCs/>
          <w:w w:val="99"/>
          <w:sz w:val="28"/>
          <w:szCs w:val="28"/>
        </w:rPr>
        <w:t> </w:t>
      </w:r>
      <w:r>
        <w:rPr>
          <w:rFonts w:ascii="宋体" w:hAnsi="宋体" w:cs="宋体" w:eastAsia="宋体" w:hint="default"/>
          <w:b/>
          <w:bCs/>
          <w:spacing w:val="-4"/>
          <w:sz w:val="28"/>
          <w:szCs w:val="28"/>
        </w:rPr>
        <w:t>十二、董事、监事、高级管理人员、持股</w:t>
      </w:r>
      <w:r>
        <w:rPr>
          <w:rFonts w:ascii="宋体" w:hAnsi="宋体" w:cs="宋体" w:eastAsia="宋体" w:hint="default"/>
          <w:b/>
          <w:bCs/>
          <w:spacing w:val="-4"/>
          <w:sz w:val="28"/>
          <w:szCs w:val="28"/>
        </w:rPr>
        <w:t>5%</w:t>
      </w:r>
      <w:r>
        <w:rPr>
          <w:rFonts w:ascii="宋体" w:hAnsi="宋体" w:cs="宋体" w:eastAsia="宋体" w:hint="default"/>
          <w:b/>
          <w:bCs/>
          <w:spacing w:val="-4"/>
          <w:sz w:val="28"/>
          <w:szCs w:val="28"/>
        </w:rPr>
        <w:t>以上的股东没有违反相关</w:t>
      </w:r>
      <w:r>
        <w:rPr>
          <w:rFonts w:ascii="宋体" w:hAnsi="宋体" w:cs="宋体" w:eastAsia="宋体" w:hint="default"/>
          <w:b/>
          <w:bCs/>
          <w:w w:val="99"/>
          <w:sz w:val="28"/>
          <w:szCs w:val="28"/>
        </w:rPr>
        <w:t> </w:t>
      </w:r>
      <w:r>
        <w:rPr>
          <w:rFonts w:ascii="宋体" w:hAnsi="宋体" w:cs="宋体" w:eastAsia="宋体" w:hint="default"/>
          <w:b/>
          <w:bCs/>
          <w:sz w:val="28"/>
          <w:szCs w:val="28"/>
        </w:rPr>
        <w:t>规定买卖公司股票情形。</w:t>
      </w:r>
      <w:r>
        <w:rPr>
          <w:rFonts w:ascii="宋体" w:hAnsi="宋体" w:cs="宋体" w:eastAsia="宋体" w:hint="default"/>
          <w:sz w:val="28"/>
          <w:szCs w:val="28"/>
        </w:rPr>
      </w:r>
    </w:p>
    <w:p>
      <w:pPr>
        <w:pStyle w:val="Heading3"/>
        <w:spacing w:line="316" w:lineRule="auto" w:before="32"/>
        <w:ind w:left="658" w:right="651" w:firstLine="559"/>
        <w:jc w:val="both"/>
      </w:pPr>
      <w:r>
        <w:rPr>
          <w:rFonts w:ascii="宋体" w:hAnsi="宋体" w:cs="宋体" w:eastAsia="宋体" w:hint="default"/>
          <w:spacing w:val="-2"/>
        </w:rPr>
        <w:t>2010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29</w:t>
      </w:r>
      <w:r>
        <w:rPr>
          <w:spacing w:val="-2"/>
        </w:rPr>
        <w:t>日，公司监事李翀先生卖出公司股票</w:t>
      </w:r>
      <w:r>
        <w:rPr>
          <w:rFonts w:ascii="Times New Roman" w:hAnsi="Times New Roman" w:cs="Times New Roman" w:eastAsia="Times New Roman" w:hint="default"/>
          <w:spacing w:val="-2"/>
        </w:rPr>
        <w:t>1,400</w:t>
      </w:r>
      <w:r>
        <w:rPr>
          <w:spacing w:val="-2"/>
        </w:rPr>
        <w:t>股，涉及</w:t>
      </w:r>
      <w:r>
        <w:rPr>
          <w:w w:val="100"/>
        </w:rPr>
        <w:t> </w:t>
      </w:r>
      <w:r>
        <w:rPr>
          <w:spacing w:val="-2"/>
        </w:rPr>
        <w:t>金额</w:t>
      </w:r>
      <w:r>
        <w:rPr>
          <w:rFonts w:ascii="Times New Roman" w:hAnsi="Times New Roman" w:cs="Times New Roman" w:eastAsia="Times New Roman" w:hint="default"/>
          <w:spacing w:val="-2"/>
        </w:rPr>
        <w:t>76,997</w:t>
      </w:r>
      <w:r>
        <w:rPr>
          <w:spacing w:val="-2"/>
        </w:rPr>
        <w:t>元。此次卖出公司股票处于公司公布</w:t>
      </w:r>
      <w:r>
        <w:rPr>
          <w:rFonts w:ascii="Times New Roman" w:hAnsi="Times New Roman" w:cs="Times New Roman" w:eastAsia="Times New Roman" w:hint="default"/>
          <w:spacing w:val="-2"/>
        </w:rPr>
        <w:t>2010</w:t>
      </w:r>
      <w:r>
        <w:rPr>
          <w:spacing w:val="-2"/>
        </w:rPr>
        <w:t>年第三季度报告</w:t>
      </w:r>
      <w:r>
        <w:rPr>
          <w:spacing w:val="-101"/>
        </w:rPr>
        <w:t> </w:t>
      </w:r>
      <w:r>
        <w:rPr>
          <w:spacing w:val="-101"/>
        </w:rPr>
      </w:r>
      <w:r>
        <w:rPr>
          <w:spacing w:val="-4"/>
        </w:rPr>
        <w:t>前</w:t>
      </w:r>
      <w:r>
        <w:rPr>
          <w:rFonts w:ascii="Times New Roman" w:hAnsi="Times New Roman" w:cs="Times New Roman" w:eastAsia="Times New Roman" w:hint="default"/>
          <w:spacing w:val="-4"/>
        </w:rPr>
        <w:t>30</w:t>
      </w:r>
      <w:r>
        <w:rPr>
          <w:spacing w:val="-4"/>
        </w:rPr>
        <w:t>日的信息敏感期，违反了《上市公司董事、监事和高级管理人员</w:t>
      </w:r>
      <w:r>
        <w:rPr>
          <w:spacing w:val="-110"/>
        </w:rPr>
        <w:t> </w:t>
      </w:r>
      <w:r>
        <w:rPr>
          <w:spacing w:val="-110"/>
        </w:rPr>
      </w:r>
      <w:r>
        <w:rPr>
          <w:spacing w:val="-4"/>
        </w:rPr>
        <w:t>所持本公司股份及其变动管理规则》、《深圳证券交易所上市公司董</w:t>
      </w:r>
      <w:r>
        <w:rPr>
          <w:spacing w:val="-113"/>
        </w:rPr>
        <w:t> </w:t>
      </w:r>
      <w:r>
        <w:rPr>
          <w:spacing w:val="-113"/>
        </w:rPr>
      </w:r>
      <w:r>
        <w:rPr>
          <w:spacing w:val="-4"/>
        </w:rPr>
        <w:t>事、监事和高级管理人员所持本公司股份及其变动管理业务指引》等</w:t>
      </w:r>
      <w:r>
        <w:rPr>
          <w:spacing w:val="-114"/>
        </w:rPr>
        <w:t> </w:t>
      </w:r>
      <w:r>
        <w:rPr>
          <w:spacing w:val="-114"/>
        </w:rPr>
      </w:r>
      <w:r>
        <w:rPr/>
        <w:t>相关规定。</w:t>
      </w:r>
    </w:p>
    <w:p>
      <w:pPr>
        <w:pStyle w:val="Heading2"/>
        <w:spacing w:line="240" w:lineRule="auto" w:before="43"/>
        <w:ind w:left="658" w:right="0"/>
        <w:jc w:val="left"/>
        <w:rPr>
          <w:b w:val="0"/>
          <w:bCs w:val="0"/>
        </w:rPr>
      </w:pPr>
      <w:r>
        <w:rPr/>
        <w:t>十三、报告期内公司相关信息披露情况索引</w:t>
      </w:r>
      <w:r>
        <w:rPr>
          <w:b w:val="0"/>
          <w:bCs w:val="0"/>
        </w:rPr>
      </w:r>
    </w:p>
    <w:p>
      <w:pPr>
        <w:spacing w:line="240" w:lineRule="auto" w:before="9"/>
        <w:rPr>
          <w:rFonts w:ascii="宋体" w:hAnsi="宋体" w:cs="宋体" w:eastAsia="宋体" w:hint="default"/>
          <w:b/>
          <w:bCs/>
          <w:sz w:val="4"/>
          <w:szCs w:val="4"/>
        </w:rPr>
      </w:pPr>
    </w:p>
    <w:tbl>
      <w:tblPr>
        <w:tblW w:w="0" w:type="auto"/>
        <w:jc w:val="left"/>
        <w:tblInd w:w="110" w:type="dxa"/>
        <w:tblLayout w:type="fixed"/>
        <w:tblCellMar>
          <w:top w:w="0" w:type="dxa"/>
          <w:left w:w="0" w:type="dxa"/>
          <w:bottom w:w="0" w:type="dxa"/>
          <w:right w:w="0" w:type="dxa"/>
        </w:tblCellMar>
        <w:tblLook w:val="01E0"/>
      </w:tblPr>
      <w:tblGrid>
        <w:gridCol w:w="711"/>
        <w:gridCol w:w="1277"/>
        <w:gridCol w:w="1294"/>
        <w:gridCol w:w="3848"/>
        <w:gridCol w:w="2269"/>
      </w:tblGrid>
      <w:tr>
        <w:trPr>
          <w:trHeight w:val="26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序号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hAnsi="宋体" w:cs="宋体" w:eastAsia="宋体" w:hint="default"/>
                <w:w w:val="95"/>
                <w:sz w:val="20"/>
                <w:szCs w:val="20"/>
              </w:rPr>
              <w:t>公告时间</w:t>
            </w:r>
            <w:r>
              <w:rPr>
                <w:rFonts w:ascii="宋体" w:hAnsi="宋体" w:cs="宋体" w:eastAsia="宋体" w:hint="default"/>
                <w:sz w:val="20"/>
                <w:szCs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公告编号</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公告内容</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披露报纸</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Arial" w:hAnsi="Arial" w:cs="Arial" w:eastAsia="Arial" w:hint="default"/>
                <w:sz w:val="20"/>
                <w:szCs w:val="20"/>
              </w:rPr>
            </w:pPr>
            <w:r>
              <w:rPr>
                <w:rFonts w:ascii="Arial"/>
                <w:w w:val="99"/>
                <w:sz w:val="20"/>
              </w:rPr>
              <w:t>1</w:t>
            </w:r>
            <w:r>
              <w:rPr>
                <w:rFonts w:ascii="Arial"/>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2010-1-20</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2010-001</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13"/>
                <w:sz w:val="20"/>
                <w:szCs w:val="20"/>
              </w:rPr>
              <w:t> </w:t>
            </w:r>
            <w:r>
              <w:rPr>
                <w:rFonts w:ascii="宋体" w:hAnsi="宋体" w:cs="宋体" w:eastAsia="宋体" w:hint="default"/>
                <w:sz w:val="20"/>
                <w:szCs w:val="20"/>
              </w:rPr>
              <w:t>年第一次临时股东大会决议公告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Arial" w:hAnsi="Arial" w:cs="Arial" w:eastAsia="Arial" w:hint="default"/>
                <w:sz w:val="20"/>
                <w:szCs w:val="20"/>
              </w:rPr>
            </w:pPr>
            <w:r>
              <w:rPr>
                <w:rFonts w:ascii="Arial"/>
                <w:w w:val="99"/>
                <w:sz w:val="20"/>
              </w:rPr>
              <w:t>2</w:t>
            </w:r>
            <w:r>
              <w:rPr>
                <w:rFonts w:ascii="Arial"/>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2010-1-20</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13"/>
                <w:sz w:val="20"/>
                <w:szCs w:val="20"/>
              </w:rPr>
              <w:t> </w:t>
            </w:r>
            <w:r>
              <w:rPr>
                <w:rFonts w:ascii="宋体" w:hAnsi="宋体" w:cs="宋体" w:eastAsia="宋体" w:hint="default"/>
                <w:sz w:val="20"/>
                <w:szCs w:val="20"/>
              </w:rPr>
              <w:t>年第一次临时股东大会法律意见书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Arial" w:hAnsi="Arial" w:cs="Arial" w:eastAsia="Arial" w:hint="default"/>
                <w:sz w:val="20"/>
                <w:szCs w:val="20"/>
              </w:rPr>
            </w:pPr>
            <w:r>
              <w:rPr>
                <w:rFonts w:ascii="Arial"/>
                <w:w w:val="99"/>
                <w:sz w:val="20"/>
              </w:rPr>
              <w:t>3</w:t>
            </w:r>
            <w:r>
              <w:rPr>
                <w:rFonts w:ascii="Arial"/>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2010-2-25</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2010-002</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股票临时停牌公告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Arial" w:hAnsi="Arial" w:cs="Arial" w:eastAsia="Arial" w:hint="default"/>
                <w:sz w:val="20"/>
                <w:szCs w:val="20"/>
              </w:rPr>
            </w:pPr>
            <w:r>
              <w:rPr>
                <w:rFonts w:ascii="Arial"/>
                <w:w w:val="99"/>
                <w:sz w:val="20"/>
              </w:rPr>
              <w:t>4</w:t>
            </w:r>
            <w:r>
              <w:rPr>
                <w:rFonts w:ascii="Arial"/>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2010-003</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11"/>
                <w:sz w:val="20"/>
                <w:szCs w:val="20"/>
              </w:rPr>
              <w:t> </w:t>
            </w:r>
            <w:r>
              <w:rPr>
                <w:rFonts w:ascii="宋体" w:hAnsi="宋体" w:cs="宋体" w:eastAsia="宋体" w:hint="default"/>
                <w:sz w:val="20"/>
                <w:szCs w:val="20"/>
              </w:rPr>
              <w:t>年年度报告摘要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Arial" w:hAnsi="Arial" w:cs="Arial" w:eastAsia="Arial" w:hint="default"/>
                <w:sz w:val="20"/>
                <w:szCs w:val="20"/>
              </w:rPr>
            </w:pPr>
            <w:r>
              <w:rPr>
                <w:rFonts w:ascii="Arial"/>
                <w:w w:val="99"/>
                <w:sz w:val="20"/>
              </w:rPr>
              <w:t>5</w:t>
            </w:r>
            <w:r>
              <w:rPr>
                <w:rFonts w:ascii="Arial"/>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2010-004</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第三届董事会第六次会议决议公告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Arial" w:hAnsi="Arial" w:cs="Arial" w:eastAsia="Arial" w:hint="default"/>
                <w:sz w:val="20"/>
                <w:szCs w:val="20"/>
              </w:rPr>
            </w:pPr>
            <w:r>
              <w:rPr>
                <w:rFonts w:ascii="Arial"/>
                <w:w w:val="99"/>
                <w:sz w:val="20"/>
              </w:rPr>
              <w:t>6</w:t>
            </w:r>
            <w:r>
              <w:rPr>
                <w:rFonts w:ascii="Arial"/>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2010-005</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关于用超募资金归还银行贷款的公告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2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Arial" w:hAnsi="Arial" w:cs="Arial" w:eastAsia="Arial" w:hint="default"/>
                <w:sz w:val="20"/>
                <w:szCs w:val="20"/>
              </w:rPr>
            </w:pPr>
            <w:r>
              <w:rPr>
                <w:rFonts w:ascii="Arial"/>
                <w:w w:val="99"/>
                <w:sz w:val="20"/>
              </w:rPr>
              <w:t>7</w:t>
            </w:r>
            <w:r>
              <w:rPr>
                <w:rFonts w:ascii="Arial"/>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Arial" w:hAnsi="Arial" w:cs="Arial" w:eastAsia="Arial" w:hint="default"/>
                <w:sz w:val="20"/>
                <w:szCs w:val="20"/>
              </w:rPr>
            </w:pPr>
            <w:r>
              <w:rPr>
                <w:rFonts w:ascii="Arial"/>
                <w:sz w:val="20"/>
              </w:rPr>
              <w:t>2010-006</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关于用募集资金置换已预先投入募集资金</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投资项目的自筹资金的公告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Arial" w:hAnsi="Arial" w:cs="Arial" w:eastAsia="Arial" w:hint="default"/>
                <w:sz w:val="20"/>
                <w:szCs w:val="20"/>
              </w:rPr>
            </w:pPr>
            <w:r>
              <w:rPr>
                <w:rFonts w:ascii="Arial"/>
                <w:w w:val="99"/>
                <w:sz w:val="20"/>
              </w:rPr>
              <w:t>8</w:t>
            </w:r>
            <w:r>
              <w:rPr>
                <w:rFonts w:ascii="Arial"/>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2010-007</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4"/>
                <w:sz w:val="20"/>
                <w:szCs w:val="20"/>
              </w:rPr>
              <w:t> </w:t>
            </w:r>
            <w:r>
              <w:rPr>
                <w:rFonts w:ascii="Arial" w:hAnsi="Arial" w:cs="Arial" w:eastAsia="Arial" w:hint="default"/>
                <w:sz w:val="20"/>
                <w:szCs w:val="20"/>
              </w:rPr>
              <w:t>2009</w:t>
            </w:r>
            <w:r>
              <w:rPr>
                <w:rFonts w:ascii="Arial" w:hAnsi="Arial" w:cs="Arial" w:eastAsia="Arial" w:hint="default"/>
                <w:spacing w:val="-10"/>
                <w:sz w:val="20"/>
                <w:szCs w:val="20"/>
              </w:rPr>
              <w:t> </w:t>
            </w:r>
            <w:r>
              <w:rPr>
                <w:rFonts w:ascii="宋体" w:hAnsi="宋体" w:cs="宋体" w:eastAsia="宋体" w:hint="default"/>
                <w:sz w:val="20"/>
                <w:szCs w:val="20"/>
              </w:rPr>
              <w:t>年年度股东大会的通知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Arial" w:hAnsi="Arial" w:cs="Arial" w:eastAsia="Arial" w:hint="default"/>
                <w:sz w:val="20"/>
                <w:szCs w:val="20"/>
              </w:rPr>
            </w:pPr>
            <w:r>
              <w:rPr>
                <w:rFonts w:ascii="Arial"/>
                <w:w w:val="99"/>
                <w:sz w:val="20"/>
              </w:rPr>
              <w:t>9</w:t>
            </w:r>
            <w:r>
              <w:rPr>
                <w:rFonts w:ascii="Arial"/>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2010-008</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第三届监事会第六次会议决议公告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Arial" w:hAnsi="Arial" w:cs="Arial" w:eastAsia="Arial" w:hint="default"/>
                <w:sz w:val="20"/>
                <w:szCs w:val="20"/>
              </w:rPr>
            </w:pPr>
            <w:r>
              <w:rPr>
                <w:rFonts w:ascii="Arial"/>
                <w:sz w:val="20"/>
              </w:rPr>
              <w:t>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Arial" w:hAnsi="Arial" w:cs="Arial" w:eastAsia="Arial" w:hint="default"/>
                <w:sz w:val="20"/>
                <w:szCs w:val="20"/>
              </w:rPr>
            </w:pPr>
            <w:r>
              <w:rPr>
                <w:rFonts w:ascii="Arial"/>
                <w:sz w:val="20"/>
              </w:rPr>
              <w:t>2010-009</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13"/>
                <w:sz w:val="20"/>
                <w:szCs w:val="20"/>
              </w:rPr>
              <w:t> </w:t>
            </w:r>
            <w:r>
              <w:rPr>
                <w:rFonts w:ascii="宋体" w:hAnsi="宋体" w:cs="宋体" w:eastAsia="宋体" w:hint="default"/>
                <w:sz w:val="20"/>
                <w:szCs w:val="20"/>
              </w:rPr>
              <w:t>年度募集资金存放与实际使用情况</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的专项报告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独立董事对相关事项独立意见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11"/>
                <w:sz w:val="20"/>
                <w:szCs w:val="20"/>
              </w:rPr>
              <w:t> </w:t>
            </w:r>
            <w:r>
              <w:rPr>
                <w:rFonts w:ascii="宋体" w:hAnsi="宋体" w:cs="宋体" w:eastAsia="宋体" w:hint="default"/>
                <w:sz w:val="20"/>
                <w:szCs w:val="20"/>
              </w:rPr>
              <w:t>年度独立董事述职报告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13"/>
                <w:sz w:val="20"/>
                <w:szCs w:val="20"/>
              </w:rPr>
              <w:t> </w:t>
            </w:r>
            <w:r>
              <w:rPr>
                <w:rFonts w:ascii="宋体" w:hAnsi="宋体" w:cs="宋体" w:eastAsia="宋体" w:hint="default"/>
                <w:sz w:val="20"/>
                <w:szCs w:val="20"/>
              </w:rPr>
              <w:t>年度内部控制自我评价报告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中德证券有限责任公司关于公司</w:t>
            </w:r>
            <w:r>
              <w:rPr>
                <w:rFonts w:ascii="宋体" w:hAnsi="宋体" w:cs="宋体" w:eastAsia="宋体" w:hint="default"/>
                <w:spacing w:val="-52"/>
                <w:sz w:val="20"/>
                <w:szCs w:val="20"/>
              </w:rPr>
              <w:t> </w:t>
            </w:r>
            <w:r>
              <w:rPr>
                <w:rFonts w:ascii="Arial" w:hAnsi="Arial" w:cs="Arial" w:eastAsia="Arial" w:hint="default"/>
                <w:sz w:val="20"/>
                <w:szCs w:val="20"/>
              </w:rPr>
              <w:t>2009</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bl>
    <w:p>
      <w:pPr>
        <w:spacing w:after="0" w:line="243" w:lineRule="exact"/>
        <w:jc w:val="center"/>
        <w:rPr>
          <w:rFonts w:ascii="宋体" w:hAnsi="宋体" w:cs="宋体" w:eastAsia="宋体" w:hint="default"/>
          <w:sz w:val="21"/>
          <w:szCs w:val="21"/>
        </w:rPr>
        <w:sectPr>
          <w:pgSz w:w="11910" w:h="16840"/>
          <w:pgMar w:header="624" w:footer="1045" w:top="1240" w:bottom="1240" w:left="1140" w:right="1140"/>
        </w:sectPr>
      </w:pPr>
    </w:p>
    <w:p>
      <w:pPr>
        <w:spacing w:line="240" w:lineRule="auto" w:before="0"/>
        <w:rPr>
          <w:rFonts w:ascii="Times New Roman" w:hAnsi="Times New Roman" w:cs="Times New Roman" w:eastAsia="Times New Roman"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711"/>
        <w:gridCol w:w="1277"/>
        <w:gridCol w:w="1294"/>
        <w:gridCol w:w="3848"/>
        <w:gridCol w:w="2269"/>
      </w:tblGrid>
      <w:tr>
        <w:trPr>
          <w:trHeight w:val="281" w:hRule="exact"/>
        </w:trPr>
        <w:tc>
          <w:tcPr>
            <w:tcW w:w="711"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294" w:type="dxa"/>
            <w:tcBorders>
              <w:top w:val="single" w:sz="10" w:space="0" w:color="000000"/>
              <w:left w:val="single" w:sz="4" w:space="0" w:color="000000"/>
              <w:bottom w:val="single" w:sz="4" w:space="0" w:color="000000"/>
              <w:right w:val="single" w:sz="4" w:space="0" w:color="000000"/>
            </w:tcBorders>
          </w:tcPr>
          <w:p>
            <w:pPr/>
          </w:p>
        </w:tc>
        <w:tc>
          <w:tcPr>
            <w:tcW w:w="3848" w:type="dxa"/>
            <w:tcBorders>
              <w:top w:val="single" w:sz="10"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度募集资金使用情况的专项核查意见</w:t>
            </w:r>
          </w:p>
        </w:tc>
        <w:tc>
          <w:tcPr>
            <w:tcW w:w="2269" w:type="dxa"/>
            <w:tcBorders>
              <w:top w:val="single" w:sz="10" w:space="0" w:color="000000"/>
              <w:left w:val="single" w:sz="4" w:space="0" w:color="000000"/>
              <w:bottom w:val="single" w:sz="4" w:space="0" w:color="000000"/>
              <w:right w:val="single" w:sz="4" w:space="0" w:color="000000"/>
            </w:tcBorders>
          </w:tcPr>
          <w:p>
            <w:pP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审计委员会年报工作规程（</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Arial" w:hAnsi="Arial" w:cs="Arial" w:eastAsia="Arial" w:hint="default"/>
                <w:sz w:val="20"/>
                <w:szCs w:val="20"/>
              </w:rPr>
              <w:t>2</w:t>
            </w:r>
            <w:r>
              <w:rPr>
                <w:rFonts w:ascii="Arial" w:hAnsi="Arial" w:cs="Arial" w:eastAsia="Arial" w:hint="default"/>
                <w:spacing w:val="-8"/>
                <w:sz w:val="20"/>
                <w:szCs w:val="20"/>
              </w:rPr>
              <w:t> </w:t>
            </w: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z w:val="20"/>
                <w:szCs w:val="20"/>
              </w:rPr>
              <w:t>募集资金管理制度（</w: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Arial" w:hAnsi="Arial" w:cs="Arial" w:eastAsia="Arial" w:hint="default"/>
                <w:sz w:val="20"/>
                <w:szCs w:val="20"/>
              </w:rPr>
              <w:t>2</w:t>
            </w:r>
            <w:r>
              <w:rPr>
                <w:rFonts w:ascii="Arial" w:hAnsi="Arial" w:cs="Arial" w:eastAsia="Arial" w:hint="default"/>
                <w:spacing w:val="-9"/>
                <w:sz w:val="20"/>
                <w:szCs w:val="20"/>
              </w:rPr>
              <w:t> </w:t>
            </w: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内部审计制度（</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8" w:right="0"/>
              <w:jc w:val="left"/>
              <w:rPr>
                <w:rFonts w:ascii="Arial" w:hAnsi="Arial" w:cs="Arial" w:eastAsia="Arial" w:hint="default"/>
                <w:sz w:val="20"/>
                <w:szCs w:val="20"/>
              </w:rPr>
            </w:pPr>
            <w:r>
              <w:rPr>
                <w:rFonts w:ascii="Arial"/>
                <w:sz w:val="20"/>
              </w:rPr>
              <w:t>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中德证券有限责任公司关于公司《</w:t>
            </w:r>
            <w:r>
              <w:rPr>
                <w:rFonts w:ascii="Arial" w:hAnsi="Arial" w:cs="Arial" w:eastAsia="Arial" w:hint="default"/>
                <w:spacing w:val="-3"/>
                <w:sz w:val="20"/>
                <w:szCs w:val="20"/>
              </w:rPr>
              <w:t>2009</w:t>
            </w:r>
            <w:r>
              <w:rPr>
                <w:rFonts w:ascii="Arial" w:hAnsi="Arial" w:cs="Arial" w:eastAsia="Arial" w:hint="default"/>
                <w:spacing w:val="-17"/>
                <w:sz w:val="20"/>
                <w:szCs w:val="20"/>
              </w:rPr>
              <w:t> </w:t>
            </w:r>
            <w:r>
              <w:rPr>
                <w:rFonts w:ascii="宋体" w:hAnsi="宋体" w:cs="宋体" w:eastAsia="宋体" w:hint="default"/>
                <w:sz w:val="20"/>
                <w:szCs w:val="20"/>
              </w:rPr>
              <w:t>年</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度内部控制自我评价报告》的核查意见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Arial" w:hAnsi="Arial" w:cs="Arial" w:eastAsia="Arial" w:hint="default"/>
                <w:sz w:val="20"/>
                <w:szCs w:val="20"/>
              </w:rPr>
            </w:pPr>
            <w:r>
              <w:rPr>
                <w:rFonts w:ascii="Arial"/>
                <w:sz w:val="20"/>
              </w:rPr>
              <w:t>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关于公司控股股东及其他关联方资金占用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情况的专项说明</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公司章程修订对照表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公司章程（</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2</w:t>
            </w:r>
            <w:r>
              <w:rPr>
                <w:rFonts w:ascii="Arial" w:hAnsi="Arial" w:cs="Arial" w:eastAsia="Arial" w:hint="default"/>
                <w:spacing w:val="-6"/>
                <w:sz w:val="20"/>
                <w:szCs w:val="20"/>
              </w:rPr>
              <w:t> </w:t>
            </w: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8" w:right="0"/>
              <w:jc w:val="left"/>
              <w:rPr>
                <w:rFonts w:ascii="Arial" w:hAnsi="Arial" w:cs="Arial" w:eastAsia="Arial" w:hint="default"/>
                <w:sz w:val="20"/>
                <w:szCs w:val="20"/>
              </w:rPr>
            </w:pPr>
            <w:r>
              <w:rPr>
                <w:rFonts w:ascii="Arial"/>
                <w:sz w:val="20"/>
              </w:rPr>
              <w:t>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中德证券有限责任公司关于公司用超募资</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金归还银行贷款的核查意见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787"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8" w:right="0"/>
              <w:jc w:val="left"/>
              <w:rPr>
                <w:rFonts w:ascii="Arial" w:hAnsi="Arial" w:cs="Arial" w:eastAsia="Arial" w:hint="default"/>
                <w:sz w:val="20"/>
                <w:szCs w:val="20"/>
              </w:rPr>
            </w:pPr>
            <w:r>
              <w:rPr>
                <w:rFonts w:ascii="Arial"/>
                <w:sz w:val="20"/>
              </w:rPr>
              <w:t>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中德证券有限责任公司关于公司用募集资</w:t>
            </w:r>
          </w:p>
          <w:p>
            <w:pPr>
              <w:pStyle w:val="TableParagraph"/>
              <w:spacing w:line="260" w:lineRule="exact" w:before="24"/>
              <w:ind w:left="103" w:right="136"/>
              <w:jc w:val="left"/>
              <w:rPr>
                <w:rFonts w:ascii="宋体" w:hAnsi="宋体" w:cs="宋体" w:eastAsia="宋体" w:hint="default"/>
                <w:sz w:val="20"/>
                <w:szCs w:val="20"/>
              </w:rPr>
            </w:pPr>
            <w:r>
              <w:rPr>
                <w:rFonts w:ascii="宋体" w:hAnsi="宋体" w:cs="宋体" w:eastAsia="宋体" w:hint="default"/>
                <w:sz w:val="20"/>
                <w:szCs w:val="20"/>
              </w:rPr>
              <w:t>金置换已预先投入募集资金投资项目的自</w:t>
            </w:r>
            <w:r>
              <w:rPr>
                <w:rFonts w:ascii="宋体" w:hAnsi="宋体" w:cs="宋体" w:eastAsia="宋体" w:hint="default"/>
                <w:w w:val="99"/>
                <w:sz w:val="20"/>
                <w:szCs w:val="20"/>
              </w:rPr>
              <w:t> </w:t>
            </w:r>
            <w:r>
              <w:rPr>
                <w:rFonts w:ascii="宋体" w:hAnsi="宋体" w:cs="宋体" w:eastAsia="宋体" w:hint="default"/>
                <w:sz w:val="20"/>
                <w:szCs w:val="20"/>
              </w:rPr>
              <w:t>筹资金的核查意见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11"/>
                <w:sz w:val="20"/>
                <w:szCs w:val="20"/>
              </w:rPr>
              <w:t> </w:t>
            </w:r>
            <w:r>
              <w:rPr>
                <w:rFonts w:ascii="宋体" w:hAnsi="宋体" w:cs="宋体" w:eastAsia="宋体" w:hint="default"/>
                <w:sz w:val="20"/>
                <w:szCs w:val="20"/>
              </w:rPr>
              <w:t>年年度报告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募集资金存放与实际使用情况的鉴证报告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2010-2-26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11"/>
                <w:sz w:val="20"/>
                <w:szCs w:val="20"/>
              </w:rPr>
              <w:t> </w:t>
            </w:r>
            <w:r>
              <w:rPr>
                <w:rFonts w:ascii="宋体" w:hAnsi="宋体" w:cs="宋体" w:eastAsia="宋体" w:hint="default"/>
                <w:sz w:val="20"/>
                <w:szCs w:val="20"/>
              </w:rPr>
              <w:t>年年度审计报告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Arial" w:hAnsi="Arial" w:cs="Arial" w:eastAsia="Arial" w:hint="default"/>
                <w:sz w:val="20"/>
                <w:szCs w:val="20"/>
              </w:rPr>
            </w:pPr>
            <w:r>
              <w:rPr>
                <w:rFonts w:ascii="Arial"/>
                <w:sz w:val="20"/>
              </w:rPr>
              <w:t>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w:hAnsi="Arial" w:cs="Arial" w:eastAsia="Arial" w:hint="default"/>
                <w:sz w:val="20"/>
                <w:szCs w:val="20"/>
              </w:rPr>
            </w:pPr>
            <w:r>
              <w:rPr>
                <w:rFonts w:ascii="Arial"/>
                <w:spacing w:val="-1"/>
                <w:sz w:val="20"/>
              </w:rPr>
              <w:t>2010-3-4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Arial" w:hAnsi="Arial" w:cs="Arial" w:eastAsia="Arial" w:hint="default"/>
                <w:sz w:val="20"/>
                <w:szCs w:val="20"/>
              </w:rPr>
            </w:pPr>
            <w:r>
              <w:rPr>
                <w:rFonts w:ascii="Arial"/>
                <w:sz w:val="20"/>
              </w:rPr>
              <w:t>2010-010</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关于举行</w:t>
            </w:r>
            <w:r>
              <w:rPr>
                <w:rFonts w:ascii="宋体" w:hAnsi="宋体" w:cs="宋体" w:eastAsia="宋体" w:hint="default"/>
                <w:spacing w:val="-53"/>
                <w:sz w:val="20"/>
                <w:szCs w:val="20"/>
              </w:rPr>
              <w:t> </w:t>
            </w:r>
            <w:r>
              <w:rPr>
                <w:rFonts w:ascii="Arial" w:hAnsi="Arial" w:cs="Arial" w:eastAsia="Arial" w:hint="default"/>
                <w:sz w:val="20"/>
                <w:szCs w:val="20"/>
              </w:rPr>
              <w:t>2009</w:t>
            </w:r>
            <w:r>
              <w:rPr>
                <w:rFonts w:ascii="Arial" w:hAnsi="Arial" w:cs="Arial" w:eastAsia="Arial" w:hint="default"/>
                <w:spacing w:val="-9"/>
                <w:sz w:val="20"/>
                <w:szCs w:val="20"/>
              </w:rPr>
              <w:t> </w:t>
            </w:r>
            <w:r>
              <w:rPr>
                <w:rFonts w:ascii="宋体" w:hAnsi="宋体" w:cs="宋体" w:eastAsia="宋体" w:hint="default"/>
                <w:sz w:val="20"/>
                <w:szCs w:val="20"/>
              </w:rPr>
              <w:t>年年度报告网上说明会的</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2010-3-20</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2010-011</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2"/>
                <w:sz w:val="20"/>
                <w:szCs w:val="20"/>
              </w:rPr>
              <w:t> </w:t>
            </w:r>
            <w:r>
              <w:rPr>
                <w:rFonts w:ascii="宋体" w:hAnsi="宋体" w:cs="宋体" w:eastAsia="宋体" w:hint="default"/>
                <w:sz w:val="20"/>
                <w:szCs w:val="20"/>
              </w:rPr>
              <w:t>年年度股东大会决议公告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2010-3-20</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13"/>
                <w:sz w:val="20"/>
                <w:szCs w:val="20"/>
              </w:rPr>
              <w:t> </w:t>
            </w:r>
            <w:r>
              <w:rPr>
                <w:rFonts w:ascii="宋体" w:hAnsi="宋体" w:cs="宋体" w:eastAsia="宋体" w:hint="default"/>
                <w:sz w:val="20"/>
                <w:szCs w:val="20"/>
              </w:rPr>
              <w:t>年年度股东大会法律意见书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2010-3-25</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2010-012</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11"/>
                <w:sz w:val="20"/>
                <w:szCs w:val="20"/>
              </w:rPr>
              <w:t> </w:t>
            </w:r>
            <w:r>
              <w:rPr>
                <w:rFonts w:ascii="宋体" w:hAnsi="宋体" w:cs="宋体" w:eastAsia="宋体" w:hint="default"/>
                <w:sz w:val="20"/>
                <w:szCs w:val="20"/>
              </w:rPr>
              <w:t>年度权益派发实施公告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2010-4-2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2010-013</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2"/>
                <w:sz w:val="20"/>
                <w:szCs w:val="20"/>
              </w:rPr>
              <w:t> </w:t>
            </w:r>
            <w:r>
              <w:rPr>
                <w:rFonts w:ascii="宋体" w:hAnsi="宋体" w:cs="宋体" w:eastAsia="宋体" w:hint="default"/>
                <w:sz w:val="20"/>
                <w:szCs w:val="20"/>
              </w:rPr>
              <w:t>年第一季度业绩预亏公告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2010-4-26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2010-014</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第三届董事会第七次会议公告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2010-4-26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2010-015</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1"/>
                <w:sz w:val="20"/>
                <w:szCs w:val="20"/>
              </w:rPr>
              <w:t> </w:t>
            </w:r>
            <w:r>
              <w:rPr>
                <w:rFonts w:ascii="宋体" w:hAnsi="宋体" w:cs="宋体" w:eastAsia="宋体" w:hint="default"/>
                <w:sz w:val="20"/>
                <w:szCs w:val="20"/>
              </w:rPr>
              <w:t>年度第一季度报告正文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2010-4-26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1"/>
                <w:sz w:val="20"/>
                <w:szCs w:val="20"/>
              </w:rPr>
              <w:t> </w:t>
            </w:r>
            <w:r>
              <w:rPr>
                <w:rFonts w:ascii="宋体" w:hAnsi="宋体" w:cs="宋体" w:eastAsia="宋体" w:hint="default"/>
                <w:sz w:val="20"/>
                <w:szCs w:val="20"/>
              </w:rPr>
              <w:t>年度第一季度报告全文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Arial" w:hAnsi="Arial" w:cs="Arial" w:eastAsia="Arial" w:hint="default"/>
                <w:sz w:val="20"/>
                <w:szCs w:val="20"/>
              </w:rPr>
            </w:pPr>
            <w:r>
              <w:rPr>
                <w:rFonts w:ascii="Arial"/>
                <w:sz w:val="20"/>
              </w:rPr>
              <w:t>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w:hAnsi="Arial" w:cs="Arial" w:eastAsia="Arial" w:hint="default"/>
                <w:sz w:val="20"/>
                <w:szCs w:val="20"/>
              </w:rPr>
            </w:pPr>
            <w:r>
              <w:rPr>
                <w:rFonts w:ascii="Arial"/>
                <w:spacing w:val="-1"/>
                <w:sz w:val="20"/>
              </w:rPr>
              <w:t>2010-4-26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年报信息披露重大差错责任追究制度</w:t>
            </w:r>
          </w:p>
          <w:p>
            <w:pPr>
              <w:pStyle w:val="TableParagraph"/>
              <w:spacing w:line="275"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2010</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Arial" w:hAnsi="Arial" w:cs="Arial" w:eastAsia="Arial" w:hint="default"/>
                <w:sz w:val="20"/>
                <w:szCs w:val="20"/>
              </w:rPr>
            </w:pPr>
            <w:r>
              <w:rPr>
                <w:rFonts w:ascii="Arial"/>
                <w:sz w:val="20"/>
              </w:rPr>
              <w:t>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w:hAnsi="Arial" w:cs="Arial" w:eastAsia="Arial" w:hint="default"/>
                <w:sz w:val="20"/>
                <w:szCs w:val="20"/>
              </w:rPr>
            </w:pPr>
            <w:r>
              <w:rPr>
                <w:rFonts w:ascii="Arial"/>
                <w:spacing w:val="-1"/>
                <w:sz w:val="20"/>
              </w:rPr>
              <w:t>2010-4-26</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Arial" w:hAnsi="Arial" w:cs="Arial" w:eastAsia="Arial" w:hint="default"/>
                <w:sz w:val="20"/>
                <w:szCs w:val="20"/>
              </w:rPr>
            </w:pPr>
            <w:r>
              <w:rPr>
                <w:rFonts w:ascii="宋体" w:hAnsi="宋体" w:cs="宋体" w:eastAsia="宋体" w:hint="default"/>
                <w:sz w:val="20"/>
                <w:szCs w:val="20"/>
              </w:rPr>
              <w:t>外部信息报送和使用管理制度（</w:t>
            </w:r>
            <w:r>
              <w:rPr>
                <w:rFonts w:ascii="Arial" w:hAnsi="Arial" w:cs="Arial" w:eastAsia="Arial" w:hint="default"/>
                <w:sz w:val="20"/>
                <w:szCs w:val="20"/>
              </w:rPr>
              <w:t>2010 </w:t>
            </w:r>
            <w:r>
              <w:rPr>
                <w:rFonts w:ascii="宋体" w:hAnsi="宋体" w:cs="宋体" w:eastAsia="宋体" w:hint="default"/>
                <w:sz w:val="20"/>
                <w:szCs w:val="20"/>
              </w:rPr>
              <w:t>年</w:t>
            </w:r>
            <w:r>
              <w:rPr>
                <w:rFonts w:ascii="宋体" w:hAnsi="宋体" w:cs="宋体" w:eastAsia="宋体" w:hint="default"/>
                <w:spacing w:val="-86"/>
                <w:sz w:val="20"/>
                <w:szCs w:val="20"/>
              </w:rPr>
              <w:t> </w:t>
            </w:r>
            <w:r>
              <w:rPr>
                <w:rFonts w:ascii="Arial" w:hAnsi="Arial" w:cs="Arial" w:eastAsia="Arial" w:hint="default"/>
                <w:sz w:val="20"/>
                <w:szCs w:val="20"/>
              </w:rPr>
              <w:t>4</w:t>
            </w:r>
          </w:p>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2010-6-18</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2010-016</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第三届董事会第八次会议决议公告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2010-6-18</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2010-017</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第三届监事会第八次会议决议公告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Arial" w:hAnsi="Arial" w:cs="Arial" w:eastAsia="Arial" w:hint="default"/>
                <w:sz w:val="20"/>
                <w:szCs w:val="20"/>
              </w:rPr>
            </w:pPr>
            <w:r>
              <w:rPr>
                <w:rFonts w:ascii="Arial"/>
                <w:sz w:val="20"/>
              </w:rPr>
              <w:t>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w:hAnsi="Arial" w:cs="Arial" w:eastAsia="Arial" w:hint="default"/>
                <w:sz w:val="20"/>
                <w:szCs w:val="20"/>
              </w:rPr>
            </w:pPr>
            <w:r>
              <w:rPr>
                <w:rFonts w:ascii="Arial"/>
                <w:spacing w:val="-1"/>
                <w:sz w:val="20"/>
              </w:rPr>
              <w:t>2010-6-18</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Arial" w:hAnsi="Arial" w:cs="Arial" w:eastAsia="Arial" w:hint="default"/>
                <w:sz w:val="20"/>
                <w:szCs w:val="20"/>
              </w:rPr>
            </w:pPr>
            <w:r>
              <w:rPr>
                <w:rFonts w:ascii="Arial"/>
                <w:sz w:val="20"/>
              </w:rPr>
              <w:t>2010-018</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关于使用部分超募资金补充流动资金的公</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告</w:t>
            </w:r>
            <w:r>
              <w:rPr>
                <w:rFonts w:ascii="宋体" w:hAnsi="宋体" w:cs="宋体" w:eastAsia="宋体" w:hint="default"/>
                <w:sz w:val="20"/>
                <w:szCs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Arial" w:hAnsi="Arial" w:cs="Arial" w:eastAsia="Arial" w:hint="default"/>
                <w:sz w:val="20"/>
                <w:szCs w:val="20"/>
              </w:rPr>
            </w:pPr>
            <w:r>
              <w:rPr>
                <w:rFonts w:ascii="Arial"/>
                <w:sz w:val="20"/>
              </w:rPr>
              <w:t>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w:hAnsi="Arial" w:cs="Arial" w:eastAsia="Arial" w:hint="default"/>
                <w:sz w:val="20"/>
                <w:szCs w:val="20"/>
              </w:rPr>
            </w:pPr>
            <w:r>
              <w:rPr>
                <w:rFonts w:ascii="Arial"/>
                <w:spacing w:val="-1"/>
                <w:sz w:val="20"/>
              </w:rPr>
              <w:t>2010-6-18</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独立董事对公司使用部分超募资金补充流</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动资金的独立意见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8" w:right="0"/>
              <w:jc w:val="left"/>
              <w:rPr>
                <w:rFonts w:ascii="Arial" w:hAnsi="Arial" w:cs="Arial" w:eastAsia="Arial" w:hint="default"/>
                <w:sz w:val="20"/>
                <w:szCs w:val="20"/>
              </w:rPr>
            </w:pPr>
            <w:r>
              <w:rPr>
                <w:rFonts w:ascii="Arial"/>
                <w:sz w:val="20"/>
              </w:rPr>
              <w:t>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Arial" w:hAnsi="Arial" w:cs="Arial" w:eastAsia="Arial" w:hint="default"/>
                <w:sz w:val="20"/>
                <w:szCs w:val="20"/>
              </w:rPr>
            </w:pPr>
            <w:r>
              <w:rPr>
                <w:rFonts w:ascii="Arial"/>
                <w:spacing w:val="-1"/>
                <w:sz w:val="20"/>
              </w:rPr>
              <w:t>2010-6-18</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关于公司使用部分超募资金补充流动资金</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的保荐意见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Arial" w:hAnsi="Arial" w:cs="Arial" w:eastAsia="Arial" w:hint="default"/>
                <w:sz w:val="20"/>
                <w:szCs w:val="20"/>
              </w:rPr>
            </w:pPr>
            <w:r>
              <w:rPr>
                <w:rFonts w:ascii="Arial"/>
                <w:sz w:val="20"/>
              </w:rPr>
              <w:t>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w:hAnsi="Arial" w:cs="Arial" w:eastAsia="Arial" w:hint="default"/>
                <w:sz w:val="20"/>
                <w:szCs w:val="20"/>
              </w:rPr>
            </w:pPr>
            <w:r>
              <w:rPr>
                <w:rFonts w:ascii="Arial"/>
                <w:spacing w:val="-1"/>
                <w:sz w:val="20"/>
              </w:rPr>
              <w:t>2010-6-18</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董事、监事和高级管理人员所持公司股份</w:t>
            </w:r>
          </w:p>
          <w:p>
            <w:pPr>
              <w:pStyle w:val="TableParagraph"/>
              <w:spacing w:line="275" w:lineRule="exact"/>
              <w:ind w:left="103" w:right="0"/>
              <w:jc w:val="left"/>
              <w:rPr>
                <w:rFonts w:ascii="宋体" w:hAnsi="宋体" w:cs="宋体" w:eastAsia="宋体" w:hint="default"/>
                <w:sz w:val="20"/>
                <w:szCs w:val="20"/>
              </w:rPr>
            </w:pPr>
            <w:r>
              <w:rPr>
                <w:rFonts w:ascii="宋体" w:hAnsi="宋体" w:cs="宋体" w:eastAsia="宋体" w:hint="default"/>
                <w:sz w:val="20"/>
                <w:szCs w:val="20"/>
              </w:rPr>
              <w:t>及其变动管理制度（</w:t>
            </w: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Arial" w:hAnsi="Arial" w:cs="Arial" w:eastAsia="Arial" w:hint="default"/>
                <w:sz w:val="20"/>
                <w:szCs w:val="20"/>
              </w:rPr>
              <w:t>6</w:t>
            </w:r>
            <w:r>
              <w:rPr>
                <w:rFonts w:ascii="Arial" w:hAnsi="Arial" w:cs="Arial" w:eastAsia="Arial" w:hint="default"/>
                <w:spacing w:val="-9"/>
                <w:sz w:val="20"/>
                <w:szCs w:val="20"/>
              </w:rPr>
              <w:t> </w:t>
            </w: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Arial" w:hAnsi="Arial" w:cs="Arial" w:eastAsia="Arial" w:hint="default"/>
                <w:sz w:val="20"/>
                <w:szCs w:val="20"/>
              </w:rPr>
            </w:pPr>
            <w:r>
              <w:rPr>
                <w:rFonts w:ascii="Arial"/>
                <w:sz w:val="20"/>
              </w:rPr>
              <w:t>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w:hAnsi="Arial" w:cs="Arial" w:eastAsia="Arial" w:hint="default"/>
                <w:sz w:val="20"/>
                <w:szCs w:val="20"/>
              </w:rPr>
            </w:pPr>
            <w:r>
              <w:rPr>
                <w:rFonts w:ascii="Arial"/>
                <w:spacing w:val="-1"/>
                <w:sz w:val="20"/>
              </w:rPr>
              <w:t>2010-6-18</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Arial" w:hAnsi="Arial" w:cs="Arial" w:eastAsia="Arial" w:hint="default"/>
                <w:sz w:val="20"/>
                <w:szCs w:val="20"/>
              </w:rPr>
            </w:pPr>
            <w:r>
              <w:rPr>
                <w:rFonts w:ascii="宋体" w:hAnsi="宋体" w:cs="宋体" w:eastAsia="宋体" w:hint="default"/>
                <w:sz w:val="20"/>
                <w:szCs w:val="20"/>
              </w:rPr>
              <w:t>董事会薪酬和考核委员会议事规则（</w:t>
            </w:r>
            <w:r>
              <w:rPr>
                <w:rFonts w:ascii="Arial" w:hAnsi="Arial" w:cs="Arial" w:eastAsia="Arial" w:hint="default"/>
                <w:sz w:val="20"/>
                <w:szCs w:val="20"/>
              </w:rPr>
              <w:t>2010</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6</w:t>
            </w:r>
            <w:r>
              <w:rPr>
                <w:rFonts w:ascii="Arial" w:hAnsi="Arial" w:cs="Arial" w:eastAsia="Arial" w:hint="default"/>
                <w:spacing w:val="-8"/>
                <w:sz w:val="20"/>
                <w:szCs w:val="20"/>
              </w:rPr>
              <w:t> </w:t>
            </w: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2010-6-18</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董事会秘书工作细则（</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6</w:t>
            </w:r>
            <w:r>
              <w:rPr>
                <w:rFonts w:ascii="Arial" w:hAnsi="Arial" w:cs="Arial" w:eastAsia="Arial" w:hint="default"/>
                <w:spacing w:val="-8"/>
                <w:sz w:val="20"/>
                <w:szCs w:val="20"/>
              </w:rPr>
              <w:t> </w:t>
            </w: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Arial" w:hAnsi="Arial" w:cs="Arial" w:eastAsia="Arial" w:hint="default"/>
                <w:sz w:val="20"/>
                <w:szCs w:val="20"/>
              </w:rPr>
            </w:pPr>
            <w:r>
              <w:rPr>
                <w:rFonts w:ascii="Arial"/>
                <w:sz w:val="20"/>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w:hAnsi="Arial" w:cs="Arial" w:eastAsia="Arial" w:hint="default"/>
                <w:sz w:val="20"/>
                <w:szCs w:val="20"/>
              </w:rPr>
            </w:pPr>
            <w:r>
              <w:rPr>
                <w:rFonts w:ascii="Arial"/>
                <w:spacing w:val="-1"/>
                <w:sz w:val="20"/>
              </w:rPr>
              <w:t>2010-6-18</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Arial" w:hAnsi="Arial" w:cs="Arial" w:eastAsia="Arial" w:hint="default"/>
                <w:sz w:val="20"/>
                <w:szCs w:val="20"/>
              </w:rPr>
            </w:pPr>
            <w:r>
              <w:rPr>
                <w:rFonts w:ascii="宋体" w:hAnsi="宋体" w:cs="宋体" w:eastAsia="宋体" w:hint="default"/>
                <w:sz w:val="20"/>
                <w:szCs w:val="20"/>
              </w:rPr>
              <w:t>董事会战略委员会议事规则（</w:t>
            </w:r>
            <w:r>
              <w:rPr>
                <w:rFonts w:ascii="Arial" w:hAnsi="Arial" w:cs="Arial" w:eastAsia="Arial" w:hint="default"/>
                <w:sz w:val="20"/>
                <w:szCs w:val="20"/>
              </w:rPr>
              <w:t>2010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Arial" w:hAnsi="Arial" w:cs="Arial" w:eastAsia="Arial" w:hint="default"/>
                <w:sz w:val="20"/>
                <w:szCs w:val="20"/>
              </w:rPr>
              <w:t>6</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2010-6-18</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投资者关系管理制度（</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6</w:t>
            </w:r>
            <w:r>
              <w:rPr>
                <w:rFonts w:ascii="Arial" w:hAnsi="Arial" w:cs="Arial" w:eastAsia="Arial" w:hint="default"/>
                <w:spacing w:val="-8"/>
                <w:sz w:val="20"/>
                <w:szCs w:val="20"/>
              </w:rPr>
              <w:t> </w:t>
            </w: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2010-6-18</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总经理工作细则（</w:t>
            </w:r>
            <w:r>
              <w:rPr>
                <w:rFonts w:ascii="Arial" w:hAnsi="Arial" w:cs="Arial" w:eastAsia="Arial" w:hint="default"/>
                <w:sz w:val="20"/>
                <w:szCs w:val="20"/>
              </w:rPr>
              <w:t>2010</w:t>
            </w:r>
            <w:r>
              <w:rPr>
                <w:rFonts w:ascii="Arial" w:hAnsi="Arial" w:cs="Arial" w:eastAsia="Arial"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6</w:t>
            </w:r>
            <w:r>
              <w:rPr>
                <w:rFonts w:ascii="Arial" w:hAnsi="Arial" w:cs="Arial" w:eastAsia="Arial" w:hint="default"/>
                <w:spacing w:val="-9"/>
                <w:sz w:val="20"/>
                <w:szCs w:val="20"/>
              </w:rPr>
              <w:t> </w:t>
            </w: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8" w:right="0"/>
              <w:jc w:val="left"/>
              <w:rPr>
                <w:rFonts w:ascii="Arial" w:hAnsi="Arial" w:cs="Arial" w:eastAsia="Arial" w:hint="default"/>
                <w:sz w:val="20"/>
                <w:szCs w:val="20"/>
              </w:rPr>
            </w:pPr>
            <w:r>
              <w:rPr>
                <w:rFonts w:ascii="Arial"/>
                <w:sz w:val="20"/>
              </w:rPr>
              <w:t>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Arial" w:hAnsi="Arial" w:cs="Arial" w:eastAsia="Arial" w:hint="default"/>
                <w:sz w:val="20"/>
                <w:szCs w:val="20"/>
              </w:rPr>
            </w:pPr>
            <w:r>
              <w:rPr>
                <w:rFonts w:ascii="Arial"/>
                <w:spacing w:val="-1"/>
                <w:sz w:val="20"/>
              </w:rPr>
              <w:t>2010-6-18</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Arial" w:hAnsi="Arial" w:cs="Arial" w:eastAsia="Arial" w:hint="default"/>
                <w:sz w:val="20"/>
                <w:szCs w:val="20"/>
              </w:rPr>
            </w:pPr>
            <w:r>
              <w:rPr>
                <w:rFonts w:ascii="宋体" w:hAnsi="宋体" w:cs="宋体" w:eastAsia="宋体" w:hint="default"/>
                <w:sz w:val="20"/>
                <w:szCs w:val="20"/>
              </w:rPr>
              <w:t>董事会提名委员会议事规则（</w:t>
            </w:r>
            <w:r>
              <w:rPr>
                <w:rFonts w:ascii="Arial" w:hAnsi="Arial" w:cs="Arial" w:eastAsia="Arial" w:hint="default"/>
                <w:sz w:val="20"/>
                <w:szCs w:val="20"/>
              </w:rPr>
              <w:t>2010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Arial" w:hAnsi="Arial" w:cs="Arial" w:eastAsia="Arial" w:hint="default"/>
                <w:sz w:val="20"/>
                <w:szCs w:val="20"/>
              </w:rPr>
              <w:t>6</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Arial" w:hAnsi="Arial" w:cs="Arial" w:eastAsia="Arial" w:hint="default"/>
                <w:sz w:val="20"/>
                <w:szCs w:val="20"/>
              </w:rPr>
            </w:pPr>
            <w:r>
              <w:rPr>
                <w:rFonts w:ascii="Arial"/>
                <w:sz w:val="20"/>
              </w:rPr>
              <w:t>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w:hAnsi="Arial" w:cs="Arial" w:eastAsia="Arial" w:hint="default"/>
                <w:sz w:val="20"/>
                <w:szCs w:val="20"/>
              </w:rPr>
            </w:pPr>
            <w:r>
              <w:rPr>
                <w:rFonts w:ascii="Arial"/>
                <w:spacing w:val="-1"/>
                <w:sz w:val="20"/>
              </w:rPr>
              <w:t>2010-6-18</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Arial" w:hAnsi="Arial" w:cs="Arial" w:eastAsia="Arial" w:hint="default"/>
                <w:sz w:val="20"/>
                <w:szCs w:val="20"/>
              </w:rPr>
            </w:pPr>
            <w:r>
              <w:rPr>
                <w:rFonts w:ascii="宋体" w:hAnsi="宋体" w:cs="宋体" w:eastAsia="宋体" w:hint="default"/>
                <w:sz w:val="20"/>
                <w:szCs w:val="20"/>
              </w:rPr>
              <w:t>董事会审计委员会议事规则（</w:t>
            </w:r>
            <w:r>
              <w:rPr>
                <w:rFonts w:ascii="Arial" w:hAnsi="Arial" w:cs="Arial" w:eastAsia="Arial" w:hint="default"/>
                <w:sz w:val="20"/>
                <w:szCs w:val="20"/>
              </w:rPr>
              <w:t>2010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Arial" w:hAnsi="Arial" w:cs="Arial" w:eastAsia="Arial" w:hint="default"/>
                <w:sz w:val="20"/>
                <w:szCs w:val="20"/>
              </w:rPr>
              <w:t>6</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bl>
    <w:p>
      <w:pPr>
        <w:spacing w:after="0" w:line="241" w:lineRule="exact"/>
        <w:jc w:val="center"/>
        <w:rPr>
          <w:rFonts w:ascii="宋体" w:hAnsi="宋体" w:cs="宋体" w:eastAsia="宋体" w:hint="default"/>
          <w:sz w:val="21"/>
          <w:szCs w:val="21"/>
        </w:rPr>
        <w:sectPr>
          <w:headerReference w:type="default" r:id="rId35"/>
          <w:pgSz w:w="11910" w:h="16840"/>
          <w:pgMar w:header="624" w:footer="1045" w:top="980" w:bottom="1240" w:left="1140" w:right="1140"/>
        </w:sectPr>
      </w:pPr>
    </w:p>
    <w:p>
      <w:pPr>
        <w:spacing w:line="240" w:lineRule="auto" w:before="0"/>
        <w:rPr>
          <w:rFonts w:ascii="Times New Roman" w:hAnsi="Times New Roman" w:cs="Times New Roman" w:eastAsia="Times New Roman"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711"/>
        <w:gridCol w:w="1277"/>
        <w:gridCol w:w="1294"/>
        <w:gridCol w:w="3848"/>
        <w:gridCol w:w="2269"/>
      </w:tblGrid>
      <w:tr>
        <w:trPr>
          <w:trHeight w:val="542" w:hRule="exact"/>
        </w:trPr>
        <w:tc>
          <w:tcPr>
            <w:tcW w:w="71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8"/>
              <w:ind w:left="238" w:right="0"/>
              <w:jc w:val="left"/>
              <w:rPr>
                <w:rFonts w:ascii="Arial" w:hAnsi="Arial" w:cs="Arial" w:eastAsia="Arial" w:hint="default"/>
                <w:sz w:val="20"/>
                <w:szCs w:val="20"/>
              </w:rPr>
            </w:pPr>
            <w:r>
              <w:rPr>
                <w:rFonts w:ascii="Arial"/>
                <w:sz w:val="20"/>
              </w:rPr>
              <w:t>50</w:t>
            </w: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8"/>
              <w:ind w:right="103"/>
              <w:jc w:val="right"/>
              <w:rPr>
                <w:rFonts w:ascii="Arial" w:hAnsi="Arial" w:cs="Arial" w:eastAsia="Arial" w:hint="default"/>
                <w:sz w:val="20"/>
                <w:szCs w:val="20"/>
              </w:rPr>
            </w:pPr>
            <w:r>
              <w:rPr>
                <w:rFonts w:ascii="Arial"/>
                <w:spacing w:val="-1"/>
                <w:sz w:val="20"/>
              </w:rPr>
              <w:t>2010-7-1</w:t>
            </w:r>
          </w:p>
        </w:tc>
        <w:tc>
          <w:tcPr>
            <w:tcW w:w="12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Arial" w:hAnsi="Arial" w:cs="Arial" w:eastAsia="Arial" w:hint="default"/>
                <w:sz w:val="20"/>
                <w:szCs w:val="20"/>
              </w:rPr>
            </w:pPr>
            <w:r>
              <w:rPr>
                <w:rFonts w:ascii="Arial"/>
                <w:sz w:val="20"/>
              </w:rPr>
              <w:t>2010-019</w:t>
            </w:r>
          </w:p>
        </w:tc>
        <w:tc>
          <w:tcPr>
            <w:tcW w:w="3848" w:type="dxa"/>
            <w:tcBorders>
              <w:top w:val="single" w:sz="10"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关于铁路防灾安全监控系统成功应用于沪</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宁城际铁路的公告</w:t>
            </w:r>
          </w:p>
        </w:tc>
        <w:tc>
          <w:tcPr>
            <w:tcW w:w="2269"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2010-7-15</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2010-020</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关于举行投资者网上集体接待日的公告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2010-7-30</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2010-021</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1"/>
                <w:sz w:val="20"/>
                <w:szCs w:val="20"/>
              </w:rPr>
              <w:t> </w:t>
            </w:r>
            <w:r>
              <w:rPr>
                <w:rFonts w:ascii="宋体" w:hAnsi="宋体" w:cs="宋体" w:eastAsia="宋体" w:hint="default"/>
                <w:sz w:val="20"/>
                <w:szCs w:val="20"/>
              </w:rPr>
              <w:t>半年度业绩快报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2010-8-13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2010-022</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证券事务代表辞职公告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2010-8-19</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2010-023</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39"/>
                <w:sz w:val="20"/>
                <w:szCs w:val="20"/>
              </w:rPr>
              <w:t> </w:t>
            </w:r>
            <w:r>
              <w:rPr>
                <w:rFonts w:ascii="宋体" w:hAnsi="宋体" w:cs="宋体" w:eastAsia="宋体" w:hint="default"/>
                <w:sz w:val="20"/>
                <w:szCs w:val="20"/>
              </w:rPr>
              <w:t>年半年度报告摘要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Arial" w:hAnsi="Arial" w:cs="Arial" w:eastAsia="Arial" w:hint="default"/>
                <w:sz w:val="20"/>
                <w:szCs w:val="20"/>
              </w:rPr>
            </w:pPr>
            <w:r>
              <w:rPr>
                <w:rFonts w:ascii="Arial"/>
                <w:sz w:val="20"/>
              </w:rPr>
              <w:t>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w:hAnsi="Arial" w:cs="Arial" w:eastAsia="Arial" w:hint="default"/>
                <w:sz w:val="20"/>
                <w:szCs w:val="20"/>
              </w:rPr>
            </w:pPr>
            <w:r>
              <w:rPr>
                <w:rFonts w:ascii="Arial"/>
                <w:spacing w:val="-1"/>
                <w:sz w:val="20"/>
              </w:rPr>
              <w:t>2010-8-19</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Arial" w:hAnsi="Arial" w:cs="Arial" w:eastAsia="Arial" w:hint="default"/>
                <w:sz w:val="20"/>
                <w:szCs w:val="20"/>
              </w:rPr>
            </w:pPr>
            <w:r>
              <w:rPr>
                <w:rFonts w:ascii="Arial"/>
                <w:sz w:val="20"/>
              </w:rPr>
              <w:t>2010-024</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关于使用部分超募资金投资</w:t>
            </w:r>
            <w:r>
              <w:rPr>
                <w:rFonts w:ascii="Arial" w:hAnsi="Arial" w:cs="Arial" w:eastAsia="Arial" w:hint="default"/>
                <w:sz w:val="20"/>
                <w:szCs w:val="20"/>
              </w:rPr>
              <w:t>“</w:t>
            </w:r>
            <w:r>
              <w:rPr>
                <w:rFonts w:ascii="宋体" w:hAnsi="宋体" w:cs="宋体" w:eastAsia="宋体" w:hint="default"/>
                <w:sz w:val="20"/>
                <w:szCs w:val="20"/>
              </w:rPr>
              <w:t>铁路防灾安</w:t>
            </w:r>
          </w:p>
          <w:p>
            <w:pPr>
              <w:pStyle w:val="TableParagraph"/>
              <w:spacing w:line="268" w:lineRule="exact"/>
              <w:ind w:left="103" w:right="0"/>
              <w:jc w:val="left"/>
              <w:rPr>
                <w:rFonts w:ascii="宋体" w:hAnsi="宋体" w:cs="宋体" w:eastAsia="宋体" w:hint="default"/>
                <w:sz w:val="20"/>
                <w:szCs w:val="20"/>
              </w:rPr>
            </w:pPr>
            <w:r>
              <w:rPr>
                <w:rFonts w:ascii="宋体" w:hAnsi="宋体" w:cs="宋体" w:eastAsia="宋体" w:hint="default"/>
                <w:sz w:val="20"/>
                <w:szCs w:val="20"/>
              </w:rPr>
              <w:t>全监控系统</w:t>
            </w:r>
            <w:r>
              <w:rPr>
                <w:rFonts w:ascii="Arial" w:hAnsi="Arial" w:cs="Arial" w:eastAsia="Arial" w:hint="default"/>
                <w:sz w:val="20"/>
                <w:szCs w:val="20"/>
              </w:rPr>
              <w:t>”</w:t>
            </w:r>
            <w:r>
              <w:rPr>
                <w:rFonts w:ascii="宋体" w:hAnsi="宋体" w:cs="宋体" w:eastAsia="宋体" w:hint="default"/>
                <w:sz w:val="20"/>
                <w:szCs w:val="20"/>
              </w:rPr>
              <w:t>项目的公告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8" w:right="0"/>
              <w:jc w:val="left"/>
              <w:rPr>
                <w:rFonts w:ascii="Arial" w:hAnsi="Arial" w:cs="Arial" w:eastAsia="Arial" w:hint="default"/>
                <w:sz w:val="20"/>
                <w:szCs w:val="20"/>
              </w:rPr>
            </w:pPr>
            <w:r>
              <w:rPr>
                <w:rFonts w:ascii="Arial"/>
                <w:sz w:val="20"/>
              </w:rPr>
              <w:t>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Arial" w:hAnsi="Arial" w:cs="Arial" w:eastAsia="Arial" w:hint="default"/>
                <w:sz w:val="20"/>
                <w:szCs w:val="20"/>
              </w:rPr>
            </w:pPr>
            <w:r>
              <w:rPr>
                <w:rFonts w:ascii="Arial"/>
                <w:spacing w:val="-1"/>
                <w:sz w:val="20"/>
              </w:rPr>
              <w:t>2010-8-19</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Arial" w:hAnsi="Arial" w:cs="Arial" w:eastAsia="Arial" w:hint="default"/>
                <w:sz w:val="20"/>
                <w:szCs w:val="20"/>
              </w:rPr>
            </w:pPr>
            <w:r>
              <w:rPr>
                <w:rFonts w:ascii="Arial"/>
                <w:sz w:val="20"/>
              </w:rPr>
              <w:t>2010-025</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0"/>
                <w:szCs w:val="20"/>
              </w:rPr>
            </w:pPr>
            <w:r>
              <w:rPr>
                <w:rFonts w:ascii="宋体" w:hAnsi="宋体" w:cs="宋体" w:eastAsia="宋体" w:hint="default"/>
                <w:sz w:val="20"/>
                <w:szCs w:val="20"/>
              </w:rPr>
              <w:t>召开 </w:t>
            </w:r>
            <w:r>
              <w:rPr>
                <w:rFonts w:ascii="Arial" w:hAnsi="Arial" w:cs="Arial" w:eastAsia="Arial" w:hint="default"/>
                <w:sz w:val="20"/>
                <w:szCs w:val="20"/>
              </w:rPr>
              <w:t>2010</w:t>
            </w:r>
            <w:r>
              <w:rPr>
                <w:rFonts w:ascii="Arial" w:hAnsi="Arial" w:cs="Arial" w:eastAsia="Arial" w:hint="default"/>
                <w:spacing w:val="39"/>
                <w:sz w:val="20"/>
                <w:szCs w:val="20"/>
              </w:rPr>
              <w:t> </w:t>
            </w:r>
            <w:r>
              <w:rPr>
                <w:rFonts w:ascii="宋体" w:hAnsi="宋体" w:cs="宋体" w:eastAsia="宋体" w:hint="default"/>
                <w:sz w:val="20"/>
                <w:szCs w:val="20"/>
              </w:rPr>
              <w:t>年第一次临时股东大会的通</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知</w:t>
            </w:r>
            <w:r>
              <w:rPr>
                <w:rFonts w:ascii="宋体" w:hAnsi="宋体" w:cs="宋体" w:eastAsia="宋体" w:hint="default"/>
                <w:sz w:val="20"/>
                <w:szCs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2010-8-19</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2010-026</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第三届董事会第九次会议决议公告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2010-8-19</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2010-027</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第三届监事会第九次会议决议公告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2010-8-19</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2"/>
                <w:sz w:val="20"/>
                <w:szCs w:val="20"/>
              </w:rPr>
              <w:t> </w:t>
            </w:r>
            <w:r>
              <w:rPr>
                <w:rFonts w:ascii="宋体" w:hAnsi="宋体" w:cs="宋体" w:eastAsia="宋体" w:hint="default"/>
                <w:sz w:val="20"/>
                <w:szCs w:val="20"/>
              </w:rPr>
              <w:t>年半年度报告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2010-8-19</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2"/>
                <w:sz w:val="20"/>
                <w:szCs w:val="20"/>
              </w:rPr>
              <w:t> </w:t>
            </w:r>
            <w:r>
              <w:rPr>
                <w:rFonts w:ascii="宋体" w:hAnsi="宋体" w:cs="宋体" w:eastAsia="宋体" w:hint="default"/>
                <w:sz w:val="20"/>
                <w:szCs w:val="20"/>
              </w:rPr>
              <w:t>年半年度财务报告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8" w:right="0"/>
              <w:jc w:val="left"/>
              <w:rPr>
                <w:rFonts w:ascii="Arial" w:hAnsi="Arial" w:cs="Arial" w:eastAsia="Arial" w:hint="default"/>
                <w:sz w:val="20"/>
                <w:szCs w:val="20"/>
              </w:rPr>
            </w:pPr>
            <w:r>
              <w:rPr>
                <w:rFonts w:ascii="Arial"/>
                <w:sz w:val="20"/>
              </w:rPr>
              <w:t>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Arial" w:hAnsi="Arial" w:cs="Arial" w:eastAsia="Arial" w:hint="default"/>
                <w:sz w:val="20"/>
                <w:szCs w:val="20"/>
              </w:rPr>
            </w:pPr>
            <w:r>
              <w:rPr>
                <w:rFonts w:ascii="Arial"/>
                <w:spacing w:val="-1"/>
                <w:sz w:val="20"/>
              </w:rPr>
              <w:t>2010-8-19</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独立董事关于</w:t>
            </w:r>
            <w:r>
              <w:rPr>
                <w:rFonts w:ascii="宋体" w:hAnsi="宋体" w:cs="宋体" w:eastAsia="宋体" w:hint="default"/>
                <w:spacing w:val="-53"/>
                <w:sz w:val="20"/>
                <w:szCs w:val="20"/>
              </w:rPr>
              <w:t> </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年半年度关联方资金</w:t>
            </w:r>
          </w:p>
          <w:p>
            <w:pPr>
              <w:pStyle w:val="TableParagraph"/>
              <w:spacing w:line="255" w:lineRule="exact"/>
              <w:ind w:left="103" w:right="0"/>
              <w:jc w:val="left"/>
              <w:rPr>
                <w:rFonts w:ascii="宋体" w:hAnsi="宋体" w:cs="宋体" w:eastAsia="宋体" w:hint="default"/>
                <w:sz w:val="20"/>
                <w:szCs w:val="20"/>
              </w:rPr>
            </w:pPr>
            <w:r>
              <w:rPr>
                <w:rFonts w:ascii="宋体" w:hAnsi="宋体" w:cs="宋体" w:eastAsia="宋体" w:hint="default"/>
                <w:sz w:val="20"/>
                <w:szCs w:val="20"/>
              </w:rPr>
              <w:t>往来及对外担保情况的独立意见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78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8" w:right="0"/>
              <w:jc w:val="left"/>
              <w:rPr>
                <w:rFonts w:ascii="Arial" w:hAnsi="Arial" w:cs="Arial" w:eastAsia="Arial" w:hint="default"/>
                <w:sz w:val="20"/>
                <w:szCs w:val="20"/>
              </w:rPr>
            </w:pPr>
            <w:r>
              <w:rPr>
                <w:rFonts w:ascii="Arial"/>
                <w:sz w:val="20"/>
              </w:rPr>
              <w:t>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Arial" w:hAnsi="Arial" w:cs="Arial" w:eastAsia="Arial" w:hint="default"/>
                <w:sz w:val="20"/>
                <w:szCs w:val="20"/>
              </w:rPr>
            </w:pPr>
            <w:r>
              <w:rPr>
                <w:rFonts w:ascii="Arial"/>
                <w:spacing w:val="-1"/>
                <w:sz w:val="20"/>
              </w:rPr>
              <w:t>2010-8-19</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独立董事对《关于使用超募资金投资“铁</w:t>
            </w:r>
          </w:p>
          <w:p>
            <w:pPr>
              <w:pStyle w:val="TableParagraph"/>
              <w:spacing w:line="260" w:lineRule="exact" w:before="24"/>
              <w:ind w:left="103" w:right="136"/>
              <w:jc w:val="left"/>
              <w:rPr>
                <w:rFonts w:ascii="宋体" w:hAnsi="宋体" w:cs="宋体" w:eastAsia="宋体" w:hint="default"/>
                <w:sz w:val="20"/>
                <w:szCs w:val="20"/>
              </w:rPr>
            </w:pPr>
            <w:r>
              <w:rPr>
                <w:rFonts w:ascii="宋体" w:hAnsi="宋体" w:cs="宋体" w:eastAsia="宋体" w:hint="default"/>
                <w:sz w:val="20"/>
                <w:szCs w:val="20"/>
              </w:rPr>
              <w:t>路防灾安全监控系统”项目的议案》发表</w:t>
            </w:r>
            <w:r>
              <w:rPr>
                <w:rFonts w:ascii="宋体" w:hAnsi="宋体" w:cs="宋体" w:eastAsia="宋体" w:hint="default"/>
                <w:w w:val="99"/>
                <w:sz w:val="20"/>
                <w:szCs w:val="20"/>
              </w:rPr>
              <w:t> </w:t>
            </w:r>
            <w:r>
              <w:rPr>
                <w:rFonts w:ascii="宋体" w:hAnsi="宋体" w:cs="宋体" w:eastAsia="宋体" w:hint="default"/>
                <w:sz w:val="20"/>
                <w:szCs w:val="20"/>
              </w:rPr>
              <w:t>的独立意见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2010-9-8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2010-028</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3"/>
                <w:sz w:val="20"/>
                <w:szCs w:val="20"/>
              </w:rPr>
              <w:t> </w:t>
            </w:r>
            <w:r>
              <w:rPr>
                <w:rFonts w:ascii="宋体" w:hAnsi="宋体" w:cs="宋体" w:eastAsia="宋体" w:hint="default"/>
                <w:sz w:val="20"/>
                <w:szCs w:val="20"/>
              </w:rPr>
              <w:t>年第一次临时股东大会决议公告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2010-9-8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3"/>
                <w:sz w:val="20"/>
                <w:szCs w:val="20"/>
              </w:rPr>
              <w:t> </w:t>
            </w:r>
            <w:r>
              <w:rPr>
                <w:rFonts w:ascii="宋体" w:hAnsi="宋体" w:cs="宋体" w:eastAsia="宋体" w:hint="default"/>
                <w:sz w:val="20"/>
                <w:szCs w:val="20"/>
              </w:rPr>
              <w:t>年第一次临时股东大会法律意见书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2010-9-21</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2010-029</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限售股份上市流通提示性公告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2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8" w:right="0"/>
              <w:jc w:val="left"/>
              <w:rPr>
                <w:rFonts w:ascii="Arial" w:hAnsi="Arial" w:cs="Arial" w:eastAsia="Arial" w:hint="default"/>
                <w:sz w:val="20"/>
                <w:szCs w:val="20"/>
              </w:rPr>
            </w:pPr>
            <w:r>
              <w:rPr>
                <w:rFonts w:ascii="Arial"/>
                <w:sz w:val="20"/>
              </w:rPr>
              <w:t>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w:hAnsi="Arial" w:cs="Arial" w:eastAsia="Arial" w:hint="default"/>
                <w:sz w:val="20"/>
                <w:szCs w:val="20"/>
              </w:rPr>
            </w:pPr>
            <w:r>
              <w:rPr>
                <w:rFonts w:ascii="Arial"/>
                <w:spacing w:val="-1"/>
                <w:sz w:val="20"/>
              </w:rPr>
              <w:t>2010-9-21</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中德证券有限责任公司关于公司限售股份</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上市流通事项的保荐意见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2010-10-20</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2010-030</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第三届董事会第十次会议决议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2010-10-20</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2010-031</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38"/>
                <w:sz w:val="20"/>
                <w:szCs w:val="20"/>
              </w:rPr>
              <w:t> </w:t>
            </w:r>
            <w:r>
              <w:rPr>
                <w:rFonts w:ascii="宋体" w:hAnsi="宋体" w:cs="宋体" w:eastAsia="宋体" w:hint="default"/>
                <w:sz w:val="20"/>
                <w:szCs w:val="20"/>
              </w:rPr>
              <w:t>年第三季度季度报告正文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2010-10-20</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2010-032</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关于变更保荐代表人的公告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2010-10-20</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38"/>
                <w:sz w:val="20"/>
                <w:szCs w:val="20"/>
              </w:rPr>
              <w:t> </w:t>
            </w:r>
            <w:r>
              <w:rPr>
                <w:rFonts w:ascii="宋体" w:hAnsi="宋体" w:cs="宋体" w:eastAsia="宋体" w:hint="default"/>
                <w:sz w:val="20"/>
                <w:szCs w:val="20"/>
              </w:rPr>
              <w:t>年第三季度季度报告全文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2010-033</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关于持股</w:t>
            </w:r>
            <w:r>
              <w:rPr>
                <w:rFonts w:ascii="宋体" w:hAnsi="宋体" w:cs="宋体" w:eastAsia="宋体" w:hint="default"/>
                <w:spacing w:val="-56"/>
                <w:sz w:val="20"/>
                <w:szCs w:val="20"/>
              </w:rPr>
              <w:t> </w:t>
            </w:r>
            <w:r>
              <w:rPr>
                <w:rFonts w:ascii="Arial" w:hAnsi="Arial" w:cs="Arial" w:eastAsia="Arial" w:hint="default"/>
                <w:sz w:val="20"/>
                <w:szCs w:val="20"/>
              </w:rPr>
              <w:t>5%</w:t>
            </w:r>
            <w:r>
              <w:rPr>
                <w:rFonts w:ascii="宋体" w:hAnsi="宋体" w:cs="宋体" w:eastAsia="宋体" w:hint="default"/>
                <w:sz w:val="20"/>
                <w:szCs w:val="20"/>
              </w:rPr>
              <w:t>以上股东减持的提示性公告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简式权益变动书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2010-034</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关于签订募集资金三方监管协议的公告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2010-035</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关于设立定期存单账户的公告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8" w:right="0"/>
              <w:jc w:val="left"/>
              <w:rPr>
                <w:rFonts w:ascii="Arial" w:hAnsi="Arial" w:cs="Arial" w:eastAsia="Arial" w:hint="default"/>
                <w:sz w:val="20"/>
                <w:szCs w:val="20"/>
              </w:rPr>
            </w:pPr>
            <w:r>
              <w:rPr>
                <w:rFonts w:ascii="Arial"/>
                <w:sz w:val="20"/>
              </w:rPr>
              <w:t>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Arial" w:hAnsi="Arial" w:cs="Arial" w:eastAsia="Arial" w:hint="default"/>
                <w:sz w:val="20"/>
                <w:szCs w:val="20"/>
              </w:rPr>
            </w:pPr>
            <w:r>
              <w:rPr>
                <w:rFonts w:ascii="Arial"/>
                <w:spacing w:val="-1"/>
                <w:sz w:val="20"/>
              </w:rPr>
              <w:t>2010-11-17</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Arial" w:hAnsi="Arial" w:cs="Arial" w:eastAsia="Arial" w:hint="default"/>
                <w:sz w:val="20"/>
                <w:szCs w:val="20"/>
              </w:rPr>
            </w:pPr>
            <w:r>
              <w:rPr>
                <w:rFonts w:ascii="Arial"/>
                <w:sz w:val="20"/>
              </w:rPr>
              <w:t>2010-036</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关于公司主要产品升级、更名和执行新标</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准的公告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2010-11-17</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2010-037</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股票交易异常波动公告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2010-038</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《公司章程》修改对比表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2010-039</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第三届董事会第十一次会议决议公告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2010-040</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第三届监事会第十一次会议决议公告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53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8" w:right="0"/>
              <w:jc w:val="left"/>
              <w:rPr>
                <w:rFonts w:ascii="Arial" w:hAnsi="Arial" w:cs="Arial" w:eastAsia="Arial" w:hint="default"/>
                <w:sz w:val="20"/>
                <w:szCs w:val="20"/>
              </w:rPr>
            </w:pPr>
            <w:r>
              <w:rPr>
                <w:rFonts w:ascii="Arial"/>
                <w:sz w:val="20"/>
              </w:rPr>
              <w:t>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Arial" w:hAnsi="Arial" w:cs="Arial" w:eastAsia="Arial" w:hint="default"/>
                <w:sz w:val="20"/>
                <w:szCs w:val="20"/>
              </w:rPr>
            </w:pPr>
            <w:r>
              <w:rPr>
                <w:rFonts w:ascii="Arial"/>
                <w:spacing w:val="-1"/>
                <w:sz w:val="20"/>
              </w:rPr>
              <w:t>2010-11-23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Arial" w:hAnsi="Arial" w:cs="Arial" w:eastAsia="Arial" w:hint="default"/>
                <w:sz w:val="20"/>
                <w:szCs w:val="20"/>
              </w:rPr>
            </w:pPr>
            <w:r>
              <w:rPr>
                <w:rFonts w:ascii="Arial"/>
                <w:sz w:val="20"/>
              </w:rPr>
              <w:t>2010-041</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4"/>
                <w:sz w:val="20"/>
                <w:szCs w:val="20"/>
              </w:rPr>
              <w:t> </w:t>
            </w:r>
            <w:r>
              <w:rPr>
                <w:rFonts w:ascii="Arial" w:hAnsi="Arial" w:cs="Arial" w:eastAsia="Arial" w:hint="default"/>
                <w:sz w:val="20"/>
                <w:szCs w:val="20"/>
              </w:rPr>
              <w:t>2010</w:t>
            </w:r>
            <w:r>
              <w:rPr>
                <w:rFonts w:ascii="Arial" w:hAnsi="Arial" w:cs="Arial" w:eastAsia="Arial" w:hint="default"/>
                <w:spacing w:val="-10"/>
                <w:sz w:val="20"/>
                <w:szCs w:val="20"/>
              </w:rPr>
              <w:t> </w:t>
            </w:r>
            <w:r>
              <w:rPr>
                <w:rFonts w:ascii="宋体" w:hAnsi="宋体" w:cs="宋体" w:eastAsia="宋体" w:hint="default"/>
                <w:sz w:val="20"/>
                <w:szCs w:val="20"/>
              </w:rPr>
              <w:t>年第二次临时股东大会的</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通知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2010-042</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关于选举职工代表监事公告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独立董事关于董事会换届选举的意见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独立董事关于提高独立董事薪酬的意见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独立董事关于计提战略性人才奖金的意见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独立董事提名人声明</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独立董事候选人声明（唐涛）</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独立董事候选人声明（谭宪才）</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独立董事候选人声明（蒋承）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2010-11-23</w:t>
            </w:r>
            <w:r>
              <w:rPr>
                <w:rFonts w:ascii="Arial"/>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公司章程（</w:t>
            </w: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11</w:t>
            </w:r>
            <w:r>
              <w:rPr>
                <w:rFonts w:ascii="Arial" w:hAnsi="Arial" w:cs="Arial" w:eastAsia="Arial" w:hint="default"/>
                <w:spacing w:val="-8"/>
                <w:sz w:val="20"/>
                <w:szCs w:val="20"/>
              </w:rPr>
              <w:t> </w:t>
            </w:r>
            <w:r>
              <w:rPr>
                <w:rFonts w:ascii="宋体" w:hAnsi="宋体" w:cs="宋体" w:eastAsia="宋体" w:hint="default"/>
                <w:sz w:val="20"/>
                <w:szCs w:val="20"/>
              </w:rPr>
              <w:t>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38" w:right="0"/>
              <w:jc w:val="left"/>
              <w:rPr>
                <w:rFonts w:ascii="Arial" w:hAnsi="Arial" w:cs="Arial" w:eastAsia="Arial" w:hint="default"/>
                <w:sz w:val="20"/>
                <w:szCs w:val="20"/>
              </w:rPr>
            </w:pPr>
            <w:r>
              <w:rPr>
                <w:rFonts w:ascii="Arial"/>
                <w:sz w:val="20"/>
              </w:rPr>
              <w:t>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Arial" w:hAnsi="Arial" w:cs="Arial" w:eastAsia="Arial" w:hint="default"/>
                <w:sz w:val="20"/>
                <w:szCs w:val="20"/>
              </w:rPr>
            </w:pPr>
            <w:r>
              <w:rPr>
                <w:rFonts w:ascii="Arial"/>
                <w:spacing w:val="-1"/>
                <w:sz w:val="20"/>
              </w:rPr>
              <w:t>2010-12-9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center"/>
              <w:rPr>
                <w:rFonts w:ascii="Arial" w:hAnsi="Arial" w:cs="Arial" w:eastAsia="Arial" w:hint="default"/>
                <w:sz w:val="20"/>
                <w:szCs w:val="20"/>
              </w:rPr>
            </w:pPr>
            <w:r>
              <w:rPr>
                <w:rFonts w:ascii="Arial"/>
                <w:sz w:val="20"/>
              </w:rPr>
              <w:t>2010-043</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3"/>
                <w:sz w:val="20"/>
                <w:szCs w:val="20"/>
              </w:rPr>
              <w:t> </w:t>
            </w:r>
            <w:r>
              <w:rPr>
                <w:rFonts w:ascii="宋体" w:hAnsi="宋体" w:cs="宋体" w:eastAsia="宋体" w:hint="default"/>
                <w:sz w:val="20"/>
                <w:szCs w:val="20"/>
              </w:rPr>
              <w:t>年第二次临时股东大会决议公告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Arial" w:hAnsi="Arial" w:cs="Arial" w:eastAsia="Arial" w:hint="default"/>
                <w:sz w:val="20"/>
                <w:szCs w:val="20"/>
              </w:rPr>
            </w:pPr>
            <w:r>
              <w:rPr>
                <w:rFonts w:ascii="Arial"/>
                <w:spacing w:val="-1"/>
                <w:sz w:val="20"/>
              </w:rPr>
              <w:t>2010-12-9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3"/>
                <w:sz w:val="20"/>
                <w:szCs w:val="20"/>
              </w:rPr>
              <w:t> </w:t>
            </w:r>
            <w:r>
              <w:rPr>
                <w:rFonts w:ascii="宋体" w:hAnsi="宋体" w:cs="宋体" w:eastAsia="宋体" w:hint="default"/>
                <w:sz w:val="20"/>
                <w:szCs w:val="20"/>
              </w:rPr>
              <w:t>年第二次临时股东大会法律意见书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bl>
    <w:p>
      <w:pPr>
        <w:spacing w:after="0" w:line="241" w:lineRule="exact"/>
        <w:jc w:val="center"/>
        <w:rPr>
          <w:rFonts w:ascii="宋体" w:hAnsi="宋体" w:cs="宋体" w:eastAsia="宋体" w:hint="default"/>
          <w:sz w:val="21"/>
          <w:szCs w:val="21"/>
        </w:rPr>
        <w:sectPr>
          <w:pgSz w:w="11910" w:h="16840"/>
          <w:pgMar w:header="624" w:footer="1045" w:top="980" w:bottom="1240" w:left="1140" w:right="1140"/>
        </w:sectPr>
      </w:pPr>
    </w:p>
    <w:p>
      <w:pPr>
        <w:spacing w:line="240" w:lineRule="auto" w:before="0"/>
        <w:rPr>
          <w:rFonts w:ascii="Times New Roman" w:hAnsi="Times New Roman" w:cs="Times New Roman" w:eastAsia="Times New Roman" w:hint="default"/>
          <w:sz w:val="21"/>
          <w:szCs w:val="21"/>
        </w:rPr>
      </w:pPr>
    </w:p>
    <w:tbl>
      <w:tblPr>
        <w:tblW w:w="0" w:type="auto"/>
        <w:jc w:val="left"/>
        <w:tblInd w:w="670" w:type="dxa"/>
        <w:tblLayout w:type="fixed"/>
        <w:tblCellMar>
          <w:top w:w="0" w:type="dxa"/>
          <w:left w:w="0" w:type="dxa"/>
          <w:bottom w:w="0" w:type="dxa"/>
          <w:right w:w="0" w:type="dxa"/>
        </w:tblCellMar>
        <w:tblLook w:val="01E0"/>
      </w:tblPr>
      <w:tblGrid>
        <w:gridCol w:w="711"/>
        <w:gridCol w:w="1277"/>
        <w:gridCol w:w="1294"/>
        <w:gridCol w:w="3848"/>
        <w:gridCol w:w="2269"/>
      </w:tblGrid>
      <w:tr>
        <w:trPr>
          <w:trHeight w:val="295" w:hRule="exact"/>
        </w:trPr>
        <w:tc>
          <w:tcPr>
            <w:tcW w:w="71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3"/>
              <w:ind w:left="238" w:right="0"/>
              <w:jc w:val="left"/>
              <w:rPr>
                <w:rFonts w:ascii="Arial" w:hAnsi="Arial" w:cs="Arial" w:eastAsia="Arial" w:hint="default"/>
                <w:sz w:val="20"/>
                <w:szCs w:val="20"/>
              </w:rPr>
            </w:pPr>
            <w:r>
              <w:rPr>
                <w:rFonts w:ascii="Arial"/>
                <w:sz w:val="20"/>
              </w:rPr>
              <w:t>92</w:t>
            </w: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3"/>
              <w:ind w:left="141" w:right="0"/>
              <w:jc w:val="left"/>
              <w:rPr>
                <w:rFonts w:ascii="Arial" w:hAnsi="Arial" w:cs="Arial" w:eastAsia="Arial" w:hint="default"/>
                <w:sz w:val="20"/>
                <w:szCs w:val="20"/>
              </w:rPr>
            </w:pPr>
            <w:r>
              <w:rPr>
                <w:rFonts w:ascii="Arial"/>
                <w:sz w:val="20"/>
              </w:rPr>
              <w:t>2010-12-13</w:t>
            </w:r>
          </w:p>
        </w:tc>
        <w:tc>
          <w:tcPr>
            <w:tcW w:w="12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Arial" w:hAnsi="Arial" w:cs="Arial" w:eastAsia="Arial" w:hint="default"/>
                <w:sz w:val="20"/>
                <w:szCs w:val="20"/>
              </w:rPr>
            </w:pPr>
            <w:r>
              <w:rPr>
                <w:rFonts w:ascii="Arial"/>
                <w:sz w:val="20"/>
              </w:rPr>
              <w:t>2010-044</w:t>
            </w:r>
          </w:p>
        </w:tc>
        <w:tc>
          <w:tcPr>
            <w:tcW w:w="3848" w:type="dxa"/>
            <w:tcBorders>
              <w:top w:val="single" w:sz="10"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sz w:val="20"/>
                <w:szCs w:val="20"/>
              </w:rPr>
              <w:t>第四届董事会第一次会议决议公告</w:t>
            </w:r>
          </w:p>
        </w:tc>
        <w:tc>
          <w:tcPr>
            <w:tcW w:w="2269"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1" w:right="0"/>
              <w:jc w:val="left"/>
              <w:rPr>
                <w:rFonts w:ascii="Arial" w:hAnsi="Arial" w:cs="Arial" w:eastAsia="Arial" w:hint="default"/>
                <w:sz w:val="20"/>
                <w:szCs w:val="20"/>
              </w:rPr>
            </w:pPr>
            <w:r>
              <w:rPr>
                <w:rFonts w:ascii="Arial"/>
                <w:sz w:val="20"/>
              </w:rPr>
              <w:t>2010-12-13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Arial" w:hAnsi="Arial" w:cs="Arial" w:eastAsia="Arial" w:hint="default"/>
                <w:sz w:val="20"/>
                <w:szCs w:val="20"/>
              </w:rPr>
            </w:pPr>
            <w:r>
              <w:rPr>
                <w:rFonts w:ascii="Arial"/>
                <w:sz w:val="20"/>
              </w:rPr>
              <w:t>2010-045</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第四届监事会第一次会议决议公告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1" w:right="0"/>
              <w:jc w:val="left"/>
              <w:rPr>
                <w:rFonts w:ascii="Arial" w:hAnsi="Arial" w:cs="Arial" w:eastAsia="Arial" w:hint="default"/>
                <w:sz w:val="20"/>
                <w:szCs w:val="20"/>
              </w:rPr>
            </w:pPr>
            <w:r>
              <w:rPr>
                <w:rFonts w:ascii="Arial"/>
                <w:sz w:val="20"/>
              </w:rPr>
              <w:t>2010-12-13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高级管理人员薪酬管理制度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r>
        <w:trPr>
          <w:trHeight w:val="28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8" w:right="0"/>
              <w:jc w:val="left"/>
              <w:rPr>
                <w:rFonts w:ascii="Arial" w:hAnsi="Arial" w:cs="Arial" w:eastAsia="Arial" w:hint="default"/>
                <w:sz w:val="20"/>
                <w:szCs w:val="20"/>
              </w:rPr>
            </w:pPr>
            <w:r>
              <w:rPr>
                <w:rFonts w:ascii="Arial"/>
                <w:sz w:val="20"/>
              </w:rPr>
              <w:t>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1" w:right="0"/>
              <w:jc w:val="left"/>
              <w:rPr>
                <w:rFonts w:ascii="Arial" w:hAnsi="Arial" w:cs="Arial" w:eastAsia="Arial" w:hint="default"/>
                <w:sz w:val="20"/>
                <w:szCs w:val="20"/>
              </w:rPr>
            </w:pPr>
            <w:r>
              <w:rPr>
                <w:rFonts w:ascii="Arial"/>
                <w:sz w:val="20"/>
              </w:rPr>
              <w:t>2010-12-13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挂网</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独立董事关于聘任高级管理人员的意见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中国证券报、证券时报</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Heading2"/>
        <w:spacing w:line="240" w:lineRule="auto" w:before="14"/>
        <w:ind w:left="1218" w:right="0"/>
        <w:jc w:val="left"/>
        <w:rPr>
          <w:b w:val="0"/>
          <w:bCs w:val="0"/>
        </w:rPr>
      </w:pPr>
      <w:r>
        <w:rPr/>
        <w:t>十四、报告期内，公司接待调研、沟通、采访等活动登记表</w:t>
      </w:r>
      <w:r>
        <w:rPr>
          <w:b w:val="0"/>
          <w:bCs w:val="0"/>
        </w:rPr>
      </w:r>
    </w:p>
    <w:p>
      <w:pPr>
        <w:spacing w:line="240" w:lineRule="auto" w:before="3"/>
        <w:rPr>
          <w:rFonts w:ascii="宋体" w:hAnsi="宋体" w:cs="宋体" w:eastAsia="宋体" w:hint="default"/>
          <w:b/>
          <w:bCs/>
          <w:sz w:val="21"/>
          <w:szCs w:val="21"/>
        </w:rPr>
      </w:pPr>
    </w:p>
    <w:tbl>
      <w:tblPr>
        <w:tblW w:w="0" w:type="auto"/>
        <w:jc w:val="left"/>
        <w:tblInd w:w="101" w:type="dxa"/>
        <w:tblLayout w:type="fixed"/>
        <w:tblCellMar>
          <w:top w:w="0" w:type="dxa"/>
          <w:left w:w="0" w:type="dxa"/>
          <w:bottom w:w="0" w:type="dxa"/>
          <w:right w:w="0" w:type="dxa"/>
        </w:tblCellMar>
        <w:tblLook w:val="01E0"/>
      </w:tblPr>
      <w:tblGrid>
        <w:gridCol w:w="1791"/>
        <w:gridCol w:w="905"/>
        <w:gridCol w:w="992"/>
        <w:gridCol w:w="3564"/>
        <w:gridCol w:w="3284"/>
      </w:tblGrid>
      <w:tr>
        <w:trPr>
          <w:trHeight w:val="283" w:hRule="exact"/>
        </w:trPr>
        <w:tc>
          <w:tcPr>
            <w:tcW w:w="17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3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32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兴业全球基金管理有限公司</w:t>
              <w:tab/>
            </w:r>
            <w:r>
              <w:rPr>
                <w:rFonts w:ascii="宋体" w:hAnsi="宋体" w:cs="宋体" w:eastAsia="宋体" w:hint="default"/>
                <w:spacing w:val="-1"/>
                <w:sz w:val="21"/>
                <w:szCs w:val="21"/>
              </w:rPr>
              <w:t>董承非</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55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544" w:val="left" w:leader="none"/>
              </w:tabs>
              <w:spacing w:line="239"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汇添富基金管理有限公司</w:t>
              <w:tab/>
            </w:r>
            <w:r>
              <w:rPr>
                <w:rFonts w:ascii="宋体" w:hAnsi="宋体" w:cs="宋体" w:eastAsia="宋体" w:hint="default"/>
                <w:spacing w:val="-1"/>
                <w:sz w:val="21"/>
                <w:szCs w:val="21"/>
              </w:rPr>
              <w:t>许文彬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李丽</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544"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汇添富基金管理有限公司</w:t>
              <w:tab/>
            </w:r>
            <w:r>
              <w:rPr>
                <w:rFonts w:ascii="宋体" w:hAnsi="宋体" w:cs="宋体" w:eastAsia="宋体" w:hint="default"/>
                <w:spacing w:val="-1"/>
                <w:sz w:val="21"/>
                <w:szCs w:val="21"/>
              </w:rPr>
              <w:t>欧阳沁春</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149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1"/>
                <w:sz w:val="21"/>
                <w:szCs w:val="21"/>
              </w:rPr>
              <w:t>国泰君安证券</w:t>
              <w:tab/>
              <w:t>魏兴耘</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生命人寿保险股份有限公司</w:t>
              <w:tab/>
            </w:r>
            <w:r>
              <w:rPr>
                <w:rFonts w:ascii="宋体" w:hAnsi="宋体" w:cs="宋体" w:eastAsia="宋体" w:hint="default"/>
                <w:spacing w:val="-3"/>
                <w:sz w:val="21"/>
                <w:szCs w:val="21"/>
              </w:rPr>
              <w:t>邓斌</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上海舒畅投资管理有限公司</w:t>
              <w:tab/>
            </w:r>
            <w:r>
              <w:rPr>
                <w:rFonts w:ascii="宋体" w:hAnsi="宋体" w:cs="宋体" w:eastAsia="宋体" w:hint="default"/>
                <w:spacing w:val="-1"/>
                <w:sz w:val="21"/>
                <w:szCs w:val="21"/>
              </w:rPr>
              <w:t>李洪波</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金鹰基金管理有限公司</w:t>
              <w:tab/>
            </w:r>
            <w:r>
              <w:rPr>
                <w:rFonts w:ascii="宋体" w:hAnsi="宋体" w:cs="宋体" w:eastAsia="宋体" w:hint="default"/>
                <w:sz w:val="21"/>
                <w:szCs w:val="21"/>
              </w:rPr>
              <w:t>杨旭</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126"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1"/>
                <w:sz w:val="21"/>
                <w:szCs w:val="21"/>
              </w:rPr>
              <w:t>甘肃省信托有限公司</w:t>
              <w:tab/>
            </w:r>
            <w:r>
              <w:rPr>
                <w:rFonts w:ascii="宋体" w:hAnsi="宋体" w:cs="宋体" w:eastAsia="宋体" w:hint="default"/>
                <w:spacing w:val="-3"/>
                <w:sz w:val="21"/>
                <w:szCs w:val="21"/>
              </w:rPr>
              <w:t>余潜</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55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深圳市恒裕和丰投资管理有限公司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张益凡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上海尚雅投资管理有限公司</w:t>
              <w:tab/>
            </w:r>
            <w:r>
              <w:rPr>
                <w:rFonts w:ascii="宋体" w:hAnsi="宋体" w:cs="宋体" w:eastAsia="宋体" w:hint="default"/>
                <w:spacing w:val="-1"/>
                <w:sz w:val="21"/>
                <w:szCs w:val="21"/>
              </w:rPr>
              <w:t>金永亮</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55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3177" w:val="left" w:leader="none"/>
              </w:tabs>
              <w:spacing w:line="24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北京恒信博雅资产管理有限公司</w:t>
              <w:tab/>
            </w:r>
            <w:r>
              <w:rPr>
                <w:rFonts w:ascii="宋体" w:hAnsi="宋体" w:cs="宋体" w:eastAsia="宋体" w:hint="default"/>
                <w:sz w:val="21"/>
                <w:szCs w:val="21"/>
              </w:rPr>
              <w:t>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立军</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3"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海通证券股份有限公司</w:t>
              <w:tab/>
            </w:r>
            <w:r>
              <w:rPr>
                <w:rFonts w:ascii="宋体" w:hAnsi="宋体" w:cs="宋体" w:eastAsia="宋体" w:hint="default"/>
                <w:sz w:val="21"/>
                <w:szCs w:val="21"/>
              </w:rPr>
              <w:t>王巍</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东吴基金管理有限公司</w:t>
              <w:tab/>
            </w:r>
            <w:r>
              <w:rPr>
                <w:rFonts w:ascii="宋体" w:hAnsi="宋体" w:cs="宋体" w:eastAsia="宋体" w:hint="default"/>
                <w:sz w:val="21"/>
                <w:szCs w:val="21"/>
              </w:rPr>
              <w:t>吴圣涛</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149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1"/>
                <w:sz w:val="21"/>
                <w:szCs w:val="21"/>
              </w:rPr>
              <w:t>国泰君安证券</w:t>
              <w:tab/>
            </w:r>
            <w:r>
              <w:rPr>
                <w:rFonts w:ascii="宋体" w:hAnsi="宋体" w:cs="宋体" w:eastAsia="宋体" w:hint="default"/>
                <w:sz w:val="21"/>
                <w:szCs w:val="21"/>
              </w:rPr>
              <w:t>胡静</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友邦华泰基金管理有限公司</w:t>
              <w:tab/>
            </w:r>
            <w:r>
              <w:rPr>
                <w:rFonts w:ascii="宋体" w:hAnsi="宋体" w:cs="宋体" w:eastAsia="宋体" w:hint="default"/>
                <w:spacing w:val="-1"/>
                <w:sz w:val="21"/>
                <w:szCs w:val="21"/>
              </w:rPr>
              <w:t>杨景涵</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招商基金管理有限公司</w:t>
              <w:tab/>
            </w:r>
            <w:r>
              <w:rPr>
                <w:rFonts w:ascii="宋体" w:hAnsi="宋体" w:cs="宋体" w:eastAsia="宋体" w:hint="default"/>
                <w:sz w:val="21"/>
                <w:szCs w:val="21"/>
              </w:rPr>
              <w:t>肖乐</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信达澳银基金管理有限公司</w:t>
              <w:tab/>
            </w:r>
            <w:r>
              <w:rPr>
                <w:rFonts w:ascii="宋体" w:hAnsi="宋体" w:cs="宋体" w:eastAsia="宋体" w:hint="default"/>
                <w:spacing w:val="-1"/>
                <w:sz w:val="21"/>
                <w:szCs w:val="21"/>
              </w:rPr>
              <w:t>曾国富</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长盛基金管理有限公司</w:t>
              <w:tab/>
            </w:r>
            <w:r>
              <w:rPr>
                <w:rFonts w:ascii="宋体" w:hAnsi="宋体" w:cs="宋体" w:eastAsia="宋体" w:hint="default"/>
                <w:sz w:val="21"/>
                <w:szCs w:val="21"/>
              </w:rPr>
              <w:t>梁婷</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申万巴黎基金管理有限公司</w:t>
              <w:tab/>
            </w:r>
            <w:r>
              <w:rPr>
                <w:rFonts w:ascii="宋体" w:hAnsi="宋体" w:cs="宋体" w:eastAsia="宋体" w:hint="default"/>
                <w:spacing w:val="-1"/>
                <w:sz w:val="21"/>
                <w:szCs w:val="21"/>
              </w:rPr>
              <w:t>张维维</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工银瑞信基金管理有限公司</w:t>
              <w:tab/>
            </w:r>
            <w:r>
              <w:rPr>
                <w:rFonts w:ascii="宋体" w:hAnsi="宋体" w:cs="宋体" w:eastAsia="宋体" w:hint="default"/>
                <w:spacing w:val="-1"/>
                <w:sz w:val="21"/>
                <w:szCs w:val="21"/>
              </w:rPr>
              <w:t>胡文彪</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191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财富证券有限公司</w:t>
              <w:tab/>
            </w:r>
            <w:r>
              <w:rPr>
                <w:rFonts w:ascii="宋体" w:hAnsi="宋体" w:cs="宋体" w:eastAsia="宋体" w:hint="default"/>
                <w:sz w:val="21"/>
                <w:szCs w:val="21"/>
              </w:rPr>
              <w:t>王群</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南方基金管理有限公司</w:t>
              <w:tab/>
            </w:r>
            <w:r>
              <w:rPr>
                <w:rFonts w:ascii="宋体" w:hAnsi="宋体" w:cs="宋体" w:eastAsia="宋体" w:hint="default"/>
                <w:sz w:val="21"/>
                <w:szCs w:val="21"/>
              </w:rPr>
              <w:t>欧阳凡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3"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长盛基金管理有限公司</w:t>
              <w:tab/>
            </w:r>
            <w:r>
              <w:rPr>
                <w:rFonts w:ascii="宋体" w:hAnsi="宋体" w:cs="宋体" w:eastAsia="宋体" w:hint="default"/>
                <w:sz w:val="21"/>
                <w:szCs w:val="21"/>
              </w:rPr>
              <w:t>侯继雄</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149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1"/>
                <w:sz w:val="21"/>
                <w:szCs w:val="21"/>
              </w:rPr>
              <w:t>国泰君安证券</w:t>
              <w:tab/>
            </w:r>
            <w:r>
              <w:rPr>
                <w:rFonts w:ascii="宋体" w:hAnsi="宋体" w:cs="宋体" w:eastAsia="宋体" w:hint="default"/>
                <w:sz w:val="21"/>
                <w:szCs w:val="21"/>
              </w:rPr>
              <w:t>吕燕</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华夏基金管理有限公司</w:t>
              <w:tab/>
            </w:r>
            <w:r>
              <w:rPr>
                <w:rFonts w:ascii="宋体" w:hAnsi="宋体" w:cs="宋体" w:eastAsia="宋体" w:hint="default"/>
                <w:sz w:val="21"/>
                <w:szCs w:val="21"/>
              </w:rPr>
              <w:t>杨泽辉</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3"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中国国际金融有限公司</w:t>
              <w:tab/>
            </w:r>
            <w:r>
              <w:rPr>
                <w:rFonts w:ascii="宋体" w:hAnsi="宋体" w:cs="宋体" w:eastAsia="宋体" w:hint="default"/>
                <w:sz w:val="21"/>
                <w:szCs w:val="21"/>
              </w:rPr>
              <w:t>吴俊涛</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深圳展博投资发展有限公司</w:t>
              <w:tab/>
            </w:r>
            <w:r>
              <w:rPr>
                <w:rFonts w:ascii="宋体" w:hAnsi="宋体" w:cs="宋体" w:eastAsia="宋体" w:hint="default"/>
                <w:spacing w:val="-3"/>
                <w:sz w:val="21"/>
                <w:szCs w:val="21"/>
              </w:rPr>
              <w:t>缴鉴</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信诚基金管理有限公司</w:t>
              <w:tab/>
            </w:r>
            <w:r>
              <w:rPr>
                <w:rFonts w:ascii="宋体" w:hAnsi="宋体" w:cs="宋体" w:eastAsia="宋体" w:hint="default"/>
                <w:sz w:val="21"/>
                <w:szCs w:val="21"/>
              </w:rPr>
              <w:t>谭鹏万</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上海凯石投资管理有限公司</w:t>
              <w:tab/>
            </w:r>
            <w:r>
              <w:rPr>
                <w:rFonts w:ascii="宋体" w:hAnsi="宋体" w:cs="宋体" w:eastAsia="宋体" w:hint="default"/>
                <w:spacing w:val="-1"/>
                <w:sz w:val="21"/>
                <w:szCs w:val="21"/>
              </w:rPr>
              <w:t>李亚辉</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远策投资管理有限公司</w:t>
              <w:tab/>
            </w:r>
            <w:r>
              <w:rPr>
                <w:rFonts w:ascii="宋体" w:hAnsi="宋体" w:cs="宋体" w:eastAsia="宋体" w:hint="default"/>
                <w:sz w:val="21"/>
                <w:szCs w:val="21"/>
              </w:rPr>
              <w:t>李健</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湖南源乘投资管理有限公司</w:t>
              <w:tab/>
            </w:r>
            <w:r>
              <w:rPr>
                <w:rFonts w:ascii="宋体" w:hAnsi="宋体" w:cs="宋体" w:eastAsia="宋体" w:hint="default"/>
                <w:spacing w:val="-3"/>
                <w:sz w:val="21"/>
                <w:szCs w:val="21"/>
              </w:rPr>
              <w:t>王黎</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上海泽熙投资管理有限公司</w:t>
              <w:tab/>
            </w:r>
            <w:r>
              <w:rPr>
                <w:rFonts w:ascii="宋体" w:hAnsi="宋体" w:cs="宋体" w:eastAsia="宋体" w:hint="default"/>
                <w:spacing w:val="-1"/>
                <w:sz w:val="21"/>
                <w:szCs w:val="21"/>
              </w:rPr>
              <w:t>李政东</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55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3177" w:val="left" w:leader="none"/>
              </w:tabs>
              <w:spacing w:line="24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深圳市全鑫达投资发展有限公司</w:t>
              <w:tab/>
            </w:r>
            <w:r>
              <w:rPr>
                <w:rFonts w:ascii="宋体" w:hAnsi="宋体" w:cs="宋体" w:eastAsia="宋体" w:hint="default"/>
                <w:sz w:val="21"/>
                <w:szCs w:val="21"/>
              </w:rPr>
              <w:t>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小兆</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融通基金管理有限公司</w:t>
              <w:tab/>
            </w:r>
            <w:r>
              <w:rPr>
                <w:rFonts w:ascii="宋体" w:hAnsi="宋体" w:cs="宋体" w:eastAsia="宋体" w:hint="default"/>
                <w:sz w:val="21"/>
                <w:szCs w:val="21"/>
              </w:rPr>
              <w:t>尹文伟</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湖北盈捷投资有限公司</w:t>
              <w:tab/>
            </w:r>
            <w:r>
              <w:rPr>
                <w:rFonts w:ascii="宋体" w:hAnsi="宋体" w:cs="宋体" w:eastAsia="宋体" w:hint="default"/>
                <w:sz w:val="21"/>
                <w:szCs w:val="21"/>
              </w:rPr>
              <w:t>傅静</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生命人寿保险股份有限公司</w:t>
              <w:tab/>
            </w:r>
            <w:r>
              <w:rPr>
                <w:rFonts w:ascii="宋体" w:hAnsi="宋体" w:cs="宋体" w:eastAsia="宋体" w:hint="default"/>
                <w:spacing w:val="-1"/>
                <w:sz w:val="21"/>
                <w:szCs w:val="21"/>
              </w:rPr>
              <w:t>张华生</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966"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深圳市武当资产管理有限公司</w:t>
              <w:tab/>
            </w:r>
            <w:r>
              <w:rPr>
                <w:rFonts w:ascii="宋体" w:hAnsi="宋体" w:cs="宋体" w:eastAsia="宋体" w:hint="default"/>
                <w:sz w:val="21"/>
                <w:szCs w:val="21"/>
              </w:rPr>
              <w:t>肖志</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bl>
    <w:p>
      <w:pPr>
        <w:spacing w:after="0" w:line="241" w:lineRule="exact"/>
        <w:jc w:val="center"/>
        <w:rPr>
          <w:rFonts w:ascii="宋体" w:hAnsi="宋体" w:cs="宋体" w:eastAsia="宋体" w:hint="default"/>
          <w:sz w:val="21"/>
          <w:szCs w:val="21"/>
        </w:rPr>
        <w:sectPr>
          <w:pgSz w:w="11910" w:h="16840"/>
          <w:pgMar w:header="624" w:footer="1045" w:top="980" w:bottom="1240" w:left="580" w:right="560"/>
        </w:sectPr>
      </w:pPr>
    </w:p>
    <w:p>
      <w:pPr>
        <w:spacing w:line="240" w:lineRule="auto" w:before="0"/>
        <w:rPr>
          <w:rFonts w:ascii="Times New Roman" w:hAnsi="Times New Roman" w:cs="Times New Roman" w:eastAsia="Times New Roman"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791"/>
        <w:gridCol w:w="905"/>
        <w:gridCol w:w="992"/>
        <w:gridCol w:w="3564"/>
        <w:gridCol w:w="3284"/>
      </w:tblGrid>
      <w:tr>
        <w:trPr>
          <w:trHeight w:val="295" w:hRule="exact"/>
        </w:trPr>
        <w:tc>
          <w:tcPr>
            <w:tcW w:w="1791" w:type="dxa"/>
            <w:tcBorders>
              <w:top w:val="single" w:sz="10" w:space="0" w:color="000000"/>
              <w:left w:val="single" w:sz="4" w:space="0" w:color="000000"/>
              <w:bottom w:val="single" w:sz="4" w:space="0" w:color="000000"/>
              <w:right w:val="single" w:sz="4" w:space="0" w:color="000000"/>
            </w:tcBorders>
          </w:tcPr>
          <w:p>
            <w:pPr/>
          </w:p>
        </w:tc>
        <w:tc>
          <w:tcPr>
            <w:tcW w:w="905" w:type="dxa"/>
            <w:tcBorders>
              <w:top w:val="single" w:sz="10" w:space="0" w:color="000000"/>
              <w:left w:val="single" w:sz="4" w:space="0" w:color="000000"/>
              <w:bottom w:val="single" w:sz="4" w:space="0" w:color="000000"/>
              <w:right w:val="single" w:sz="4" w:space="0" w:color="000000"/>
            </w:tcBorders>
          </w:tcPr>
          <w:p>
            <w:pPr/>
          </w:p>
        </w:tc>
        <w:tc>
          <w:tcPr>
            <w:tcW w:w="992" w:type="dxa"/>
            <w:tcBorders>
              <w:top w:val="single" w:sz="10" w:space="0" w:color="000000"/>
              <w:left w:val="single" w:sz="4" w:space="0" w:color="000000"/>
              <w:bottom w:val="single" w:sz="4" w:space="0" w:color="000000"/>
              <w:right w:val="single" w:sz="4" w:space="0" w:color="000000"/>
            </w:tcBorders>
          </w:tcPr>
          <w:p>
            <w:pPr/>
          </w:p>
        </w:tc>
        <w:tc>
          <w:tcPr>
            <w:tcW w:w="3564"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虎</w:t>
            </w:r>
          </w:p>
        </w:tc>
        <w:tc>
          <w:tcPr>
            <w:tcW w:w="3284" w:type="dxa"/>
            <w:tcBorders>
              <w:top w:val="single" w:sz="10" w:space="0" w:color="000000"/>
              <w:left w:val="single" w:sz="4" w:space="0" w:color="000000"/>
              <w:bottom w:val="single" w:sz="4" w:space="0" w:color="000000"/>
              <w:right w:val="single" w:sz="4" w:space="0" w:color="000000"/>
            </w:tcBorders>
          </w:tcPr>
          <w:p>
            <w:pP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天津信托投资有限公司</w:t>
              <w:tab/>
            </w:r>
            <w:r>
              <w:rPr>
                <w:rFonts w:ascii="宋体" w:hAnsi="宋体" w:cs="宋体" w:eastAsia="宋体" w:hint="default"/>
                <w:sz w:val="21"/>
                <w:szCs w:val="21"/>
              </w:rPr>
              <w:t>沈菲</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966" w:val="left" w:leader="none"/>
              </w:tabs>
              <w:spacing w:line="244"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北京市星石投资管理有限公司</w:t>
              <w:tab/>
            </w:r>
            <w:r>
              <w:rPr>
                <w:rFonts w:ascii="宋体" w:hAnsi="宋体" w:cs="宋体" w:eastAsia="宋体" w:hint="default"/>
                <w:sz w:val="21"/>
                <w:szCs w:val="21"/>
              </w:rPr>
              <w:t>罗敏</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55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3177" w:val="left" w:leader="none"/>
              </w:tabs>
              <w:spacing w:line="24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北京京富融源投资管理有限公司</w:t>
              <w:tab/>
            </w:r>
            <w:r>
              <w:rPr>
                <w:rFonts w:ascii="宋体" w:hAnsi="宋体" w:cs="宋体" w:eastAsia="宋体" w:hint="default"/>
                <w:sz w:val="21"/>
                <w:szCs w:val="21"/>
              </w:rPr>
              <w:t>李</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为民</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55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966" w:val="left" w:leader="none"/>
              </w:tabs>
              <w:spacing w:line="24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交银施罗德基金管理有限公司</w:t>
              <w:tab/>
            </w:r>
            <w:r>
              <w:rPr>
                <w:rFonts w:ascii="宋体" w:hAnsi="宋体" w:cs="宋体" w:eastAsia="宋体" w:hint="default"/>
                <w:sz w:val="21"/>
                <w:szCs w:val="21"/>
              </w:rPr>
              <w:t>周炜</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炜</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55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966"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北京源乐晟资产管理有限公司</w:t>
              <w:tab/>
            </w:r>
            <w:r>
              <w:rPr>
                <w:rFonts w:ascii="宋体" w:hAnsi="宋体" w:cs="宋体" w:eastAsia="宋体" w:hint="default"/>
                <w:sz w:val="21"/>
                <w:szCs w:val="21"/>
              </w:rPr>
              <w:t>任泽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松</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3"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安邦财产保险股份有限公司</w:t>
              <w:tab/>
            </w:r>
            <w:r>
              <w:rPr>
                <w:rFonts w:ascii="宋体" w:hAnsi="宋体" w:cs="宋体" w:eastAsia="宋体" w:hint="default"/>
                <w:spacing w:val="-1"/>
                <w:sz w:val="21"/>
                <w:szCs w:val="21"/>
              </w:rPr>
              <w:t>杨里亚</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西安国际信托有限公司</w:t>
              <w:tab/>
            </w:r>
            <w:r>
              <w:rPr>
                <w:rFonts w:ascii="宋体" w:hAnsi="宋体" w:cs="宋体" w:eastAsia="宋体" w:hint="default"/>
                <w:sz w:val="21"/>
                <w:szCs w:val="21"/>
              </w:rPr>
              <w:t>赵忠辉</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天津信托有限责任公司</w:t>
              <w:tab/>
            </w:r>
            <w:r>
              <w:rPr>
                <w:rFonts w:ascii="宋体" w:hAnsi="宋体" w:cs="宋体" w:eastAsia="宋体" w:hint="default"/>
                <w:sz w:val="21"/>
                <w:szCs w:val="21"/>
              </w:rPr>
              <w:t>杨润宇</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3"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光大证券股份有限公司</w:t>
              <w:tab/>
            </w:r>
            <w:r>
              <w:rPr>
                <w:rFonts w:ascii="宋体" w:hAnsi="宋体" w:cs="宋体" w:eastAsia="宋体" w:hint="default"/>
                <w:sz w:val="21"/>
                <w:szCs w:val="21"/>
              </w:rPr>
              <w:t>丁谨</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829"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投资者关</w:t>
            </w:r>
          </w:p>
          <w:p>
            <w:pPr>
              <w:pStyle w:val="TableParagraph"/>
              <w:spacing w:line="272" w:lineRule="exact" w:before="27"/>
              <w:ind w:left="340" w:right="24" w:hanging="315"/>
              <w:jc w:val="left"/>
              <w:rPr>
                <w:rFonts w:ascii="宋体" w:hAnsi="宋体" w:cs="宋体" w:eastAsia="宋体" w:hint="default"/>
                <w:sz w:val="21"/>
                <w:szCs w:val="21"/>
              </w:rPr>
            </w:pPr>
            <w:r>
              <w:rPr>
                <w:rFonts w:ascii="宋体" w:hAnsi="宋体" w:cs="宋体" w:eastAsia="宋体" w:hint="default"/>
                <w:sz w:val="21"/>
                <w:szCs w:val="21"/>
              </w:rPr>
              <w:t>系互动平</w:t>
            </w:r>
            <w:r>
              <w:rPr>
                <w:rFonts w:ascii="宋体" w:hAnsi="宋体" w:cs="宋体" w:eastAsia="宋体" w:hint="default"/>
                <w:w w:val="100"/>
                <w:sz w:val="21"/>
                <w:szCs w:val="21"/>
              </w:rPr>
              <w:t> </w:t>
            </w:r>
            <w:r>
              <w:rPr>
                <w:rFonts w:ascii="宋体" w:hAnsi="宋体" w:cs="宋体" w:eastAsia="宋体" w:hint="default"/>
                <w:sz w:val="21"/>
                <w:szCs w:val="21"/>
              </w:rPr>
              <w:t>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网上</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年度业绩网上说明会</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招商证券股份有限公司</w:t>
              <w:tab/>
            </w:r>
            <w:r>
              <w:rPr>
                <w:rFonts w:ascii="宋体" w:hAnsi="宋体" w:cs="宋体" w:eastAsia="宋体" w:hint="default"/>
                <w:sz w:val="21"/>
                <w:szCs w:val="21"/>
              </w:rPr>
              <w:t>张良勇</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55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摩根士丹利华鑫基金管理有限公司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谭聪</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3"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广发证券股份有限公司</w:t>
              <w:tab/>
            </w:r>
            <w:r>
              <w:rPr>
                <w:rFonts w:ascii="宋体" w:hAnsi="宋体" w:cs="宋体" w:eastAsia="宋体" w:hint="default"/>
                <w:sz w:val="21"/>
                <w:szCs w:val="21"/>
              </w:rPr>
              <w:t>黄雷雷</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博源资产管理有限公司</w:t>
              <w:tab/>
            </w:r>
            <w:r>
              <w:rPr>
                <w:rFonts w:ascii="宋体" w:hAnsi="宋体" w:cs="宋体" w:eastAsia="宋体" w:hint="default"/>
                <w:sz w:val="21"/>
                <w:szCs w:val="21"/>
              </w:rPr>
              <w:t>朱国洪</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55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966" w:val="left" w:leader="none"/>
              </w:tabs>
              <w:spacing w:line="239"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深圳市合赢投资管理有限公司</w:t>
              <w:tab/>
            </w:r>
            <w:r>
              <w:rPr>
                <w:rFonts w:ascii="宋体" w:hAnsi="宋体" w:cs="宋体" w:eastAsia="宋体" w:hint="default"/>
                <w:sz w:val="21"/>
                <w:szCs w:val="21"/>
              </w:rPr>
              <w:t>易建</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军</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上海汇利资产管理有限公司</w:t>
              <w:tab/>
            </w:r>
            <w:r>
              <w:rPr>
                <w:rFonts w:ascii="宋体" w:hAnsi="宋体" w:cs="宋体" w:eastAsia="宋体" w:hint="default"/>
                <w:spacing w:val="-3"/>
                <w:sz w:val="21"/>
                <w:szCs w:val="21"/>
              </w:rPr>
              <w:t>江慂</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3"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华夏基金管理有限公司</w:t>
              <w:tab/>
            </w:r>
            <w:r>
              <w:rPr>
                <w:rFonts w:ascii="宋体" w:hAnsi="宋体" w:cs="宋体" w:eastAsia="宋体" w:hint="default"/>
                <w:sz w:val="21"/>
                <w:szCs w:val="21"/>
              </w:rPr>
              <w:t>张青</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国海证券有限责任公司</w:t>
              <w:tab/>
            </w:r>
            <w:r>
              <w:rPr>
                <w:rFonts w:ascii="宋体" w:hAnsi="宋体" w:cs="宋体" w:eastAsia="宋体" w:hint="default"/>
                <w:sz w:val="21"/>
                <w:szCs w:val="21"/>
              </w:rPr>
              <w:t>蒋传宁</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国海证券有限责任公司</w:t>
              <w:tab/>
            </w:r>
            <w:r>
              <w:rPr>
                <w:rFonts w:ascii="宋体" w:hAnsi="宋体" w:cs="宋体" w:eastAsia="宋体" w:hint="default"/>
                <w:sz w:val="21"/>
                <w:szCs w:val="21"/>
              </w:rPr>
              <w:t>卜忠东</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3"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国海证券有限责任公司</w:t>
              <w:tab/>
            </w:r>
            <w:r>
              <w:rPr>
                <w:rFonts w:ascii="宋体" w:hAnsi="宋体" w:cs="宋体" w:eastAsia="宋体" w:hint="default"/>
                <w:sz w:val="21"/>
                <w:szCs w:val="21"/>
              </w:rPr>
              <w:t>赵兵</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农银汇理基金管理有限公司</w:t>
              <w:tab/>
            </w:r>
            <w:r>
              <w:rPr>
                <w:rFonts w:ascii="宋体" w:hAnsi="宋体" w:cs="宋体" w:eastAsia="宋体" w:hint="default"/>
                <w:spacing w:val="-3"/>
                <w:sz w:val="21"/>
                <w:szCs w:val="21"/>
              </w:rPr>
              <w:t>程涛</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新华资产管理股份有限公司</w:t>
              <w:tab/>
            </w:r>
            <w:r>
              <w:rPr>
                <w:rFonts w:ascii="宋体" w:hAnsi="宋体" w:cs="宋体" w:eastAsia="宋体" w:hint="default"/>
                <w:spacing w:val="-1"/>
                <w:sz w:val="21"/>
                <w:szCs w:val="21"/>
              </w:rPr>
              <w:t>林建臻</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中银基金管理有限公司</w:t>
              <w:tab/>
            </w:r>
            <w:r>
              <w:rPr>
                <w:rFonts w:ascii="宋体" w:hAnsi="宋体" w:cs="宋体" w:eastAsia="宋体" w:hint="default"/>
                <w:sz w:val="21"/>
                <w:szCs w:val="21"/>
              </w:rPr>
              <w:t>陈军</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中信证券股份有限公司</w:t>
              <w:tab/>
            </w:r>
            <w:r>
              <w:rPr>
                <w:rFonts w:ascii="宋体" w:hAnsi="宋体" w:cs="宋体" w:eastAsia="宋体" w:hint="default"/>
                <w:sz w:val="21"/>
                <w:szCs w:val="21"/>
              </w:rPr>
              <w:t>杨凡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西部证券股份有限公司</w:t>
              <w:tab/>
            </w:r>
            <w:r>
              <w:rPr>
                <w:rFonts w:ascii="宋体" w:hAnsi="宋体" w:cs="宋体" w:eastAsia="宋体" w:hint="default"/>
                <w:sz w:val="21"/>
                <w:szCs w:val="21"/>
              </w:rPr>
              <w:t>何方</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西部证券股份有限公司</w:t>
              <w:tab/>
            </w:r>
            <w:r>
              <w:rPr>
                <w:rFonts w:ascii="宋体" w:hAnsi="宋体" w:cs="宋体" w:eastAsia="宋体" w:hint="default"/>
                <w:sz w:val="21"/>
                <w:szCs w:val="21"/>
              </w:rPr>
              <w:t>王宗凯</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中国国际金融有限公司</w:t>
              <w:tab/>
            </w:r>
            <w:r>
              <w:rPr>
                <w:rFonts w:ascii="宋体" w:hAnsi="宋体" w:cs="宋体" w:eastAsia="宋体" w:hint="default"/>
                <w:sz w:val="21"/>
                <w:szCs w:val="21"/>
              </w:rPr>
              <w:t>范海涛</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诺安基金管理有限公司</w:t>
              <w:tab/>
            </w:r>
            <w:r>
              <w:rPr>
                <w:rFonts w:ascii="宋体" w:hAnsi="宋体" w:cs="宋体" w:eastAsia="宋体" w:hint="default"/>
                <w:sz w:val="21"/>
                <w:szCs w:val="21"/>
              </w:rPr>
              <w:t>赵苏</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中投证券资产管理部</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126"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1"/>
                <w:sz w:val="21"/>
                <w:szCs w:val="21"/>
              </w:rPr>
              <w:t>中投证券资产管理部</w:t>
              <w:tab/>
            </w:r>
            <w:r>
              <w:rPr>
                <w:rFonts w:ascii="宋体" w:hAnsi="宋体" w:cs="宋体" w:eastAsia="宋体" w:hint="default"/>
                <w:spacing w:val="-3"/>
                <w:sz w:val="21"/>
                <w:szCs w:val="21"/>
              </w:rPr>
              <w:t>冯君</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3"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国信证券资产管理总部</w:t>
              <w:tab/>
            </w:r>
            <w:r>
              <w:rPr>
                <w:rFonts w:ascii="宋体" w:hAnsi="宋体" w:cs="宋体" w:eastAsia="宋体" w:hint="default"/>
                <w:sz w:val="21"/>
                <w:szCs w:val="21"/>
              </w:rPr>
              <w:t>杨蓓</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天治基金管理有限公司</w:t>
              <w:tab/>
            </w:r>
            <w:r>
              <w:rPr>
                <w:rFonts w:ascii="宋体" w:hAnsi="宋体" w:cs="宋体" w:eastAsia="宋体" w:hint="default"/>
                <w:sz w:val="21"/>
                <w:szCs w:val="21"/>
              </w:rPr>
              <w:t>章旭峰</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天治基金管理有限公司</w:t>
              <w:tab/>
            </w:r>
            <w:r>
              <w:rPr>
                <w:rFonts w:ascii="宋体" w:hAnsi="宋体" w:cs="宋体" w:eastAsia="宋体" w:hint="default"/>
                <w:sz w:val="21"/>
                <w:szCs w:val="21"/>
              </w:rPr>
              <w:t>秦海燕</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3"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中海基金管理有限公司</w:t>
              <w:tab/>
            </w:r>
            <w:r>
              <w:rPr>
                <w:rFonts w:ascii="宋体" w:hAnsi="宋体" w:cs="宋体" w:eastAsia="宋体" w:hint="default"/>
                <w:sz w:val="21"/>
                <w:szCs w:val="21"/>
              </w:rPr>
              <w:t>夏春晖</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555"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317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北京京富融源投资管理有限公司</w:t>
              <w:tab/>
            </w:r>
            <w:r>
              <w:rPr>
                <w:rFonts w:ascii="宋体" w:hAnsi="宋体" w:cs="宋体" w:eastAsia="宋体" w:hint="default"/>
                <w:sz w:val="21"/>
                <w:szCs w:val="21"/>
              </w:rPr>
              <w:t>李</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世杰</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上海理成资产管理有限公司</w:t>
              <w:tab/>
            </w:r>
            <w:r>
              <w:rPr>
                <w:rFonts w:ascii="宋体" w:hAnsi="宋体" w:cs="宋体" w:eastAsia="宋体" w:hint="default"/>
                <w:spacing w:val="-1"/>
                <w:sz w:val="21"/>
                <w:szCs w:val="21"/>
              </w:rPr>
              <w:t>叶振涛</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华安基金管理有限公司</w:t>
              <w:tab/>
            </w:r>
            <w:r>
              <w:rPr>
                <w:rFonts w:ascii="宋体" w:hAnsi="宋体" w:cs="宋体" w:eastAsia="宋体" w:hint="default"/>
                <w:sz w:val="21"/>
                <w:szCs w:val="21"/>
              </w:rPr>
              <w:t>辛蔚</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335" w:val="left" w:leader="none"/>
              </w:tabs>
              <w:spacing w:line="243"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景林资产管理有限公司</w:t>
              <w:tab/>
            </w:r>
            <w:r>
              <w:rPr>
                <w:rFonts w:ascii="宋体" w:hAnsi="宋体" w:cs="宋体" w:eastAsia="宋体" w:hint="default"/>
                <w:sz w:val="21"/>
                <w:szCs w:val="21"/>
              </w:rPr>
              <w:t>蒋彤</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上海泽熙投资管理有限公司</w:t>
              <w:tab/>
            </w:r>
            <w:r>
              <w:rPr>
                <w:rFonts w:ascii="宋体" w:hAnsi="宋体" w:cs="宋体" w:eastAsia="宋体" w:hint="default"/>
                <w:spacing w:val="-1"/>
                <w:sz w:val="21"/>
                <w:szCs w:val="21"/>
              </w:rPr>
              <w:t>孔全桦</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tabs>
                <w:tab w:pos="2757"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华宝兴业基金管理有限公司</w:t>
              <w:tab/>
            </w:r>
            <w:r>
              <w:rPr>
                <w:rFonts w:ascii="宋体" w:hAnsi="宋体" w:cs="宋体" w:eastAsia="宋体" w:hint="default"/>
                <w:spacing w:val="-3"/>
                <w:sz w:val="21"/>
                <w:szCs w:val="21"/>
              </w:rPr>
              <w:t>朱亮</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557"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国海证券有限责任公司 蒋传宁</w:t>
            </w:r>
            <w:r>
              <w:rPr>
                <w:rFonts w:ascii="宋体" w:hAnsi="宋体" w:cs="宋体" w:eastAsia="宋体" w:hint="default"/>
                <w:spacing w:val="-1"/>
                <w:sz w:val="21"/>
                <w:szCs w:val="21"/>
              </w:rPr>
              <w:t> </w:t>
            </w:r>
            <w:r>
              <w:rPr>
                <w:rFonts w:ascii="宋体" w:hAnsi="宋体" w:cs="宋体" w:eastAsia="宋体" w:hint="default"/>
                <w:sz w:val="21"/>
                <w:szCs w:val="21"/>
              </w:rPr>
              <w:t>宋振</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3"/>
                <w:sz w:val="21"/>
                <w:szCs w:val="21"/>
              </w:rPr>
              <w:t> </w:t>
            </w:r>
            <w:r>
              <w:rPr>
                <w:rFonts w:ascii="宋体" w:hAnsi="宋体" w:cs="宋体" w:eastAsia="宋体" w:hint="default"/>
                <w:spacing w:val="-3"/>
                <w:sz w:val="21"/>
                <w:szCs w:val="21"/>
              </w:rPr>
              <w:t>吕冰</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bl>
    <w:p>
      <w:pPr>
        <w:spacing w:after="0" w:line="240" w:lineRule="auto"/>
        <w:jc w:val="left"/>
        <w:rPr>
          <w:rFonts w:ascii="宋体" w:hAnsi="宋体" w:cs="宋体" w:eastAsia="宋体" w:hint="default"/>
          <w:sz w:val="21"/>
          <w:szCs w:val="21"/>
        </w:rPr>
        <w:sectPr>
          <w:pgSz w:w="11910" w:h="16840"/>
          <w:pgMar w:header="624" w:footer="1045" w:top="980" w:bottom="1240" w:left="580" w:right="560"/>
        </w:sectPr>
      </w:pPr>
    </w:p>
    <w:p>
      <w:pPr>
        <w:spacing w:line="240" w:lineRule="auto" w:before="0"/>
        <w:rPr>
          <w:rFonts w:ascii="Times New Roman" w:hAnsi="Times New Roman" w:cs="Times New Roman" w:eastAsia="Times New Roman"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1791"/>
        <w:gridCol w:w="905"/>
        <w:gridCol w:w="992"/>
        <w:gridCol w:w="3564"/>
        <w:gridCol w:w="3284"/>
      </w:tblGrid>
      <w:tr>
        <w:trPr>
          <w:trHeight w:val="840" w:hRule="exact"/>
        </w:trPr>
        <w:tc>
          <w:tcPr>
            <w:tcW w:w="17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10" w:space="0" w:color="000000"/>
              <w:left w:val="single" w:sz="4" w:space="0" w:color="000000"/>
              <w:bottom w:val="single" w:sz="4" w:space="0" w:color="000000"/>
              <w:right w:val="single" w:sz="4" w:space="0" w:color="000000"/>
            </w:tcBorders>
          </w:tcPr>
          <w:p>
            <w:pPr>
              <w:pStyle w:val="TableParagraph"/>
              <w:spacing w:line="245"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投资者关</w:t>
            </w:r>
          </w:p>
          <w:p>
            <w:pPr>
              <w:pStyle w:val="TableParagraph"/>
              <w:spacing w:line="272" w:lineRule="exact" w:before="27"/>
              <w:ind w:left="340" w:right="24" w:hanging="315"/>
              <w:jc w:val="left"/>
              <w:rPr>
                <w:rFonts w:ascii="宋体" w:hAnsi="宋体" w:cs="宋体" w:eastAsia="宋体" w:hint="default"/>
                <w:sz w:val="21"/>
                <w:szCs w:val="21"/>
              </w:rPr>
            </w:pPr>
            <w:r>
              <w:rPr>
                <w:rFonts w:ascii="宋体" w:hAnsi="宋体" w:cs="宋体" w:eastAsia="宋体" w:hint="default"/>
                <w:sz w:val="21"/>
                <w:szCs w:val="21"/>
              </w:rPr>
              <w:t>系互动平</w:t>
            </w:r>
            <w:r>
              <w:rPr>
                <w:rFonts w:ascii="宋体" w:hAnsi="宋体" w:cs="宋体" w:eastAsia="宋体" w:hint="default"/>
                <w:w w:val="100"/>
                <w:sz w:val="21"/>
                <w:szCs w:val="21"/>
              </w:rPr>
              <w:t> </w:t>
            </w:r>
            <w:r>
              <w:rPr>
                <w:rFonts w:ascii="宋体" w:hAnsi="宋体" w:cs="宋体" w:eastAsia="宋体" w:hint="default"/>
                <w:sz w:val="21"/>
                <w:szCs w:val="21"/>
              </w:rPr>
              <w:t>台</w:t>
            </w:r>
          </w:p>
        </w:tc>
        <w:tc>
          <w:tcPr>
            <w:tcW w:w="9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网上</w:t>
            </w:r>
          </w:p>
        </w:tc>
        <w:tc>
          <w:tcPr>
            <w:tcW w:w="356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2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长江证券证券股份有限公司 马先文</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国联证券股份有限公司 </w:t>
            </w:r>
            <w:r>
              <w:rPr>
                <w:rFonts w:ascii="宋体" w:hAnsi="宋体" w:cs="宋体" w:eastAsia="宋体" w:hint="default"/>
                <w:spacing w:val="-3"/>
                <w:sz w:val="21"/>
                <w:szCs w:val="21"/>
              </w:rPr>
              <w:t>郝杰</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金元比联基金管理有限公司 沈瑞君</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宏源证券研究所</w:t>
            </w:r>
            <w:r>
              <w:rPr>
                <w:rFonts w:ascii="宋体" w:hAnsi="宋体" w:cs="宋体" w:eastAsia="宋体" w:hint="default"/>
                <w:spacing w:val="1"/>
                <w:sz w:val="21"/>
                <w:szCs w:val="21"/>
              </w:rPr>
              <w:t> </w:t>
            </w:r>
            <w:r>
              <w:rPr>
                <w:rFonts w:ascii="宋体" w:hAnsi="宋体" w:cs="宋体" w:eastAsia="宋体" w:hint="default"/>
                <w:sz w:val="21"/>
                <w:szCs w:val="21"/>
              </w:rPr>
              <w:t>胡育杰</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上海从容投有限公司</w:t>
            </w:r>
            <w:r>
              <w:rPr>
                <w:rFonts w:ascii="宋体" w:hAnsi="宋体" w:cs="宋体" w:eastAsia="宋体" w:hint="default"/>
                <w:spacing w:val="2"/>
                <w:sz w:val="21"/>
                <w:szCs w:val="21"/>
              </w:rPr>
              <w:t> </w:t>
            </w:r>
            <w:r>
              <w:rPr>
                <w:rFonts w:ascii="宋体" w:hAnsi="宋体" w:cs="宋体" w:eastAsia="宋体" w:hint="default"/>
                <w:spacing w:val="-3"/>
                <w:sz w:val="21"/>
                <w:szCs w:val="21"/>
              </w:rPr>
              <w:t>龚昊</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322"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电话会议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39</w:t>
            </w:r>
            <w:r>
              <w:rPr>
                <w:rFonts w:ascii="宋体" w:hAnsi="宋体" w:cs="宋体" w:eastAsia="宋体" w:hint="default"/>
                <w:spacing w:val="-60"/>
                <w:sz w:val="24"/>
                <w:szCs w:val="24"/>
              </w:rPr>
              <w:t> </w:t>
            </w:r>
            <w:r>
              <w:rPr>
                <w:rFonts w:ascii="宋体" w:hAnsi="宋体" w:cs="宋体" w:eastAsia="宋体" w:hint="default"/>
                <w:sz w:val="24"/>
                <w:szCs w:val="24"/>
              </w:rPr>
              <w:t>家机构投资者</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公司中期业绩交流</w:t>
            </w:r>
          </w:p>
        </w:tc>
      </w:tr>
      <w:tr>
        <w:trPr>
          <w:trHeight w:val="826"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国信证券股份有限公司 高耀华</w:t>
            </w:r>
            <w:r>
              <w:rPr>
                <w:rFonts w:ascii="宋体" w:hAnsi="宋体" w:cs="宋体" w:eastAsia="宋体" w:hint="default"/>
                <w:spacing w:val="-1"/>
                <w:sz w:val="21"/>
                <w:szCs w:val="21"/>
              </w:rPr>
              <w:t> </w:t>
            </w:r>
            <w:r>
              <w:rPr>
                <w:rFonts w:ascii="宋体" w:hAnsi="宋体" w:cs="宋体" w:eastAsia="宋体" w:hint="default"/>
                <w:sz w:val="21"/>
                <w:szCs w:val="21"/>
              </w:rPr>
              <w:t>张颖</w:t>
            </w:r>
          </w:p>
          <w:p>
            <w:pPr>
              <w:pStyle w:val="TableParagraph"/>
              <w:spacing w:line="272" w:lineRule="exact" w:before="27"/>
              <w:ind w:left="23" w:right="60"/>
              <w:jc w:val="left"/>
              <w:rPr>
                <w:rFonts w:ascii="宋体" w:hAnsi="宋体" w:cs="宋体" w:eastAsia="宋体" w:hint="default"/>
                <w:sz w:val="21"/>
                <w:szCs w:val="21"/>
              </w:rPr>
            </w:pPr>
            <w:r>
              <w:rPr>
                <w:rFonts w:ascii="宋体" w:hAnsi="宋体" w:cs="宋体" w:eastAsia="宋体" w:hint="default"/>
                <w:sz w:val="21"/>
                <w:szCs w:val="21"/>
              </w:rPr>
              <w:t>宫平 代汉军 周炳林 郑毅 张嫄</w:t>
            </w:r>
            <w:r>
              <w:rPr>
                <w:rFonts w:ascii="宋体" w:hAnsi="宋体" w:cs="宋体" w:eastAsia="宋体" w:hint="default"/>
                <w:spacing w:val="-1"/>
                <w:sz w:val="21"/>
                <w:szCs w:val="21"/>
              </w:rPr>
              <w:t> </w:t>
            </w:r>
            <w:r>
              <w:rPr>
                <w:rFonts w:ascii="宋体" w:hAnsi="宋体" w:cs="宋体" w:eastAsia="宋体" w:hint="default"/>
                <w:sz w:val="21"/>
                <w:szCs w:val="21"/>
              </w:rPr>
              <w:t>何晓</w:t>
            </w:r>
            <w:r>
              <w:rPr>
                <w:rFonts w:ascii="宋体" w:hAnsi="宋体" w:cs="宋体" w:eastAsia="宋体" w:hint="default"/>
                <w:w w:val="100"/>
                <w:sz w:val="21"/>
                <w:szCs w:val="21"/>
              </w:rPr>
              <w:t> </w:t>
            </w:r>
            <w:r>
              <w:rPr>
                <w:rFonts w:ascii="宋体" w:hAnsi="宋体" w:cs="宋体" w:eastAsia="宋体" w:hint="default"/>
                <w:sz w:val="21"/>
                <w:szCs w:val="21"/>
              </w:rPr>
              <w:t>萌 段迎晟 吴达</w:t>
            </w:r>
            <w:r>
              <w:rPr>
                <w:rFonts w:ascii="宋体" w:hAnsi="宋体" w:cs="宋体" w:eastAsia="宋体" w:hint="default"/>
                <w:spacing w:val="2"/>
                <w:sz w:val="21"/>
                <w:szCs w:val="21"/>
              </w:rPr>
              <w:t> </w:t>
            </w:r>
            <w:r>
              <w:rPr>
                <w:rFonts w:ascii="宋体" w:hAnsi="宋体" w:cs="宋体" w:eastAsia="宋体" w:hint="default"/>
                <w:spacing w:val="-3"/>
                <w:sz w:val="21"/>
                <w:szCs w:val="21"/>
              </w:rPr>
              <w:t>李君</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上海冠亚投资管理有限公司 姜仁华</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海富通基金管理有限公司</w:t>
            </w:r>
            <w:r>
              <w:rPr>
                <w:rFonts w:ascii="宋体" w:hAnsi="宋体" w:cs="宋体" w:eastAsia="宋体" w:hint="default"/>
                <w:spacing w:val="-1"/>
                <w:sz w:val="21"/>
                <w:szCs w:val="21"/>
              </w:rPr>
              <w:t> </w:t>
            </w:r>
            <w:r>
              <w:rPr>
                <w:rFonts w:ascii="宋体" w:hAnsi="宋体" w:cs="宋体" w:eastAsia="宋体" w:hint="default"/>
                <w:sz w:val="21"/>
                <w:szCs w:val="21"/>
              </w:rPr>
              <w:t>戴舜德</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新华资产管理有限公司</w:t>
            </w:r>
            <w:r>
              <w:rPr>
                <w:rFonts w:ascii="宋体" w:hAnsi="宋体" w:cs="宋体" w:eastAsia="宋体" w:hint="default"/>
                <w:spacing w:val="-2"/>
                <w:sz w:val="21"/>
                <w:szCs w:val="21"/>
              </w:rPr>
              <w:t> </w:t>
            </w:r>
            <w:r>
              <w:rPr>
                <w:rFonts w:ascii="宋体" w:hAnsi="宋体" w:cs="宋体" w:eastAsia="宋体" w:hint="default"/>
                <w:sz w:val="21"/>
                <w:szCs w:val="21"/>
              </w:rPr>
              <w:t>万宗一</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4"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深圳综彩投资管理有限公司 范海洋</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工银瑞信基金管理有限公司 修世宇</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天弘基金管理有限公司</w:t>
            </w:r>
            <w:r>
              <w:rPr>
                <w:rFonts w:ascii="宋体" w:hAnsi="宋体" w:cs="宋体" w:eastAsia="宋体" w:hint="default"/>
                <w:spacing w:val="-2"/>
                <w:sz w:val="21"/>
                <w:szCs w:val="21"/>
              </w:rPr>
              <w:t> </w:t>
            </w:r>
            <w:r>
              <w:rPr>
                <w:rFonts w:ascii="宋体" w:hAnsi="宋体" w:cs="宋体" w:eastAsia="宋体" w:hint="default"/>
                <w:sz w:val="21"/>
                <w:szCs w:val="21"/>
              </w:rPr>
              <w:t>高喜阳</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华安基金管理有限公司 </w:t>
            </w:r>
            <w:r>
              <w:rPr>
                <w:rFonts w:ascii="宋体" w:hAnsi="宋体" w:cs="宋体" w:eastAsia="宋体" w:hint="default"/>
                <w:spacing w:val="-3"/>
                <w:sz w:val="21"/>
                <w:szCs w:val="21"/>
              </w:rPr>
              <w:t>康平</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国海证券有限责任公司</w:t>
            </w:r>
            <w:r>
              <w:rPr>
                <w:rFonts w:ascii="宋体" w:hAnsi="宋体" w:cs="宋体" w:eastAsia="宋体" w:hint="default"/>
                <w:spacing w:val="-2"/>
                <w:sz w:val="21"/>
                <w:szCs w:val="21"/>
              </w:rPr>
              <w:t> </w:t>
            </w:r>
            <w:r>
              <w:rPr>
                <w:rFonts w:ascii="宋体" w:hAnsi="宋体" w:cs="宋体" w:eastAsia="宋体" w:hint="default"/>
                <w:sz w:val="21"/>
                <w:szCs w:val="21"/>
              </w:rPr>
              <w:t>蒋传宁</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瑞银证券有限责任公司 </w:t>
            </w:r>
            <w:r>
              <w:rPr>
                <w:rFonts w:ascii="宋体" w:hAnsi="宋体" w:cs="宋体" w:eastAsia="宋体" w:hint="default"/>
                <w:spacing w:val="-3"/>
                <w:sz w:val="21"/>
                <w:szCs w:val="21"/>
              </w:rPr>
              <w:t>王勇</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兴业证券股份有限公司</w:t>
            </w:r>
            <w:r>
              <w:rPr>
                <w:rFonts w:ascii="宋体" w:hAnsi="宋体" w:cs="宋体" w:eastAsia="宋体" w:hint="default"/>
                <w:spacing w:val="-2"/>
                <w:sz w:val="21"/>
                <w:szCs w:val="21"/>
              </w:rPr>
              <w:t> </w:t>
            </w:r>
            <w:r>
              <w:rPr>
                <w:rFonts w:ascii="宋体" w:hAnsi="宋体" w:cs="宋体" w:eastAsia="宋体" w:hint="default"/>
                <w:sz w:val="21"/>
                <w:szCs w:val="21"/>
              </w:rPr>
              <w:t>张英娟</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深圳作手投资公司 谭海鹰</w:t>
            </w:r>
            <w:r>
              <w:rPr>
                <w:rFonts w:ascii="宋体" w:hAnsi="宋体" w:cs="宋体" w:eastAsia="宋体" w:hint="default"/>
                <w:spacing w:val="-2"/>
                <w:sz w:val="21"/>
                <w:szCs w:val="21"/>
              </w:rPr>
              <w:t> </w:t>
            </w:r>
            <w:r>
              <w:rPr>
                <w:rFonts w:ascii="宋体" w:hAnsi="宋体" w:cs="宋体" w:eastAsia="宋体" w:hint="default"/>
                <w:sz w:val="21"/>
                <w:szCs w:val="21"/>
              </w:rPr>
              <w:t>胡静</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嘉实基金管理有限公司 顾义河</w:t>
            </w:r>
            <w:r>
              <w:rPr>
                <w:rFonts w:ascii="宋体" w:hAnsi="宋体" w:cs="宋体" w:eastAsia="宋体" w:hint="default"/>
                <w:spacing w:val="-1"/>
                <w:sz w:val="21"/>
                <w:szCs w:val="21"/>
              </w:rPr>
              <w:t> </w:t>
            </w:r>
            <w:r>
              <w:rPr>
                <w:rFonts w:ascii="宋体" w:hAnsi="宋体" w:cs="宋体" w:eastAsia="宋体" w:hint="default"/>
                <w:sz w:val="21"/>
                <w:szCs w:val="21"/>
              </w:rPr>
              <w:t>王从</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MC </w:t>
            </w:r>
            <w:r>
              <w:rPr>
                <w:rFonts w:ascii="宋体" w:hAnsi="宋体" w:cs="宋体" w:eastAsia="宋体" w:hint="default"/>
                <w:sz w:val="21"/>
                <w:szCs w:val="21"/>
              </w:rPr>
              <w:t>中国有限公司</w:t>
            </w:r>
            <w:r>
              <w:rPr>
                <w:rFonts w:ascii="宋体" w:hAnsi="宋体" w:cs="宋体" w:eastAsia="宋体" w:hint="default"/>
                <w:spacing w:val="-3"/>
                <w:sz w:val="21"/>
                <w:szCs w:val="21"/>
              </w:rPr>
              <w:t> </w:t>
            </w:r>
            <w:r>
              <w:rPr>
                <w:rFonts w:ascii="宋体" w:hAnsi="宋体" w:cs="宋体" w:eastAsia="宋体" w:hint="default"/>
                <w:sz w:val="21"/>
                <w:szCs w:val="21"/>
              </w:rPr>
              <w:t>柯世锋</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瀚伦投资顾问（上海）有限公司</w:t>
            </w:r>
            <w:r>
              <w:rPr>
                <w:rFonts w:ascii="宋体" w:hAnsi="宋体" w:cs="宋体" w:eastAsia="宋体" w:hint="default"/>
                <w:spacing w:val="2"/>
                <w:sz w:val="21"/>
                <w:szCs w:val="21"/>
              </w:rPr>
              <w:t> </w:t>
            </w:r>
            <w:r>
              <w:rPr>
                <w:rFonts w:ascii="宋体" w:hAnsi="宋体" w:cs="宋体" w:eastAsia="宋体" w:hint="default"/>
                <w:spacing w:val="-3"/>
                <w:sz w:val="21"/>
                <w:szCs w:val="21"/>
              </w:rPr>
              <w:t>孙亮</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中国国际金融有限公司</w:t>
            </w:r>
            <w:r>
              <w:rPr>
                <w:rFonts w:ascii="宋体" w:hAnsi="宋体" w:cs="宋体" w:eastAsia="宋体" w:hint="default"/>
                <w:spacing w:val="-2"/>
                <w:sz w:val="21"/>
                <w:szCs w:val="21"/>
              </w:rPr>
              <w:t> </w:t>
            </w:r>
            <w:r>
              <w:rPr>
                <w:rFonts w:ascii="宋体" w:hAnsi="宋体" w:cs="宋体" w:eastAsia="宋体" w:hint="default"/>
                <w:sz w:val="21"/>
                <w:szCs w:val="21"/>
              </w:rPr>
              <w:t>薛建民</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信达澳银基金管理有限公司 王战强</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中央电视台 张文杰 许国峰</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广发基金管理有限公司</w:t>
            </w:r>
            <w:r>
              <w:rPr>
                <w:rFonts w:ascii="宋体" w:hAnsi="宋体" w:cs="宋体" w:eastAsia="宋体" w:hint="default"/>
                <w:spacing w:val="-2"/>
                <w:sz w:val="21"/>
                <w:szCs w:val="21"/>
              </w:rPr>
              <w:t> </w:t>
            </w:r>
            <w:r>
              <w:rPr>
                <w:rFonts w:ascii="宋体" w:hAnsi="宋体" w:cs="宋体" w:eastAsia="宋体" w:hint="default"/>
                <w:sz w:val="21"/>
                <w:szCs w:val="21"/>
              </w:rPr>
              <w:t>黄柏宁</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国投瑞银基金管理有限公司 陈小玲</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1"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东方证券资产管理有限公司 王延飞</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国海富兰克林基金管理有限公司</w:t>
            </w:r>
            <w:r>
              <w:rPr>
                <w:rFonts w:ascii="宋体" w:hAnsi="宋体" w:cs="宋体" w:eastAsia="宋体" w:hint="default"/>
                <w:spacing w:val="2"/>
                <w:sz w:val="21"/>
                <w:szCs w:val="21"/>
              </w:rPr>
              <w:t> </w:t>
            </w:r>
            <w:r>
              <w:rPr>
                <w:rFonts w:ascii="宋体" w:hAnsi="宋体" w:cs="宋体" w:eastAsia="宋体" w:hint="default"/>
                <w:spacing w:val="-3"/>
                <w:sz w:val="21"/>
                <w:szCs w:val="21"/>
              </w:rPr>
              <w:t>崔晨</w:t>
            </w:r>
            <w:r>
              <w:rPr>
                <w:rFonts w:ascii="宋体" w:hAnsi="宋体" w:cs="宋体" w:eastAsia="宋体" w:hint="default"/>
                <w:sz w:val="21"/>
                <w:szCs w:val="21"/>
              </w:rPr>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公司经营发展情况及公司产品情况</w:t>
            </w:r>
          </w:p>
        </w:tc>
      </w:tr>
    </w:tbl>
    <w:p>
      <w:pPr>
        <w:spacing w:after="0" w:line="241" w:lineRule="exact"/>
        <w:jc w:val="left"/>
        <w:rPr>
          <w:rFonts w:ascii="宋体" w:hAnsi="宋体" w:cs="宋体" w:eastAsia="宋体" w:hint="default"/>
          <w:sz w:val="21"/>
          <w:szCs w:val="21"/>
        </w:rPr>
        <w:sectPr>
          <w:pgSz w:w="11910" w:h="16840"/>
          <w:pgMar w:header="624" w:footer="1045" w:top="980" w:bottom="1240" w:left="580" w:right="560"/>
        </w:sectPr>
      </w:pPr>
    </w:p>
    <w:p>
      <w:pPr>
        <w:spacing w:line="240" w:lineRule="auto" w:before="5"/>
        <w:rPr>
          <w:rFonts w:ascii="Times New Roman" w:hAnsi="Times New Roman" w:cs="Times New Roman" w:eastAsia="Times New Roman" w:hint="default"/>
          <w:sz w:val="21"/>
          <w:szCs w:val="21"/>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1"/>
        <w:spacing w:line="337" w:lineRule="exact" w:before="0"/>
        <w:ind w:left="3148" w:right="3226"/>
        <w:jc w:val="center"/>
      </w:pPr>
      <w:bookmarkStart w:name="_TOC_250001" w:id="10"/>
      <w:r>
        <w:rPr/>
        <w:t>第十节</w:t>
      </w:r>
      <w:r>
        <w:rPr>
          <w:spacing w:val="1"/>
        </w:rPr>
        <w:t> </w:t>
      </w:r>
      <w:bookmarkEnd w:id="10"/>
      <w:r>
        <w:rPr/>
        <w:t>财务报告</w:t>
      </w:r>
    </w:p>
    <w:p>
      <w:pPr>
        <w:spacing w:line="240" w:lineRule="auto" w:before="0"/>
        <w:rPr>
          <w:rFonts w:ascii="黑体" w:hAnsi="黑体" w:cs="黑体" w:eastAsia="黑体" w:hint="default"/>
          <w:sz w:val="30"/>
          <w:szCs w:val="30"/>
        </w:rPr>
      </w:pPr>
    </w:p>
    <w:p>
      <w:pPr>
        <w:spacing w:before="257"/>
        <w:ind w:left="3148" w:right="3223" w:firstLine="0"/>
        <w:jc w:val="center"/>
        <w:rPr>
          <w:rFonts w:ascii="黑体" w:hAnsi="黑体" w:cs="黑体" w:eastAsia="黑体" w:hint="default"/>
          <w:sz w:val="32"/>
          <w:szCs w:val="32"/>
        </w:rPr>
      </w:pPr>
      <w:r>
        <w:rPr>
          <w:rFonts w:ascii="黑体" w:hAnsi="黑体" w:cs="黑体" w:eastAsia="黑体" w:hint="default"/>
          <w:sz w:val="32"/>
          <w:szCs w:val="32"/>
        </w:rPr>
        <w:t>审 计 报</w:t>
      </w:r>
      <w:r>
        <w:rPr>
          <w:rFonts w:ascii="黑体" w:hAnsi="黑体" w:cs="黑体" w:eastAsia="黑体" w:hint="default"/>
          <w:spacing w:val="-3"/>
          <w:sz w:val="32"/>
          <w:szCs w:val="32"/>
        </w:rPr>
        <w:t> </w:t>
      </w:r>
      <w:r>
        <w:rPr>
          <w:rFonts w:ascii="黑体" w:hAnsi="黑体" w:cs="黑体" w:eastAsia="黑体" w:hint="default"/>
          <w:sz w:val="32"/>
          <w:szCs w:val="32"/>
        </w:rPr>
        <w:t>告</w:t>
      </w:r>
    </w:p>
    <w:p>
      <w:pPr>
        <w:spacing w:line="240" w:lineRule="auto" w:before="0"/>
        <w:rPr>
          <w:rFonts w:ascii="黑体" w:hAnsi="黑体" w:cs="黑体" w:eastAsia="黑体" w:hint="default"/>
          <w:sz w:val="32"/>
          <w:szCs w:val="32"/>
        </w:rPr>
      </w:pPr>
    </w:p>
    <w:p>
      <w:pPr>
        <w:spacing w:line="240" w:lineRule="auto" w:before="9"/>
        <w:rPr>
          <w:rFonts w:ascii="黑体" w:hAnsi="黑体" w:cs="黑体" w:eastAsia="黑体" w:hint="default"/>
          <w:sz w:val="24"/>
          <w:szCs w:val="24"/>
        </w:rPr>
      </w:pPr>
    </w:p>
    <w:p>
      <w:pPr>
        <w:pStyle w:val="Heading5"/>
        <w:spacing w:line="240" w:lineRule="auto"/>
        <w:ind w:left="4855" w:right="114"/>
        <w:jc w:val="left"/>
        <w:rPr>
          <w:rFonts w:ascii="黑体" w:hAnsi="黑体" w:cs="黑体" w:eastAsia="黑体" w:hint="default"/>
          <w:b w:val="0"/>
          <w:bCs w:val="0"/>
        </w:rPr>
      </w:pPr>
      <w:r>
        <w:rPr>
          <w:rFonts w:ascii="黑体" w:hAnsi="黑体" w:cs="黑体" w:eastAsia="黑体" w:hint="default"/>
        </w:rPr>
        <w:t>天健正信审（</w:t>
      </w:r>
      <w:r>
        <w:rPr>
          <w:rFonts w:ascii="Times New Roman" w:hAnsi="Times New Roman" w:cs="Times New Roman" w:eastAsia="Times New Roman" w:hint="default"/>
        </w:rPr>
        <w:t>2011</w:t>
      </w:r>
      <w:r>
        <w:rPr>
          <w:rFonts w:ascii="黑体" w:hAnsi="黑体" w:cs="黑体" w:eastAsia="黑体" w:hint="default"/>
        </w:rPr>
        <w:t>）</w:t>
      </w:r>
      <w:r>
        <w:rPr>
          <w:rFonts w:ascii="Times New Roman" w:hAnsi="Times New Roman" w:cs="Times New Roman" w:eastAsia="Times New Roman" w:hint="default"/>
        </w:rPr>
        <w:t>GF</w:t>
      </w:r>
      <w:r>
        <w:rPr>
          <w:rFonts w:ascii="Times New Roman" w:hAnsi="Times New Roman" w:cs="Times New Roman" w:eastAsia="Times New Roman" w:hint="default"/>
          <w:spacing w:val="-8"/>
        </w:rPr>
        <w:t> </w:t>
      </w:r>
      <w:r>
        <w:rPr>
          <w:rFonts w:ascii="黑体" w:hAnsi="黑体" w:cs="黑体" w:eastAsia="黑体" w:hint="default"/>
        </w:rPr>
        <w:t>字第</w:t>
      </w:r>
      <w:r>
        <w:rPr>
          <w:rFonts w:ascii="黑体" w:hAnsi="黑体" w:cs="黑体" w:eastAsia="黑体" w:hint="default"/>
          <w:spacing w:val="-57"/>
        </w:rPr>
        <w:t> </w:t>
      </w:r>
      <w:r>
        <w:rPr>
          <w:rFonts w:ascii="Times New Roman" w:hAnsi="Times New Roman" w:cs="Times New Roman" w:eastAsia="Times New Roman" w:hint="default"/>
        </w:rPr>
        <w:t>220004</w:t>
      </w:r>
      <w:r>
        <w:rPr>
          <w:rFonts w:ascii="Times New Roman" w:hAnsi="Times New Roman" w:cs="Times New Roman" w:eastAsia="Times New Roman" w:hint="default"/>
          <w:spacing w:val="-9"/>
        </w:rPr>
        <w:t> </w:t>
      </w:r>
      <w:r>
        <w:rPr>
          <w:rFonts w:ascii="黑体" w:hAnsi="黑体" w:cs="黑体" w:eastAsia="黑体" w:hint="default"/>
        </w:rPr>
        <w:t>号</w:t>
      </w:r>
      <w:r>
        <w:rPr>
          <w:rFonts w:ascii="黑体" w:hAnsi="黑体" w:cs="黑体" w:eastAsia="黑体" w:hint="default"/>
          <w:b w:val="0"/>
          <w:bCs w:val="0"/>
        </w:rPr>
      </w:r>
    </w:p>
    <w:p>
      <w:pPr>
        <w:spacing w:line="240" w:lineRule="auto" w:before="2"/>
        <w:rPr>
          <w:rFonts w:ascii="黑体" w:hAnsi="黑体" w:cs="黑体" w:eastAsia="黑体" w:hint="default"/>
          <w:b/>
          <w:bCs/>
          <w:sz w:val="18"/>
          <w:szCs w:val="18"/>
        </w:rPr>
      </w:pPr>
    </w:p>
    <w:p>
      <w:pPr>
        <w:pStyle w:val="BodyText"/>
        <w:spacing w:line="240" w:lineRule="auto"/>
        <w:ind w:left="138" w:right="114"/>
        <w:jc w:val="left"/>
      </w:pPr>
      <w:r>
        <w:rPr/>
        <w:t>河南辉煌科技股份有限公司全体股东：</w:t>
      </w:r>
    </w:p>
    <w:p>
      <w:pPr>
        <w:spacing w:line="240" w:lineRule="auto" w:before="11"/>
        <w:rPr>
          <w:rFonts w:ascii="宋体" w:hAnsi="宋体" w:cs="宋体" w:eastAsia="宋体" w:hint="default"/>
          <w:sz w:val="29"/>
          <w:szCs w:val="29"/>
        </w:rPr>
      </w:pPr>
    </w:p>
    <w:p>
      <w:pPr>
        <w:pStyle w:val="BodyText"/>
        <w:spacing w:line="463" w:lineRule="auto"/>
        <w:ind w:left="138" w:right="122" w:firstLine="419"/>
        <w:jc w:val="both"/>
      </w:pPr>
      <w:r>
        <w:rPr/>
        <w:t>我们审计了后附的河南辉煌科技股份有限公司（以下简称辉煌科技）财务报表，包括</w:t>
      </w:r>
      <w:r>
        <w:rPr>
          <w:spacing w:val="2"/>
          <w:w w:val="10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Arial" w:hAnsi="Arial" w:cs="Arial" w:eastAsia="Arial" w:hint="default"/>
        </w:rPr>
        <w:t>31</w:t>
      </w:r>
      <w:r>
        <w:rPr>
          <w:rFonts w:ascii="Arial" w:hAnsi="Arial" w:cs="Arial" w:eastAsia="Arial" w:hint="default"/>
          <w:spacing w:val="1"/>
        </w:rPr>
        <w:t> </w:t>
      </w:r>
      <w:r>
        <w:rPr>
          <w:spacing w:val="-4"/>
        </w:rPr>
        <w:t>日的资产负债表、合并资产负债表，</w:t>
      </w:r>
      <w:r>
        <w:rPr>
          <w:rFonts w:ascii="Arial" w:hAnsi="Arial" w:cs="Arial" w:eastAsia="Arial" w:hint="default"/>
          <w:spacing w:val="-4"/>
        </w:rPr>
        <w:t>2010</w:t>
      </w:r>
      <w:r>
        <w:rPr>
          <w:rFonts w:ascii="Arial" w:hAnsi="Arial" w:cs="Arial" w:eastAsia="Arial" w:hint="default"/>
          <w:spacing w:val="-1"/>
        </w:rPr>
        <w:t> </w:t>
      </w:r>
      <w:r>
        <w:rPr>
          <w:spacing w:val="-3"/>
        </w:rPr>
        <w:t>年度的利润表、合并利润表和现</w:t>
      </w:r>
      <w:r>
        <w:rPr>
          <w:spacing w:val="-89"/>
        </w:rPr>
        <w:t> </w:t>
      </w:r>
      <w:r>
        <w:rPr>
          <w:spacing w:val="-89"/>
        </w:rPr>
      </w:r>
      <w:r>
        <w:rPr>
          <w:spacing w:val="-2"/>
        </w:rPr>
        <w:t>金流量表、合并现金流量表及股东权益变动表、合并股东权益变动表，以及财务报表附注。</w:t>
      </w:r>
    </w:p>
    <w:p>
      <w:pPr>
        <w:spacing w:line="240" w:lineRule="auto" w:before="11"/>
        <w:rPr>
          <w:rFonts w:ascii="宋体" w:hAnsi="宋体" w:cs="宋体" w:eastAsia="宋体" w:hint="default"/>
          <w:sz w:val="14"/>
          <w:szCs w:val="14"/>
        </w:rPr>
      </w:pPr>
    </w:p>
    <w:p>
      <w:pPr>
        <w:pStyle w:val="Heading5"/>
        <w:spacing w:line="240" w:lineRule="auto"/>
        <w:ind w:left="560" w:right="114"/>
        <w:jc w:val="left"/>
        <w:rPr>
          <w:b w:val="0"/>
          <w:bCs w:val="0"/>
        </w:rPr>
      </w:pPr>
      <w:r>
        <w:rPr/>
        <w:t>一、管理层对财务报表的责任</w:t>
      </w:r>
      <w:r>
        <w:rPr>
          <w:b w:val="0"/>
          <w:bCs w:val="0"/>
        </w:rPr>
      </w:r>
    </w:p>
    <w:p>
      <w:pPr>
        <w:spacing w:line="240" w:lineRule="auto" w:before="11"/>
        <w:rPr>
          <w:rFonts w:ascii="宋体" w:hAnsi="宋体" w:cs="宋体" w:eastAsia="宋体" w:hint="default"/>
          <w:b/>
          <w:bCs/>
          <w:sz w:val="29"/>
          <w:szCs w:val="29"/>
        </w:rPr>
      </w:pPr>
    </w:p>
    <w:p>
      <w:pPr>
        <w:pStyle w:val="BodyText"/>
        <w:spacing w:line="460" w:lineRule="auto"/>
        <w:ind w:left="138" w:right="114" w:firstLine="419"/>
        <w:jc w:val="left"/>
      </w:pPr>
      <w:r>
        <w:rPr>
          <w:spacing w:val="-4"/>
          <w:w w:val="100"/>
        </w:rPr>
        <w:t>按照企业会计准则的规定编制财务报表是辉煌科技管理层的责任。这种责任包括：（</w:t>
      </w:r>
      <w:r>
        <w:rPr>
          <w:rFonts w:ascii="Times New Roman" w:hAnsi="Times New Roman" w:cs="Times New Roman" w:eastAsia="Times New Roman" w:hint="default"/>
          <w:spacing w:val="-4"/>
          <w:w w:val="100"/>
        </w:rPr>
        <w:t>1</w:t>
      </w:r>
      <w:r>
        <w:rPr>
          <w:spacing w:val="-4"/>
          <w:w w:val="100"/>
        </w:rPr>
        <w:t>）</w:t>
      </w:r>
      <w:r>
        <w:rPr>
          <w:w w:val="100"/>
        </w:rPr>
        <w:t> </w:t>
      </w:r>
      <w:r>
        <w:rPr>
          <w:spacing w:val="-4"/>
        </w:rPr>
        <w:t>设计、实施和维护与财务报表编制相关的内部控制，以使财务报表不存在由于舞弊或错误而</w:t>
      </w:r>
      <w:r>
        <w:rPr>
          <w:spacing w:val="-42"/>
        </w:rPr>
        <w:t> </w:t>
      </w:r>
      <w:r>
        <w:rPr>
          <w:spacing w:val="-42"/>
        </w:rPr>
      </w:r>
      <w:r>
        <w:rPr>
          <w:spacing w:val="-8"/>
          <w:w w:val="100"/>
        </w:rPr>
        <w:t>导致的重大错报；（</w:t>
      </w:r>
      <w:r>
        <w:rPr>
          <w:rFonts w:ascii="Times New Roman" w:hAnsi="Times New Roman" w:cs="Times New Roman" w:eastAsia="Times New Roman" w:hint="default"/>
          <w:spacing w:val="-8"/>
          <w:w w:val="100"/>
        </w:rPr>
        <w:t>2</w:t>
      </w:r>
      <w:r>
        <w:rPr>
          <w:spacing w:val="-8"/>
          <w:w w:val="100"/>
        </w:rPr>
        <w:t>）选择和运用恰当的会计政策；（</w:t>
      </w:r>
      <w:r>
        <w:rPr>
          <w:rFonts w:ascii="Times New Roman" w:hAnsi="Times New Roman" w:cs="Times New Roman" w:eastAsia="Times New Roman" w:hint="default"/>
          <w:spacing w:val="-8"/>
          <w:w w:val="100"/>
        </w:rPr>
        <w:t>3</w:t>
      </w:r>
      <w:r>
        <w:rPr>
          <w:spacing w:val="-8"/>
          <w:w w:val="100"/>
        </w:rPr>
        <w:t>）做出合理的会计估计。</w:t>
      </w:r>
    </w:p>
    <w:p>
      <w:pPr>
        <w:pStyle w:val="Heading5"/>
        <w:spacing w:line="240" w:lineRule="auto" w:before="160"/>
        <w:ind w:left="560" w:right="114"/>
        <w:jc w:val="left"/>
        <w:rPr>
          <w:b w:val="0"/>
          <w:bCs w:val="0"/>
        </w:rPr>
      </w:pPr>
      <w:r>
        <w:rPr/>
        <w:t>二、注册会计师的责任</w:t>
      </w:r>
      <w:r>
        <w:rPr>
          <w:b w:val="0"/>
          <w:bCs w:val="0"/>
        </w:rPr>
      </w:r>
    </w:p>
    <w:p>
      <w:pPr>
        <w:spacing w:line="240" w:lineRule="auto" w:before="11"/>
        <w:rPr>
          <w:rFonts w:ascii="宋体" w:hAnsi="宋体" w:cs="宋体" w:eastAsia="宋体" w:hint="default"/>
          <w:b/>
          <w:bCs/>
          <w:sz w:val="29"/>
          <w:szCs w:val="29"/>
        </w:rPr>
      </w:pPr>
    </w:p>
    <w:p>
      <w:pPr>
        <w:pStyle w:val="BodyText"/>
        <w:spacing w:line="475" w:lineRule="auto"/>
        <w:ind w:left="138" w:right="209" w:firstLine="419"/>
        <w:jc w:val="both"/>
      </w:pPr>
      <w:r>
        <w:rPr>
          <w:spacing w:val="-4"/>
          <w:w w:val="100"/>
        </w:rPr>
        <w:t>我们的责任是在实施审计工作的基础上对财务报表发表审计意见。我们按照中国注册会</w:t>
      </w:r>
      <w:r>
        <w:rPr>
          <w:w w:val="100"/>
        </w:rPr>
        <w:t> </w:t>
      </w:r>
      <w:r>
        <w:rPr/>
        <w:t>计师审计准则的规定执行了审计工作。中国注册会计师审计准则要求我们遵守职业道德规</w:t>
      </w:r>
      <w:r>
        <w:rPr>
          <w:spacing w:val="7"/>
        </w:rPr>
        <w:t> </w:t>
      </w:r>
      <w:r>
        <w:rPr>
          <w:spacing w:val="7"/>
        </w:rPr>
      </w:r>
      <w:r>
        <w:rPr/>
        <w:t>范，计划和实施审计工作以对财务报表是否不存在重大错报获取合理保证。</w:t>
      </w:r>
    </w:p>
    <w:p>
      <w:pPr>
        <w:spacing w:line="240" w:lineRule="auto" w:before="1"/>
        <w:rPr>
          <w:rFonts w:ascii="宋体" w:hAnsi="宋体" w:cs="宋体" w:eastAsia="宋体" w:hint="default"/>
          <w:sz w:val="14"/>
          <w:szCs w:val="14"/>
        </w:rPr>
      </w:pPr>
    </w:p>
    <w:p>
      <w:pPr>
        <w:pStyle w:val="BodyText"/>
        <w:spacing w:line="475" w:lineRule="auto"/>
        <w:ind w:left="138" w:right="114" w:firstLine="419"/>
        <w:jc w:val="left"/>
      </w:pPr>
      <w:r>
        <w:rPr>
          <w:spacing w:val="-4"/>
        </w:rPr>
        <w:t>审计工作涉及实施审计程序，以获取有关财务报表金额和披露的审计证据。选择的审计</w:t>
      </w:r>
      <w:r>
        <w:rPr>
          <w:w w:val="100"/>
        </w:rPr>
        <w:t> </w:t>
      </w:r>
      <w:r>
        <w:rPr/>
        <w:t>程序取决于注册会计师的判断，包括对由于舞弊或错误导致的财务报表重大错报风险的评</w:t>
      </w:r>
    </w:p>
    <w:p>
      <w:pPr>
        <w:pStyle w:val="BodyText"/>
        <w:spacing w:line="475" w:lineRule="auto" w:before="64"/>
        <w:ind w:left="138" w:right="114"/>
        <w:jc w:val="left"/>
      </w:pPr>
      <w:r>
        <w:rPr>
          <w:spacing w:val="-7"/>
        </w:rPr>
        <w:t>估。在进行风险评估时，我们考虑与财务报表编制相关的内部控制，以设计恰当的审计程序，</w:t>
      </w:r>
      <w:r>
        <w:rPr>
          <w:spacing w:val="-21"/>
        </w:rPr>
        <w:t> </w:t>
      </w:r>
      <w:r>
        <w:rPr>
          <w:spacing w:val="-21"/>
        </w:rPr>
      </w:r>
      <w:r>
        <w:rPr>
          <w:spacing w:val="-4"/>
          <w:w w:val="100"/>
        </w:rPr>
        <w:t>但目的并非对内部控制的有效性发表意见。审计工作还包括评价管理层选用会计政策的恰当</w:t>
      </w:r>
      <w:r>
        <w:rPr>
          <w:spacing w:val="-89"/>
          <w:w w:val="100"/>
        </w:rPr>
        <w:t> </w:t>
      </w:r>
      <w:r>
        <w:rPr>
          <w:spacing w:val="-89"/>
          <w:w w:val="100"/>
        </w:rPr>
      </w:r>
      <w:r>
        <w:rPr/>
        <w:t>性和做出会计估计的合理性，以及评价财务报表的总体列报。</w:t>
      </w:r>
    </w:p>
    <w:p>
      <w:pPr>
        <w:spacing w:line="240" w:lineRule="auto" w:before="1"/>
        <w:rPr>
          <w:rFonts w:ascii="宋体" w:hAnsi="宋体" w:cs="宋体" w:eastAsia="宋体" w:hint="default"/>
          <w:sz w:val="14"/>
          <w:szCs w:val="14"/>
        </w:rPr>
      </w:pPr>
    </w:p>
    <w:p>
      <w:pPr>
        <w:pStyle w:val="BodyText"/>
        <w:spacing w:line="240" w:lineRule="auto"/>
        <w:ind w:left="558" w:right="114"/>
        <w:jc w:val="left"/>
      </w:pPr>
      <w:r>
        <w:rPr/>
        <w:t>我们相信，我们获取的审计证据是充分、适当的，为发表审计意见提供了基础。</w:t>
      </w:r>
    </w:p>
    <w:p>
      <w:pPr>
        <w:spacing w:after="0" w:line="240" w:lineRule="auto"/>
        <w:jc w:val="left"/>
        <w:sectPr>
          <w:pgSz w:w="11910" w:h="16840"/>
          <w:pgMar w:header="624" w:footer="1045" w:top="980" w:bottom="1240" w:left="1660" w:right="1580"/>
        </w:sectPr>
      </w:pPr>
    </w:p>
    <w:p>
      <w:pPr>
        <w:spacing w:line="240" w:lineRule="auto" w:before="11"/>
        <w:rPr>
          <w:rFonts w:ascii="宋体" w:hAnsi="宋体" w:cs="宋体" w:eastAsia="宋体" w:hint="default"/>
          <w:sz w:val="18"/>
          <w:szCs w:val="18"/>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5"/>
        <w:spacing w:line="240" w:lineRule="auto" w:before="36"/>
        <w:ind w:left="560" w:right="2680"/>
        <w:jc w:val="left"/>
        <w:rPr>
          <w:b w:val="0"/>
          <w:bCs w:val="0"/>
        </w:rPr>
      </w:pPr>
      <w:r>
        <w:rPr/>
        <w:t>三、审计意见</w:t>
      </w:r>
      <w:r>
        <w:rPr>
          <w:b w:val="0"/>
          <w:bCs w:val="0"/>
        </w:rPr>
      </w:r>
    </w:p>
    <w:p>
      <w:pPr>
        <w:spacing w:line="240" w:lineRule="auto" w:before="11"/>
        <w:rPr>
          <w:rFonts w:ascii="宋体" w:hAnsi="宋体" w:cs="宋体" w:eastAsia="宋体" w:hint="default"/>
          <w:b/>
          <w:bCs/>
          <w:sz w:val="29"/>
          <w:szCs w:val="29"/>
        </w:rPr>
      </w:pPr>
    </w:p>
    <w:p>
      <w:pPr>
        <w:pStyle w:val="BodyText"/>
        <w:spacing w:line="475" w:lineRule="auto"/>
        <w:ind w:left="138" w:right="0" w:firstLine="419"/>
        <w:jc w:val="left"/>
      </w:pPr>
      <w:r>
        <w:rPr>
          <w:spacing w:val="-4"/>
        </w:rPr>
        <w:t>我们认为，辉煌科技财务报表已经按照企业会计准则的规定编制，在所有重大方面公允</w:t>
      </w:r>
      <w:r>
        <w:rPr>
          <w:w w:val="100"/>
        </w:rPr>
        <w:t> </w:t>
      </w:r>
      <w:r>
        <w:rPr/>
        <w:t>反映了辉煌科技</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日的财务状况以及</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pStyle w:val="Heading5"/>
        <w:spacing w:line="240" w:lineRule="auto"/>
        <w:ind w:left="5359" w:right="0"/>
        <w:jc w:val="left"/>
        <w:rPr>
          <w:b w:val="0"/>
          <w:bCs w:val="0"/>
        </w:rPr>
      </w:pPr>
      <w:r>
        <w:rPr/>
        <w:t>中国注册会计师</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5"/>
        <w:tabs>
          <w:tab w:pos="5358" w:val="left" w:leader="none"/>
          <w:tab w:pos="6124" w:val="left" w:leader="none"/>
          <w:tab w:pos="7879" w:val="left" w:leader="none"/>
        </w:tabs>
        <w:spacing w:line="240" w:lineRule="auto"/>
        <w:ind w:left="675" w:right="0"/>
        <w:jc w:val="left"/>
        <w:rPr>
          <w:b w:val="0"/>
          <w:bCs w:val="0"/>
        </w:rPr>
      </w:pPr>
      <w:r>
        <w:rPr>
          <w:spacing w:val="-1"/>
        </w:rPr>
        <w:t>天健正信会计师事务所有限公司</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u w:val="single" w:color="000000"/>
        </w:rPr>
        <w:t>董超</w:t>
        <w:tab/>
      </w:r>
      <w:r>
        <w:rPr/>
      </w:r>
      <w:r>
        <w:rPr>
          <w:b w:val="0"/>
          <w:bCs w:val="0"/>
        </w:rPr>
      </w:r>
    </w:p>
    <w:p>
      <w:pPr>
        <w:spacing w:line="240" w:lineRule="auto" w:before="0"/>
        <w:rPr>
          <w:rFonts w:ascii="宋体" w:hAnsi="宋体" w:cs="宋体" w:eastAsia="宋体" w:hint="default"/>
          <w:b/>
          <w:bCs/>
          <w:sz w:val="27"/>
          <w:szCs w:val="27"/>
        </w:rPr>
      </w:pPr>
    </w:p>
    <w:p>
      <w:pPr>
        <w:pStyle w:val="Heading5"/>
        <w:tabs>
          <w:tab w:pos="2043" w:val="left" w:leader="none"/>
          <w:tab w:pos="5358" w:val="left" w:leader="none"/>
        </w:tabs>
        <w:spacing w:line="240" w:lineRule="auto" w:before="36"/>
        <w:ind w:left="1402" w:right="0"/>
        <w:jc w:val="left"/>
        <w:rPr>
          <w:b w:val="0"/>
          <w:bCs w:val="0"/>
        </w:rPr>
      </w:pPr>
      <w:r>
        <w:rPr/>
        <w:t>中国</w:t>
        <w:tab/>
      </w:r>
      <w:r>
        <w:rPr>
          <w:rFonts w:ascii="Times New Roman" w:hAnsi="Times New Roman" w:cs="Times New Roman" w:eastAsia="Times New Roman" w:hint="default"/>
        </w:rPr>
        <w:t>·  </w:t>
      </w:r>
      <w:r>
        <w:rPr>
          <w:rFonts w:ascii="Times New Roman" w:hAnsi="Times New Roman" w:cs="Times New Roman" w:eastAsia="Times New Roman" w:hint="default"/>
          <w:spacing w:val="27"/>
        </w:rPr>
        <w:t> </w:t>
      </w:r>
      <w:r>
        <w:rPr/>
        <w:t>北京</w:t>
        <w:tab/>
        <w:t>中国注册会计师</w:t>
      </w:r>
      <w:r>
        <w:rPr>
          <w:b w:val="0"/>
          <w:bCs w:val="0"/>
        </w:rPr>
      </w:r>
    </w:p>
    <w:p>
      <w:pPr>
        <w:spacing w:line="240" w:lineRule="auto" w:before="8"/>
        <w:rPr>
          <w:rFonts w:ascii="宋体" w:hAnsi="宋体" w:cs="宋体" w:eastAsia="宋体" w:hint="default"/>
          <w:b/>
          <w:bCs/>
          <w:sz w:val="28"/>
          <w:szCs w:val="28"/>
        </w:rPr>
      </w:pPr>
    </w:p>
    <w:p>
      <w:pPr>
        <w:pStyle w:val="Heading5"/>
        <w:tabs>
          <w:tab w:pos="6184" w:val="left" w:leader="none"/>
          <w:tab w:pos="7879" w:val="left" w:leader="none"/>
        </w:tabs>
        <w:spacing w:line="240" w:lineRule="auto"/>
        <w:ind w:left="5359" w:right="0"/>
        <w:jc w:val="left"/>
        <w:rPr>
          <w:b w:val="0"/>
          <w:bCs w:val="0"/>
        </w:rPr>
      </w:pPr>
      <w:r>
        <w:rPr>
          <w:rFonts w:ascii="Times New Roman" w:hAnsi="Times New Roman" w:cs="Times New Roman" w:eastAsia="Times New Roman" w:hint="default"/>
          <w:w w:val="100"/>
        </w:rPr>
      </w:r>
      <w:r>
        <w:rPr>
          <w:rFonts w:ascii="Times New Roman" w:hAnsi="Times New Roman" w:cs="Times New Roman" w:eastAsia="Times New Roman" w:hint="default"/>
          <w:w w:val="100"/>
          <w:u w:val="single" w:color="000000"/>
        </w:rPr>
        <w:t> </w:t>
      </w:r>
      <w:r>
        <w:rPr>
          <w:rFonts w:ascii="Times New Roman" w:hAnsi="Times New Roman" w:cs="Times New Roman" w:eastAsia="Times New Roman" w:hint="default"/>
          <w:u w:val="single" w:color="000000"/>
        </w:rPr>
        <w:tab/>
      </w:r>
      <w:r>
        <w:rPr>
          <w:u w:val="single" w:color="000000"/>
        </w:rPr>
        <w:t>李斌</w:t>
        <w:tab/>
      </w:r>
      <w:r>
        <w:rPr/>
      </w:r>
      <w:r>
        <w:rPr>
          <w:b w:val="0"/>
          <w:bCs w:val="0"/>
        </w:rPr>
      </w:r>
    </w:p>
    <w:p>
      <w:pPr>
        <w:spacing w:line="240" w:lineRule="auto" w:before="1"/>
        <w:rPr>
          <w:rFonts w:ascii="宋体" w:hAnsi="宋体" w:cs="宋体" w:eastAsia="宋体" w:hint="default"/>
          <w:b/>
          <w:bCs/>
          <w:sz w:val="27"/>
          <w:szCs w:val="27"/>
        </w:rPr>
      </w:pPr>
    </w:p>
    <w:p>
      <w:pPr>
        <w:pStyle w:val="Heading5"/>
        <w:spacing w:line="240" w:lineRule="auto" w:before="36"/>
        <w:ind w:left="5359" w:right="0"/>
        <w:jc w:val="left"/>
        <w:rPr>
          <w:b w:val="0"/>
          <w:bCs w:val="0"/>
        </w:rPr>
      </w:pPr>
      <w:r>
        <w:rPr/>
        <w:t>报告日期：</w:t>
      </w:r>
      <w:r>
        <w:rPr>
          <w:spacing w:val="1"/>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b w:val="0"/>
          <w:bCs w:val="0"/>
        </w:rPr>
      </w:r>
    </w:p>
    <w:p>
      <w:pPr>
        <w:spacing w:after="0" w:line="240" w:lineRule="auto"/>
        <w:jc w:val="left"/>
        <w:sectPr>
          <w:pgSz w:w="11910" w:h="16840"/>
          <w:pgMar w:header="624" w:footer="1045" w:top="980" w:bottom="1240" w:left="1660" w:right="1640"/>
        </w:sectPr>
      </w:pPr>
    </w:p>
    <w:p>
      <w:pPr>
        <w:spacing w:line="240" w:lineRule="auto" w:before="11"/>
        <w:rPr>
          <w:rFonts w:ascii="宋体" w:hAnsi="宋体" w:cs="宋体" w:eastAsia="宋体" w:hint="default"/>
          <w:b/>
          <w:bCs/>
          <w:sz w:val="18"/>
          <w:szCs w:val="18"/>
        </w:rPr>
      </w:pPr>
    </w:p>
    <w:p>
      <w:pPr>
        <w:spacing w:line="20" w:lineRule="exact"/>
        <w:ind w:left="62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pStyle w:val="Heading5"/>
        <w:spacing w:line="235" w:lineRule="exact"/>
        <w:ind w:left="4536" w:right="4135"/>
        <w:jc w:val="center"/>
        <w:rPr>
          <w:b w:val="0"/>
          <w:bCs w:val="0"/>
        </w:rPr>
      </w:pPr>
      <w:r>
        <w:rPr/>
        <w:t>资产负债表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tabs>
          <w:tab w:pos="7256" w:val="left" w:leader="none"/>
        </w:tabs>
        <w:spacing w:before="0"/>
        <w:ind w:left="658"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525"/>
        <w:gridCol w:w="1417"/>
        <w:gridCol w:w="1392"/>
        <w:gridCol w:w="1390"/>
        <w:gridCol w:w="1393"/>
        <w:gridCol w:w="1387"/>
      </w:tblGrid>
      <w:tr>
        <w:trPr>
          <w:trHeight w:val="331" w:hRule="exact"/>
        </w:trPr>
        <w:tc>
          <w:tcPr>
            <w:tcW w:w="2525" w:type="dxa"/>
            <w:vMerge w:val="restart"/>
            <w:tcBorders>
              <w:top w:val="single" w:sz="12" w:space="0" w:color="000000"/>
              <w:left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417" w:type="dxa"/>
            <w:vMerge w:val="restart"/>
            <w:tcBorders>
              <w:top w:val="single" w:sz="12" w:space="0" w:color="000000"/>
              <w:left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782" w:type="dxa"/>
            <w:gridSpan w:val="2"/>
            <w:tcBorders>
              <w:top w:val="single" w:sz="12" w:space="0" w:color="000000"/>
              <w:left w:val="single" w:sz="2"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780"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36" w:hRule="exact"/>
        </w:trPr>
        <w:tc>
          <w:tcPr>
            <w:tcW w:w="2525" w:type="dxa"/>
            <w:vMerge/>
            <w:tcBorders>
              <w:left w:val="single" w:sz="12" w:space="0" w:color="000000"/>
              <w:bottom w:val="single" w:sz="2" w:space="0" w:color="000000"/>
              <w:right w:val="single" w:sz="2" w:space="0" w:color="000000"/>
            </w:tcBorders>
          </w:tcPr>
          <w:p>
            <w:pPr/>
          </w:p>
        </w:tc>
        <w:tc>
          <w:tcPr>
            <w:tcW w:w="1417" w:type="dxa"/>
            <w:vMerge/>
            <w:tcBorders>
              <w:left w:val="single" w:sz="2" w:space="0" w:color="000000"/>
              <w:bottom w:val="single" w:sz="2" w:space="0" w:color="000000"/>
              <w:right w:val="single" w:sz="2" w:space="0" w:color="000000"/>
            </w:tcBorders>
          </w:tcPr>
          <w:p>
            <w:pPr/>
          </w:p>
        </w:tc>
        <w:tc>
          <w:tcPr>
            <w:tcW w:w="1392"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90"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93" w:type="dxa"/>
            <w:tcBorders>
              <w:top w:val="single" w:sz="4" w:space="0" w:color="000000"/>
              <w:left w:val="single" w:sz="4" w:space="0" w:color="000000"/>
              <w:bottom w:val="single" w:sz="2" w:space="0" w:color="000000"/>
              <w:right w:val="single" w:sz="2"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87" w:type="dxa"/>
            <w:tcBorders>
              <w:top w:val="single" w:sz="4" w:space="0" w:color="000000"/>
              <w:left w:val="single" w:sz="2" w:space="0" w:color="000000"/>
              <w:bottom w:val="single" w:sz="2" w:space="0" w:color="000000"/>
              <w:right w:val="single" w:sz="12" w:space="0" w:color="000000"/>
            </w:tcBorders>
          </w:tcPr>
          <w:p>
            <w:pPr>
              <w:pStyle w:val="TableParagraph"/>
              <w:spacing w:line="240" w:lineRule="auto" w:before="17"/>
              <w:ind w:left="32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393,267,608.28</w:t>
            </w:r>
          </w:p>
        </w:tc>
        <w:tc>
          <w:tcPr>
            <w:tcW w:w="13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458,958,039.73</w:t>
            </w: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4"/>
              <w:jc w:val="right"/>
              <w:rPr>
                <w:rFonts w:ascii="Arial Narrow" w:hAnsi="Arial Narrow" w:cs="Arial Narrow" w:eastAsia="Arial Narrow" w:hint="default"/>
                <w:sz w:val="18"/>
                <w:szCs w:val="18"/>
              </w:rPr>
            </w:pPr>
            <w:r>
              <w:rPr>
                <w:rFonts w:ascii="Arial Narrow"/>
                <w:spacing w:val="-1"/>
                <w:sz w:val="18"/>
              </w:rPr>
              <w:t>368,944,094.04</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4"/>
              <w:jc w:val="right"/>
              <w:rPr>
                <w:rFonts w:ascii="Arial Narrow" w:hAnsi="Arial Narrow" w:cs="Arial Narrow" w:eastAsia="Arial Narrow" w:hint="default"/>
                <w:sz w:val="18"/>
                <w:szCs w:val="18"/>
              </w:rPr>
            </w:pPr>
            <w:r>
              <w:rPr>
                <w:rFonts w:ascii="Arial Narrow"/>
                <w:spacing w:val="-1"/>
                <w:sz w:val="18"/>
              </w:rPr>
              <w:t>445,030,007.65</w:t>
            </w:r>
          </w:p>
        </w:tc>
      </w:tr>
      <w:tr>
        <w:trPr>
          <w:trHeight w:val="338"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8"/>
              <w:jc w:val="right"/>
              <w:rPr>
                <w:rFonts w:ascii="Arial Narrow" w:hAnsi="Arial Narrow" w:cs="Arial Narrow" w:eastAsia="Arial Narrow" w:hint="default"/>
                <w:sz w:val="18"/>
                <w:szCs w:val="18"/>
              </w:rPr>
            </w:pPr>
            <w:r>
              <w:rPr>
                <w:rFonts w:ascii="Arial Narrow"/>
                <w:spacing w:val="-1"/>
                <w:sz w:val="18"/>
              </w:rPr>
              <w:t>4,149,250.00</w:t>
            </w:r>
          </w:p>
        </w:tc>
        <w:tc>
          <w:tcPr>
            <w:tcW w:w="13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3"/>
              <w:jc w:val="right"/>
              <w:rPr>
                <w:rFonts w:ascii="Arial Narrow" w:hAnsi="Arial Narrow" w:cs="Arial Narrow" w:eastAsia="Arial Narrow" w:hint="default"/>
                <w:sz w:val="18"/>
                <w:szCs w:val="18"/>
              </w:rPr>
            </w:pPr>
            <w:r>
              <w:rPr>
                <w:rFonts w:ascii="Arial Narrow"/>
                <w:spacing w:val="-1"/>
                <w:sz w:val="18"/>
              </w:rPr>
              <w:t>2,421,368.70</w:t>
            </w: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4,149,250.00</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6"/>
              <w:jc w:val="right"/>
              <w:rPr>
                <w:rFonts w:ascii="Arial Narrow" w:hAnsi="Arial Narrow" w:cs="Arial Narrow" w:eastAsia="Arial Narrow" w:hint="default"/>
                <w:sz w:val="18"/>
                <w:szCs w:val="18"/>
              </w:rPr>
            </w:pPr>
            <w:r>
              <w:rPr>
                <w:rFonts w:ascii="Arial Narrow"/>
                <w:spacing w:val="-1"/>
                <w:sz w:val="18"/>
              </w:rPr>
              <w:t>2,421,368.70</w:t>
            </w: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157,782,043.91</w:t>
            </w:r>
          </w:p>
        </w:tc>
        <w:tc>
          <w:tcPr>
            <w:tcW w:w="13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3"/>
              <w:jc w:val="right"/>
              <w:rPr>
                <w:rFonts w:ascii="Arial Narrow" w:hAnsi="Arial Narrow" w:cs="Arial Narrow" w:eastAsia="Arial Narrow" w:hint="default"/>
                <w:sz w:val="18"/>
                <w:szCs w:val="18"/>
              </w:rPr>
            </w:pPr>
            <w:r>
              <w:rPr>
                <w:rFonts w:ascii="Arial Narrow"/>
                <w:spacing w:val="-1"/>
                <w:sz w:val="18"/>
              </w:rPr>
              <w:t>95,335,455.28</w:t>
            </w: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4"/>
              <w:jc w:val="right"/>
              <w:rPr>
                <w:rFonts w:ascii="Arial Narrow" w:hAnsi="Arial Narrow" w:cs="Arial Narrow" w:eastAsia="Arial Narrow" w:hint="default"/>
                <w:sz w:val="18"/>
                <w:szCs w:val="18"/>
              </w:rPr>
            </w:pPr>
            <w:r>
              <w:rPr>
                <w:rFonts w:ascii="Arial Narrow"/>
                <w:spacing w:val="-1"/>
                <w:sz w:val="18"/>
              </w:rPr>
              <w:t>157,782,043.91</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6"/>
              <w:jc w:val="right"/>
              <w:rPr>
                <w:rFonts w:ascii="Arial Narrow" w:hAnsi="Arial Narrow" w:cs="Arial Narrow" w:eastAsia="Arial Narrow" w:hint="default"/>
                <w:sz w:val="18"/>
                <w:szCs w:val="18"/>
              </w:rPr>
            </w:pPr>
            <w:r>
              <w:rPr>
                <w:rFonts w:ascii="Arial Narrow"/>
                <w:spacing w:val="-1"/>
                <w:sz w:val="18"/>
              </w:rPr>
              <w:t>95,335,455.28</w:t>
            </w:r>
          </w:p>
        </w:tc>
      </w:tr>
      <w:tr>
        <w:trPr>
          <w:trHeight w:val="338"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9"/>
              <w:jc w:val="right"/>
              <w:rPr>
                <w:rFonts w:ascii="Arial Narrow" w:hAnsi="Arial Narrow" w:cs="Arial Narrow" w:eastAsia="Arial Narrow" w:hint="default"/>
                <w:sz w:val="18"/>
                <w:szCs w:val="18"/>
              </w:rPr>
            </w:pPr>
            <w:r>
              <w:rPr>
                <w:rFonts w:ascii="Arial Narrow"/>
                <w:spacing w:val="-1"/>
                <w:sz w:val="18"/>
              </w:rPr>
              <w:t>12,589,008.78</w:t>
            </w:r>
          </w:p>
        </w:tc>
        <w:tc>
          <w:tcPr>
            <w:tcW w:w="13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3"/>
              <w:jc w:val="right"/>
              <w:rPr>
                <w:rFonts w:ascii="Arial Narrow" w:hAnsi="Arial Narrow" w:cs="Arial Narrow" w:eastAsia="Arial Narrow" w:hint="default"/>
                <w:sz w:val="18"/>
                <w:szCs w:val="18"/>
              </w:rPr>
            </w:pPr>
            <w:r>
              <w:rPr>
                <w:rFonts w:ascii="Arial Narrow"/>
                <w:spacing w:val="-1"/>
                <w:sz w:val="18"/>
              </w:rPr>
              <w:t>9,992,934.69</w:t>
            </w: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12,589,008.78</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6"/>
              <w:jc w:val="right"/>
              <w:rPr>
                <w:rFonts w:ascii="Arial Narrow" w:hAnsi="Arial Narrow" w:cs="Arial Narrow" w:eastAsia="Arial Narrow" w:hint="default"/>
                <w:sz w:val="18"/>
                <w:szCs w:val="18"/>
              </w:rPr>
            </w:pPr>
            <w:r>
              <w:rPr>
                <w:rFonts w:ascii="Arial Narrow"/>
                <w:spacing w:val="-1"/>
                <w:sz w:val="18"/>
              </w:rPr>
              <w:t>9,992,934.69</w:t>
            </w: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38"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8"/>
              <w:jc w:val="right"/>
              <w:rPr>
                <w:rFonts w:ascii="Arial Narrow" w:hAnsi="Arial Narrow" w:cs="Arial Narrow" w:eastAsia="Arial Narrow" w:hint="default"/>
                <w:sz w:val="18"/>
                <w:szCs w:val="18"/>
              </w:rPr>
            </w:pPr>
            <w:r>
              <w:rPr>
                <w:rFonts w:ascii="Arial Narrow"/>
                <w:spacing w:val="-1"/>
                <w:sz w:val="18"/>
              </w:rPr>
              <w:t>3,522,368.57</w:t>
            </w:r>
          </w:p>
        </w:tc>
        <w:tc>
          <w:tcPr>
            <w:tcW w:w="13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3"/>
              <w:jc w:val="right"/>
              <w:rPr>
                <w:rFonts w:ascii="Arial Narrow" w:hAnsi="Arial Narrow" w:cs="Arial Narrow" w:eastAsia="Arial Narrow" w:hint="default"/>
                <w:sz w:val="18"/>
                <w:szCs w:val="18"/>
              </w:rPr>
            </w:pPr>
            <w:r>
              <w:rPr>
                <w:rFonts w:ascii="Arial Narrow"/>
                <w:spacing w:val="-1"/>
                <w:sz w:val="18"/>
              </w:rPr>
              <w:t>3,205,548.68</w:t>
            </w: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3,516,941.65</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6"/>
              <w:jc w:val="right"/>
              <w:rPr>
                <w:rFonts w:ascii="Arial Narrow" w:hAnsi="Arial Narrow" w:cs="Arial Narrow" w:eastAsia="Arial Narrow" w:hint="default"/>
                <w:sz w:val="18"/>
                <w:szCs w:val="18"/>
              </w:rPr>
            </w:pPr>
            <w:r>
              <w:rPr>
                <w:rFonts w:ascii="Arial Narrow"/>
                <w:spacing w:val="-1"/>
                <w:sz w:val="18"/>
              </w:rPr>
              <w:t>3,202,268.05</w:t>
            </w: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9"/>
              <w:jc w:val="right"/>
              <w:rPr>
                <w:rFonts w:ascii="Arial Narrow" w:hAnsi="Arial Narrow" w:cs="Arial Narrow" w:eastAsia="Arial Narrow" w:hint="default"/>
                <w:sz w:val="18"/>
                <w:szCs w:val="18"/>
              </w:rPr>
            </w:pPr>
            <w:r>
              <w:rPr>
                <w:rFonts w:ascii="Arial Narrow"/>
                <w:spacing w:val="-1"/>
                <w:sz w:val="18"/>
              </w:rPr>
              <w:t>72,097,829.34</w:t>
            </w:r>
          </w:p>
        </w:tc>
        <w:tc>
          <w:tcPr>
            <w:tcW w:w="13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3"/>
              <w:jc w:val="right"/>
              <w:rPr>
                <w:rFonts w:ascii="Arial Narrow" w:hAnsi="Arial Narrow" w:cs="Arial Narrow" w:eastAsia="Arial Narrow" w:hint="default"/>
                <w:sz w:val="18"/>
                <w:szCs w:val="18"/>
              </w:rPr>
            </w:pPr>
            <w:r>
              <w:rPr>
                <w:rFonts w:ascii="Arial Narrow"/>
                <w:spacing w:val="-1"/>
                <w:sz w:val="18"/>
              </w:rPr>
              <w:t>60,767,871.94</w:t>
            </w: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74,375,241.06</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6"/>
              <w:jc w:val="right"/>
              <w:rPr>
                <w:rFonts w:ascii="Arial Narrow" w:hAnsi="Arial Narrow" w:cs="Arial Narrow" w:eastAsia="Arial Narrow" w:hint="default"/>
                <w:sz w:val="18"/>
                <w:szCs w:val="18"/>
              </w:rPr>
            </w:pPr>
            <w:r>
              <w:rPr>
                <w:rFonts w:ascii="Arial Narrow"/>
                <w:spacing w:val="-1"/>
                <w:sz w:val="18"/>
              </w:rPr>
              <w:t>64,122,094.32</w:t>
            </w: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38"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2"/>
              <w:ind w:left="376"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643,408,108.88</w:t>
            </w:r>
          </w:p>
        </w:tc>
        <w:tc>
          <w:tcPr>
            <w:tcW w:w="13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630,681,219.02</w:t>
            </w: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4"/>
              <w:jc w:val="right"/>
              <w:rPr>
                <w:rFonts w:ascii="Arial Narrow" w:hAnsi="Arial Narrow" w:cs="Arial Narrow" w:eastAsia="Arial Narrow" w:hint="default"/>
                <w:sz w:val="18"/>
                <w:szCs w:val="18"/>
              </w:rPr>
            </w:pPr>
            <w:r>
              <w:rPr>
                <w:rFonts w:ascii="Arial Narrow"/>
                <w:spacing w:val="-1"/>
                <w:sz w:val="18"/>
              </w:rPr>
              <w:t>621,356,579.44</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4"/>
              <w:jc w:val="right"/>
              <w:rPr>
                <w:rFonts w:ascii="Arial Narrow" w:hAnsi="Arial Narrow" w:cs="Arial Narrow" w:eastAsia="Arial Narrow" w:hint="default"/>
                <w:sz w:val="18"/>
                <w:szCs w:val="18"/>
              </w:rPr>
            </w:pPr>
            <w:r>
              <w:rPr>
                <w:rFonts w:ascii="Arial Narrow"/>
                <w:spacing w:val="-1"/>
                <w:sz w:val="18"/>
              </w:rPr>
              <w:t>620,104,128.69</w:t>
            </w: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38"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38"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20,000,000.00</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6"/>
              <w:jc w:val="right"/>
              <w:rPr>
                <w:rFonts w:ascii="Arial Narrow" w:hAnsi="Arial Narrow" w:cs="Arial Narrow" w:eastAsia="Arial Narrow" w:hint="default"/>
                <w:sz w:val="18"/>
                <w:szCs w:val="18"/>
              </w:rPr>
            </w:pPr>
            <w:r>
              <w:rPr>
                <w:rFonts w:ascii="Arial Narrow"/>
                <w:spacing w:val="-1"/>
                <w:sz w:val="18"/>
              </w:rPr>
              <w:t>15,000,000.00</w:t>
            </w: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9"/>
              <w:jc w:val="right"/>
              <w:rPr>
                <w:rFonts w:ascii="Arial Narrow" w:hAnsi="Arial Narrow" w:cs="Arial Narrow" w:eastAsia="Arial Narrow" w:hint="default"/>
                <w:sz w:val="18"/>
                <w:szCs w:val="18"/>
              </w:rPr>
            </w:pPr>
            <w:r>
              <w:rPr>
                <w:rFonts w:ascii="Arial Narrow"/>
                <w:spacing w:val="-1"/>
                <w:sz w:val="18"/>
              </w:rPr>
              <w:t>46,315,141.40</w:t>
            </w:r>
          </w:p>
        </w:tc>
        <w:tc>
          <w:tcPr>
            <w:tcW w:w="13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3"/>
              <w:jc w:val="right"/>
              <w:rPr>
                <w:rFonts w:ascii="Arial Narrow" w:hAnsi="Arial Narrow" w:cs="Arial Narrow" w:eastAsia="Arial Narrow" w:hint="default"/>
                <w:sz w:val="18"/>
                <w:szCs w:val="18"/>
              </w:rPr>
            </w:pPr>
            <w:r>
              <w:rPr>
                <w:rFonts w:ascii="Arial Narrow"/>
                <w:spacing w:val="-1"/>
                <w:sz w:val="18"/>
              </w:rPr>
              <w:t>25,899,642.83</w:t>
            </w: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46,273,833.12</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6"/>
              <w:jc w:val="right"/>
              <w:rPr>
                <w:rFonts w:ascii="Arial Narrow" w:hAnsi="Arial Narrow" w:cs="Arial Narrow" w:eastAsia="Arial Narrow" w:hint="default"/>
                <w:sz w:val="18"/>
                <w:szCs w:val="18"/>
              </w:rPr>
            </w:pPr>
            <w:r>
              <w:rPr>
                <w:rFonts w:ascii="Arial Narrow"/>
                <w:spacing w:val="-1"/>
                <w:sz w:val="18"/>
              </w:rPr>
              <w:t>25,813,166.31</w:t>
            </w:r>
          </w:p>
        </w:tc>
      </w:tr>
      <w:tr>
        <w:trPr>
          <w:trHeight w:val="338"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Times New Roman" w:hAnsi="Times New Roman" w:cs="Times New Roman" w:eastAsia="Times New Roman" w:hint="default"/>
                <w:sz w:val="18"/>
                <w:szCs w:val="18"/>
              </w:rPr>
              <w:t>)</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9"/>
              <w:jc w:val="right"/>
              <w:rPr>
                <w:rFonts w:ascii="Arial Narrow" w:hAnsi="Arial Narrow" w:cs="Arial Narrow" w:eastAsia="Arial Narrow" w:hint="default"/>
                <w:sz w:val="18"/>
                <w:szCs w:val="18"/>
              </w:rPr>
            </w:pPr>
            <w:r>
              <w:rPr>
                <w:rFonts w:ascii="Arial Narrow"/>
                <w:spacing w:val="-1"/>
                <w:sz w:val="18"/>
              </w:rPr>
              <w:t>41,570,185.07</w:t>
            </w:r>
          </w:p>
        </w:tc>
        <w:tc>
          <w:tcPr>
            <w:tcW w:w="13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3"/>
              <w:jc w:val="right"/>
              <w:rPr>
                <w:rFonts w:ascii="Arial Narrow" w:hAnsi="Arial Narrow" w:cs="Arial Narrow" w:eastAsia="Arial Narrow" w:hint="default"/>
                <w:sz w:val="18"/>
                <w:szCs w:val="18"/>
              </w:rPr>
            </w:pPr>
            <w:r>
              <w:rPr>
                <w:rFonts w:ascii="Arial Narrow"/>
                <w:spacing w:val="-1"/>
                <w:sz w:val="18"/>
              </w:rPr>
              <w:t>39,241,902.54</w:t>
            </w: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41,570,185.07</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6"/>
              <w:jc w:val="right"/>
              <w:rPr>
                <w:rFonts w:ascii="Arial Narrow" w:hAnsi="Arial Narrow" w:cs="Arial Narrow" w:eastAsia="Arial Narrow" w:hint="default"/>
                <w:sz w:val="18"/>
                <w:szCs w:val="18"/>
              </w:rPr>
            </w:pPr>
            <w:r>
              <w:rPr>
                <w:rFonts w:ascii="Arial Narrow"/>
                <w:spacing w:val="-1"/>
                <w:sz w:val="18"/>
              </w:rPr>
              <w:t>39,241,902.54</w:t>
            </w: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730,655.95</w:t>
            </w:r>
          </w:p>
        </w:tc>
        <w:tc>
          <w:tcPr>
            <w:tcW w:w="13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3"/>
              <w:jc w:val="right"/>
              <w:rPr>
                <w:rFonts w:ascii="Arial Narrow" w:hAnsi="Arial Narrow" w:cs="Arial Narrow" w:eastAsia="Arial Narrow" w:hint="default"/>
                <w:sz w:val="18"/>
                <w:szCs w:val="18"/>
              </w:rPr>
            </w:pPr>
            <w:r>
              <w:rPr>
                <w:rFonts w:ascii="Arial Narrow"/>
                <w:spacing w:val="-1"/>
                <w:sz w:val="18"/>
              </w:rPr>
              <w:t>1,602,006.01</w:t>
            </w: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4"/>
              <w:jc w:val="right"/>
              <w:rPr>
                <w:rFonts w:ascii="Arial Narrow" w:hAnsi="Arial Narrow" w:cs="Arial Narrow" w:eastAsia="Arial Narrow" w:hint="default"/>
                <w:sz w:val="18"/>
                <w:szCs w:val="18"/>
              </w:rPr>
            </w:pPr>
            <w:r>
              <w:rPr>
                <w:rFonts w:ascii="Arial Narrow"/>
                <w:spacing w:val="-1"/>
                <w:sz w:val="18"/>
              </w:rPr>
              <w:t>730,655.95</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6"/>
              <w:jc w:val="right"/>
              <w:rPr>
                <w:rFonts w:ascii="Arial Narrow" w:hAnsi="Arial Narrow" w:cs="Arial Narrow" w:eastAsia="Arial Narrow" w:hint="default"/>
                <w:sz w:val="18"/>
                <w:szCs w:val="18"/>
              </w:rPr>
            </w:pPr>
            <w:r>
              <w:rPr>
                <w:rFonts w:ascii="Arial Narrow"/>
                <w:spacing w:val="-1"/>
                <w:sz w:val="18"/>
              </w:rPr>
              <w:t>1,602,006.01</w:t>
            </w: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38"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w:t>
            </w:r>
            <w:r>
              <w:rPr>
                <w:rFonts w:ascii="Times New Roman" w:hAnsi="Times New Roman" w:cs="Times New Roman" w:eastAsia="Times New Roman" w:hint="default"/>
                <w:sz w:val="18"/>
                <w:szCs w:val="18"/>
              </w:rPr>
              <w:t>)</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8"/>
              <w:jc w:val="right"/>
              <w:rPr>
                <w:rFonts w:ascii="Arial Narrow" w:hAnsi="Arial Narrow" w:cs="Arial Narrow" w:eastAsia="Arial Narrow" w:hint="default"/>
                <w:sz w:val="18"/>
                <w:szCs w:val="18"/>
              </w:rPr>
            </w:pPr>
            <w:r>
              <w:rPr>
                <w:rFonts w:ascii="Arial Narrow"/>
                <w:spacing w:val="-1"/>
                <w:sz w:val="18"/>
              </w:rPr>
              <w:t>5,381,346.65</w:t>
            </w:r>
          </w:p>
        </w:tc>
        <w:tc>
          <w:tcPr>
            <w:tcW w:w="13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3"/>
              <w:jc w:val="right"/>
              <w:rPr>
                <w:rFonts w:ascii="Arial Narrow" w:hAnsi="Arial Narrow" w:cs="Arial Narrow" w:eastAsia="Arial Narrow" w:hint="default"/>
                <w:sz w:val="18"/>
                <w:szCs w:val="18"/>
              </w:rPr>
            </w:pPr>
            <w:r>
              <w:rPr>
                <w:rFonts w:ascii="Arial Narrow"/>
                <w:spacing w:val="-1"/>
                <w:sz w:val="18"/>
              </w:rPr>
              <w:t>5,700,451.49</w:t>
            </w: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5,381,346.65</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6"/>
              <w:jc w:val="right"/>
              <w:rPr>
                <w:rFonts w:ascii="Arial Narrow" w:hAnsi="Arial Narrow" w:cs="Arial Narrow" w:eastAsia="Arial Narrow" w:hint="default"/>
                <w:sz w:val="18"/>
                <w:szCs w:val="18"/>
              </w:rPr>
            </w:pPr>
            <w:r>
              <w:rPr>
                <w:rFonts w:ascii="Arial Narrow"/>
                <w:spacing w:val="-1"/>
                <w:sz w:val="18"/>
              </w:rPr>
              <w:t>5,700,451.49</w:t>
            </w:r>
          </w:p>
        </w:tc>
      </w:tr>
      <w:tr>
        <w:trPr>
          <w:trHeight w:val="338"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39"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8"/>
              <w:jc w:val="right"/>
              <w:rPr>
                <w:rFonts w:ascii="Arial Narrow" w:hAnsi="Arial Narrow" w:cs="Arial Narrow" w:eastAsia="Arial Narrow" w:hint="default"/>
                <w:sz w:val="18"/>
                <w:szCs w:val="18"/>
              </w:rPr>
            </w:pPr>
            <w:r>
              <w:rPr>
                <w:rFonts w:ascii="Arial Narrow"/>
                <w:spacing w:val="-1"/>
                <w:sz w:val="18"/>
              </w:rPr>
              <w:t>9,284,330.55</w:t>
            </w:r>
          </w:p>
        </w:tc>
        <w:tc>
          <w:tcPr>
            <w:tcW w:w="13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3"/>
              <w:jc w:val="right"/>
              <w:rPr>
                <w:rFonts w:ascii="Arial Narrow" w:hAnsi="Arial Narrow" w:cs="Arial Narrow" w:eastAsia="Arial Narrow" w:hint="default"/>
                <w:sz w:val="18"/>
                <w:szCs w:val="18"/>
              </w:rPr>
            </w:pPr>
            <w:r>
              <w:rPr>
                <w:rFonts w:ascii="Arial Narrow"/>
                <w:spacing w:val="-1"/>
                <w:sz w:val="18"/>
              </w:rPr>
              <w:t>6,519,934.72</w:t>
            </w: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8,941,842.99</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6"/>
              <w:jc w:val="right"/>
              <w:rPr>
                <w:rFonts w:ascii="Arial Narrow" w:hAnsi="Arial Narrow" w:cs="Arial Narrow" w:eastAsia="Arial Narrow" w:hint="default"/>
                <w:sz w:val="18"/>
                <w:szCs w:val="18"/>
              </w:rPr>
            </w:pPr>
            <w:r>
              <w:rPr>
                <w:rFonts w:ascii="Arial Narrow"/>
                <w:spacing w:val="-1"/>
                <w:sz w:val="18"/>
              </w:rPr>
              <w:t>6,016,582.19</w:t>
            </w: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41" w:hRule="exact"/>
        </w:trPr>
        <w:tc>
          <w:tcPr>
            <w:tcW w:w="2525" w:type="dxa"/>
            <w:tcBorders>
              <w:top w:val="single" w:sz="2" w:space="0" w:color="000000"/>
              <w:left w:val="single" w:sz="1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4" w:space="0" w:color="000000"/>
            </w:tcBorders>
          </w:tcPr>
          <w:p>
            <w:pPr/>
          </w:p>
        </w:tc>
        <w:tc>
          <w:tcPr>
            <w:tcW w:w="1393" w:type="dxa"/>
            <w:tcBorders>
              <w:top w:val="single" w:sz="2" w:space="0" w:color="000000"/>
              <w:left w:val="single" w:sz="4"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12" w:space="0" w:color="000000"/>
            </w:tcBorders>
          </w:tcPr>
          <w:p>
            <w:pPr/>
          </w:p>
        </w:tc>
      </w:tr>
      <w:tr>
        <w:trPr>
          <w:trHeight w:val="338" w:hRule="exact"/>
        </w:trPr>
        <w:tc>
          <w:tcPr>
            <w:tcW w:w="2525"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20"/>
              <w:ind w:left="376"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417"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103,281,659.62</w:t>
            </w:r>
          </w:p>
        </w:tc>
        <w:tc>
          <w:tcPr>
            <w:tcW w:w="139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3"/>
              <w:jc w:val="right"/>
              <w:rPr>
                <w:rFonts w:ascii="Arial Narrow" w:hAnsi="Arial Narrow" w:cs="Arial Narrow" w:eastAsia="Arial Narrow" w:hint="default"/>
                <w:sz w:val="18"/>
                <w:szCs w:val="18"/>
              </w:rPr>
            </w:pPr>
            <w:r>
              <w:rPr>
                <w:rFonts w:ascii="Arial Narrow"/>
                <w:spacing w:val="-1"/>
                <w:sz w:val="18"/>
              </w:rPr>
              <w:t>78,963,937.59</w:t>
            </w:r>
          </w:p>
        </w:tc>
        <w:tc>
          <w:tcPr>
            <w:tcW w:w="1393"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4"/>
              <w:jc w:val="right"/>
              <w:rPr>
                <w:rFonts w:ascii="Arial Narrow" w:hAnsi="Arial Narrow" w:cs="Arial Narrow" w:eastAsia="Arial Narrow" w:hint="default"/>
                <w:sz w:val="18"/>
                <w:szCs w:val="18"/>
              </w:rPr>
            </w:pPr>
            <w:r>
              <w:rPr>
                <w:rFonts w:ascii="Arial Narrow"/>
                <w:spacing w:val="-1"/>
                <w:sz w:val="18"/>
              </w:rPr>
              <w:t>122,897,863.78</w:t>
            </w:r>
          </w:p>
        </w:tc>
        <w:tc>
          <w:tcPr>
            <w:tcW w:w="138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64"/>
              <w:ind w:right="16"/>
              <w:jc w:val="right"/>
              <w:rPr>
                <w:rFonts w:ascii="Arial Narrow" w:hAnsi="Arial Narrow" w:cs="Arial Narrow" w:eastAsia="Arial Narrow" w:hint="default"/>
                <w:sz w:val="18"/>
                <w:szCs w:val="18"/>
              </w:rPr>
            </w:pPr>
            <w:r>
              <w:rPr>
                <w:rFonts w:ascii="Arial Narrow"/>
                <w:spacing w:val="-1"/>
                <w:sz w:val="18"/>
              </w:rPr>
              <w:t>93,374,108.54</w:t>
            </w:r>
          </w:p>
        </w:tc>
      </w:tr>
      <w:tr>
        <w:trPr>
          <w:trHeight w:val="355" w:hRule="exact"/>
        </w:trPr>
        <w:tc>
          <w:tcPr>
            <w:tcW w:w="2525" w:type="dxa"/>
            <w:tcBorders>
              <w:top w:val="single" w:sz="2" w:space="0" w:color="000000"/>
              <w:left w:val="single" w:sz="12" w:space="0" w:color="000000"/>
              <w:bottom w:val="single" w:sz="12" w:space="0" w:color="000000"/>
              <w:right w:val="single" w:sz="2" w:space="0" w:color="000000"/>
            </w:tcBorders>
          </w:tcPr>
          <w:p>
            <w:pPr>
              <w:pStyle w:val="TableParagraph"/>
              <w:spacing w:line="240" w:lineRule="auto" w:before="22"/>
              <w:ind w:right="14"/>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417" w:type="dxa"/>
            <w:tcBorders>
              <w:top w:val="single" w:sz="2" w:space="0" w:color="000000"/>
              <w:left w:val="single" w:sz="2" w:space="0" w:color="000000"/>
              <w:bottom w:val="single" w:sz="12" w:space="0" w:color="000000"/>
              <w:right w:val="single" w:sz="2" w:space="0" w:color="000000"/>
            </w:tcBorders>
          </w:tcPr>
          <w:p>
            <w:pPr/>
          </w:p>
        </w:tc>
        <w:tc>
          <w:tcPr>
            <w:tcW w:w="13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1"/>
                <w:sz w:val="18"/>
              </w:rPr>
              <w:t>746,689,768.50</w:t>
            </w:r>
          </w:p>
        </w:tc>
        <w:tc>
          <w:tcPr>
            <w:tcW w:w="1390" w:type="dxa"/>
            <w:tcBorders>
              <w:top w:val="single" w:sz="2" w:space="0" w:color="000000"/>
              <w:left w:val="single" w:sz="2" w:space="0" w:color="000000"/>
              <w:bottom w:val="single" w:sz="12" w:space="0" w:color="000000"/>
              <w:right w:val="single" w:sz="4" w:space="0" w:color="000000"/>
            </w:tcBorders>
          </w:tcPr>
          <w:p>
            <w:pPr>
              <w:pStyle w:val="TableParagraph"/>
              <w:spacing w:line="240" w:lineRule="auto" w:before="64"/>
              <w:ind w:right="21"/>
              <w:jc w:val="right"/>
              <w:rPr>
                <w:rFonts w:ascii="Arial Narrow" w:hAnsi="Arial Narrow" w:cs="Arial Narrow" w:eastAsia="Arial Narrow" w:hint="default"/>
                <w:sz w:val="18"/>
                <w:szCs w:val="18"/>
              </w:rPr>
            </w:pPr>
            <w:r>
              <w:rPr>
                <w:rFonts w:ascii="Arial Narrow"/>
                <w:spacing w:val="-1"/>
                <w:sz w:val="18"/>
              </w:rPr>
              <w:t>709,645,156.61</w:t>
            </w:r>
          </w:p>
        </w:tc>
        <w:tc>
          <w:tcPr>
            <w:tcW w:w="1393" w:type="dxa"/>
            <w:tcBorders>
              <w:top w:val="single" w:sz="2" w:space="0" w:color="000000"/>
              <w:left w:val="single" w:sz="4" w:space="0" w:color="000000"/>
              <w:bottom w:val="single" w:sz="12" w:space="0" w:color="000000"/>
              <w:right w:val="single" w:sz="2" w:space="0" w:color="000000"/>
            </w:tcBorders>
          </w:tcPr>
          <w:p>
            <w:pPr>
              <w:pStyle w:val="TableParagraph"/>
              <w:spacing w:line="240" w:lineRule="auto" w:before="64"/>
              <w:ind w:right="24"/>
              <w:jc w:val="right"/>
              <w:rPr>
                <w:rFonts w:ascii="Arial Narrow" w:hAnsi="Arial Narrow" w:cs="Arial Narrow" w:eastAsia="Arial Narrow" w:hint="default"/>
                <w:sz w:val="18"/>
                <w:szCs w:val="18"/>
              </w:rPr>
            </w:pPr>
            <w:r>
              <w:rPr>
                <w:rFonts w:ascii="Arial Narrow"/>
                <w:spacing w:val="-1"/>
                <w:sz w:val="18"/>
              </w:rPr>
              <w:t>744,254,443.22</w:t>
            </w:r>
          </w:p>
        </w:tc>
        <w:tc>
          <w:tcPr>
            <w:tcW w:w="1387" w:type="dxa"/>
            <w:tcBorders>
              <w:top w:val="single" w:sz="2" w:space="0" w:color="000000"/>
              <w:left w:val="single" w:sz="2" w:space="0" w:color="000000"/>
              <w:bottom w:val="single" w:sz="12" w:space="0" w:color="000000"/>
              <w:right w:val="single" w:sz="12" w:space="0" w:color="000000"/>
            </w:tcBorders>
          </w:tcPr>
          <w:p>
            <w:pPr>
              <w:pStyle w:val="TableParagraph"/>
              <w:spacing w:line="240" w:lineRule="auto" w:before="64"/>
              <w:ind w:right="14"/>
              <w:jc w:val="right"/>
              <w:rPr>
                <w:rFonts w:ascii="Arial Narrow" w:hAnsi="Arial Narrow" w:cs="Arial Narrow" w:eastAsia="Arial Narrow" w:hint="default"/>
                <w:sz w:val="18"/>
                <w:szCs w:val="18"/>
              </w:rPr>
            </w:pPr>
            <w:r>
              <w:rPr>
                <w:rFonts w:ascii="Arial Narrow"/>
                <w:spacing w:val="-1"/>
                <w:sz w:val="18"/>
              </w:rPr>
              <w:t>713,478,237.23</w:t>
            </w:r>
          </w:p>
        </w:tc>
      </w:tr>
    </w:tbl>
    <w:p>
      <w:pPr>
        <w:tabs>
          <w:tab w:pos="3156" w:val="left" w:leader="none"/>
          <w:tab w:pos="6450" w:val="left" w:leader="none"/>
        </w:tabs>
        <w:spacing w:line="205" w:lineRule="exact" w:before="0"/>
        <w:ind w:left="787"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法定代表人：李海鹰</w:t>
        <w:tab/>
      </w:r>
      <w:r>
        <w:rPr>
          <w:rFonts w:ascii="宋体" w:hAnsi="宋体" w:cs="宋体" w:eastAsia="宋体" w:hint="default"/>
          <w:sz w:val="18"/>
          <w:szCs w:val="18"/>
        </w:rPr>
        <w:t>主管会计工作的负责人：李新建</w:t>
        <w:tab/>
        <w:t>会计机构负责人：郭艳巧</w:t>
      </w:r>
    </w:p>
    <w:p>
      <w:pPr>
        <w:spacing w:after="0" w:line="205" w:lineRule="exact"/>
        <w:jc w:val="left"/>
        <w:rPr>
          <w:rFonts w:ascii="宋体" w:hAnsi="宋体" w:cs="宋体" w:eastAsia="宋体" w:hint="default"/>
          <w:sz w:val="18"/>
          <w:szCs w:val="18"/>
        </w:rPr>
        <w:sectPr>
          <w:pgSz w:w="11910" w:h="16840"/>
          <w:pgMar w:header="624" w:footer="1045" w:top="980" w:bottom="1240" w:left="1140" w:right="1000"/>
        </w:sectPr>
      </w:pPr>
    </w:p>
    <w:p>
      <w:pPr>
        <w:spacing w:line="240" w:lineRule="auto" w:before="11"/>
        <w:rPr>
          <w:rFonts w:ascii="宋体" w:hAnsi="宋体" w:cs="宋体" w:eastAsia="宋体" w:hint="default"/>
          <w:sz w:val="18"/>
          <w:szCs w:val="18"/>
        </w:rPr>
      </w:pPr>
    </w:p>
    <w:p>
      <w:pPr>
        <w:spacing w:line="20" w:lineRule="exact"/>
        <w:ind w:left="62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pStyle w:val="Heading4"/>
        <w:spacing w:line="268" w:lineRule="exact" w:before="0"/>
        <w:ind w:left="0" w:right="298"/>
        <w:jc w:val="center"/>
      </w:pPr>
      <w:r>
        <w:rPr/>
        <w:t>资产负债表（续）</w:t>
      </w:r>
    </w:p>
    <w:p>
      <w:pPr>
        <w:tabs>
          <w:tab w:pos="6598" w:val="left" w:leader="none"/>
        </w:tabs>
        <w:spacing w:before="215"/>
        <w:ind w:left="0" w:right="383"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104"/>
        <w:gridCol w:w="991"/>
        <w:gridCol w:w="1397"/>
        <w:gridCol w:w="1394"/>
        <w:gridCol w:w="1397"/>
        <w:gridCol w:w="1390"/>
      </w:tblGrid>
      <w:tr>
        <w:trPr>
          <w:trHeight w:val="362" w:hRule="exact"/>
        </w:trPr>
        <w:tc>
          <w:tcPr>
            <w:tcW w:w="3104" w:type="dxa"/>
            <w:vMerge w:val="restart"/>
            <w:tcBorders>
              <w:top w:val="single" w:sz="12"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902" w:right="0"/>
              <w:jc w:val="left"/>
              <w:rPr>
                <w:rFonts w:ascii="宋体" w:hAnsi="宋体" w:cs="宋体" w:eastAsia="宋体" w:hint="default"/>
                <w:sz w:val="18"/>
                <w:szCs w:val="18"/>
              </w:rPr>
            </w:pPr>
            <w:r>
              <w:rPr>
                <w:rFonts w:ascii="宋体" w:hAnsi="宋体" w:cs="宋体" w:eastAsia="宋体" w:hint="default"/>
                <w:b/>
                <w:bCs/>
                <w:sz w:val="18"/>
                <w:szCs w:val="18"/>
              </w:rPr>
              <w:t>负债和股东权益</w:t>
            </w:r>
            <w:r>
              <w:rPr>
                <w:rFonts w:ascii="宋体" w:hAnsi="宋体" w:cs="宋体" w:eastAsia="宋体" w:hint="default"/>
                <w:sz w:val="18"/>
                <w:szCs w:val="18"/>
              </w:rPr>
            </w:r>
          </w:p>
        </w:tc>
        <w:tc>
          <w:tcPr>
            <w:tcW w:w="991"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792" w:type="dxa"/>
            <w:gridSpan w:val="2"/>
            <w:tcBorders>
              <w:top w:val="single" w:sz="12" w:space="0" w:color="000000"/>
              <w:left w:val="single" w:sz="6" w:space="0" w:color="000000"/>
              <w:bottom w:val="single" w:sz="4" w:space="0" w:color="000000"/>
              <w:right w:val="single" w:sz="4" w:space="0" w:color="000000"/>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787"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55" w:hRule="exact"/>
        </w:trPr>
        <w:tc>
          <w:tcPr>
            <w:tcW w:w="3104" w:type="dxa"/>
            <w:vMerge/>
            <w:tcBorders>
              <w:left w:val="single" w:sz="12"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39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7"/>
              <w:ind w:left="32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9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7"/>
              <w:ind w:left="32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9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7"/>
              <w:ind w:left="32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90" w:type="dxa"/>
            <w:tcBorders>
              <w:top w:val="single" w:sz="4" w:space="0" w:color="000000"/>
              <w:left w:val="single" w:sz="4" w:space="0" w:color="000000"/>
              <w:bottom w:val="single" w:sz="6" w:space="0" w:color="000000"/>
              <w:right w:val="single" w:sz="12" w:space="0" w:color="000000"/>
            </w:tcBorders>
          </w:tcPr>
          <w:p>
            <w:pPr>
              <w:pStyle w:val="TableParagraph"/>
              <w:spacing w:line="240" w:lineRule="auto" w:before="27"/>
              <w:ind w:left="32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90" w:type="dxa"/>
            <w:tcBorders>
              <w:top w:val="single" w:sz="6" w:space="0" w:color="000000"/>
              <w:left w:val="single" w:sz="4"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十四</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30,000,000.00</w:t>
            </w:r>
          </w:p>
        </w:tc>
        <w:tc>
          <w:tcPr>
            <w:tcW w:w="1397" w:type="dxa"/>
            <w:tcBorders>
              <w:top w:val="single" w:sz="6" w:space="0" w:color="000000"/>
              <w:left w:val="single" w:sz="4" w:space="0" w:color="000000"/>
              <w:bottom w:val="single" w:sz="6" w:space="0" w:color="000000"/>
              <w:right w:val="single" w:sz="4" w:space="0" w:color="000000"/>
            </w:tcBorders>
          </w:tcPr>
          <w:p>
            <w:pPr/>
          </w:p>
        </w:tc>
        <w:tc>
          <w:tcPr>
            <w:tcW w:w="1390"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66"/>
              <w:ind w:right="16"/>
              <w:jc w:val="right"/>
              <w:rPr>
                <w:rFonts w:ascii="Arial Narrow" w:hAnsi="Arial Narrow" w:cs="Arial Narrow" w:eastAsia="Arial Narrow" w:hint="default"/>
                <w:sz w:val="18"/>
                <w:szCs w:val="18"/>
              </w:rPr>
            </w:pPr>
            <w:r>
              <w:rPr>
                <w:rFonts w:ascii="Arial Narrow"/>
                <w:spacing w:val="-1"/>
                <w:sz w:val="18"/>
              </w:rPr>
              <w:t>30,000,000.00</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4" w:space="0" w:color="000000"/>
            </w:tcBorders>
          </w:tcPr>
          <w:p>
            <w:pPr/>
          </w:p>
        </w:tc>
        <w:tc>
          <w:tcPr>
            <w:tcW w:w="1390" w:type="dxa"/>
            <w:tcBorders>
              <w:top w:val="single" w:sz="6" w:space="0" w:color="000000"/>
              <w:left w:val="single" w:sz="4"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十五</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12,081,178.24</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14,710,034.96</w:t>
            </w:r>
          </w:p>
        </w:tc>
        <w:tc>
          <w:tcPr>
            <w:tcW w:w="13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6"/>
              <w:ind w:right="26"/>
              <w:jc w:val="right"/>
              <w:rPr>
                <w:rFonts w:ascii="Arial Narrow" w:hAnsi="Arial Narrow" w:cs="Arial Narrow" w:eastAsia="Arial Narrow" w:hint="default"/>
                <w:sz w:val="18"/>
                <w:szCs w:val="18"/>
              </w:rPr>
            </w:pPr>
            <w:r>
              <w:rPr>
                <w:rFonts w:ascii="Arial Narrow"/>
                <w:spacing w:val="-1"/>
                <w:sz w:val="18"/>
              </w:rPr>
              <w:t>12,081,178.24</w:t>
            </w:r>
          </w:p>
        </w:tc>
        <w:tc>
          <w:tcPr>
            <w:tcW w:w="1390" w:type="dxa"/>
            <w:tcBorders>
              <w:top w:val="single" w:sz="6" w:space="0" w:color="000000"/>
              <w:left w:val="single" w:sz="4" w:space="0" w:color="000000"/>
              <w:bottom w:val="single" w:sz="6" w:space="0" w:color="000000"/>
              <w:right w:val="single" w:sz="12" w:space="0" w:color="000000"/>
            </w:tcBorders>
          </w:tcPr>
          <w:p>
            <w:pPr>
              <w:pStyle w:val="TableParagraph"/>
              <w:spacing w:line="240" w:lineRule="auto" w:before="66"/>
              <w:ind w:right="16"/>
              <w:jc w:val="right"/>
              <w:rPr>
                <w:rFonts w:ascii="Arial Narrow" w:hAnsi="Arial Narrow" w:cs="Arial Narrow" w:eastAsia="Arial Narrow" w:hint="default"/>
                <w:sz w:val="18"/>
                <w:szCs w:val="18"/>
              </w:rPr>
            </w:pPr>
            <w:r>
              <w:rPr>
                <w:rFonts w:ascii="Arial Narrow"/>
                <w:spacing w:val="-1"/>
                <w:sz w:val="18"/>
              </w:rPr>
              <w:t>14,710,034.96</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十六</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46,351,797.17</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37,389,401.87</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139,172,188.94</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6"/>
              <w:jc w:val="right"/>
              <w:rPr>
                <w:rFonts w:ascii="Arial Narrow" w:hAnsi="Arial Narrow" w:cs="Arial Narrow" w:eastAsia="Arial Narrow" w:hint="default"/>
                <w:sz w:val="18"/>
                <w:szCs w:val="18"/>
              </w:rPr>
            </w:pPr>
            <w:r>
              <w:rPr>
                <w:rFonts w:ascii="Arial Narrow"/>
                <w:spacing w:val="-1"/>
                <w:sz w:val="18"/>
              </w:rPr>
              <w:t>95,908,081.87</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十七</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10,861,592.20</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12,019,335.08</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10,861,592.20</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6"/>
              <w:jc w:val="right"/>
              <w:rPr>
                <w:rFonts w:ascii="Arial Narrow" w:hAnsi="Arial Narrow" w:cs="Arial Narrow" w:eastAsia="Arial Narrow" w:hint="default"/>
                <w:sz w:val="18"/>
                <w:szCs w:val="18"/>
              </w:rPr>
            </w:pPr>
            <w:r>
              <w:rPr>
                <w:rFonts w:ascii="Arial Narrow"/>
                <w:spacing w:val="-1"/>
                <w:sz w:val="18"/>
              </w:rPr>
              <w:t>12,019,335.08</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十八</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4,775,377.48</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3,203,905.67</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4,404,950.08</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6"/>
              <w:jc w:val="right"/>
              <w:rPr>
                <w:rFonts w:ascii="Arial Narrow" w:hAnsi="Arial Narrow" w:cs="Arial Narrow" w:eastAsia="Arial Narrow" w:hint="default"/>
                <w:sz w:val="18"/>
                <w:szCs w:val="18"/>
              </w:rPr>
            </w:pPr>
            <w:r>
              <w:rPr>
                <w:rFonts w:ascii="Arial Narrow"/>
                <w:spacing w:val="-1"/>
                <w:sz w:val="18"/>
              </w:rPr>
              <w:t>2,937,581.12</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十九</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19,208,492.96</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6,484,083.77</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16,486,416.23</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2"/>
                <w:sz w:val="18"/>
              </w:rPr>
              <w:t>3,811,651.04</w:t>
            </w:r>
          </w:p>
        </w:tc>
      </w:tr>
      <w:tr>
        <w:trPr>
          <w:trHeight w:val="356"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19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7"/>
              <w:ind w:right="21"/>
              <w:jc w:val="right"/>
              <w:rPr>
                <w:rFonts w:ascii="Arial Narrow" w:hAnsi="Arial Narrow" w:cs="Arial Narrow" w:eastAsia="Arial Narrow" w:hint="default"/>
                <w:sz w:val="18"/>
                <w:szCs w:val="18"/>
              </w:rPr>
            </w:pPr>
            <w:r>
              <w:rPr>
                <w:rFonts w:ascii="Arial Narrow"/>
                <w:spacing w:val="-1"/>
                <w:sz w:val="18"/>
              </w:rPr>
              <w:t>39,825.00</w:t>
            </w: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right="14"/>
              <w:jc w:val="right"/>
              <w:rPr>
                <w:rFonts w:ascii="Arial Narrow" w:hAnsi="Arial Narrow" w:cs="Arial Narrow" w:eastAsia="Arial Narrow" w:hint="default"/>
                <w:sz w:val="18"/>
                <w:szCs w:val="18"/>
              </w:rPr>
            </w:pPr>
            <w:r>
              <w:rPr>
                <w:rFonts w:ascii="Arial Narrow"/>
                <w:spacing w:val="-1"/>
                <w:sz w:val="18"/>
              </w:rPr>
              <w:t>39,825.00</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二十一</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2,574,984.47</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2,566,786.94</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2,564,813.73</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6"/>
              <w:jc w:val="right"/>
              <w:rPr>
                <w:rFonts w:ascii="Arial Narrow" w:hAnsi="Arial Narrow" w:cs="Arial Narrow" w:eastAsia="Arial Narrow" w:hint="default"/>
                <w:sz w:val="18"/>
                <w:szCs w:val="18"/>
              </w:rPr>
            </w:pPr>
            <w:r>
              <w:rPr>
                <w:rFonts w:ascii="Arial Narrow"/>
                <w:spacing w:val="-1"/>
                <w:sz w:val="18"/>
              </w:rPr>
              <w:t>2,476,363.35</w:t>
            </w:r>
          </w:p>
        </w:tc>
      </w:tr>
      <w:tr>
        <w:trPr>
          <w:trHeight w:val="353"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376"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95,853,422.52</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106,413,373.29</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185,571,139.42</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161,902,872.42</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4,474,602.44</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3,938,322.23</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4,474,602.44</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6"/>
              <w:jc w:val="right"/>
              <w:rPr>
                <w:rFonts w:ascii="Arial Narrow" w:hAnsi="Arial Narrow" w:cs="Arial Narrow" w:eastAsia="Arial Narrow" w:hint="default"/>
                <w:sz w:val="18"/>
                <w:szCs w:val="18"/>
              </w:rPr>
            </w:pPr>
            <w:r>
              <w:rPr>
                <w:rFonts w:ascii="Arial Narrow"/>
                <w:spacing w:val="-1"/>
                <w:sz w:val="18"/>
              </w:rPr>
              <w:t>3,938,322.23</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其他非流动性负债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二十二</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19,800,000.00</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15,400,000.00</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19,800,000.00</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6"/>
              <w:jc w:val="right"/>
              <w:rPr>
                <w:rFonts w:ascii="Arial Narrow" w:hAnsi="Arial Narrow" w:cs="Arial Narrow" w:eastAsia="Arial Narrow" w:hint="default"/>
                <w:sz w:val="18"/>
                <w:szCs w:val="18"/>
              </w:rPr>
            </w:pPr>
            <w:r>
              <w:rPr>
                <w:rFonts w:ascii="Arial Narrow"/>
                <w:spacing w:val="-1"/>
                <w:sz w:val="18"/>
              </w:rPr>
              <w:t>15,400,000.00</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376"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24,274,602.44</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19,338,322.23</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24,274,602.44</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6"/>
              <w:jc w:val="right"/>
              <w:rPr>
                <w:rFonts w:ascii="Arial Narrow" w:hAnsi="Arial Narrow" w:cs="Arial Narrow" w:eastAsia="Arial Narrow" w:hint="default"/>
                <w:sz w:val="18"/>
                <w:szCs w:val="18"/>
              </w:rPr>
            </w:pPr>
            <w:r>
              <w:rPr>
                <w:rFonts w:ascii="Arial Narrow"/>
                <w:spacing w:val="-1"/>
                <w:sz w:val="18"/>
              </w:rPr>
              <w:t>19,338,322.23</w:t>
            </w:r>
          </w:p>
        </w:tc>
      </w:tr>
      <w:tr>
        <w:trPr>
          <w:trHeight w:val="353"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120,128,024.96</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125,751,695.52</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209,845,741.86</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181,241,194.65</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二十三</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104,550,000.00</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61,500,000.00</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104,550,000.00</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6"/>
              <w:jc w:val="right"/>
              <w:rPr>
                <w:rFonts w:ascii="Arial Narrow" w:hAnsi="Arial Narrow" w:cs="Arial Narrow" w:eastAsia="Arial Narrow" w:hint="default"/>
                <w:sz w:val="18"/>
                <w:szCs w:val="18"/>
              </w:rPr>
            </w:pPr>
            <w:r>
              <w:rPr>
                <w:rFonts w:ascii="Arial Narrow"/>
                <w:spacing w:val="-1"/>
                <w:sz w:val="18"/>
              </w:rPr>
              <w:t>61,500,000.00</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二十四</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2"/>
                <w:sz w:val="18"/>
              </w:rPr>
              <w:t>311,557,240.00</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354,607,240.00</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2"/>
                <w:sz w:val="18"/>
              </w:rPr>
              <w:t>311,557,240.00</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354,607,240.00</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37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二十五</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22,589,006.19</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3"/>
              <w:jc w:val="right"/>
              <w:rPr>
                <w:rFonts w:ascii="Arial Narrow" w:hAnsi="Arial Narrow" w:cs="Arial Narrow" w:eastAsia="Arial Narrow" w:hint="default"/>
                <w:sz w:val="18"/>
                <w:szCs w:val="18"/>
              </w:rPr>
            </w:pPr>
            <w:r>
              <w:rPr>
                <w:rFonts w:ascii="Arial Narrow"/>
                <w:spacing w:val="-1"/>
                <w:sz w:val="18"/>
              </w:rPr>
              <w:t>18,066,840.31</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22,589,006.19</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6"/>
              <w:jc w:val="right"/>
              <w:rPr>
                <w:rFonts w:ascii="Arial Narrow" w:hAnsi="Arial Narrow" w:cs="Arial Narrow" w:eastAsia="Arial Narrow" w:hint="default"/>
                <w:sz w:val="18"/>
                <w:szCs w:val="18"/>
              </w:rPr>
            </w:pPr>
            <w:r>
              <w:rPr>
                <w:rFonts w:ascii="Arial Narrow"/>
                <w:spacing w:val="-1"/>
                <w:sz w:val="18"/>
              </w:rPr>
              <w:t>18,066,840.31</w:t>
            </w:r>
          </w:p>
        </w:tc>
      </w:tr>
      <w:tr>
        <w:trPr>
          <w:trHeight w:val="356"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二十六</w:t>
            </w:r>
            <w:r>
              <w:rPr>
                <w:rFonts w:ascii="Times New Roman" w:hAnsi="Times New Roman" w:cs="Times New Roman" w:eastAsia="Times New Roman" w:hint="default"/>
                <w:sz w:val="18"/>
                <w:szCs w:val="18"/>
              </w:rPr>
              <w:t>)</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22"/>
              <w:jc w:val="right"/>
              <w:rPr>
                <w:rFonts w:ascii="Arial Narrow" w:hAnsi="Arial Narrow" w:cs="Arial Narrow" w:eastAsia="Arial Narrow" w:hint="default"/>
                <w:sz w:val="18"/>
                <w:szCs w:val="18"/>
              </w:rPr>
            </w:pPr>
            <w:r>
              <w:rPr>
                <w:rFonts w:ascii="Arial Narrow"/>
                <w:spacing w:val="-1"/>
                <w:sz w:val="18"/>
              </w:rPr>
              <w:t>187,865,497.35</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7"/>
              <w:ind w:right="21"/>
              <w:jc w:val="right"/>
              <w:rPr>
                <w:rFonts w:ascii="Arial Narrow" w:hAnsi="Arial Narrow" w:cs="Arial Narrow" w:eastAsia="Arial Narrow" w:hint="default"/>
                <w:sz w:val="18"/>
                <w:szCs w:val="18"/>
              </w:rPr>
            </w:pPr>
            <w:r>
              <w:rPr>
                <w:rFonts w:ascii="Arial Narrow"/>
                <w:spacing w:val="-1"/>
                <w:sz w:val="18"/>
              </w:rPr>
              <w:t>149,719,380.78</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7"/>
              <w:ind w:right="24"/>
              <w:jc w:val="right"/>
              <w:rPr>
                <w:rFonts w:ascii="Arial Narrow" w:hAnsi="Arial Narrow" w:cs="Arial Narrow" w:eastAsia="Arial Narrow" w:hint="default"/>
                <w:sz w:val="18"/>
                <w:szCs w:val="18"/>
              </w:rPr>
            </w:pPr>
            <w:r>
              <w:rPr>
                <w:rFonts w:ascii="Arial Narrow"/>
                <w:spacing w:val="-1"/>
                <w:sz w:val="18"/>
              </w:rPr>
              <w:t>95,712,455.17</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right="16"/>
              <w:jc w:val="right"/>
              <w:rPr>
                <w:rFonts w:ascii="Arial Narrow" w:hAnsi="Arial Narrow" w:cs="Arial Narrow" w:eastAsia="Arial Narrow" w:hint="default"/>
                <w:sz w:val="18"/>
                <w:szCs w:val="18"/>
              </w:rPr>
            </w:pPr>
            <w:r>
              <w:rPr>
                <w:rFonts w:ascii="Arial Narrow"/>
                <w:spacing w:val="-1"/>
                <w:sz w:val="18"/>
              </w:rPr>
              <w:t>98,062,962.27</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归属于公司普通股股东的权益合计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626,561,743.54</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583,893,461.09</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534,408,701.36</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532,237,042.58</w:t>
            </w: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28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4" w:space="0" w:color="000000"/>
            </w:tcBorders>
          </w:tcPr>
          <w:p>
            <w:pPr/>
          </w:p>
        </w:tc>
        <w:tc>
          <w:tcPr>
            <w:tcW w:w="1397" w:type="dxa"/>
            <w:tcBorders>
              <w:top w:val="single" w:sz="6" w:space="0" w:color="000000"/>
              <w:left w:val="single" w:sz="4"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1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626,561,743.54</w:t>
            </w:r>
          </w:p>
        </w:tc>
        <w:tc>
          <w:tcPr>
            <w:tcW w:w="13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583,893,461.09</w:t>
            </w:r>
          </w:p>
        </w:tc>
        <w:tc>
          <w:tcPr>
            <w:tcW w:w="13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534,408,701.36</w:t>
            </w:r>
          </w:p>
        </w:tc>
        <w:tc>
          <w:tcPr>
            <w:tcW w:w="1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532,237,042.58</w:t>
            </w:r>
          </w:p>
        </w:tc>
      </w:tr>
      <w:tr>
        <w:trPr>
          <w:trHeight w:val="362" w:hRule="exact"/>
        </w:trPr>
        <w:tc>
          <w:tcPr>
            <w:tcW w:w="310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991" w:type="dxa"/>
            <w:tcBorders>
              <w:top w:val="single" w:sz="6" w:space="0" w:color="000000"/>
              <w:left w:val="single" w:sz="6" w:space="0" w:color="000000"/>
              <w:bottom w:val="single" w:sz="12" w:space="0" w:color="000000"/>
              <w:right w:val="single" w:sz="6" w:space="0" w:color="000000"/>
            </w:tcBorders>
          </w:tcPr>
          <w:p>
            <w:pP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746,689,768.50</w:t>
            </w:r>
          </w:p>
        </w:tc>
        <w:tc>
          <w:tcPr>
            <w:tcW w:w="139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6"/>
              <w:ind w:right="21"/>
              <w:jc w:val="right"/>
              <w:rPr>
                <w:rFonts w:ascii="Arial Narrow" w:hAnsi="Arial Narrow" w:cs="Arial Narrow" w:eastAsia="Arial Narrow" w:hint="default"/>
                <w:sz w:val="18"/>
                <w:szCs w:val="18"/>
              </w:rPr>
            </w:pPr>
            <w:r>
              <w:rPr>
                <w:rFonts w:ascii="Arial Narrow"/>
                <w:spacing w:val="-1"/>
                <w:sz w:val="18"/>
              </w:rPr>
              <w:t>709,645,156.61</w:t>
            </w:r>
          </w:p>
        </w:tc>
        <w:tc>
          <w:tcPr>
            <w:tcW w:w="1397"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744,254,443.22</w:t>
            </w:r>
          </w:p>
        </w:tc>
        <w:tc>
          <w:tcPr>
            <w:tcW w:w="13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6"/>
              <w:ind w:right="14"/>
              <w:jc w:val="right"/>
              <w:rPr>
                <w:rFonts w:ascii="Arial Narrow" w:hAnsi="Arial Narrow" w:cs="Arial Narrow" w:eastAsia="Arial Narrow" w:hint="default"/>
                <w:sz w:val="18"/>
                <w:szCs w:val="18"/>
              </w:rPr>
            </w:pPr>
            <w:r>
              <w:rPr>
                <w:rFonts w:ascii="Arial Narrow"/>
                <w:spacing w:val="-1"/>
                <w:sz w:val="18"/>
              </w:rPr>
              <w:t>713,478,237.23</w:t>
            </w:r>
          </w:p>
        </w:tc>
      </w:tr>
    </w:tbl>
    <w:p>
      <w:pPr>
        <w:tabs>
          <w:tab w:pos="3780" w:val="left" w:leader="none"/>
          <w:tab w:pos="7004" w:val="left" w:leader="none"/>
        </w:tabs>
        <w:spacing w:line="205" w:lineRule="exact" w:before="0"/>
        <w:ind w:left="658"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法定代表人：李海鹰</w:t>
        <w:tab/>
      </w:r>
      <w:r>
        <w:rPr>
          <w:rFonts w:ascii="宋体" w:hAnsi="宋体" w:cs="宋体" w:eastAsia="宋体" w:hint="default"/>
          <w:spacing w:val="-2"/>
          <w:sz w:val="18"/>
          <w:szCs w:val="18"/>
        </w:rPr>
        <w:t>主管会计工作的负责人：李新华</w:t>
        <w:tab/>
        <w:t>会计机构负责人：郭艳巧</w:t>
      </w:r>
    </w:p>
    <w:p>
      <w:pPr>
        <w:spacing w:after="0" w:line="205" w:lineRule="exact"/>
        <w:jc w:val="left"/>
        <w:rPr>
          <w:rFonts w:ascii="宋体" w:hAnsi="宋体" w:cs="宋体" w:eastAsia="宋体" w:hint="default"/>
          <w:sz w:val="18"/>
          <w:szCs w:val="18"/>
        </w:rPr>
        <w:sectPr>
          <w:pgSz w:w="11910" w:h="16840"/>
          <w:pgMar w:header="624" w:footer="1045" w:top="980" w:bottom="1240" w:left="1140" w:right="840"/>
        </w:sectPr>
      </w:pPr>
    </w:p>
    <w:p>
      <w:pPr>
        <w:spacing w:line="240" w:lineRule="auto" w:before="11"/>
        <w:rPr>
          <w:rFonts w:ascii="宋体" w:hAnsi="宋体" w:cs="宋体" w:eastAsia="宋体" w:hint="default"/>
          <w:sz w:val="18"/>
          <w:szCs w:val="18"/>
        </w:rPr>
      </w:pPr>
    </w:p>
    <w:p>
      <w:pPr>
        <w:spacing w:line="20" w:lineRule="exact"/>
        <w:ind w:left="798" w:right="0" w:firstLine="0"/>
        <w:rPr>
          <w:rFonts w:ascii="宋体" w:hAnsi="宋体" w:cs="宋体" w:eastAsia="宋体" w:hint="default"/>
          <w:sz w:val="2"/>
          <w:szCs w:val="2"/>
        </w:rPr>
      </w:pPr>
      <w:r>
        <w:rPr>
          <w:rFonts w:ascii="宋体" w:hAnsi="宋体" w:cs="宋体" w:eastAsia="宋体" w:hint="default"/>
          <w:sz w:val="2"/>
          <w:szCs w:val="2"/>
        </w:rPr>
        <w:pict>
          <v:group style="width:445.9pt;height:.75pt;mso-position-horizontal-relative:char;mso-position-vertical-relative:line" coordorigin="0,0" coordsize="8918,15">
            <v:group style="position:absolute;left:7;top:7;width:8903;height:2" coordorigin="7,7" coordsize="8903,2">
              <v:shape style="position:absolute;left:7;top:7;width:8903;height:2" coordorigin="7,7" coordsize="8903,0" path="m7,7l8910,7e" filled="false" stroked="true" strokeweight=".71999pt" strokecolor="#000000">
                <v:path arrowok="t"/>
              </v:shape>
            </v:group>
          </v:group>
        </w:pict>
      </w:r>
      <w:r>
        <w:rPr>
          <w:rFonts w:ascii="宋体" w:hAnsi="宋体" w:cs="宋体" w:eastAsia="宋体" w:hint="default"/>
          <w:sz w:val="2"/>
          <w:szCs w:val="2"/>
        </w:rPr>
      </w:r>
    </w:p>
    <w:p>
      <w:pPr>
        <w:pStyle w:val="Heading4"/>
        <w:spacing w:line="240" w:lineRule="auto"/>
        <w:ind w:left="4875" w:right="4550"/>
        <w:jc w:val="center"/>
      </w:pPr>
      <w:r>
        <w:rPr/>
        <w:t>利润表</w:t>
      </w:r>
    </w:p>
    <w:p>
      <w:pPr>
        <w:spacing w:line="240" w:lineRule="auto" w:before="2"/>
        <w:rPr>
          <w:rFonts w:ascii="黑体" w:hAnsi="黑体" w:cs="黑体" w:eastAsia="黑体" w:hint="default"/>
          <w:sz w:val="24"/>
          <w:szCs w:val="24"/>
        </w:rPr>
      </w:pPr>
    </w:p>
    <w:p>
      <w:pPr>
        <w:tabs>
          <w:tab w:pos="7344" w:val="left" w:leader="none"/>
        </w:tabs>
        <w:spacing w:before="0"/>
        <w:ind w:left="834"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3829"/>
        <w:gridCol w:w="1697"/>
        <w:gridCol w:w="1099"/>
        <w:gridCol w:w="1102"/>
        <w:gridCol w:w="1100"/>
        <w:gridCol w:w="1099"/>
      </w:tblGrid>
      <w:tr>
        <w:trPr>
          <w:trHeight w:val="329" w:hRule="exact"/>
        </w:trPr>
        <w:tc>
          <w:tcPr>
            <w:tcW w:w="3829" w:type="dxa"/>
            <w:vMerge w:val="restart"/>
            <w:tcBorders>
              <w:top w:val="single" w:sz="12" w:space="0" w:color="000000"/>
              <w:left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 w:right="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7" w:type="dxa"/>
            <w:vMerge w:val="restart"/>
            <w:tcBorders>
              <w:top w:val="single" w:sz="12"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01" w:type="dxa"/>
            <w:gridSpan w:val="2"/>
            <w:tcBorders>
              <w:top w:val="single" w:sz="12" w:space="0" w:color="000000"/>
              <w:left w:val="single" w:sz="6"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199"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43" w:hRule="exact"/>
        </w:trPr>
        <w:tc>
          <w:tcPr>
            <w:tcW w:w="3829" w:type="dxa"/>
            <w:vMerge/>
            <w:tcBorders>
              <w:left w:val="single" w:sz="12" w:space="0" w:color="000000"/>
              <w:bottom w:val="single" w:sz="6" w:space="0" w:color="000000"/>
              <w:right w:val="single" w:sz="6" w:space="0" w:color="000000"/>
            </w:tcBorders>
          </w:tcPr>
          <w:p>
            <w:pPr/>
          </w:p>
        </w:tc>
        <w:tc>
          <w:tcPr>
            <w:tcW w:w="1697" w:type="dxa"/>
            <w:vMerge/>
            <w:tcBorders>
              <w:left w:val="single" w:sz="6" w:space="0" w:color="000000"/>
              <w:bottom w:val="single" w:sz="6" w:space="0" w:color="000000"/>
              <w:right w:val="single" w:sz="6" w:space="0" w:color="000000"/>
            </w:tcBorders>
          </w:tcPr>
          <w:p>
            <w:pPr/>
          </w:p>
        </w:tc>
        <w:tc>
          <w:tcPr>
            <w:tcW w:w="109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2"/>
              <w:ind w:left="180"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102"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2"/>
              <w:ind w:left="17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110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099"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22"/>
              <w:ind w:left="17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62"/>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二十七</w:t>
            </w: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2"/>
                <w:sz w:val="18"/>
              </w:rPr>
              <w:t>250,287,117.56</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4"/>
              <w:jc w:val="right"/>
              <w:rPr>
                <w:rFonts w:ascii="Arial Narrow" w:hAnsi="Arial Narrow" w:cs="Arial Narrow" w:eastAsia="Arial Narrow" w:hint="default"/>
                <w:sz w:val="18"/>
                <w:szCs w:val="18"/>
              </w:rPr>
            </w:pPr>
            <w:r>
              <w:rPr>
                <w:rFonts w:ascii="Arial Narrow"/>
                <w:spacing w:val="-1"/>
                <w:sz w:val="18"/>
              </w:rPr>
              <w:t>166,358,343.74</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2"/>
                <w:sz w:val="18"/>
              </w:rPr>
              <w:t>250,287,117.56</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2"/>
              <w:jc w:val="right"/>
              <w:rPr>
                <w:rFonts w:ascii="Arial Narrow" w:hAnsi="Arial Narrow" w:cs="Arial Narrow" w:eastAsia="Arial Narrow" w:hint="default"/>
                <w:sz w:val="18"/>
                <w:szCs w:val="18"/>
              </w:rPr>
            </w:pPr>
            <w:r>
              <w:rPr>
                <w:rFonts w:ascii="Arial Narrow"/>
                <w:spacing w:val="-1"/>
                <w:sz w:val="18"/>
              </w:rPr>
              <w:t>166,358,343.74</w:t>
            </w:r>
          </w:p>
        </w:tc>
      </w:tr>
      <w:tr>
        <w:trPr>
          <w:trHeight w:val="338"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37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62"/>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二十七</w:t>
            </w: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9"/>
              <w:jc w:val="right"/>
              <w:rPr>
                <w:rFonts w:ascii="Arial Narrow" w:hAnsi="Arial Narrow" w:cs="Arial Narrow" w:eastAsia="Arial Narrow" w:hint="default"/>
                <w:sz w:val="18"/>
                <w:szCs w:val="18"/>
              </w:rPr>
            </w:pPr>
            <w:r>
              <w:rPr>
                <w:rFonts w:ascii="Arial Narrow"/>
                <w:spacing w:val="-1"/>
                <w:sz w:val="18"/>
              </w:rPr>
              <w:t>122,180,444.70</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6"/>
              <w:jc w:val="right"/>
              <w:rPr>
                <w:rFonts w:ascii="Arial Narrow" w:hAnsi="Arial Narrow" w:cs="Arial Narrow" w:eastAsia="Arial Narrow" w:hint="default"/>
                <w:sz w:val="18"/>
                <w:szCs w:val="18"/>
              </w:rPr>
            </w:pPr>
            <w:r>
              <w:rPr>
                <w:rFonts w:ascii="Arial Narrow"/>
                <w:spacing w:val="-1"/>
                <w:sz w:val="18"/>
              </w:rPr>
              <w:t>83,200,648.60</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19"/>
              <w:jc w:val="right"/>
              <w:rPr>
                <w:rFonts w:ascii="Arial Narrow" w:hAnsi="Arial Narrow" w:cs="Arial Narrow" w:eastAsia="Arial Narrow" w:hint="default"/>
                <w:sz w:val="18"/>
                <w:szCs w:val="18"/>
              </w:rPr>
            </w:pPr>
            <w:r>
              <w:rPr>
                <w:rFonts w:ascii="Arial Narrow"/>
                <w:spacing w:val="-1"/>
                <w:sz w:val="18"/>
              </w:rPr>
              <w:t>163,359,991.32</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2"/>
              <w:jc w:val="right"/>
              <w:rPr>
                <w:rFonts w:ascii="Arial Narrow" w:hAnsi="Arial Narrow" w:cs="Arial Narrow" w:eastAsia="Arial Narrow" w:hint="default"/>
                <w:sz w:val="18"/>
                <w:szCs w:val="18"/>
              </w:rPr>
            </w:pPr>
            <w:r>
              <w:rPr>
                <w:rFonts w:ascii="Arial Narrow"/>
                <w:spacing w:val="-1"/>
                <w:sz w:val="18"/>
              </w:rPr>
              <w:t>108,760,440.85</w:t>
            </w: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73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二十八</w:t>
            </w:r>
            <w:r>
              <w:rPr>
                <w:rFonts w:ascii="Times New Roman" w:hAnsi="Times New Roman" w:cs="Times New Roman" w:eastAsia="Times New Roman" w:hint="default"/>
                <w:sz w:val="18"/>
                <w:szCs w:val="18"/>
              </w:rPr>
              <w:t>)</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2,321,610.45</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5"/>
              <w:jc w:val="right"/>
              <w:rPr>
                <w:rFonts w:ascii="Arial Narrow" w:hAnsi="Arial Narrow" w:cs="Arial Narrow" w:eastAsia="Arial Narrow" w:hint="default"/>
                <w:sz w:val="18"/>
                <w:szCs w:val="18"/>
              </w:rPr>
            </w:pPr>
            <w:r>
              <w:rPr>
                <w:rFonts w:ascii="Arial Narrow"/>
                <w:spacing w:val="-1"/>
                <w:sz w:val="18"/>
              </w:rPr>
              <w:t>1,323,627.62</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1,608,528.73</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1"/>
              <w:jc w:val="right"/>
              <w:rPr>
                <w:rFonts w:ascii="Arial Narrow" w:hAnsi="Arial Narrow" w:cs="Arial Narrow" w:eastAsia="Arial Narrow" w:hint="default"/>
                <w:sz w:val="18"/>
                <w:szCs w:val="18"/>
              </w:rPr>
            </w:pPr>
            <w:r>
              <w:rPr>
                <w:rFonts w:ascii="Arial Narrow"/>
                <w:spacing w:val="-1"/>
                <w:sz w:val="18"/>
              </w:rPr>
              <w:t>974,667.86</w:t>
            </w: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73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二十九</w:t>
            </w:r>
            <w:r>
              <w:rPr>
                <w:rFonts w:ascii="Times New Roman" w:hAnsi="Times New Roman" w:cs="Times New Roman" w:eastAsia="Times New Roman" w:hint="default"/>
                <w:sz w:val="18"/>
                <w:szCs w:val="18"/>
              </w:rPr>
              <w:t>)</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13,815,460.15</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6"/>
              <w:jc w:val="right"/>
              <w:rPr>
                <w:rFonts w:ascii="Arial Narrow" w:hAnsi="Arial Narrow" w:cs="Arial Narrow" w:eastAsia="Arial Narrow" w:hint="default"/>
                <w:sz w:val="18"/>
                <w:szCs w:val="18"/>
              </w:rPr>
            </w:pPr>
            <w:r>
              <w:rPr>
                <w:rFonts w:ascii="Arial Narrow"/>
                <w:spacing w:val="-1"/>
                <w:sz w:val="18"/>
              </w:rPr>
              <w:t>10,196,007.67</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13,815,460.15</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4"/>
              <w:jc w:val="right"/>
              <w:rPr>
                <w:rFonts w:ascii="Arial Narrow" w:hAnsi="Arial Narrow" w:cs="Arial Narrow" w:eastAsia="Arial Narrow" w:hint="default"/>
                <w:sz w:val="18"/>
                <w:szCs w:val="18"/>
              </w:rPr>
            </w:pPr>
            <w:r>
              <w:rPr>
                <w:rFonts w:ascii="Arial Narrow"/>
                <w:spacing w:val="-1"/>
                <w:sz w:val="18"/>
              </w:rPr>
              <w:t>10,196,007.67</w:t>
            </w:r>
          </w:p>
        </w:tc>
      </w:tr>
      <w:tr>
        <w:trPr>
          <w:trHeight w:val="338"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73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6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w:t>
            </w:r>
            <w:r>
              <w:rPr>
                <w:rFonts w:ascii="Times New Roman" w:hAnsi="Times New Roman" w:cs="Times New Roman" w:eastAsia="Times New Roman" w:hint="default"/>
                <w:sz w:val="18"/>
                <w:szCs w:val="18"/>
              </w:rPr>
              <w:t>)</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31,134,491.53</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6"/>
              <w:jc w:val="right"/>
              <w:rPr>
                <w:rFonts w:ascii="Arial Narrow" w:hAnsi="Arial Narrow" w:cs="Arial Narrow" w:eastAsia="Arial Narrow" w:hint="default"/>
                <w:sz w:val="18"/>
                <w:szCs w:val="18"/>
              </w:rPr>
            </w:pPr>
            <w:r>
              <w:rPr>
                <w:rFonts w:ascii="Arial Narrow"/>
                <w:spacing w:val="-1"/>
                <w:sz w:val="18"/>
              </w:rPr>
              <w:t>22,896,990.66</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28,893,041.53</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4"/>
              <w:jc w:val="right"/>
              <w:rPr>
                <w:rFonts w:ascii="Arial Narrow" w:hAnsi="Arial Narrow" w:cs="Arial Narrow" w:eastAsia="Arial Narrow" w:hint="default"/>
                <w:sz w:val="18"/>
                <w:szCs w:val="18"/>
              </w:rPr>
            </w:pPr>
            <w:r>
              <w:rPr>
                <w:rFonts w:ascii="Arial Narrow"/>
                <w:spacing w:val="-1"/>
                <w:sz w:val="18"/>
              </w:rPr>
              <w:t>21,541,939.81</w:t>
            </w: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73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三十一</w:t>
            </w:r>
            <w:r>
              <w:rPr>
                <w:rFonts w:ascii="Times New Roman" w:hAnsi="Times New Roman" w:cs="Times New Roman" w:eastAsia="Times New Roman" w:hint="default"/>
                <w:sz w:val="18"/>
                <w:szCs w:val="18"/>
              </w:rPr>
              <w:t>)</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9"/>
              <w:jc w:val="right"/>
              <w:rPr>
                <w:rFonts w:ascii="Arial Narrow" w:hAnsi="Arial Narrow" w:cs="Arial Narrow" w:eastAsia="Arial Narrow" w:hint="default"/>
                <w:sz w:val="18"/>
                <w:szCs w:val="18"/>
              </w:rPr>
            </w:pPr>
            <w:r>
              <w:rPr>
                <w:rFonts w:ascii="Arial Narrow"/>
                <w:spacing w:val="-1"/>
                <w:sz w:val="18"/>
              </w:rPr>
              <w:t>-5,265,612.76</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5"/>
              <w:jc w:val="right"/>
              <w:rPr>
                <w:rFonts w:ascii="Arial Narrow" w:hAnsi="Arial Narrow" w:cs="Arial Narrow" w:eastAsia="Arial Narrow" w:hint="default"/>
                <w:sz w:val="18"/>
                <w:szCs w:val="18"/>
              </w:rPr>
            </w:pPr>
            <w:r>
              <w:rPr>
                <w:rFonts w:ascii="Arial Narrow"/>
                <w:spacing w:val="-1"/>
                <w:sz w:val="18"/>
              </w:rPr>
              <w:t>1,664,389.17</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19"/>
              <w:jc w:val="right"/>
              <w:rPr>
                <w:rFonts w:ascii="Arial Narrow" w:hAnsi="Arial Narrow" w:cs="Arial Narrow" w:eastAsia="Arial Narrow" w:hint="default"/>
                <w:sz w:val="18"/>
                <w:szCs w:val="18"/>
              </w:rPr>
            </w:pPr>
            <w:r>
              <w:rPr>
                <w:rFonts w:ascii="Arial Narrow"/>
                <w:spacing w:val="-1"/>
                <w:sz w:val="18"/>
              </w:rPr>
              <w:t>-5,231,261.80</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3"/>
              <w:jc w:val="right"/>
              <w:rPr>
                <w:rFonts w:ascii="Arial Narrow" w:hAnsi="Arial Narrow" w:cs="Arial Narrow" w:eastAsia="Arial Narrow" w:hint="default"/>
                <w:sz w:val="18"/>
                <w:szCs w:val="18"/>
              </w:rPr>
            </w:pPr>
            <w:r>
              <w:rPr>
                <w:rFonts w:ascii="Arial Narrow"/>
                <w:spacing w:val="-1"/>
                <w:sz w:val="18"/>
              </w:rPr>
              <w:t>1,693,956.31</w:t>
            </w: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73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三十二</w:t>
            </w:r>
            <w:r>
              <w:rPr>
                <w:rFonts w:ascii="Times New Roman" w:hAnsi="Times New Roman" w:cs="Times New Roman" w:eastAsia="Times New Roman" w:hint="default"/>
                <w:sz w:val="18"/>
                <w:szCs w:val="18"/>
              </w:rPr>
              <w:t>)</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5,365,868.82</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5"/>
              <w:jc w:val="right"/>
              <w:rPr>
                <w:rFonts w:ascii="Arial Narrow" w:hAnsi="Arial Narrow" w:cs="Arial Narrow" w:eastAsia="Arial Narrow" w:hint="default"/>
                <w:sz w:val="18"/>
                <w:szCs w:val="18"/>
              </w:rPr>
            </w:pPr>
            <w:r>
              <w:rPr>
                <w:rFonts w:ascii="Arial Narrow"/>
                <w:spacing w:val="-1"/>
                <w:sz w:val="18"/>
              </w:rPr>
              <w:t>1,046,881.07</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5,365,305.07</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2"/>
              <w:jc w:val="right"/>
              <w:rPr>
                <w:rFonts w:ascii="Arial Narrow" w:hAnsi="Arial Narrow" w:cs="Arial Narrow" w:eastAsia="Arial Narrow" w:hint="default"/>
                <w:sz w:val="18"/>
                <w:szCs w:val="18"/>
              </w:rPr>
            </w:pPr>
            <w:r>
              <w:rPr>
                <w:rFonts w:ascii="Arial Narrow"/>
                <w:spacing w:val="-2"/>
                <w:sz w:val="18"/>
              </w:rPr>
              <w:t>1,050,804.11</w:t>
            </w:r>
          </w:p>
        </w:tc>
      </w:tr>
      <w:tr>
        <w:trPr>
          <w:trHeight w:val="339"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6"/>
              <w:ind w:left="374" w:right="-13"/>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
                <w:sz w:val="18"/>
                <w:szCs w:val="18"/>
              </w:rPr>
              <w:t>：</w:t>
            </w:r>
            <w:r>
              <w:rPr>
                <w:rFonts w:ascii="宋体" w:hAnsi="宋体" w:cs="宋体" w:eastAsia="宋体" w:hint="default"/>
                <w:sz w:val="18"/>
                <w:szCs w:val="18"/>
              </w:rPr>
              <w:t>公允价值变动收</w:t>
            </w:r>
            <w:r>
              <w:rPr>
                <w:rFonts w:ascii="宋体" w:hAnsi="宋体" w:cs="宋体" w:eastAsia="宋体" w:hint="default"/>
                <w:spacing w:val="-8"/>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97"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4" w:space="0" w:color="000000"/>
            </w:tcBorders>
          </w:tcPr>
          <w:p>
            <w:pPr/>
          </w:p>
        </w:tc>
        <w:tc>
          <w:tcPr>
            <w:tcW w:w="1100" w:type="dxa"/>
            <w:tcBorders>
              <w:top w:val="single" w:sz="6" w:space="0" w:color="000000"/>
              <w:left w:val="single" w:sz="4"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737"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97"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4" w:space="0" w:color="000000"/>
            </w:tcBorders>
          </w:tcPr>
          <w:p>
            <w:pPr/>
          </w:p>
        </w:tc>
        <w:tc>
          <w:tcPr>
            <w:tcW w:w="1100" w:type="dxa"/>
            <w:tcBorders>
              <w:top w:val="single" w:sz="6" w:space="0" w:color="000000"/>
              <w:left w:val="single" w:sz="4"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377"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697"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4" w:space="0" w:color="000000"/>
            </w:tcBorders>
          </w:tcPr>
          <w:p>
            <w:pPr/>
          </w:p>
        </w:tc>
        <w:tc>
          <w:tcPr>
            <w:tcW w:w="1100" w:type="dxa"/>
            <w:tcBorders>
              <w:top w:val="single" w:sz="6" w:space="0" w:color="000000"/>
              <w:left w:val="single" w:sz="4"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38"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697"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80,734,854.67</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6"/>
              <w:jc w:val="right"/>
              <w:rPr>
                <w:rFonts w:ascii="Arial Narrow" w:hAnsi="Arial Narrow" w:cs="Arial Narrow" w:eastAsia="Arial Narrow" w:hint="default"/>
                <w:sz w:val="18"/>
                <w:szCs w:val="18"/>
              </w:rPr>
            </w:pPr>
            <w:r>
              <w:rPr>
                <w:rFonts w:ascii="Arial Narrow"/>
                <w:spacing w:val="-1"/>
                <w:sz w:val="18"/>
              </w:rPr>
              <w:t>46,029,798.95</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42,476,052.56</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4"/>
              <w:jc w:val="right"/>
              <w:rPr>
                <w:rFonts w:ascii="Arial Narrow" w:hAnsi="Arial Narrow" w:cs="Arial Narrow" w:eastAsia="Arial Narrow" w:hint="default"/>
                <w:sz w:val="18"/>
                <w:szCs w:val="18"/>
              </w:rPr>
            </w:pPr>
            <w:r>
              <w:rPr>
                <w:rFonts w:ascii="Arial Narrow"/>
                <w:spacing w:val="-1"/>
                <w:sz w:val="18"/>
              </w:rPr>
              <w:t>22,140,527.13</w:t>
            </w: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37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三十三</w:t>
            </w:r>
            <w:r>
              <w:rPr>
                <w:rFonts w:ascii="Times New Roman" w:hAnsi="Times New Roman" w:cs="Times New Roman" w:eastAsia="Times New Roman" w:hint="default"/>
                <w:sz w:val="18"/>
                <w:szCs w:val="18"/>
              </w:rPr>
              <w:t>)</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17,286,015.30</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6"/>
              <w:jc w:val="right"/>
              <w:rPr>
                <w:rFonts w:ascii="Arial Narrow" w:hAnsi="Arial Narrow" w:cs="Arial Narrow" w:eastAsia="Arial Narrow" w:hint="default"/>
                <w:sz w:val="18"/>
                <w:szCs w:val="18"/>
              </w:rPr>
            </w:pPr>
            <w:r>
              <w:rPr>
                <w:rFonts w:ascii="Arial Narrow"/>
                <w:spacing w:val="-1"/>
                <w:sz w:val="18"/>
              </w:rPr>
              <w:t>15,840,188.63</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10,225,219.64</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4"/>
              <w:jc w:val="right"/>
              <w:rPr>
                <w:rFonts w:ascii="Arial Narrow" w:hAnsi="Arial Narrow" w:cs="Arial Narrow" w:eastAsia="Arial Narrow" w:hint="default"/>
                <w:sz w:val="18"/>
                <w:szCs w:val="18"/>
              </w:rPr>
            </w:pPr>
            <w:r>
              <w:rPr>
                <w:rFonts w:ascii="Arial Narrow"/>
                <w:spacing w:val="-1"/>
                <w:sz w:val="18"/>
              </w:rPr>
              <w:t>14,432,413.54</w:t>
            </w: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37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三十四</w:t>
            </w:r>
            <w:r>
              <w:rPr>
                <w:rFonts w:ascii="Times New Roman" w:hAnsi="Times New Roman" w:cs="Times New Roman" w:eastAsia="Times New Roman" w:hint="default"/>
                <w:sz w:val="18"/>
                <w:szCs w:val="18"/>
              </w:rPr>
              <w:t>)</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1,101,191.76</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3"/>
              <w:jc w:val="right"/>
              <w:rPr>
                <w:rFonts w:ascii="Arial Narrow" w:hAnsi="Arial Narrow" w:cs="Arial Narrow" w:eastAsia="Arial Narrow" w:hint="default"/>
                <w:sz w:val="18"/>
                <w:szCs w:val="18"/>
              </w:rPr>
            </w:pPr>
            <w:r>
              <w:rPr>
                <w:rFonts w:ascii="Arial Narrow"/>
                <w:spacing w:val="-1"/>
                <w:sz w:val="18"/>
              </w:rPr>
              <w:t>50.00</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1,101,191.76</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1"/>
              <w:jc w:val="right"/>
              <w:rPr>
                <w:rFonts w:ascii="Arial Narrow" w:hAnsi="Arial Narrow" w:cs="Arial Narrow" w:eastAsia="Arial Narrow" w:hint="default"/>
                <w:sz w:val="18"/>
                <w:szCs w:val="18"/>
              </w:rPr>
            </w:pPr>
            <w:r>
              <w:rPr>
                <w:rFonts w:ascii="Arial Narrow"/>
                <w:spacing w:val="-1"/>
                <w:sz w:val="18"/>
              </w:rPr>
              <w:t>50.00</w:t>
            </w:r>
          </w:p>
        </w:tc>
      </w:tr>
      <w:tr>
        <w:trPr>
          <w:trHeight w:val="338"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737"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697"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8"/>
              <w:jc w:val="right"/>
              <w:rPr>
                <w:rFonts w:ascii="Arial Narrow" w:hAnsi="Arial Narrow" w:cs="Arial Narrow" w:eastAsia="Arial Narrow" w:hint="default"/>
                <w:sz w:val="18"/>
                <w:szCs w:val="18"/>
              </w:rPr>
            </w:pPr>
            <w:r>
              <w:rPr>
                <w:rFonts w:ascii="Arial Narrow"/>
                <w:spacing w:val="-1"/>
                <w:sz w:val="18"/>
              </w:rPr>
              <w:t>1,191.76</w:t>
            </w:r>
          </w:p>
        </w:tc>
        <w:tc>
          <w:tcPr>
            <w:tcW w:w="1102" w:type="dxa"/>
            <w:tcBorders>
              <w:top w:val="single" w:sz="6" w:space="0" w:color="000000"/>
              <w:left w:val="single" w:sz="6" w:space="0" w:color="000000"/>
              <w:bottom w:val="single" w:sz="6" w:space="0" w:color="000000"/>
              <w:right w:val="single" w:sz="4" w:space="0" w:color="000000"/>
            </w:tcBorders>
          </w:tcPr>
          <w:p>
            <w:pP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18"/>
              <w:jc w:val="right"/>
              <w:rPr>
                <w:rFonts w:ascii="Arial Narrow" w:hAnsi="Arial Narrow" w:cs="Arial Narrow" w:eastAsia="Arial Narrow" w:hint="default"/>
                <w:sz w:val="18"/>
                <w:szCs w:val="18"/>
              </w:rPr>
            </w:pPr>
            <w:r>
              <w:rPr>
                <w:rFonts w:ascii="Arial Narrow"/>
                <w:spacing w:val="-1"/>
                <w:sz w:val="18"/>
              </w:rPr>
              <w:t>1,191.76</w:t>
            </w: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97"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96,919,678.21</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6"/>
              <w:jc w:val="right"/>
              <w:rPr>
                <w:rFonts w:ascii="Arial Narrow" w:hAnsi="Arial Narrow" w:cs="Arial Narrow" w:eastAsia="Arial Narrow" w:hint="default"/>
                <w:sz w:val="18"/>
                <w:szCs w:val="18"/>
              </w:rPr>
            </w:pPr>
            <w:r>
              <w:rPr>
                <w:rFonts w:ascii="Arial Narrow"/>
                <w:spacing w:val="-1"/>
                <w:sz w:val="18"/>
              </w:rPr>
              <w:t>61,869,937.58</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51,600,080.44</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4"/>
              <w:jc w:val="right"/>
              <w:rPr>
                <w:rFonts w:ascii="Arial Narrow" w:hAnsi="Arial Narrow" w:cs="Arial Narrow" w:eastAsia="Arial Narrow" w:hint="default"/>
                <w:sz w:val="18"/>
                <w:szCs w:val="18"/>
              </w:rPr>
            </w:pPr>
            <w:r>
              <w:rPr>
                <w:rFonts w:ascii="Arial Narrow"/>
                <w:spacing w:val="-1"/>
                <w:sz w:val="18"/>
              </w:rPr>
              <w:t>36,572,890.67</w:t>
            </w: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37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三十五</w:t>
            </w:r>
            <w:r>
              <w:rPr>
                <w:rFonts w:ascii="Times New Roman" w:hAnsi="Times New Roman" w:cs="Times New Roman" w:eastAsia="Times New Roman" w:hint="default"/>
                <w:sz w:val="18"/>
                <w:szCs w:val="18"/>
              </w:rPr>
              <w:t>)</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8"/>
              <w:jc w:val="right"/>
              <w:rPr>
                <w:rFonts w:ascii="Arial Narrow" w:hAnsi="Arial Narrow" w:cs="Arial Narrow" w:eastAsia="Arial Narrow" w:hint="default"/>
                <w:sz w:val="18"/>
                <w:szCs w:val="18"/>
              </w:rPr>
            </w:pPr>
            <w:r>
              <w:rPr>
                <w:rFonts w:ascii="Arial Narrow"/>
                <w:spacing w:val="-2"/>
                <w:sz w:val="18"/>
              </w:rPr>
              <w:t>11,201,395.76</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5"/>
              <w:jc w:val="right"/>
              <w:rPr>
                <w:rFonts w:ascii="Arial Narrow" w:hAnsi="Arial Narrow" w:cs="Arial Narrow" w:eastAsia="Arial Narrow" w:hint="default"/>
                <w:sz w:val="18"/>
                <w:szCs w:val="18"/>
              </w:rPr>
            </w:pPr>
            <w:r>
              <w:rPr>
                <w:rFonts w:ascii="Arial Narrow"/>
                <w:spacing w:val="-1"/>
                <w:sz w:val="18"/>
              </w:rPr>
              <w:t>7,489,490.12</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6,378,421.66</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3"/>
              <w:jc w:val="right"/>
              <w:rPr>
                <w:rFonts w:ascii="Arial Narrow" w:hAnsi="Arial Narrow" w:cs="Arial Narrow" w:eastAsia="Arial Narrow" w:hint="default"/>
                <w:sz w:val="18"/>
                <w:szCs w:val="18"/>
              </w:rPr>
            </w:pPr>
            <w:r>
              <w:rPr>
                <w:rFonts w:ascii="Arial Narrow"/>
                <w:spacing w:val="-1"/>
                <w:sz w:val="18"/>
              </w:rPr>
              <w:t>4,356,379.79</w:t>
            </w:r>
          </w:p>
        </w:tc>
      </w:tr>
      <w:tr>
        <w:trPr>
          <w:trHeight w:val="338"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697"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85,718,282.45</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6"/>
              <w:jc w:val="right"/>
              <w:rPr>
                <w:rFonts w:ascii="Arial Narrow" w:hAnsi="Arial Narrow" w:cs="Arial Narrow" w:eastAsia="Arial Narrow" w:hint="default"/>
                <w:sz w:val="18"/>
                <w:szCs w:val="18"/>
              </w:rPr>
            </w:pPr>
            <w:r>
              <w:rPr>
                <w:rFonts w:ascii="Arial Narrow"/>
                <w:spacing w:val="-1"/>
                <w:sz w:val="18"/>
              </w:rPr>
              <w:t>54,380,447.46</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45,221,658.78</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4"/>
              <w:jc w:val="right"/>
              <w:rPr>
                <w:rFonts w:ascii="Arial Narrow" w:hAnsi="Arial Narrow" w:cs="Arial Narrow" w:eastAsia="Arial Narrow" w:hint="default"/>
                <w:sz w:val="18"/>
                <w:szCs w:val="18"/>
              </w:rPr>
            </w:pPr>
            <w:r>
              <w:rPr>
                <w:rFonts w:ascii="Arial Narrow"/>
                <w:spacing w:val="-1"/>
                <w:sz w:val="18"/>
              </w:rPr>
              <w:t>32,216,510.88</w:t>
            </w: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737"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697"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85,718,282.45</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6"/>
              <w:jc w:val="right"/>
              <w:rPr>
                <w:rFonts w:ascii="Arial Narrow" w:hAnsi="Arial Narrow" w:cs="Arial Narrow" w:eastAsia="Arial Narrow" w:hint="default"/>
                <w:sz w:val="18"/>
                <w:szCs w:val="18"/>
              </w:rPr>
            </w:pPr>
            <w:r>
              <w:rPr>
                <w:rFonts w:ascii="Arial Narrow"/>
                <w:spacing w:val="-1"/>
                <w:sz w:val="18"/>
              </w:rPr>
              <w:t>54,380,447.46</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45,221,658.78</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4"/>
              <w:jc w:val="right"/>
              <w:rPr>
                <w:rFonts w:ascii="Arial Narrow" w:hAnsi="Arial Narrow" w:cs="Arial Narrow" w:eastAsia="Arial Narrow" w:hint="default"/>
                <w:sz w:val="18"/>
                <w:szCs w:val="18"/>
              </w:rPr>
            </w:pPr>
            <w:r>
              <w:rPr>
                <w:rFonts w:ascii="Arial Narrow"/>
                <w:spacing w:val="-1"/>
                <w:sz w:val="18"/>
              </w:rPr>
              <w:t>32,216,510.88</w:t>
            </w: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737"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697"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4" w:space="0" w:color="000000"/>
            </w:tcBorders>
          </w:tcPr>
          <w:p>
            <w:pPr/>
          </w:p>
        </w:tc>
        <w:tc>
          <w:tcPr>
            <w:tcW w:w="1100" w:type="dxa"/>
            <w:tcBorders>
              <w:top w:val="single" w:sz="6" w:space="0" w:color="000000"/>
              <w:left w:val="single" w:sz="4"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38"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697"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4" w:space="0" w:color="000000"/>
            </w:tcBorders>
          </w:tcPr>
          <w:p>
            <w:pPr/>
          </w:p>
        </w:tc>
        <w:tc>
          <w:tcPr>
            <w:tcW w:w="1100" w:type="dxa"/>
            <w:tcBorders>
              <w:top w:val="single" w:sz="6" w:space="0" w:color="000000"/>
              <w:left w:val="single" w:sz="4"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三十六</w:t>
            </w:r>
            <w:r>
              <w:rPr>
                <w:rFonts w:ascii="Times New Roman" w:hAnsi="Times New Roman" w:cs="Times New Roman" w:eastAsia="Times New Roman" w:hint="default"/>
                <w:sz w:val="18"/>
                <w:szCs w:val="18"/>
              </w:rPr>
              <w:t>)</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0"/>
              <w:jc w:val="right"/>
              <w:rPr>
                <w:rFonts w:ascii="Arial Narrow" w:hAnsi="Arial Narrow" w:cs="Arial Narrow" w:eastAsia="Arial Narrow" w:hint="default"/>
                <w:sz w:val="18"/>
                <w:szCs w:val="18"/>
              </w:rPr>
            </w:pPr>
            <w:r>
              <w:rPr>
                <w:rFonts w:ascii="Arial Narrow"/>
                <w:spacing w:val="-1"/>
                <w:sz w:val="18"/>
              </w:rPr>
              <w:t>0.8199</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5"/>
              <w:jc w:val="right"/>
              <w:rPr>
                <w:rFonts w:ascii="Arial Narrow" w:hAnsi="Arial Narrow" w:cs="Arial Narrow" w:eastAsia="Arial Narrow" w:hint="default"/>
                <w:sz w:val="18"/>
                <w:szCs w:val="18"/>
              </w:rPr>
            </w:pPr>
            <w:r>
              <w:rPr>
                <w:rFonts w:ascii="Arial Narrow"/>
                <w:spacing w:val="-1"/>
                <w:sz w:val="18"/>
              </w:rPr>
              <w:t>0.6414</w:t>
            </w:r>
          </w:p>
        </w:tc>
        <w:tc>
          <w:tcPr>
            <w:tcW w:w="1100" w:type="dxa"/>
            <w:tcBorders>
              <w:top w:val="single" w:sz="6" w:space="0" w:color="000000"/>
              <w:left w:val="single" w:sz="4"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三十六</w:t>
            </w:r>
            <w:r>
              <w:rPr>
                <w:rFonts w:ascii="Times New Roman" w:hAnsi="Times New Roman" w:cs="Times New Roman" w:eastAsia="Times New Roman" w:hint="default"/>
                <w:sz w:val="18"/>
                <w:szCs w:val="18"/>
              </w:rPr>
              <w:t>)</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0"/>
              <w:jc w:val="right"/>
              <w:rPr>
                <w:rFonts w:ascii="Arial Narrow" w:hAnsi="Arial Narrow" w:cs="Arial Narrow" w:eastAsia="Arial Narrow" w:hint="default"/>
                <w:sz w:val="18"/>
                <w:szCs w:val="18"/>
              </w:rPr>
            </w:pPr>
            <w:r>
              <w:rPr>
                <w:rFonts w:ascii="Arial Narrow"/>
                <w:spacing w:val="-1"/>
                <w:sz w:val="18"/>
              </w:rPr>
              <w:t>0.8199</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5"/>
              <w:jc w:val="right"/>
              <w:rPr>
                <w:rFonts w:ascii="Arial Narrow" w:hAnsi="Arial Narrow" w:cs="Arial Narrow" w:eastAsia="Arial Narrow" w:hint="default"/>
                <w:sz w:val="18"/>
                <w:szCs w:val="18"/>
              </w:rPr>
            </w:pPr>
            <w:r>
              <w:rPr>
                <w:rFonts w:ascii="Arial Narrow"/>
                <w:spacing w:val="-1"/>
                <w:sz w:val="18"/>
              </w:rPr>
              <w:t>0.6414</w:t>
            </w:r>
          </w:p>
        </w:tc>
        <w:tc>
          <w:tcPr>
            <w:tcW w:w="1100" w:type="dxa"/>
            <w:tcBorders>
              <w:top w:val="single" w:sz="6" w:space="0" w:color="000000"/>
              <w:left w:val="single" w:sz="4"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38"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697"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4" w:space="0" w:color="000000"/>
            </w:tcBorders>
          </w:tcPr>
          <w:p>
            <w:pPr/>
          </w:p>
        </w:tc>
        <w:tc>
          <w:tcPr>
            <w:tcW w:w="1100" w:type="dxa"/>
            <w:tcBorders>
              <w:top w:val="single" w:sz="6" w:space="0" w:color="000000"/>
              <w:left w:val="single" w:sz="4"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12" w:space="0" w:color="000000"/>
            </w:tcBorders>
          </w:tcPr>
          <w:p>
            <w:pP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697"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85,718,282.45</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6"/>
              <w:jc w:val="right"/>
              <w:rPr>
                <w:rFonts w:ascii="Arial Narrow" w:hAnsi="Arial Narrow" w:cs="Arial Narrow" w:eastAsia="Arial Narrow" w:hint="default"/>
                <w:sz w:val="18"/>
                <w:szCs w:val="18"/>
              </w:rPr>
            </w:pPr>
            <w:r>
              <w:rPr>
                <w:rFonts w:ascii="Arial Narrow"/>
                <w:spacing w:val="-1"/>
                <w:sz w:val="18"/>
              </w:rPr>
              <w:t>54,380,447.46</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45,221,658.78</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4"/>
              <w:jc w:val="right"/>
              <w:rPr>
                <w:rFonts w:ascii="Arial Narrow" w:hAnsi="Arial Narrow" w:cs="Arial Narrow" w:eastAsia="Arial Narrow" w:hint="default"/>
                <w:sz w:val="18"/>
                <w:szCs w:val="18"/>
              </w:rPr>
            </w:pPr>
            <w:r>
              <w:rPr>
                <w:rFonts w:ascii="Arial Narrow"/>
                <w:spacing w:val="-1"/>
                <w:sz w:val="18"/>
              </w:rPr>
              <w:t>32,216,510.88</w:t>
            </w:r>
          </w:p>
        </w:tc>
      </w:tr>
      <w:tr>
        <w:trPr>
          <w:trHeight w:val="341" w:hRule="exact"/>
        </w:trPr>
        <w:tc>
          <w:tcPr>
            <w:tcW w:w="38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37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697"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85,718,282.45</w:t>
            </w:r>
          </w:p>
        </w:tc>
        <w:tc>
          <w:tcPr>
            <w:tcW w:w="11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9"/>
              <w:ind w:right="26"/>
              <w:jc w:val="right"/>
              <w:rPr>
                <w:rFonts w:ascii="Arial Narrow" w:hAnsi="Arial Narrow" w:cs="Arial Narrow" w:eastAsia="Arial Narrow" w:hint="default"/>
                <w:sz w:val="18"/>
                <w:szCs w:val="18"/>
              </w:rPr>
            </w:pPr>
            <w:r>
              <w:rPr>
                <w:rFonts w:ascii="Arial Narrow"/>
                <w:spacing w:val="-1"/>
                <w:sz w:val="18"/>
              </w:rPr>
              <w:t>54,380,447.46</w:t>
            </w:r>
          </w:p>
        </w:tc>
        <w:tc>
          <w:tcPr>
            <w:tcW w:w="11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9"/>
              <w:ind w:right="21"/>
              <w:jc w:val="right"/>
              <w:rPr>
                <w:rFonts w:ascii="Arial Narrow" w:hAnsi="Arial Narrow" w:cs="Arial Narrow" w:eastAsia="Arial Narrow" w:hint="default"/>
                <w:sz w:val="18"/>
                <w:szCs w:val="18"/>
              </w:rPr>
            </w:pPr>
            <w:r>
              <w:rPr>
                <w:rFonts w:ascii="Arial Narrow"/>
                <w:spacing w:val="-1"/>
                <w:sz w:val="18"/>
              </w:rPr>
              <w:t>45,221,658.78</w:t>
            </w:r>
          </w:p>
        </w:tc>
        <w:tc>
          <w:tcPr>
            <w:tcW w:w="1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14"/>
              <w:jc w:val="right"/>
              <w:rPr>
                <w:rFonts w:ascii="Arial Narrow" w:hAnsi="Arial Narrow" w:cs="Arial Narrow" w:eastAsia="Arial Narrow" w:hint="default"/>
                <w:sz w:val="18"/>
                <w:szCs w:val="18"/>
              </w:rPr>
            </w:pPr>
            <w:r>
              <w:rPr>
                <w:rFonts w:ascii="Arial Narrow"/>
                <w:spacing w:val="-1"/>
                <w:sz w:val="18"/>
              </w:rPr>
              <w:t>32,216,510.88</w:t>
            </w:r>
          </w:p>
        </w:tc>
      </w:tr>
      <w:tr>
        <w:trPr>
          <w:trHeight w:val="348" w:hRule="exact"/>
        </w:trPr>
        <w:tc>
          <w:tcPr>
            <w:tcW w:w="38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5"/>
              <w:ind w:left="377"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697" w:type="dxa"/>
            <w:tcBorders>
              <w:top w:val="single" w:sz="6" w:space="0" w:color="000000"/>
              <w:left w:val="single" w:sz="6" w:space="0" w:color="000000"/>
              <w:bottom w:val="single" w:sz="12" w:space="0" w:color="000000"/>
              <w:right w:val="single" w:sz="6" w:space="0" w:color="000000"/>
            </w:tcBorders>
          </w:tcPr>
          <w:p>
            <w:pPr/>
          </w:p>
        </w:tc>
        <w:tc>
          <w:tcPr>
            <w:tcW w:w="1099" w:type="dxa"/>
            <w:tcBorders>
              <w:top w:val="single" w:sz="6" w:space="0" w:color="000000"/>
              <w:left w:val="single" w:sz="6" w:space="0" w:color="000000"/>
              <w:bottom w:val="single" w:sz="12" w:space="0" w:color="000000"/>
              <w:right w:val="single" w:sz="6" w:space="0" w:color="000000"/>
            </w:tcBorders>
          </w:tcPr>
          <w:p>
            <w:pPr/>
          </w:p>
        </w:tc>
        <w:tc>
          <w:tcPr>
            <w:tcW w:w="1102" w:type="dxa"/>
            <w:tcBorders>
              <w:top w:val="single" w:sz="6" w:space="0" w:color="000000"/>
              <w:left w:val="single" w:sz="6" w:space="0" w:color="000000"/>
              <w:bottom w:val="single" w:sz="12" w:space="0" w:color="000000"/>
              <w:right w:val="single" w:sz="4" w:space="0" w:color="000000"/>
            </w:tcBorders>
          </w:tcPr>
          <w:p>
            <w:pPr/>
          </w:p>
        </w:tc>
        <w:tc>
          <w:tcPr>
            <w:tcW w:w="1100" w:type="dxa"/>
            <w:tcBorders>
              <w:top w:val="single" w:sz="6" w:space="0" w:color="000000"/>
              <w:left w:val="single" w:sz="4" w:space="0" w:color="000000"/>
              <w:bottom w:val="single" w:sz="12" w:space="0" w:color="000000"/>
              <w:right w:val="single" w:sz="6" w:space="0" w:color="000000"/>
            </w:tcBorders>
          </w:tcPr>
          <w:p>
            <w:pPr/>
          </w:p>
        </w:tc>
        <w:tc>
          <w:tcPr>
            <w:tcW w:w="1099" w:type="dxa"/>
            <w:tcBorders>
              <w:top w:val="single" w:sz="6" w:space="0" w:color="000000"/>
              <w:left w:val="single" w:sz="6" w:space="0" w:color="000000"/>
              <w:bottom w:val="single" w:sz="12" w:space="0" w:color="000000"/>
              <w:right w:val="single" w:sz="12" w:space="0" w:color="000000"/>
            </w:tcBorders>
          </w:tcPr>
          <w:p>
            <w:pPr/>
          </w:p>
        </w:tc>
      </w:tr>
    </w:tbl>
    <w:p>
      <w:pPr>
        <w:tabs>
          <w:tab w:pos="3609" w:val="left" w:leader="none"/>
          <w:tab w:pos="7255" w:val="left" w:leader="none"/>
        </w:tabs>
        <w:spacing w:line="205" w:lineRule="exact" w:before="0"/>
        <w:ind w:left="834"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法定代表人：李海鹰</w:t>
        <w:tab/>
      </w:r>
      <w:r>
        <w:rPr>
          <w:rFonts w:ascii="宋体" w:hAnsi="宋体" w:cs="宋体" w:eastAsia="宋体" w:hint="default"/>
          <w:sz w:val="18"/>
          <w:szCs w:val="18"/>
        </w:rPr>
        <w:t>主管会计工作的负责人：李新建</w:t>
        <w:tab/>
        <w:t>会计机构负责人：郭艳巧</w:t>
      </w:r>
    </w:p>
    <w:p>
      <w:pPr>
        <w:spacing w:after="0" w:line="205" w:lineRule="exact"/>
        <w:jc w:val="left"/>
        <w:rPr>
          <w:rFonts w:ascii="宋体" w:hAnsi="宋体" w:cs="宋体" w:eastAsia="宋体" w:hint="default"/>
          <w:sz w:val="18"/>
          <w:szCs w:val="18"/>
        </w:rPr>
        <w:sectPr>
          <w:headerReference w:type="default" r:id="rId36"/>
          <w:footerReference w:type="default" r:id="rId37"/>
          <w:pgSz w:w="11910" w:h="16840"/>
          <w:pgMar w:header="852" w:footer="1045" w:top="1200" w:bottom="1240" w:left="980" w:right="740"/>
          <w:pgNumType w:start="71"/>
        </w:sectPr>
      </w:pPr>
    </w:p>
    <w:p>
      <w:pPr>
        <w:spacing w:line="240" w:lineRule="auto" w:before="11"/>
        <w:rPr>
          <w:rFonts w:ascii="宋体" w:hAnsi="宋体" w:cs="宋体" w:eastAsia="宋体" w:hint="default"/>
          <w:sz w:val="18"/>
          <w:szCs w:val="18"/>
        </w:rPr>
      </w:pPr>
    </w:p>
    <w:p>
      <w:pPr>
        <w:spacing w:line="20" w:lineRule="exact"/>
        <w:ind w:left="598" w:right="0" w:firstLine="0"/>
        <w:rPr>
          <w:rFonts w:ascii="宋体" w:hAnsi="宋体" w:cs="宋体" w:eastAsia="宋体" w:hint="default"/>
          <w:sz w:val="2"/>
          <w:szCs w:val="2"/>
        </w:rPr>
      </w:pPr>
      <w:r>
        <w:rPr>
          <w:rFonts w:ascii="宋体" w:hAnsi="宋体" w:cs="宋体" w:eastAsia="宋体" w:hint="default"/>
          <w:sz w:val="2"/>
          <w:szCs w:val="2"/>
        </w:rPr>
        <w:pict>
          <v:group style="width:445.9pt;height:.75pt;mso-position-horizontal-relative:char;mso-position-vertical-relative:line" coordorigin="0,0" coordsize="8918,15">
            <v:group style="position:absolute;left:7;top:7;width:8903;height:2" coordorigin="7,7" coordsize="8903,2">
              <v:shape style="position:absolute;left:7;top:7;width:8903;height:2" coordorigin="7,7" coordsize="8903,0" path="m7,7l8910,7e" filled="false" stroked="true" strokeweight=".71999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6"/>
          <w:szCs w:val="6"/>
        </w:rPr>
      </w:pPr>
    </w:p>
    <w:p>
      <w:pPr>
        <w:pStyle w:val="Heading4"/>
        <w:spacing w:line="240" w:lineRule="auto" w:before="26"/>
        <w:ind w:left="4435" w:right="4310"/>
        <w:jc w:val="center"/>
      </w:pPr>
      <w:r>
        <w:rPr/>
        <w:t>现金流量表</w:t>
      </w:r>
    </w:p>
    <w:p>
      <w:pPr>
        <w:tabs>
          <w:tab w:pos="7595" w:val="left" w:leader="none"/>
        </w:tabs>
        <w:spacing w:before="107"/>
        <w:ind w:left="634"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人民币元</w:t>
      </w:r>
      <w:r>
        <w:rPr>
          <w:rFonts w:ascii="宋体" w:hAnsi="宋体" w:cs="宋体" w:eastAsia="宋体" w:hint="default"/>
          <w:sz w:val="18"/>
          <w:szCs w:val="18"/>
        </w:rPr>
      </w:r>
    </w:p>
    <w:tbl>
      <w:tblPr>
        <w:tblW w:w="0" w:type="auto"/>
        <w:jc w:val="left"/>
        <w:tblInd w:w="106" w:type="dxa"/>
        <w:tblLayout w:type="fixed"/>
        <w:tblCellMar>
          <w:top w:w="0" w:type="dxa"/>
          <w:left w:w="0" w:type="dxa"/>
          <w:bottom w:w="0" w:type="dxa"/>
          <w:right w:w="0" w:type="dxa"/>
        </w:tblCellMar>
        <w:tblLook w:val="01E0"/>
      </w:tblPr>
      <w:tblGrid>
        <w:gridCol w:w="4165"/>
        <w:gridCol w:w="1028"/>
        <w:gridCol w:w="1135"/>
        <w:gridCol w:w="1133"/>
        <w:gridCol w:w="1136"/>
        <w:gridCol w:w="1130"/>
      </w:tblGrid>
      <w:tr>
        <w:trPr>
          <w:trHeight w:val="307" w:hRule="exact"/>
        </w:trPr>
        <w:tc>
          <w:tcPr>
            <w:tcW w:w="4165" w:type="dxa"/>
            <w:vMerge w:val="restart"/>
            <w:tcBorders>
              <w:top w:val="single" w:sz="12" w:space="0" w:color="000000"/>
              <w:left w:val="single" w:sz="12" w:space="0" w:color="000000"/>
              <w:right w:val="single" w:sz="4" w:space="0" w:color="000000"/>
            </w:tcBorders>
          </w:tcPr>
          <w:p>
            <w:pPr>
              <w:pStyle w:val="TableParagraph"/>
              <w:spacing w:line="240" w:lineRule="auto" w:before="154"/>
              <w:ind w:right="16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28" w:type="dxa"/>
            <w:vMerge w:val="restart"/>
            <w:tcBorders>
              <w:top w:val="single" w:sz="12" w:space="0" w:color="000000"/>
              <w:left w:val="single" w:sz="4" w:space="0" w:color="000000"/>
              <w:right w:val="single" w:sz="4" w:space="0" w:color="000000"/>
            </w:tcBorders>
          </w:tcPr>
          <w:p>
            <w:pPr>
              <w:pStyle w:val="TableParagraph"/>
              <w:spacing w:line="240" w:lineRule="auto" w:before="154"/>
              <w:ind w:left="328"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6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266"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17" w:hRule="exact"/>
        </w:trPr>
        <w:tc>
          <w:tcPr>
            <w:tcW w:w="4165" w:type="dxa"/>
            <w:vMerge/>
            <w:tcBorders>
              <w:left w:val="single" w:sz="12" w:space="0" w:color="000000"/>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9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9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9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left="19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14"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224,450,141.24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166,217,186.73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
              <w:jc w:val="right"/>
              <w:rPr>
                <w:rFonts w:ascii="Arial Narrow" w:hAnsi="Arial Narrow" w:cs="Arial Narrow" w:eastAsia="Arial Narrow" w:hint="default"/>
                <w:sz w:val="18"/>
                <w:szCs w:val="18"/>
              </w:rPr>
            </w:pPr>
            <w:r>
              <w:rPr>
                <w:rFonts w:ascii="Arial Narrow"/>
                <w:spacing w:val="-1"/>
                <w:sz w:val="18"/>
              </w:rPr>
              <w:t>224,450,141.24</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166,217,186.73</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12,576,040.24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4,796,189.07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5,515,244.58</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3"/>
              <w:jc w:val="right"/>
              <w:rPr>
                <w:rFonts w:ascii="Arial Narrow" w:hAnsi="Arial Narrow" w:cs="Arial Narrow" w:eastAsia="Arial Narrow" w:hint="default"/>
                <w:sz w:val="18"/>
                <w:szCs w:val="18"/>
              </w:rPr>
            </w:pPr>
            <w:r>
              <w:rPr>
                <w:rFonts w:ascii="Arial Narrow"/>
                <w:spacing w:val="-1"/>
                <w:sz w:val="18"/>
              </w:rPr>
              <w:t>3,388,868.98</w:t>
            </w:r>
          </w:p>
        </w:tc>
      </w:tr>
      <w:tr>
        <w:trPr>
          <w:trHeight w:val="314"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0"/>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三十七</w:t>
            </w:r>
            <w:r>
              <w:rPr>
                <w:rFonts w:ascii="Times New Roman" w:hAnsi="Times New Roman" w:cs="Times New Roman" w:eastAsia="Times New Roman" w:hint="default"/>
                <w:sz w:val="18"/>
                <w:szCs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5"/>
              <w:jc w:val="right"/>
              <w:rPr>
                <w:rFonts w:ascii="Arial Narrow" w:hAnsi="Arial Narrow" w:cs="Arial Narrow" w:eastAsia="Arial Narrow" w:hint="default"/>
                <w:sz w:val="18"/>
                <w:szCs w:val="18"/>
              </w:rPr>
            </w:pPr>
            <w:r>
              <w:rPr>
                <w:rFonts w:ascii="Arial Narrow"/>
                <w:spacing w:val="-1"/>
                <w:sz w:val="18"/>
              </w:rPr>
              <w:t>7,066,172.40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5"/>
              <w:jc w:val="right"/>
              <w:rPr>
                <w:rFonts w:ascii="Arial Narrow" w:hAnsi="Arial Narrow" w:cs="Arial Narrow" w:eastAsia="Arial Narrow" w:hint="default"/>
                <w:sz w:val="18"/>
                <w:szCs w:val="18"/>
              </w:rPr>
            </w:pPr>
            <w:r>
              <w:rPr>
                <w:rFonts w:ascii="Arial Narrow"/>
                <w:spacing w:val="-1"/>
                <w:sz w:val="18"/>
              </w:rPr>
              <w:t>5,434,721.66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5"/>
              <w:jc w:val="right"/>
              <w:rPr>
                <w:rFonts w:ascii="Arial Narrow" w:hAnsi="Arial Narrow" w:cs="Arial Narrow" w:eastAsia="Arial Narrow" w:hint="default"/>
                <w:sz w:val="18"/>
                <w:szCs w:val="18"/>
              </w:rPr>
            </w:pPr>
            <w:r>
              <w:rPr>
                <w:rFonts w:ascii="Arial Narrow"/>
                <w:spacing w:val="-1"/>
                <w:sz w:val="18"/>
              </w:rPr>
              <w:t>7,020,710.44</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3"/>
              <w:jc w:val="right"/>
              <w:rPr>
                <w:rFonts w:ascii="Arial Narrow" w:hAnsi="Arial Narrow" w:cs="Arial Narrow" w:eastAsia="Arial Narrow" w:hint="default"/>
                <w:sz w:val="18"/>
                <w:szCs w:val="18"/>
              </w:rPr>
            </w:pPr>
            <w:r>
              <w:rPr>
                <w:rFonts w:ascii="Arial Narrow"/>
                <w:spacing w:val="-1"/>
                <w:sz w:val="18"/>
              </w:rPr>
              <w:t>5,403,900.52</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08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244,092,353.88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176,448,097.46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
              <w:jc w:val="right"/>
              <w:rPr>
                <w:rFonts w:ascii="Arial Narrow" w:hAnsi="Arial Narrow" w:cs="Arial Narrow" w:eastAsia="Arial Narrow" w:hint="default"/>
                <w:sz w:val="18"/>
                <w:szCs w:val="18"/>
              </w:rPr>
            </w:pPr>
            <w:r>
              <w:rPr>
                <w:rFonts w:ascii="Arial Narrow"/>
                <w:spacing w:val="-1"/>
                <w:sz w:val="18"/>
              </w:rPr>
              <w:t>236,986,096.26</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175,009,956.23</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2"/>
                <w:sz w:val="18"/>
              </w:rPr>
              <w:t>139,967,116.83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77,928,545.89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154,161,820.73</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88,328,364.71</w:t>
            </w:r>
          </w:p>
        </w:tc>
      </w:tr>
      <w:tr>
        <w:trPr>
          <w:trHeight w:val="314"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25,389,904.31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21,249,587.01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22,664,101.24</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4"/>
              <w:jc w:val="right"/>
              <w:rPr>
                <w:rFonts w:ascii="Arial Narrow" w:hAnsi="Arial Narrow" w:cs="Arial Narrow" w:eastAsia="Arial Narrow" w:hint="default"/>
                <w:sz w:val="18"/>
                <w:szCs w:val="18"/>
              </w:rPr>
            </w:pPr>
            <w:r>
              <w:rPr>
                <w:rFonts w:ascii="Arial Narrow"/>
                <w:spacing w:val="-1"/>
                <w:sz w:val="18"/>
              </w:rPr>
              <w:t>18,916,101.08</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26,756,025.28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17,930,816.52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14,282,507.66</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13,417,421.30</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left="292"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0"/>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三十七</w:t>
            </w:r>
            <w:r>
              <w:rPr>
                <w:rFonts w:ascii="Times New Roman" w:hAnsi="Times New Roman" w:cs="Times New Roman" w:eastAsia="Times New Roman" w:hint="default"/>
                <w:sz w:val="18"/>
                <w:szCs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Arial Narrow" w:hAnsi="Arial Narrow" w:cs="Arial Narrow" w:eastAsia="Arial Narrow" w:hint="default"/>
                <w:sz w:val="18"/>
                <w:szCs w:val="18"/>
              </w:rPr>
            </w:pPr>
            <w:r>
              <w:rPr>
                <w:rFonts w:ascii="Arial Narrow"/>
                <w:spacing w:val="-1"/>
                <w:sz w:val="18"/>
              </w:rPr>
              <w:t>32,643,943.61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Arial Narrow" w:hAnsi="Arial Narrow" w:cs="Arial Narrow" w:eastAsia="Arial Narrow" w:hint="default"/>
                <w:sz w:val="18"/>
                <w:szCs w:val="18"/>
              </w:rPr>
            </w:pPr>
            <w:r>
              <w:rPr>
                <w:rFonts w:ascii="Arial Narrow"/>
                <w:spacing w:val="-1"/>
                <w:sz w:val="18"/>
              </w:rPr>
              <w:t>23,212,819.72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Arial Narrow" w:hAnsi="Arial Narrow" w:cs="Arial Narrow" w:eastAsia="Arial Narrow" w:hint="default"/>
                <w:sz w:val="18"/>
                <w:szCs w:val="18"/>
              </w:rPr>
            </w:pPr>
            <w:r>
              <w:rPr>
                <w:rFonts w:ascii="Arial Narrow"/>
                <w:spacing w:val="-1"/>
                <w:sz w:val="18"/>
              </w:rPr>
              <w:t>31,937,784.94</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14"/>
              <w:jc w:val="right"/>
              <w:rPr>
                <w:rFonts w:ascii="Arial Narrow" w:hAnsi="Arial Narrow" w:cs="Arial Narrow" w:eastAsia="Arial Narrow" w:hint="default"/>
                <w:sz w:val="18"/>
                <w:szCs w:val="18"/>
              </w:rPr>
            </w:pPr>
            <w:r>
              <w:rPr>
                <w:rFonts w:ascii="Arial Narrow"/>
                <w:spacing w:val="-1"/>
                <w:sz w:val="18"/>
              </w:rPr>
              <w:t>20,720,729.32</w:t>
            </w:r>
          </w:p>
        </w:tc>
      </w:tr>
      <w:tr>
        <w:trPr>
          <w:trHeight w:val="314"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08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224,756,990.03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140,321,769.14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7"/>
              <w:jc w:val="right"/>
              <w:rPr>
                <w:rFonts w:ascii="Arial Narrow" w:hAnsi="Arial Narrow" w:cs="Arial Narrow" w:eastAsia="Arial Narrow" w:hint="default"/>
                <w:sz w:val="18"/>
                <w:szCs w:val="18"/>
              </w:rPr>
            </w:pPr>
            <w:r>
              <w:rPr>
                <w:rFonts w:ascii="Arial Narrow"/>
                <w:spacing w:val="-1"/>
                <w:sz w:val="18"/>
              </w:rPr>
              <w:t>223,046,214.57</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4"/>
              <w:jc w:val="right"/>
              <w:rPr>
                <w:rFonts w:ascii="Arial Narrow" w:hAnsi="Arial Narrow" w:cs="Arial Narrow" w:eastAsia="Arial Narrow" w:hint="default"/>
                <w:sz w:val="18"/>
                <w:szCs w:val="18"/>
              </w:rPr>
            </w:pPr>
            <w:r>
              <w:rPr>
                <w:rFonts w:ascii="Arial Narrow"/>
                <w:spacing w:val="-1"/>
                <w:sz w:val="18"/>
              </w:rPr>
              <w:t>141,382,616.41</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8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19,335,363.85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36,126,328.32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13,939,881.69</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33,627,339.82</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12" w:space="0" w:color="000000"/>
            </w:tcBorders>
          </w:tcPr>
          <w:p>
            <w:pPr/>
          </w:p>
        </w:tc>
      </w:tr>
      <w:tr>
        <w:trPr>
          <w:trHeight w:val="314"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right="162"/>
              <w:jc w:val="right"/>
              <w:rPr>
                <w:rFonts w:ascii="宋体" w:hAnsi="宋体" w:cs="宋体" w:eastAsia="宋体" w:hint="default"/>
                <w:sz w:val="18"/>
                <w:szCs w:val="18"/>
              </w:rPr>
            </w:pPr>
            <w:r>
              <w:rPr>
                <w:rFonts w:ascii="宋体" w:hAnsi="宋体" w:cs="宋体" w:eastAsia="宋体" w:hint="default"/>
                <w:spacing w:val="-25"/>
                <w:sz w:val="18"/>
                <w:szCs w:val="18"/>
              </w:rPr>
              <w:t>处置固定资产、无形资产和其他长期资产所收到的现金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19,000.00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169,900.00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19,000.00</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3"/>
              <w:jc w:val="right"/>
              <w:rPr>
                <w:rFonts w:ascii="Arial Narrow" w:hAnsi="Arial Narrow" w:cs="Arial Narrow" w:eastAsia="Arial Narrow" w:hint="default"/>
                <w:sz w:val="18"/>
                <w:szCs w:val="18"/>
              </w:rPr>
            </w:pPr>
            <w:r>
              <w:rPr>
                <w:rFonts w:ascii="Arial Narrow"/>
                <w:spacing w:val="-1"/>
                <w:sz w:val="18"/>
              </w:rPr>
              <w:t>169,900.00</w:t>
            </w:r>
          </w:p>
        </w:tc>
      </w:tr>
      <w:tr>
        <w:trPr>
          <w:trHeight w:val="314"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08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19,000.00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169,900.00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19,000.00</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3"/>
              <w:jc w:val="right"/>
              <w:rPr>
                <w:rFonts w:ascii="Arial Narrow" w:hAnsi="Arial Narrow" w:cs="Arial Narrow" w:eastAsia="Arial Narrow" w:hint="default"/>
                <w:sz w:val="18"/>
                <w:szCs w:val="18"/>
              </w:rPr>
            </w:pPr>
            <w:r>
              <w:rPr>
                <w:rFonts w:ascii="Arial Narrow"/>
                <w:spacing w:val="-1"/>
                <w:sz w:val="18"/>
              </w:rPr>
              <w:t>169,900.00</w:t>
            </w:r>
          </w:p>
        </w:tc>
      </w:tr>
      <w:tr>
        <w:trPr>
          <w:trHeight w:val="314"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right="162"/>
              <w:jc w:val="right"/>
              <w:rPr>
                <w:rFonts w:ascii="宋体" w:hAnsi="宋体" w:cs="宋体" w:eastAsia="宋体" w:hint="default"/>
                <w:sz w:val="18"/>
                <w:szCs w:val="18"/>
              </w:rPr>
            </w:pPr>
            <w:r>
              <w:rPr>
                <w:rFonts w:ascii="宋体" w:hAnsi="宋体" w:cs="宋体" w:eastAsia="宋体" w:hint="default"/>
                <w:spacing w:val="-25"/>
                <w:sz w:val="18"/>
                <w:szCs w:val="18"/>
              </w:rPr>
              <w:t>购建固定资产、无形资产和其他长期资产所支付的现金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26,333,289.15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22,459,947.26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26,333,289.15</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4"/>
              <w:jc w:val="right"/>
              <w:rPr>
                <w:rFonts w:ascii="Arial Narrow" w:hAnsi="Arial Narrow" w:cs="Arial Narrow" w:eastAsia="Arial Narrow" w:hint="default"/>
                <w:sz w:val="18"/>
                <w:szCs w:val="18"/>
              </w:rPr>
            </w:pPr>
            <w:r>
              <w:rPr>
                <w:rFonts w:ascii="Arial Narrow"/>
                <w:spacing w:val="-1"/>
                <w:sz w:val="18"/>
              </w:rPr>
              <w:t>22,459,947.26</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Arial Narrow" w:hAnsi="Arial Narrow" w:cs="Arial Narrow" w:eastAsia="Arial Narrow" w:hint="default"/>
                <w:sz w:val="18"/>
                <w:szCs w:val="18"/>
              </w:rPr>
            </w:pPr>
            <w:r>
              <w:rPr>
                <w:rFonts w:ascii="Arial Narrow"/>
                <w:spacing w:val="-1"/>
                <w:sz w:val="18"/>
              </w:rPr>
              <w:t>5,000,000.00</w:t>
            </w:r>
          </w:p>
        </w:tc>
        <w:tc>
          <w:tcPr>
            <w:tcW w:w="1130" w:type="dxa"/>
            <w:tcBorders>
              <w:top w:val="single" w:sz="4" w:space="0" w:color="000000"/>
              <w:left w:val="single" w:sz="4" w:space="0" w:color="000000"/>
              <w:bottom w:val="single" w:sz="4" w:space="0" w:color="000000"/>
              <w:right w:val="single" w:sz="12" w:space="0" w:color="000000"/>
            </w:tcBorders>
          </w:tcPr>
          <w:p>
            <w:pPr/>
          </w:p>
        </w:tc>
      </w:tr>
      <w:tr>
        <w:trPr>
          <w:trHeight w:val="314"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08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26,333,289.15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22,459,947.26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31,333,289.15</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22,459,947.26</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81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-26,314,289.15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-22,290,047.26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-31,314,289.15</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-22,290,047.26</w:t>
            </w:r>
          </w:p>
        </w:tc>
      </w:tr>
      <w:tr>
        <w:trPr>
          <w:trHeight w:val="314"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378,500,000.00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378,500,000.00</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借款所收到的现金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35,000,000.00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35,000,000.00</w:t>
            </w:r>
          </w:p>
        </w:tc>
      </w:tr>
      <w:tr>
        <w:trPr>
          <w:trHeight w:val="314"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0"/>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三十七</w:t>
            </w:r>
            <w:r>
              <w:rPr>
                <w:rFonts w:ascii="Times New Roman" w:hAnsi="Times New Roman" w:cs="Times New Roman" w:eastAsia="Times New Roman" w:hint="default"/>
                <w:sz w:val="18"/>
                <w:szCs w:val="18"/>
              </w:rPr>
              <w:t>)3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5"/>
              <w:jc w:val="right"/>
              <w:rPr>
                <w:rFonts w:ascii="Arial Narrow" w:hAnsi="Arial Narrow" w:cs="Arial Narrow" w:eastAsia="Arial Narrow" w:hint="default"/>
                <w:sz w:val="18"/>
                <w:szCs w:val="18"/>
              </w:rPr>
            </w:pPr>
            <w:r>
              <w:rPr>
                <w:rFonts w:ascii="Arial Narrow"/>
                <w:spacing w:val="-1"/>
                <w:sz w:val="18"/>
              </w:rPr>
              <w:t>7,800,000.00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13,400,000.00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5"/>
              <w:jc w:val="right"/>
              <w:rPr>
                <w:rFonts w:ascii="Arial Narrow" w:hAnsi="Arial Narrow" w:cs="Arial Narrow" w:eastAsia="Arial Narrow" w:hint="default"/>
                <w:sz w:val="18"/>
                <w:szCs w:val="18"/>
              </w:rPr>
            </w:pPr>
            <w:r>
              <w:rPr>
                <w:rFonts w:ascii="Arial Narrow"/>
                <w:spacing w:val="-1"/>
                <w:sz w:val="18"/>
              </w:rPr>
              <w:t>7,800,000.00</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4"/>
              <w:jc w:val="right"/>
              <w:rPr>
                <w:rFonts w:ascii="Arial Narrow" w:hAnsi="Arial Narrow" w:cs="Arial Narrow" w:eastAsia="Arial Narrow" w:hint="default"/>
                <w:sz w:val="18"/>
                <w:szCs w:val="18"/>
              </w:rPr>
            </w:pPr>
            <w:r>
              <w:rPr>
                <w:rFonts w:ascii="Arial Narrow"/>
                <w:spacing w:val="-1"/>
                <w:sz w:val="18"/>
              </w:rPr>
              <w:t>13,400,000.00</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08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7,800,000.00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426,900,000.00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7,800,000.00</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426,900,000.00</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35,500,000.00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30,000,000.00</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3"/>
              <w:jc w:val="right"/>
              <w:rPr>
                <w:rFonts w:ascii="Arial Narrow" w:hAnsi="Arial Narrow" w:cs="Arial Narrow" w:eastAsia="Arial Narrow" w:hint="default"/>
                <w:sz w:val="18"/>
                <w:szCs w:val="18"/>
              </w:rPr>
            </w:pPr>
            <w:r>
              <w:rPr>
                <w:rFonts w:ascii="Arial Narrow"/>
                <w:spacing w:val="-1"/>
                <w:sz w:val="18"/>
              </w:rPr>
              <w:t>35,500,000.00</w:t>
            </w:r>
          </w:p>
        </w:tc>
      </w:tr>
      <w:tr>
        <w:trPr>
          <w:trHeight w:val="314"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43,485,125.00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5"/>
              <w:jc w:val="right"/>
              <w:rPr>
                <w:rFonts w:ascii="Arial Narrow" w:hAnsi="Arial Narrow" w:cs="Arial Narrow" w:eastAsia="Arial Narrow" w:hint="default"/>
                <w:sz w:val="18"/>
                <w:szCs w:val="18"/>
              </w:rPr>
            </w:pPr>
            <w:r>
              <w:rPr>
                <w:rFonts w:ascii="Arial Narrow"/>
                <w:spacing w:val="-1"/>
                <w:sz w:val="18"/>
              </w:rPr>
              <w:t>1,900,017.33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43,485,125.00</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3"/>
              <w:jc w:val="right"/>
              <w:rPr>
                <w:rFonts w:ascii="Arial Narrow" w:hAnsi="Arial Narrow" w:cs="Arial Narrow" w:eastAsia="Arial Narrow" w:hint="default"/>
                <w:sz w:val="18"/>
                <w:szCs w:val="18"/>
              </w:rPr>
            </w:pPr>
            <w:r>
              <w:rPr>
                <w:rFonts w:ascii="Arial Narrow"/>
                <w:spacing w:val="-1"/>
                <w:sz w:val="18"/>
              </w:rPr>
              <w:t>1,900,017.33</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0"/>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三十七</w:t>
            </w:r>
            <w:r>
              <w:rPr>
                <w:rFonts w:ascii="Times New Roman" w:hAnsi="Times New Roman" w:cs="Times New Roman" w:eastAsia="Times New Roman" w:hint="default"/>
                <w:sz w:val="18"/>
                <w:szCs w:val="18"/>
              </w:rPr>
              <w:t>)4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
              <w:jc w:val="right"/>
              <w:rPr>
                <w:rFonts w:ascii="Arial Narrow" w:hAnsi="Arial Narrow" w:cs="Arial Narrow" w:eastAsia="Arial Narrow" w:hint="default"/>
                <w:sz w:val="18"/>
                <w:szCs w:val="18"/>
              </w:rPr>
            </w:pPr>
            <w:r>
              <w:rPr>
                <w:rFonts w:ascii="Arial Narrow"/>
                <w:spacing w:val="-1"/>
                <w:sz w:val="18"/>
              </w:rPr>
              <w:t>8,464,060.00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3"/>
              <w:jc w:val="right"/>
              <w:rPr>
                <w:rFonts w:ascii="Arial Narrow" w:hAnsi="Arial Narrow" w:cs="Arial Narrow" w:eastAsia="Arial Narrow" w:hint="default"/>
                <w:sz w:val="18"/>
                <w:szCs w:val="18"/>
              </w:rPr>
            </w:pPr>
            <w:r>
              <w:rPr>
                <w:rFonts w:ascii="Arial Narrow"/>
                <w:spacing w:val="-1"/>
                <w:sz w:val="18"/>
              </w:rPr>
              <w:t>8,464,060.00</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left="108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Arial Narrow" w:hAnsi="Arial Narrow" w:cs="Arial Narrow" w:eastAsia="Arial Narrow" w:hint="default"/>
                <w:sz w:val="18"/>
                <w:szCs w:val="18"/>
              </w:rPr>
            </w:pPr>
            <w:r>
              <w:rPr>
                <w:rFonts w:ascii="Arial Narrow"/>
                <w:spacing w:val="-1"/>
                <w:sz w:val="18"/>
              </w:rPr>
              <w:t>73,485,125.00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Arial Narrow" w:hAnsi="Arial Narrow" w:cs="Arial Narrow" w:eastAsia="Arial Narrow" w:hint="default"/>
                <w:sz w:val="18"/>
                <w:szCs w:val="18"/>
              </w:rPr>
            </w:pPr>
            <w:r>
              <w:rPr>
                <w:rFonts w:ascii="Arial Narrow"/>
                <w:spacing w:val="-1"/>
                <w:sz w:val="18"/>
              </w:rPr>
              <w:t>45,864,077.33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Arial Narrow" w:hAnsi="Arial Narrow" w:cs="Arial Narrow" w:eastAsia="Arial Narrow" w:hint="default"/>
                <w:sz w:val="18"/>
                <w:szCs w:val="18"/>
              </w:rPr>
            </w:pPr>
            <w:r>
              <w:rPr>
                <w:rFonts w:ascii="Arial Narrow"/>
                <w:spacing w:val="-1"/>
                <w:sz w:val="18"/>
              </w:rPr>
              <w:t>73,485,125.00</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14"/>
              <w:jc w:val="right"/>
              <w:rPr>
                <w:rFonts w:ascii="Arial Narrow" w:hAnsi="Arial Narrow" w:cs="Arial Narrow" w:eastAsia="Arial Narrow" w:hint="default"/>
                <w:sz w:val="18"/>
                <w:szCs w:val="18"/>
              </w:rPr>
            </w:pPr>
            <w:r>
              <w:rPr>
                <w:rFonts w:ascii="Arial Narrow"/>
                <w:spacing w:val="-1"/>
                <w:sz w:val="18"/>
              </w:rPr>
              <w:t>45,864,077.33</w:t>
            </w:r>
          </w:p>
        </w:tc>
      </w:tr>
      <w:tr>
        <w:trPr>
          <w:trHeight w:val="314"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81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-65,685,125.00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381,035,922.67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-65,685,125.00</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4"/>
              <w:jc w:val="right"/>
              <w:rPr>
                <w:rFonts w:ascii="Arial Narrow" w:hAnsi="Arial Narrow" w:cs="Arial Narrow" w:eastAsia="Arial Narrow" w:hint="default"/>
                <w:sz w:val="18"/>
                <w:szCs w:val="18"/>
              </w:rPr>
            </w:pPr>
            <w:r>
              <w:rPr>
                <w:rFonts w:ascii="Arial Narrow"/>
                <w:spacing w:val="-1"/>
                <w:sz w:val="18"/>
              </w:rPr>
              <w:t>381,035,922.67</w:t>
            </w: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四、汇率变动对现金的影响</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-72,664,050.30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394,872,203.73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-83,059,532.46</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392,373,215.23</w:t>
            </w:r>
          </w:p>
        </w:tc>
      </w:tr>
      <w:tr>
        <w:trPr>
          <w:trHeight w:val="314" w:hRule="exact"/>
        </w:trPr>
        <w:tc>
          <w:tcPr>
            <w:tcW w:w="41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left="376" w:right="0"/>
              <w:jc w:val="left"/>
              <w:rPr>
                <w:rFonts w:ascii="宋体" w:hAnsi="宋体" w:cs="宋体" w:eastAsia="宋体" w:hint="default"/>
                <w:sz w:val="18"/>
                <w:szCs w:val="18"/>
              </w:rPr>
            </w:pPr>
            <w:r>
              <w:rPr>
                <w:rFonts w:ascii="宋体" w:hAnsi="宋体" w:cs="宋体" w:eastAsia="宋体" w:hint="default"/>
                <w:sz w:val="18"/>
                <w:szCs w:val="18"/>
              </w:rPr>
              <w:t>加</w:t>
            </w:r>
            <w:r>
              <w:rPr>
                <w:rFonts w:ascii="Times New Roman" w:hAnsi="Times New Roman" w:cs="Times New Roman" w:eastAsia="Times New Roman" w:hint="default"/>
                <w:sz w:val="18"/>
                <w:szCs w:val="18"/>
              </w:rPr>
              <w:t>:</w:t>
            </w:r>
            <w:r>
              <w:rPr>
                <w:rFonts w:ascii="宋体" w:hAnsi="宋体" w:cs="宋体" w:eastAsia="宋体" w:hint="default"/>
                <w:sz w:val="18"/>
                <w:szCs w:val="18"/>
              </w:rPr>
              <w:t>期初现金及现金等价物余额</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0"/>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三十八</w:t>
            </w:r>
            <w:r>
              <w:rPr>
                <w:rFonts w:ascii="Times New Roman" w:hAnsi="Times New Roman" w:cs="Times New Roman" w:eastAsia="Times New Roman" w:hint="default"/>
                <w:sz w:val="18"/>
                <w:szCs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452,247,936.60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
              <w:jc w:val="right"/>
              <w:rPr>
                <w:rFonts w:ascii="Arial Narrow" w:hAnsi="Arial Narrow" w:cs="Arial Narrow" w:eastAsia="Arial Narrow" w:hint="default"/>
                <w:sz w:val="18"/>
                <w:szCs w:val="18"/>
              </w:rPr>
            </w:pPr>
            <w:r>
              <w:rPr>
                <w:rFonts w:ascii="Arial Narrow"/>
                <w:spacing w:val="-1"/>
                <w:sz w:val="18"/>
              </w:rPr>
              <w:t>57,375,732.87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7"/>
              <w:jc w:val="right"/>
              <w:rPr>
                <w:rFonts w:ascii="Arial Narrow" w:hAnsi="Arial Narrow" w:cs="Arial Narrow" w:eastAsia="Arial Narrow" w:hint="default"/>
                <w:sz w:val="18"/>
                <w:szCs w:val="18"/>
              </w:rPr>
            </w:pPr>
            <w:r>
              <w:rPr>
                <w:rFonts w:ascii="Arial Narrow"/>
                <w:spacing w:val="-1"/>
                <w:sz w:val="18"/>
              </w:rPr>
              <w:t>438,319,904.52</w:t>
            </w:r>
          </w:p>
        </w:tc>
        <w:tc>
          <w:tcPr>
            <w:tcW w:w="11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14"/>
              <w:jc w:val="right"/>
              <w:rPr>
                <w:rFonts w:ascii="Arial Narrow" w:hAnsi="Arial Narrow" w:cs="Arial Narrow" w:eastAsia="Arial Narrow" w:hint="default"/>
                <w:sz w:val="18"/>
                <w:szCs w:val="18"/>
              </w:rPr>
            </w:pPr>
            <w:r>
              <w:rPr>
                <w:rFonts w:ascii="Arial Narrow"/>
                <w:spacing w:val="-1"/>
                <w:sz w:val="18"/>
              </w:rPr>
              <w:t>45,946,689.29</w:t>
            </w:r>
          </w:p>
        </w:tc>
      </w:tr>
      <w:tr>
        <w:trPr>
          <w:trHeight w:val="324" w:hRule="exact"/>
        </w:trPr>
        <w:tc>
          <w:tcPr>
            <w:tcW w:w="416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40"/>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三十八</w:t>
            </w:r>
            <w:r>
              <w:rPr>
                <w:rFonts w:ascii="Times New Roman" w:hAnsi="Times New Roman" w:cs="Times New Roman" w:eastAsia="Times New Roman" w:hint="default"/>
                <w:sz w:val="18"/>
                <w:szCs w:val="18"/>
              </w:rPr>
              <w:t>)2</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379,583,886.30</w:t>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26"/>
              <w:jc w:val="right"/>
              <w:rPr>
                <w:rFonts w:ascii="Arial Narrow" w:hAnsi="Arial Narrow" w:cs="Arial Narrow" w:eastAsia="Arial Narrow" w:hint="default"/>
                <w:sz w:val="18"/>
                <w:szCs w:val="18"/>
              </w:rPr>
            </w:pPr>
            <w:r>
              <w:rPr>
                <w:rFonts w:ascii="Arial Narrow"/>
                <w:spacing w:val="-1"/>
                <w:sz w:val="18"/>
              </w:rPr>
              <w:t>452,247,936.60</w:t>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27"/>
              <w:jc w:val="right"/>
              <w:rPr>
                <w:rFonts w:ascii="Arial Narrow" w:hAnsi="Arial Narrow" w:cs="Arial Narrow" w:eastAsia="Arial Narrow" w:hint="default"/>
                <w:sz w:val="18"/>
                <w:szCs w:val="18"/>
              </w:rPr>
            </w:pPr>
            <w:r>
              <w:rPr>
                <w:rFonts w:ascii="Arial Narrow"/>
                <w:spacing w:val="-1"/>
                <w:sz w:val="18"/>
              </w:rPr>
              <w:t>355,260,372.06</w:t>
            </w:r>
          </w:p>
        </w:tc>
        <w:tc>
          <w:tcPr>
            <w:tcW w:w="113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right="14"/>
              <w:jc w:val="right"/>
              <w:rPr>
                <w:rFonts w:ascii="Arial Narrow" w:hAnsi="Arial Narrow" w:cs="Arial Narrow" w:eastAsia="Arial Narrow" w:hint="default"/>
                <w:sz w:val="18"/>
                <w:szCs w:val="18"/>
              </w:rPr>
            </w:pPr>
            <w:r>
              <w:rPr>
                <w:rFonts w:ascii="Arial Narrow"/>
                <w:spacing w:val="-1"/>
                <w:sz w:val="18"/>
              </w:rPr>
              <w:t>438,319,904.52</w:t>
            </w:r>
          </w:p>
        </w:tc>
      </w:tr>
    </w:tbl>
    <w:p>
      <w:pPr>
        <w:spacing w:after="0" w:line="240" w:lineRule="auto"/>
        <w:jc w:val="right"/>
        <w:rPr>
          <w:rFonts w:ascii="Arial Narrow" w:hAnsi="Arial Narrow" w:cs="Arial Narrow" w:eastAsia="Arial Narrow" w:hint="default"/>
          <w:sz w:val="18"/>
          <w:szCs w:val="18"/>
        </w:rPr>
        <w:sectPr>
          <w:footerReference w:type="default" r:id="rId38"/>
          <w:pgSz w:w="11910" w:h="16840"/>
          <w:pgMar w:footer="1551" w:header="852" w:top="1200" w:bottom="1740" w:left="1180" w:right="740"/>
          <w:pgNumType w:start="72"/>
        </w:sectPr>
      </w:pPr>
    </w:p>
    <w:p>
      <w:pPr>
        <w:spacing w:line="240" w:lineRule="auto" w:before="11"/>
        <w:rPr>
          <w:rFonts w:ascii="宋体" w:hAnsi="宋体" w:cs="宋体" w:eastAsia="宋体" w:hint="default"/>
          <w:b/>
          <w:bCs/>
          <w:sz w:val="18"/>
          <w:szCs w:val="18"/>
        </w:rPr>
      </w:pPr>
    </w:p>
    <w:p>
      <w:pPr>
        <w:spacing w:line="20" w:lineRule="exact"/>
        <w:ind w:left="958" w:right="0" w:firstLine="0"/>
        <w:rPr>
          <w:rFonts w:ascii="宋体" w:hAnsi="宋体" w:cs="宋体" w:eastAsia="宋体" w:hint="default"/>
          <w:sz w:val="2"/>
          <w:szCs w:val="2"/>
        </w:rPr>
      </w:pPr>
      <w:r>
        <w:rPr>
          <w:rFonts w:ascii="宋体" w:hAnsi="宋体" w:cs="宋体" w:eastAsia="宋体" w:hint="default"/>
          <w:sz w:val="2"/>
          <w:szCs w:val="2"/>
        </w:rPr>
        <w:pict>
          <v:group style="width:445.9pt;height:.75pt;mso-position-horizontal-relative:char;mso-position-vertical-relative:line" coordorigin="0,0" coordsize="8918,15">
            <v:group style="position:absolute;left:7;top:7;width:8903;height:2" coordorigin="7,7" coordsize="8903,2">
              <v:shape style="position:absolute;left:7;top:7;width:8903;height:2" coordorigin="7,7" coordsize="8903,0" path="m7,7l8910,7e" filled="false" stroked="true" strokeweight=".71999pt" strokecolor="#000000">
                <v:path arrowok="t"/>
              </v:shape>
            </v:group>
          </v:group>
        </w:pict>
      </w:r>
      <w:r>
        <w:rPr>
          <w:rFonts w:ascii="宋体" w:hAnsi="宋体" w:cs="宋体" w:eastAsia="宋体" w:hint="default"/>
          <w:sz w:val="2"/>
          <w:szCs w:val="2"/>
        </w:rPr>
      </w:r>
    </w:p>
    <w:p>
      <w:pPr>
        <w:pStyle w:val="Heading4"/>
        <w:spacing w:line="240" w:lineRule="auto"/>
        <w:ind w:left="4197" w:right="4229"/>
        <w:jc w:val="center"/>
      </w:pPr>
      <w:r>
        <w:rPr/>
        <w:t>合并所有者权益变动表</w:t>
      </w:r>
    </w:p>
    <w:p>
      <w:pPr>
        <w:tabs>
          <w:tab w:pos="7864" w:val="left" w:leader="none"/>
        </w:tabs>
        <w:spacing w:before="107"/>
        <w:ind w:left="994"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21"/>
          <w:szCs w:val="21"/>
        </w:rPr>
      </w:pPr>
    </w:p>
    <w:tbl>
      <w:tblPr>
        <w:tblW w:w="0" w:type="auto"/>
        <w:jc w:val="left"/>
        <w:tblInd w:w="101" w:type="dxa"/>
        <w:tblLayout w:type="fixed"/>
        <w:tblCellMar>
          <w:top w:w="0" w:type="dxa"/>
          <w:left w:w="0" w:type="dxa"/>
          <w:bottom w:w="0" w:type="dxa"/>
          <w:right w:w="0" w:type="dxa"/>
        </w:tblCellMar>
        <w:tblLook w:val="01E0"/>
      </w:tblPr>
      <w:tblGrid>
        <w:gridCol w:w="2355"/>
        <w:gridCol w:w="1081"/>
        <w:gridCol w:w="1128"/>
        <w:gridCol w:w="329"/>
        <w:gridCol w:w="372"/>
        <w:gridCol w:w="1037"/>
        <w:gridCol w:w="480"/>
        <w:gridCol w:w="1080"/>
        <w:gridCol w:w="1081"/>
        <w:gridCol w:w="480"/>
        <w:gridCol w:w="1186"/>
      </w:tblGrid>
      <w:tr>
        <w:trPr>
          <w:trHeight w:val="384" w:hRule="exact"/>
        </w:trPr>
        <w:tc>
          <w:tcPr>
            <w:tcW w:w="2355"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253" w:type="dxa"/>
            <w:gridSpan w:val="10"/>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8"/>
              <w:ind w:right="155"/>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02" w:hRule="exact"/>
        </w:trPr>
        <w:tc>
          <w:tcPr>
            <w:tcW w:w="2355" w:type="dxa"/>
            <w:vMerge/>
            <w:tcBorders>
              <w:left w:val="single" w:sz="12" w:space="0" w:color="000000"/>
              <w:right w:val="single" w:sz="4" w:space="0" w:color="000000"/>
            </w:tcBorders>
          </w:tcPr>
          <w:p>
            <w:pPr/>
          </w:p>
        </w:tc>
        <w:tc>
          <w:tcPr>
            <w:tcW w:w="65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32" w:lineRule="exact"/>
              <w:ind w:left="52" w:right="50"/>
              <w:jc w:val="both"/>
              <w:rPr>
                <w:rFonts w:ascii="宋体" w:hAnsi="宋体" w:cs="宋体" w:eastAsia="宋体" w:hint="default"/>
                <w:sz w:val="18"/>
                <w:szCs w:val="18"/>
              </w:rPr>
            </w:pPr>
            <w:r>
              <w:rPr>
                <w:rFonts w:ascii="宋体" w:hAnsi="宋体" w:cs="宋体" w:eastAsia="宋体" w:hint="default"/>
                <w:b/>
                <w:bCs/>
                <w:sz w:val="18"/>
                <w:szCs w:val="18"/>
              </w:rPr>
              <w:t>少数</w:t>
            </w:r>
            <w:r>
              <w:rPr>
                <w:rFonts w:ascii="宋体" w:hAnsi="宋体" w:cs="宋体" w:eastAsia="宋体" w:hint="default"/>
                <w:b/>
                <w:bCs/>
                <w:spacing w:val="-89"/>
                <w:sz w:val="18"/>
                <w:szCs w:val="18"/>
              </w:rPr>
              <w:t> </w:t>
            </w:r>
            <w:r>
              <w:rPr>
                <w:rFonts w:ascii="宋体" w:hAnsi="宋体" w:cs="宋体" w:eastAsia="宋体" w:hint="default"/>
                <w:b/>
                <w:bCs/>
                <w:sz w:val="18"/>
                <w:szCs w:val="18"/>
              </w:rPr>
              <w:t>股东</w:t>
            </w:r>
            <w:r>
              <w:rPr>
                <w:rFonts w:ascii="宋体" w:hAnsi="宋体" w:cs="宋体" w:eastAsia="宋体" w:hint="default"/>
                <w:b/>
                <w:bCs/>
                <w:spacing w:val="-89"/>
                <w:sz w:val="18"/>
                <w:szCs w:val="18"/>
              </w:rPr>
              <w:t> </w:t>
            </w:r>
            <w:r>
              <w:rPr>
                <w:rFonts w:ascii="宋体" w:hAnsi="宋体" w:cs="宋体" w:eastAsia="宋体" w:hint="default"/>
                <w:b/>
                <w:bCs/>
                <w:sz w:val="18"/>
                <w:szCs w:val="18"/>
              </w:rPr>
              <w:t>权益</w:t>
            </w:r>
            <w:r>
              <w:rPr>
                <w:rFonts w:ascii="宋体" w:hAnsi="宋体" w:cs="宋体" w:eastAsia="宋体" w:hint="default"/>
                <w:sz w:val="18"/>
                <w:szCs w:val="18"/>
              </w:rPr>
            </w:r>
          </w:p>
        </w:tc>
        <w:tc>
          <w:tcPr>
            <w:tcW w:w="1186" w:type="dxa"/>
            <w:vMerge w:val="restart"/>
            <w:tcBorders>
              <w:top w:val="single" w:sz="4" w:space="0" w:color="000000"/>
              <w:left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492" w:right="42" w:hanging="454"/>
              <w:jc w:val="left"/>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958" w:hRule="exact"/>
        </w:trPr>
        <w:tc>
          <w:tcPr>
            <w:tcW w:w="2355" w:type="dxa"/>
            <w:vMerge/>
            <w:tcBorders>
              <w:left w:val="single" w:sz="12"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67" w:right="71" w:hanging="58"/>
              <w:jc w:val="both"/>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pacing w:val="2"/>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3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pacing w:val="-45"/>
                <w:sz w:val="18"/>
                <w:szCs w:val="18"/>
              </w:rPr>
              <w:t> </w:t>
            </w:r>
            <w:r>
              <w:rPr>
                <w:rFonts w:ascii="宋体" w:hAnsi="宋体" w:cs="宋体" w:eastAsia="宋体" w:hint="default"/>
                <w:b/>
                <w:bCs/>
                <w:sz w:val="18"/>
                <w:szCs w:val="18"/>
              </w:rPr>
              <w:t>专</w:t>
            </w:r>
            <w:r>
              <w:rPr>
                <w:rFonts w:ascii="宋体" w:hAnsi="宋体" w:cs="宋体" w:eastAsia="宋体" w:hint="default"/>
                <w:sz w:val="18"/>
                <w:szCs w:val="18"/>
              </w:rPr>
            </w:r>
          </w:p>
          <w:p>
            <w:pPr>
              <w:pStyle w:val="TableParagraph"/>
              <w:spacing w:line="237" w:lineRule="auto"/>
              <w:ind w:left="91" w:right="89"/>
              <w:jc w:val="both"/>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1"/>
              <w:ind w:left="52" w:right="50"/>
              <w:jc w:val="both"/>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b/>
                <w:bCs/>
                <w:spacing w:val="-89"/>
                <w:sz w:val="18"/>
                <w:szCs w:val="18"/>
              </w:rPr>
              <w:t> </w:t>
            </w:r>
            <w:r>
              <w:rPr>
                <w:rFonts w:ascii="宋体" w:hAnsi="宋体" w:cs="宋体" w:eastAsia="宋体" w:hint="default"/>
                <w:b/>
                <w:bCs/>
                <w:sz w:val="18"/>
                <w:szCs w:val="18"/>
              </w:rPr>
              <w:t>风险</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32" w:lineRule="exact"/>
              <w:ind w:left="264" w:right="82" w:hanging="180"/>
              <w:jc w:val="left"/>
              <w:rPr>
                <w:rFonts w:ascii="宋体" w:hAnsi="宋体" w:cs="宋体" w:eastAsia="宋体" w:hint="default"/>
                <w:sz w:val="18"/>
                <w:szCs w:val="18"/>
              </w:rPr>
            </w:pPr>
            <w:r>
              <w:rPr>
                <w:rFonts w:ascii="宋体" w:hAnsi="宋体" w:cs="宋体" w:eastAsia="宋体" w:hint="default"/>
                <w:b/>
                <w:bCs/>
                <w:sz w:val="18"/>
                <w:szCs w:val="18"/>
              </w:rPr>
              <w:t>外币报表折</w:t>
            </w:r>
            <w:r>
              <w:rPr>
                <w:rFonts w:ascii="宋体" w:hAnsi="宋体" w:cs="宋体" w:eastAsia="宋体" w:hint="default"/>
                <w:b/>
                <w:bCs/>
                <w:w w:val="99"/>
                <w:sz w:val="18"/>
                <w:szCs w:val="18"/>
              </w:rPr>
              <w:t> </w:t>
            </w:r>
            <w:r>
              <w:rPr>
                <w:rFonts w:ascii="宋体" w:hAnsi="宋体" w:cs="宋体" w:eastAsia="宋体" w:hint="default"/>
                <w:b/>
                <w:bCs/>
                <w:sz w:val="18"/>
                <w:szCs w:val="18"/>
              </w:rPr>
              <w:t>算差额</w:t>
            </w:r>
            <w:r>
              <w:rPr>
                <w:rFonts w:ascii="宋体" w:hAnsi="宋体" w:cs="宋体" w:eastAsia="宋体" w:hint="default"/>
                <w:sz w:val="18"/>
                <w:szCs w:val="18"/>
              </w:rPr>
            </w:r>
          </w:p>
        </w:tc>
        <w:tc>
          <w:tcPr>
            <w:tcW w:w="480"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center"/>
              <w:rPr>
                <w:rFonts w:ascii="Arial Narrow" w:hAnsi="Arial Narrow" w:cs="Arial Narrow" w:eastAsia="Arial Narrow" w:hint="default"/>
                <w:sz w:val="18"/>
                <w:szCs w:val="18"/>
              </w:rPr>
            </w:pPr>
            <w:r>
              <w:rPr>
                <w:rFonts w:ascii="Arial Narrow"/>
                <w:sz w:val="18"/>
              </w:rPr>
              <w:t>61,500,000.00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9" w:right="0"/>
              <w:jc w:val="center"/>
              <w:rPr>
                <w:rFonts w:ascii="Arial Narrow" w:hAnsi="Arial Narrow" w:cs="Arial Narrow" w:eastAsia="Arial Narrow" w:hint="default"/>
                <w:sz w:val="18"/>
                <w:szCs w:val="18"/>
              </w:rPr>
            </w:pPr>
            <w:r>
              <w:rPr>
                <w:rFonts w:ascii="Arial Narrow"/>
                <w:sz w:val="18"/>
              </w:rPr>
              <w:t>354,607,240.00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 w:right="0"/>
              <w:jc w:val="center"/>
              <w:rPr>
                <w:rFonts w:ascii="Arial Narrow" w:hAnsi="Arial Narrow" w:cs="Arial Narrow" w:eastAsia="Arial Narrow" w:hint="default"/>
                <w:sz w:val="18"/>
                <w:szCs w:val="18"/>
              </w:rPr>
            </w:pPr>
            <w:r>
              <w:rPr>
                <w:rFonts w:ascii="Arial Narrow"/>
                <w:sz w:val="18"/>
              </w:rPr>
              <w:t>18,066,840.31</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
              <w:jc w:val="right"/>
              <w:rPr>
                <w:rFonts w:ascii="Arial Narrow" w:hAnsi="Arial Narrow" w:cs="Arial Narrow" w:eastAsia="Arial Narrow" w:hint="default"/>
                <w:sz w:val="18"/>
                <w:szCs w:val="18"/>
              </w:rPr>
            </w:pPr>
            <w:r>
              <w:rPr>
                <w:rFonts w:ascii="Arial Narrow"/>
                <w:spacing w:val="-1"/>
                <w:sz w:val="18"/>
              </w:rPr>
              <w:t>149,719,380.78</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2"/>
              <w:jc w:val="right"/>
              <w:rPr>
                <w:rFonts w:ascii="Arial Narrow" w:hAnsi="Arial Narrow" w:cs="Arial Narrow" w:eastAsia="Arial Narrow" w:hint="default"/>
                <w:sz w:val="18"/>
                <w:szCs w:val="18"/>
              </w:rPr>
            </w:pPr>
            <w:r>
              <w:rPr>
                <w:rFonts w:ascii="Arial Narrow"/>
                <w:spacing w:val="-1"/>
                <w:sz w:val="18"/>
              </w:rPr>
              <w:t>583,893,461.09</w:t>
            </w: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3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3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5"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center"/>
              <w:rPr>
                <w:rFonts w:ascii="Arial Narrow" w:hAnsi="Arial Narrow" w:cs="Arial Narrow" w:eastAsia="Arial Narrow" w:hint="default"/>
                <w:sz w:val="18"/>
                <w:szCs w:val="18"/>
              </w:rPr>
            </w:pPr>
            <w:r>
              <w:rPr>
                <w:rFonts w:ascii="Arial Narrow"/>
                <w:sz w:val="18"/>
              </w:rPr>
              <w:t>61,500,000.00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9" w:right="0"/>
              <w:jc w:val="center"/>
              <w:rPr>
                <w:rFonts w:ascii="Arial Narrow" w:hAnsi="Arial Narrow" w:cs="Arial Narrow" w:eastAsia="Arial Narrow" w:hint="default"/>
                <w:sz w:val="18"/>
                <w:szCs w:val="18"/>
              </w:rPr>
            </w:pPr>
            <w:r>
              <w:rPr>
                <w:rFonts w:ascii="Arial Narrow"/>
                <w:sz w:val="18"/>
              </w:rPr>
              <w:t>354,607,240.00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 w:right="0"/>
              <w:jc w:val="center"/>
              <w:rPr>
                <w:rFonts w:ascii="Arial Narrow" w:hAnsi="Arial Narrow" w:cs="Arial Narrow" w:eastAsia="Arial Narrow" w:hint="default"/>
                <w:sz w:val="18"/>
                <w:szCs w:val="18"/>
              </w:rPr>
            </w:pPr>
            <w:r>
              <w:rPr>
                <w:rFonts w:ascii="Arial Narrow"/>
                <w:sz w:val="18"/>
              </w:rPr>
              <w:t>18,066,840.31</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
              <w:jc w:val="right"/>
              <w:rPr>
                <w:rFonts w:ascii="Arial Narrow" w:hAnsi="Arial Narrow" w:cs="Arial Narrow" w:eastAsia="Arial Narrow" w:hint="default"/>
                <w:sz w:val="18"/>
                <w:szCs w:val="18"/>
              </w:rPr>
            </w:pPr>
            <w:r>
              <w:rPr>
                <w:rFonts w:ascii="Arial Narrow"/>
                <w:spacing w:val="-1"/>
                <w:sz w:val="18"/>
              </w:rPr>
              <w:t>149,719,380.78</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2"/>
              <w:jc w:val="right"/>
              <w:rPr>
                <w:rFonts w:ascii="Arial Narrow" w:hAnsi="Arial Narrow" w:cs="Arial Narrow" w:eastAsia="Arial Narrow" w:hint="default"/>
                <w:sz w:val="18"/>
                <w:szCs w:val="18"/>
              </w:rPr>
            </w:pPr>
            <w:r>
              <w:rPr>
                <w:rFonts w:ascii="Arial Narrow"/>
                <w:spacing w:val="-1"/>
                <w:sz w:val="18"/>
              </w:rPr>
              <w:t>583,893,461.09</w:t>
            </w: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5"/>
              <w:ind w:right="9"/>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5" w:right="0"/>
              <w:jc w:val="center"/>
              <w:rPr>
                <w:rFonts w:ascii="Arial Narrow" w:hAnsi="Arial Narrow" w:cs="Arial Narrow" w:eastAsia="Arial Narrow" w:hint="default"/>
                <w:sz w:val="18"/>
                <w:szCs w:val="18"/>
              </w:rPr>
            </w:pPr>
            <w:r>
              <w:rPr>
                <w:rFonts w:ascii="Arial Narrow"/>
                <w:sz w:val="18"/>
              </w:rPr>
              <w:t>43,050,000.00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4" w:right="0"/>
              <w:jc w:val="center"/>
              <w:rPr>
                <w:rFonts w:ascii="Arial Narrow" w:hAnsi="Arial Narrow" w:cs="Arial Narrow" w:eastAsia="Arial Narrow" w:hint="default"/>
                <w:sz w:val="18"/>
                <w:szCs w:val="18"/>
              </w:rPr>
            </w:pPr>
            <w:r>
              <w:rPr>
                <w:rFonts w:ascii="Arial Narrow"/>
                <w:sz w:val="18"/>
              </w:rPr>
              <w:t>-43,050,000.00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40" w:right="0"/>
              <w:jc w:val="center"/>
              <w:rPr>
                <w:rFonts w:ascii="Arial Narrow" w:hAnsi="Arial Narrow" w:cs="Arial Narrow" w:eastAsia="Arial Narrow" w:hint="default"/>
                <w:sz w:val="18"/>
                <w:szCs w:val="18"/>
              </w:rPr>
            </w:pPr>
            <w:r>
              <w:rPr>
                <w:rFonts w:ascii="Arial Narrow"/>
                <w:sz w:val="18"/>
              </w:rPr>
              <w:t>4,522,165.88</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
              <w:jc w:val="right"/>
              <w:rPr>
                <w:rFonts w:ascii="Arial Narrow" w:hAnsi="Arial Narrow" w:cs="Arial Narrow" w:eastAsia="Arial Narrow" w:hint="default"/>
                <w:sz w:val="18"/>
                <w:szCs w:val="18"/>
              </w:rPr>
            </w:pPr>
            <w:r>
              <w:rPr>
                <w:rFonts w:ascii="Arial Narrow"/>
                <w:spacing w:val="-2"/>
                <w:sz w:val="18"/>
              </w:rPr>
              <w:t>38,146,116.57</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0"/>
              <w:ind w:right="2"/>
              <w:jc w:val="right"/>
              <w:rPr>
                <w:rFonts w:ascii="Arial Narrow" w:hAnsi="Arial Narrow" w:cs="Arial Narrow" w:eastAsia="Arial Narrow" w:hint="default"/>
                <w:sz w:val="18"/>
                <w:szCs w:val="18"/>
              </w:rPr>
            </w:pPr>
            <w:r>
              <w:rPr>
                <w:rFonts w:ascii="Arial Narrow"/>
                <w:spacing w:val="-1"/>
                <w:sz w:val="18"/>
              </w:rPr>
              <w:t>42,668,282.45</w:t>
            </w: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Arial Narrow" w:hAnsi="Arial Narrow" w:cs="Arial Narrow" w:eastAsia="Arial Narrow" w:hint="default"/>
                <w:sz w:val="18"/>
                <w:szCs w:val="18"/>
              </w:rPr>
            </w:pPr>
            <w:r>
              <w:rPr>
                <w:rFonts w:ascii="Arial Narrow"/>
                <w:spacing w:val="-1"/>
                <w:sz w:val="18"/>
              </w:rPr>
              <w:t>85,718,282.45</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2"/>
              <w:jc w:val="right"/>
              <w:rPr>
                <w:rFonts w:ascii="Arial Narrow" w:hAnsi="Arial Narrow" w:cs="Arial Narrow" w:eastAsia="Arial Narrow" w:hint="default"/>
                <w:sz w:val="18"/>
                <w:szCs w:val="18"/>
              </w:rPr>
            </w:pPr>
            <w:r>
              <w:rPr>
                <w:rFonts w:ascii="Arial Narrow"/>
                <w:spacing w:val="-1"/>
                <w:sz w:val="18"/>
              </w:rPr>
              <w:t>85,718,282.45</w:t>
            </w: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
              <w:jc w:val="right"/>
              <w:rPr>
                <w:rFonts w:ascii="Arial Narrow" w:hAnsi="Arial Narrow" w:cs="Arial Narrow" w:eastAsia="Arial Narrow" w:hint="default"/>
                <w:sz w:val="18"/>
                <w:szCs w:val="18"/>
              </w:rPr>
            </w:pPr>
            <w:r>
              <w:rPr>
                <w:rFonts w:ascii="Arial Narrow"/>
                <w:spacing w:val="-1"/>
                <w:sz w:val="18"/>
              </w:rPr>
              <w:t>85,718,282.45</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9"/>
              <w:ind w:right="2"/>
              <w:jc w:val="right"/>
              <w:rPr>
                <w:rFonts w:ascii="Arial Narrow" w:hAnsi="Arial Narrow" w:cs="Arial Narrow" w:eastAsia="Arial Narrow" w:hint="default"/>
                <w:sz w:val="18"/>
                <w:szCs w:val="18"/>
              </w:rPr>
            </w:pPr>
            <w:r>
              <w:rPr>
                <w:rFonts w:ascii="Arial Narrow"/>
                <w:spacing w:val="-1"/>
                <w:sz w:val="18"/>
              </w:rPr>
              <w:t>85,718,282.45</w:t>
            </w: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5"/>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．股份支付计入所有者权益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的金额</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0" w:right="0"/>
              <w:jc w:val="center"/>
              <w:rPr>
                <w:rFonts w:ascii="Arial Narrow" w:hAnsi="Arial Narrow" w:cs="Arial Narrow" w:eastAsia="Arial Narrow" w:hint="default"/>
                <w:sz w:val="18"/>
                <w:szCs w:val="18"/>
              </w:rPr>
            </w:pPr>
            <w:r>
              <w:rPr>
                <w:rFonts w:ascii="Arial Narrow"/>
                <w:sz w:val="18"/>
              </w:rPr>
              <w:t>4,522,165.88</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Arial Narrow" w:hAnsi="Arial Narrow" w:cs="Arial Narrow" w:eastAsia="Arial Narrow" w:hint="default"/>
                <w:sz w:val="18"/>
                <w:szCs w:val="18"/>
              </w:rPr>
            </w:pPr>
            <w:r>
              <w:rPr>
                <w:rFonts w:ascii="Arial Narrow"/>
                <w:spacing w:val="-1"/>
                <w:sz w:val="18"/>
              </w:rPr>
              <w:t>-47,572,165.88</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2"/>
              <w:jc w:val="right"/>
              <w:rPr>
                <w:rFonts w:ascii="Arial Narrow" w:hAnsi="Arial Narrow" w:cs="Arial Narrow" w:eastAsia="Arial Narrow" w:hint="default"/>
                <w:sz w:val="18"/>
                <w:szCs w:val="18"/>
              </w:rPr>
            </w:pPr>
            <w:r>
              <w:rPr>
                <w:rFonts w:ascii="Arial Narrow"/>
                <w:spacing w:val="-1"/>
                <w:sz w:val="18"/>
              </w:rPr>
              <w:t>-43,050,000.00</w:t>
            </w: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center"/>
              <w:rPr>
                <w:rFonts w:ascii="Arial Narrow" w:hAnsi="Arial Narrow" w:cs="Arial Narrow" w:eastAsia="Arial Narrow" w:hint="default"/>
                <w:sz w:val="18"/>
                <w:szCs w:val="18"/>
              </w:rPr>
            </w:pPr>
            <w:r>
              <w:rPr>
                <w:rFonts w:ascii="Arial Narrow"/>
                <w:sz w:val="18"/>
              </w:rPr>
              <w:t>4,522,165.88</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Arial Narrow" w:hAnsi="Arial Narrow" w:cs="Arial Narrow" w:eastAsia="Arial Narrow" w:hint="default"/>
                <w:sz w:val="18"/>
                <w:szCs w:val="18"/>
              </w:rPr>
            </w:pPr>
            <w:r>
              <w:rPr>
                <w:rFonts w:ascii="Arial Narrow"/>
                <w:spacing w:val="-1"/>
                <w:sz w:val="18"/>
              </w:rPr>
              <w:t>-4,522,165.88</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10"/>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．对所有者（或股东）的分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配</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
              <w:jc w:val="right"/>
              <w:rPr>
                <w:rFonts w:ascii="Arial Narrow" w:hAnsi="Arial Narrow" w:cs="Arial Narrow" w:eastAsia="Arial Narrow" w:hint="default"/>
                <w:sz w:val="18"/>
                <w:szCs w:val="18"/>
              </w:rPr>
            </w:pPr>
            <w:r>
              <w:rPr>
                <w:rFonts w:ascii="Arial Narrow"/>
                <w:spacing w:val="-1"/>
                <w:sz w:val="18"/>
              </w:rPr>
              <w:t>-43,050,000.00</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0"/>
              <w:ind w:right="2"/>
              <w:jc w:val="right"/>
              <w:rPr>
                <w:rFonts w:ascii="Arial Narrow" w:hAnsi="Arial Narrow" w:cs="Arial Narrow" w:eastAsia="Arial Narrow" w:hint="default"/>
                <w:sz w:val="18"/>
                <w:szCs w:val="18"/>
              </w:rPr>
            </w:pPr>
            <w:r>
              <w:rPr>
                <w:rFonts w:ascii="Arial Narrow"/>
                <w:spacing w:val="-1"/>
                <w:sz w:val="18"/>
              </w:rPr>
              <w:t>-43,050,000.00</w:t>
            </w: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center"/>
              <w:rPr>
                <w:rFonts w:ascii="Arial Narrow" w:hAnsi="Arial Narrow" w:cs="Arial Narrow" w:eastAsia="Arial Narrow" w:hint="default"/>
                <w:sz w:val="18"/>
                <w:szCs w:val="18"/>
              </w:rPr>
            </w:pPr>
            <w:r>
              <w:rPr>
                <w:rFonts w:ascii="Arial Narrow"/>
                <w:sz w:val="18"/>
              </w:rPr>
              <w:t>43,050,000.00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center"/>
              <w:rPr>
                <w:rFonts w:ascii="Arial Narrow" w:hAnsi="Arial Narrow" w:cs="Arial Narrow" w:eastAsia="Arial Narrow" w:hint="default"/>
                <w:sz w:val="18"/>
                <w:szCs w:val="18"/>
              </w:rPr>
            </w:pPr>
            <w:r>
              <w:rPr>
                <w:rFonts w:ascii="Arial Narrow"/>
                <w:sz w:val="18"/>
              </w:rPr>
              <w:t>-43,050,000.00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5"/>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5" w:right="0"/>
              <w:jc w:val="center"/>
              <w:rPr>
                <w:rFonts w:ascii="Arial Narrow" w:hAnsi="Arial Narrow" w:cs="Arial Narrow" w:eastAsia="Arial Narrow" w:hint="default"/>
                <w:sz w:val="18"/>
                <w:szCs w:val="18"/>
              </w:rPr>
            </w:pPr>
            <w:r>
              <w:rPr>
                <w:rFonts w:ascii="Arial Narrow"/>
                <w:sz w:val="18"/>
              </w:rPr>
              <w:t>43,050,000.00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center"/>
              <w:rPr>
                <w:rFonts w:ascii="Arial Narrow" w:hAnsi="Arial Narrow" w:cs="Arial Narrow" w:eastAsia="Arial Narrow" w:hint="default"/>
                <w:sz w:val="18"/>
                <w:szCs w:val="18"/>
              </w:rPr>
            </w:pPr>
            <w:r>
              <w:rPr>
                <w:rFonts w:ascii="Arial Narrow"/>
                <w:sz w:val="18"/>
              </w:rPr>
              <w:t>-43,050,000.00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5"/>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8"/>
              <w:ind w:left="9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35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left="21" w:right="0"/>
              <w:jc w:val="center"/>
              <w:rPr>
                <w:rFonts w:ascii="Arial Narrow" w:hAnsi="Arial Narrow" w:cs="Arial Narrow" w:eastAsia="Arial Narrow" w:hint="default"/>
                <w:sz w:val="18"/>
                <w:szCs w:val="18"/>
              </w:rPr>
            </w:pPr>
            <w:r>
              <w:rPr>
                <w:rFonts w:ascii="Arial Narrow"/>
                <w:sz w:val="18"/>
              </w:rPr>
              <w:t>104,550,000.00</w:t>
            </w:r>
          </w:p>
        </w:tc>
        <w:tc>
          <w:tcPr>
            <w:tcW w:w="11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left="82" w:right="0"/>
              <w:jc w:val="center"/>
              <w:rPr>
                <w:rFonts w:ascii="Arial Narrow" w:hAnsi="Arial Narrow" w:cs="Arial Narrow" w:eastAsia="Arial Narrow" w:hint="default"/>
                <w:sz w:val="18"/>
                <w:szCs w:val="18"/>
              </w:rPr>
            </w:pPr>
            <w:r>
              <w:rPr>
                <w:rFonts w:ascii="Arial Narrow"/>
                <w:spacing w:val="-2"/>
                <w:sz w:val="18"/>
              </w:rPr>
              <w:t>311,557,240.00</w:t>
            </w:r>
          </w:p>
        </w:tc>
        <w:tc>
          <w:tcPr>
            <w:tcW w:w="329" w:type="dxa"/>
            <w:tcBorders>
              <w:top w:val="single" w:sz="4" w:space="0" w:color="000000"/>
              <w:left w:val="single" w:sz="4" w:space="0" w:color="000000"/>
              <w:bottom w:val="single" w:sz="12" w:space="0" w:color="000000"/>
              <w:right w:val="single" w:sz="4" w:space="0" w:color="000000"/>
            </w:tcBorders>
          </w:tcPr>
          <w:p>
            <w:pPr/>
          </w:p>
        </w:tc>
        <w:tc>
          <w:tcPr>
            <w:tcW w:w="372" w:type="dxa"/>
            <w:tcBorders>
              <w:top w:val="single" w:sz="4" w:space="0" w:color="000000"/>
              <w:left w:val="single" w:sz="4" w:space="0" w:color="000000"/>
              <w:bottom w:val="single" w:sz="12" w:space="0" w:color="000000"/>
              <w:right w:val="single" w:sz="4" w:space="0" w:color="000000"/>
            </w:tcBorders>
          </w:tcPr>
          <w:p>
            <w:pPr/>
          </w:p>
        </w:tc>
        <w:tc>
          <w:tcPr>
            <w:tcW w:w="1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left="57" w:right="0"/>
              <w:jc w:val="center"/>
              <w:rPr>
                <w:rFonts w:ascii="Arial Narrow" w:hAnsi="Arial Narrow" w:cs="Arial Narrow" w:eastAsia="Arial Narrow" w:hint="default"/>
                <w:sz w:val="18"/>
                <w:szCs w:val="18"/>
              </w:rPr>
            </w:pPr>
            <w:r>
              <w:rPr>
                <w:rFonts w:ascii="Arial Narrow"/>
                <w:sz w:val="18"/>
              </w:rPr>
              <w:t>22,589,006.19</w:t>
            </w:r>
          </w:p>
        </w:tc>
        <w:tc>
          <w:tcPr>
            <w:tcW w:w="480"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9"/>
              <w:jc w:val="right"/>
              <w:rPr>
                <w:rFonts w:ascii="Arial Narrow" w:hAnsi="Arial Narrow" w:cs="Arial Narrow" w:eastAsia="Arial Narrow" w:hint="default"/>
                <w:sz w:val="18"/>
                <w:szCs w:val="18"/>
              </w:rPr>
            </w:pPr>
            <w:r>
              <w:rPr>
                <w:rFonts w:ascii="Arial Narrow"/>
                <w:spacing w:val="-1"/>
                <w:sz w:val="18"/>
              </w:rPr>
              <w:t>187,865,497.35</w:t>
            </w:r>
          </w:p>
        </w:tc>
        <w:tc>
          <w:tcPr>
            <w:tcW w:w="1081" w:type="dxa"/>
            <w:tcBorders>
              <w:top w:val="single" w:sz="4" w:space="0" w:color="000000"/>
              <w:left w:val="single" w:sz="4" w:space="0" w:color="000000"/>
              <w:bottom w:val="single" w:sz="12" w:space="0" w:color="000000"/>
              <w:right w:val="single" w:sz="4" w:space="0" w:color="000000"/>
            </w:tcBorders>
          </w:tcPr>
          <w:p>
            <w:pPr/>
          </w:p>
        </w:tc>
        <w:tc>
          <w:tcPr>
            <w:tcW w:w="480" w:type="dxa"/>
            <w:tcBorders>
              <w:top w:val="single" w:sz="4" w:space="0" w:color="000000"/>
              <w:left w:val="single" w:sz="4" w:space="0" w:color="000000"/>
              <w:bottom w:val="single" w:sz="12" w:space="0" w:color="000000"/>
              <w:right w:val="single" w:sz="4" w:space="0" w:color="000000"/>
            </w:tcBorders>
          </w:tcPr>
          <w:p>
            <w:pPr/>
          </w:p>
        </w:tc>
        <w:tc>
          <w:tcPr>
            <w:tcW w:w="11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9"/>
              <w:ind w:right="2"/>
              <w:jc w:val="right"/>
              <w:rPr>
                <w:rFonts w:ascii="Arial Narrow" w:hAnsi="Arial Narrow" w:cs="Arial Narrow" w:eastAsia="Arial Narrow" w:hint="default"/>
                <w:sz w:val="18"/>
                <w:szCs w:val="18"/>
              </w:rPr>
            </w:pPr>
            <w:r>
              <w:rPr>
                <w:rFonts w:ascii="Arial Narrow"/>
                <w:spacing w:val="-1"/>
                <w:sz w:val="18"/>
              </w:rPr>
              <w:t>626,561,743.54</w:t>
            </w:r>
          </w:p>
        </w:tc>
      </w:tr>
    </w:tbl>
    <w:p>
      <w:pPr>
        <w:spacing w:after="0" w:line="240" w:lineRule="auto"/>
        <w:jc w:val="right"/>
        <w:rPr>
          <w:rFonts w:ascii="Arial Narrow" w:hAnsi="Arial Narrow" w:cs="Arial Narrow" w:eastAsia="Arial Narrow" w:hint="default"/>
          <w:sz w:val="18"/>
          <w:szCs w:val="18"/>
        </w:rPr>
        <w:sectPr>
          <w:pgSz w:w="11910" w:h="16840"/>
          <w:pgMar w:header="852" w:footer="1551" w:top="1200" w:bottom="1780" w:left="820" w:right="220"/>
        </w:sectPr>
      </w:pPr>
    </w:p>
    <w:p>
      <w:pPr>
        <w:spacing w:line="240" w:lineRule="auto" w:before="11"/>
        <w:rPr>
          <w:rFonts w:ascii="宋体" w:hAnsi="宋体" w:cs="宋体" w:eastAsia="宋体" w:hint="default"/>
          <w:b/>
          <w:bCs/>
          <w:sz w:val="18"/>
          <w:szCs w:val="18"/>
        </w:rPr>
      </w:pPr>
    </w:p>
    <w:p>
      <w:pPr>
        <w:spacing w:line="20" w:lineRule="exact"/>
        <w:ind w:left="958" w:right="0" w:firstLine="0"/>
        <w:rPr>
          <w:rFonts w:ascii="宋体" w:hAnsi="宋体" w:cs="宋体" w:eastAsia="宋体" w:hint="default"/>
          <w:sz w:val="2"/>
          <w:szCs w:val="2"/>
        </w:rPr>
      </w:pPr>
      <w:r>
        <w:rPr>
          <w:rFonts w:ascii="宋体" w:hAnsi="宋体" w:cs="宋体" w:eastAsia="宋体" w:hint="default"/>
          <w:sz w:val="2"/>
          <w:szCs w:val="2"/>
        </w:rPr>
        <w:pict>
          <v:group style="width:445.9pt;height:.75pt;mso-position-horizontal-relative:char;mso-position-vertical-relative:line" coordorigin="0,0" coordsize="8918,15">
            <v:group style="position:absolute;left:7;top:7;width:8903;height:2" coordorigin="7,7" coordsize="8903,2">
              <v:shape style="position:absolute;left:7;top:7;width:8903;height:2" coordorigin="7,7" coordsize="8903,0" path="m7,7l8910,7e" filled="false" stroked="true" strokeweight=".71999pt" strokecolor="#000000">
                <v:path arrowok="t"/>
              </v:shape>
            </v:group>
          </v:group>
        </w:pict>
      </w:r>
      <w:r>
        <w:rPr>
          <w:rFonts w:ascii="宋体" w:hAnsi="宋体" w:cs="宋体" w:eastAsia="宋体" w:hint="default"/>
          <w:sz w:val="2"/>
          <w:szCs w:val="2"/>
        </w:rPr>
      </w:r>
    </w:p>
    <w:p>
      <w:pPr>
        <w:pStyle w:val="Heading4"/>
        <w:spacing w:line="240" w:lineRule="auto"/>
        <w:ind w:left="4197" w:right="4229"/>
        <w:jc w:val="center"/>
      </w:pPr>
      <w:r>
        <w:rPr/>
        <w:t>合并所有者权益变动表</w:t>
      </w:r>
    </w:p>
    <w:p>
      <w:pPr>
        <w:tabs>
          <w:tab w:pos="7864" w:val="left" w:leader="none"/>
        </w:tabs>
        <w:spacing w:before="107"/>
        <w:ind w:left="994"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22"/>
          <w:szCs w:val="22"/>
        </w:rPr>
      </w:pPr>
    </w:p>
    <w:tbl>
      <w:tblPr>
        <w:tblW w:w="0" w:type="auto"/>
        <w:jc w:val="left"/>
        <w:tblInd w:w="101" w:type="dxa"/>
        <w:tblLayout w:type="fixed"/>
        <w:tblCellMar>
          <w:top w:w="0" w:type="dxa"/>
          <w:left w:w="0" w:type="dxa"/>
          <w:bottom w:w="0" w:type="dxa"/>
          <w:right w:w="0" w:type="dxa"/>
        </w:tblCellMar>
        <w:tblLook w:val="01E0"/>
      </w:tblPr>
      <w:tblGrid>
        <w:gridCol w:w="2355"/>
        <w:gridCol w:w="1081"/>
        <w:gridCol w:w="1128"/>
        <w:gridCol w:w="329"/>
        <w:gridCol w:w="372"/>
        <w:gridCol w:w="1037"/>
        <w:gridCol w:w="480"/>
        <w:gridCol w:w="1080"/>
        <w:gridCol w:w="1081"/>
        <w:gridCol w:w="480"/>
        <w:gridCol w:w="1186"/>
      </w:tblGrid>
      <w:tr>
        <w:trPr>
          <w:trHeight w:val="384" w:hRule="exact"/>
        </w:trPr>
        <w:tc>
          <w:tcPr>
            <w:tcW w:w="2355"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7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253" w:type="dxa"/>
            <w:gridSpan w:val="10"/>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4"/>
              <w:ind w:right="155"/>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02" w:hRule="exact"/>
        </w:trPr>
        <w:tc>
          <w:tcPr>
            <w:tcW w:w="2355" w:type="dxa"/>
            <w:vMerge/>
            <w:tcBorders>
              <w:left w:val="single" w:sz="12" w:space="0" w:color="000000"/>
              <w:right w:val="single" w:sz="4" w:space="0" w:color="000000"/>
            </w:tcBorders>
          </w:tcPr>
          <w:p>
            <w:pPr/>
          </w:p>
        </w:tc>
        <w:tc>
          <w:tcPr>
            <w:tcW w:w="65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32" w:lineRule="exact"/>
              <w:ind w:left="52" w:right="50"/>
              <w:jc w:val="both"/>
              <w:rPr>
                <w:rFonts w:ascii="宋体" w:hAnsi="宋体" w:cs="宋体" w:eastAsia="宋体" w:hint="default"/>
                <w:sz w:val="18"/>
                <w:szCs w:val="18"/>
              </w:rPr>
            </w:pPr>
            <w:r>
              <w:rPr>
                <w:rFonts w:ascii="宋体" w:hAnsi="宋体" w:cs="宋体" w:eastAsia="宋体" w:hint="default"/>
                <w:b/>
                <w:bCs/>
                <w:sz w:val="18"/>
                <w:szCs w:val="18"/>
              </w:rPr>
              <w:t>少数</w:t>
            </w:r>
            <w:r>
              <w:rPr>
                <w:rFonts w:ascii="宋体" w:hAnsi="宋体" w:cs="宋体" w:eastAsia="宋体" w:hint="default"/>
                <w:b/>
                <w:bCs/>
                <w:spacing w:val="-89"/>
                <w:sz w:val="18"/>
                <w:szCs w:val="18"/>
              </w:rPr>
              <w:t> </w:t>
            </w:r>
            <w:r>
              <w:rPr>
                <w:rFonts w:ascii="宋体" w:hAnsi="宋体" w:cs="宋体" w:eastAsia="宋体" w:hint="default"/>
                <w:b/>
                <w:bCs/>
                <w:sz w:val="18"/>
                <w:szCs w:val="18"/>
              </w:rPr>
              <w:t>股东</w:t>
            </w:r>
            <w:r>
              <w:rPr>
                <w:rFonts w:ascii="宋体" w:hAnsi="宋体" w:cs="宋体" w:eastAsia="宋体" w:hint="default"/>
                <w:b/>
                <w:bCs/>
                <w:spacing w:val="-89"/>
                <w:sz w:val="18"/>
                <w:szCs w:val="18"/>
              </w:rPr>
              <w:t> </w:t>
            </w:r>
            <w:r>
              <w:rPr>
                <w:rFonts w:ascii="宋体" w:hAnsi="宋体" w:cs="宋体" w:eastAsia="宋体" w:hint="default"/>
                <w:b/>
                <w:bCs/>
                <w:sz w:val="18"/>
                <w:szCs w:val="18"/>
              </w:rPr>
              <w:t>权益</w:t>
            </w:r>
            <w:r>
              <w:rPr>
                <w:rFonts w:ascii="宋体" w:hAnsi="宋体" w:cs="宋体" w:eastAsia="宋体" w:hint="default"/>
                <w:sz w:val="18"/>
                <w:szCs w:val="18"/>
              </w:rPr>
            </w:r>
          </w:p>
        </w:tc>
        <w:tc>
          <w:tcPr>
            <w:tcW w:w="1186" w:type="dxa"/>
            <w:vMerge w:val="restart"/>
            <w:tcBorders>
              <w:top w:val="single" w:sz="4" w:space="0" w:color="000000"/>
              <w:left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492" w:right="42" w:hanging="454"/>
              <w:jc w:val="left"/>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958" w:hRule="exact"/>
        </w:trPr>
        <w:tc>
          <w:tcPr>
            <w:tcW w:w="2355" w:type="dxa"/>
            <w:vMerge/>
            <w:tcBorders>
              <w:left w:val="single" w:sz="12"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67" w:right="71" w:hanging="58"/>
              <w:jc w:val="both"/>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pacing w:val="2"/>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sz w:val="18"/>
                <w:szCs w:val="18"/>
              </w:rPr>
            </w:r>
          </w:p>
          <w:p>
            <w:pPr>
              <w:pStyle w:val="TableParagraph"/>
              <w:spacing w:line="214" w:lineRule="exact"/>
              <w:ind w:left="67" w:right="0"/>
              <w:jc w:val="both"/>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3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pacing w:val="-45"/>
                <w:sz w:val="18"/>
                <w:szCs w:val="18"/>
              </w:rPr>
              <w:t> </w:t>
            </w:r>
            <w:r>
              <w:rPr>
                <w:rFonts w:ascii="宋体" w:hAnsi="宋体" w:cs="宋体" w:eastAsia="宋体" w:hint="default"/>
                <w:b/>
                <w:bCs/>
                <w:sz w:val="18"/>
                <w:szCs w:val="18"/>
              </w:rPr>
              <w:t>专</w:t>
            </w:r>
            <w:r>
              <w:rPr>
                <w:rFonts w:ascii="宋体" w:hAnsi="宋体" w:cs="宋体" w:eastAsia="宋体" w:hint="default"/>
                <w:sz w:val="18"/>
                <w:szCs w:val="18"/>
              </w:rPr>
            </w:r>
          </w:p>
          <w:p>
            <w:pPr>
              <w:pStyle w:val="TableParagraph"/>
              <w:spacing w:line="237" w:lineRule="auto"/>
              <w:ind w:left="91" w:right="89"/>
              <w:jc w:val="both"/>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6"/>
              <w:ind w:left="52" w:right="50"/>
              <w:jc w:val="both"/>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b/>
                <w:bCs/>
                <w:spacing w:val="-89"/>
                <w:sz w:val="18"/>
                <w:szCs w:val="18"/>
              </w:rPr>
              <w:t> </w:t>
            </w:r>
            <w:r>
              <w:rPr>
                <w:rFonts w:ascii="宋体" w:hAnsi="宋体" w:cs="宋体" w:eastAsia="宋体" w:hint="default"/>
                <w:b/>
                <w:bCs/>
                <w:sz w:val="18"/>
                <w:szCs w:val="18"/>
              </w:rPr>
              <w:t>风险</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2" w:lineRule="exact"/>
              <w:ind w:left="264" w:right="82" w:hanging="180"/>
              <w:jc w:val="left"/>
              <w:rPr>
                <w:rFonts w:ascii="宋体" w:hAnsi="宋体" w:cs="宋体" w:eastAsia="宋体" w:hint="default"/>
                <w:sz w:val="18"/>
                <w:szCs w:val="18"/>
              </w:rPr>
            </w:pPr>
            <w:r>
              <w:rPr>
                <w:rFonts w:ascii="宋体" w:hAnsi="宋体" w:cs="宋体" w:eastAsia="宋体" w:hint="default"/>
                <w:b/>
                <w:bCs/>
                <w:sz w:val="18"/>
                <w:szCs w:val="18"/>
              </w:rPr>
              <w:t>外币报表折</w:t>
            </w:r>
            <w:r>
              <w:rPr>
                <w:rFonts w:ascii="宋体" w:hAnsi="宋体" w:cs="宋体" w:eastAsia="宋体" w:hint="default"/>
                <w:b/>
                <w:bCs/>
                <w:w w:val="99"/>
                <w:sz w:val="18"/>
                <w:szCs w:val="18"/>
              </w:rPr>
              <w:t> </w:t>
            </w:r>
            <w:r>
              <w:rPr>
                <w:rFonts w:ascii="宋体" w:hAnsi="宋体" w:cs="宋体" w:eastAsia="宋体" w:hint="default"/>
                <w:b/>
                <w:bCs/>
                <w:sz w:val="18"/>
                <w:szCs w:val="18"/>
              </w:rPr>
              <w:t>算差额</w:t>
            </w:r>
            <w:r>
              <w:rPr>
                <w:rFonts w:ascii="宋体" w:hAnsi="宋体" w:cs="宋体" w:eastAsia="宋体" w:hint="default"/>
                <w:sz w:val="18"/>
                <w:szCs w:val="18"/>
              </w:rPr>
            </w:r>
          </w:p>
        </w:tc>
        <w:tc>
          <w:tcPr>
            <w:tcW w:w="480"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
              <w:jc w:val="right"/>
              <w:rPr>
                <w:rFonts w:ascii="Arial Narrow" w:hAnsi="Arial Narrow" w:cs="Arial Narrow" w:eastAsia="Arial Narrow" w:hint="default"/>
                <w:sz w:val="18"/>
                <w:szCs w:val="18"/>
              </w:rPr>
            </w:pPr>
            <w:r>
              <w:rPr>
                <w:rFonts w:ascii="Arial Narrow"/>
                <w:spacing w:val="-1"/>
                <w:sz w:val="18"/>
              </w:rPr>
              <w:t>46,000,000.00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Arial Narrow" w:hAnsi="Arial Narrow" w:cs="Arial Narrow" w:eastAsia="Arial Narrow" w:hint="default"/>
                <w:sz w:val="18"/>
                <w:szCs w:val="18"/>
              </w:rPr>
            </w:pPr>
            <w:r>
              <w:rPr>
                <w:rFonts w:ascii="Arial Narrow"/>
                <w:spacing w:val="-1"/>
                <w:sz w:val="18"/>
              </w:rPr>
              <w:t>71,300.00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7" w:right="0"/>
              <w:jc w:val="center"/>
              <w:rPr>
                <w:rFonts w:ascii="Arial Narrow" w:hAnsi="Arial Narrow" w:cs="Arial Narrow" w:eastAsia="Arial Narrow" w:hint="default"/>
                <w:sz w:val="18"/>
                <w:szCs w:val="18"/>
              </w:rPr>
            </w:pPr>
            <w:r>
              <w:rPr>
                <w:rFonts w:ascii="Arial Narrow"/>
                <w:sz w:val="18"/>
              </w:rPr>
              <w:t>14,845,189.22</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Arial Narrow" w:hAnsi="Arial Narrow" w:cs="Arial Narrow" w:eastAsia="Arial Narrow" w:hint="default"/>
                <w:sz w:val="18"/>
                <w:szCs w:val="18"/>
              </w:rPr>
            </w:pPr>
            <w:r>
              <w:rPr>
                <w:rFonts w:ascii="Arial Narrow"/>
                <w:spacing w:val="-1"/>
                <w:sz w:val="18"/>
              </w:rPr>
              <w:t>98,560,584.41</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5"/>
              <w:ind w:right="2"/>
              <w:jc w:val="right"/>
              <w:rPr>
                <w:rFonts w:ascii="Arial Narrow" w:hAnsi="Arial Narrow" w:cs="Arial Narrow" w:eastAsia="Arial Narrow" w:hint="default"/>
                <w:sz w:val="18"/>
                <w:szCs w:val="18"/>
              </w:rPr>
            </w:pPr>
            <w:r>
              <w:rPr>
                <w:rFonts w:ascii="Arial Narrow"/>
                <w:spacing w:val="-1"/>
                <w:sz w:val="18"/>
              </w:rPr>
              <w:t>159,477,073.63</w:t>
            </w: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1"/>
              <w:ind w:left="3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1"/>
              <w:ind w:left="3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5"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
              <w:jc w:val="right"/>
              <w:rPr>
                <w:rFonts w:ascii="Arial Narrow" w:hAnsi="Arial Narrow" w:cs="Arial Narrow" w:eastAsia="Arial Narrow" w:hint="default"/>
                <w:sz w:val="18"/>
                <w:szCs w:val="18"/>
              </w:rPr>
            </w:pPr>
            <w:r>
              <w:rPr>
                <w:rFonts w:ascii="Arial Narrow"/>
                <w:spacing w:val="-1"/>
                <w:sz w:val="18"/>
              </w:rPr>
              <w:t>46,000,000.00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
              <w:jc w:val="right"/>
              <w:rPr>
                <w:rFonts w:ascii="Arial Narrow" w:hAnsi="Arial Narrow" w:cs="Arial Narrow" w:eastAsia="Arial Narrow" w:hint="default"/>
                <w:sz w:val="18"/>
                <w:szCs w:val="18"/>
              </w:rPr>
            </w:pPr>
            <w:r>
              <w:rPr>
                <w:rFonts w:ascii="Arial Narrow"/>
                <w:spacing w:val="-1"/>
                <w:sz w:val="18"/>
              </w:rPr>
              <w:t>71,300.00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7" w:right="0"/>
              <w:jc w:val="center"/>
              <w:rPr>
                <w:rFonts w:ascii="Arial Narrow" w:hAnsi="Arial Narrow" w:cs="Arial Narrow" w:eastAsia="Arial Narrow" w:hint="default"/>
                <w:sz w:val="18"/>
                <w:szCs w:val="18"/>
              </w:rPr>
            </w:pPr>
            <w:r>
              <w:rPr>
                <w:rFonts w:ascii="Arial Narrow"/>
                <w:sz w:val="18"/>
              </w:rPr>
              <w:t>14,845,189.22</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
              <w:jc w:val="right"/>
              <w:rPr>
                <w:rFonts w:ascii="Arial Narrow" w:hAnsi="Arial Narrow" w:cs="Arial Narrow" w:eastAsia="Arial Narrow" w:hint="default"/>
                <w:sz w:val="18"/>
                <w:szCs w:val="18"/>
              </w:rPr>
            </w:pPr>
            <w:r>
              <w:rPr>
                <w:rFonts w:ascii="Arial Narrow"/>
                <w:spacing w:val="-1"/>
                <w:sz w:val="18"/>
              </w:rPr>
              <w:t>98,560,584.41</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6"/>
              <w:ind w:right="2"/>
              <w:jc w:val="right"/>
              <w:rPr>
                <w:rFonts w:ascii="Arial Narrow" w:hAnsi="Arial Narrow" w:cs="Arial Narrow" w:eastAsia="Arial Narrow" w:hint="default"/>
                <w:sz w:val="18"/>
                <w:szCs w:val="18"/>
              </w:rPr>
            </w:pPr>
            <w:r>
              <w:rPr>
                <w:rFonts w:ascii="Arial Narrow"/>
                <w:spacing w:val="-1"/>
                <w:sz w:val="18"/>
              </w:rPr>
              <w:t>159,477,073.63</w:t>
            </w: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1"/>
              <w:ind w:right="9"/>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
              <w:jc w:val="right"/>
              <w:rPr>
                <w:rFonts w:ascii="Arial Narrow" w:hAnsi="Arial Narrow" w:cs="Arial Narrow" w:eastAsia="Arial Narrow" w:hint="default"/>
                <w:sz w:val="18"/>
                <w:szCs w:val="18"/>
              </w:rPr>
            </w:pPr>
            <w:r>
              <w:rPr>
                <w:rFonts w:ascii="Arial Narrow"/>
                <w:spacing w:val="-1"/>
                <w:sz w:val="18"/>
              </w:rPr>
              <w:t>15,500,000.00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
              <w:jc w:val="right"/>
              <w:rPr>
                <w:rFonts w:ascii="Arial Narrow" w:hAnsi="Arial Narrow" w:cs="Arial Narrow" w:eastAsia="Arial Narrow" w:hint="default"/>
                <w:sz w:val="18"/>
                <w:szCs w:val="18"/>
              </w:rPr>
            </w:pPr>
            <w:r>
              <w:rPr>
                <w:rFonts w:ascii="Arial Narrow"/>
                <w:spacing w:val="-1"/>
                <w:sz w:val="18"/>
              </w:rPr>
              <w:t>354,535,940.00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0" w:right="0"/>
              <w:jc w:val="center"/>
              <w:rPr>
                <w:rFonts w:ascii="Arial Narrow" w:hAnsi="Arial Narrow" w:cs="Arial Narrow" w:eastAsia="Arial Narrow" w:hint="default"/>
                <w:sz w:val="18"/>
                <w:szCs w:val="18"/>
              </w:rPr>
            </w:pPr>
            <w:r>
              <w:rPr>
                <w:rFonts w:ascii="Arial Narrow"/>
                <w:sz w:val="18"/>
              </w:rPr>
              <w:t>3,221,651.09</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
              <w:jc w:val="right"/>
              <w:rPr>
                <w:rFonts w:ascii="Arial Narrow" w:hAnsi="Arial Narrow" w:cs="Arial Narrow" w:eastAsia="Arial Narrow" w:hint="default"/>
                <w:sz w:val="18"/>
                <w:szCs w:val="18"/>
              </w:rPr>
            </w:pPr>
            <w:r>
              <w:rPr>
                <w:rFonts w:ascii="Arial Narrow"/>
                <w:spacing w:val="-1"/>
                <w:sz w:val="18"/>
              </w:rPr>
              <w:t>51,158,796.37</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5"/>
              <w:ind w:right="2"/>
              <w:jc w:val="right"/>
              <w:rPr>
                <w:rFonts w:ascii="Arial Narrow" w:hAnsi="Arial Narrow" w:cs="Arial Narrow" w:eastAsia="Arial Narrow" w:hint="default"/>
                <w:sz w:val="18"/>
                <w:szCs w:val="18"/>
              </w:rPr>
            </w:pPr>
            <w:r>
              <w:rPr>
                <w:rFonts w:ascii="Arial Narrow"/>
                <w:spacing w:val="-1"/>
                <w:sz w:val="18"/>
              </w:rPr>
              <w:t>424,416,387.46</w:t>
            </w: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Arial Narrow" w:hAnsi="Arial Narrow" w:cs="Arial Narrow" w:eastAsia="Arial Narrow" w:hint="default"/>
                <w:sz w:val="18"/>
                <w:szCs w:val="18"/>
              </w:rPr>
            </w:pPr>
            <w:r>
              <w:rPr>
                <w:rFonts w:ascii="Arial Narrow"/>
                <w:spacing w:val="-1"/>
                <w:sz w:val="18"/>
              </w:rPr>
              <w:t>54,380,447.46</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right="2"/>
              <w:jc w:val="right"/>
              <w:rPr>
                <w:rFonts w:ascii="Arial Narrow" w:hAnsi="Arial Narrow" w:cs="Arial Narrow" w:eastAsia="Arial Narrow" w:hint="default"/>
                <w:sz w:val="18"/>
                <w:szCs w:val="18"/>
              </w:rPr>
            </w:pPr>
            <w:r>
              <w:rPr>
                <w:rFonts w:ascii="Arial Narrow"/>
                <w:spacing w:val="-1"/>
                <w:sz w:val="18"/>
              </w:rPr>
              <w:t>54,380,447.46</w:t>
            </w: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
              <w:jc w:val="right"/>
              <w:rPr>
                <w:rFonts w:ascii="Arial Narrow" w:hAnsi="Arial Narrow" w:cs="Arial Narrow" w:eastAsia="Arial Narrow" w:hint="default"/>
                <w:sz w:val="18"/>
                <w:szCs w:val="18"/>
              </w:rPr>
            </w:pPr>
            <w:r>
              <w:rPr>
                <w:rFonts w:ascii="Arial Narrow"/>
                <w:spacing w:val="-1"/>
                <w:sz w:val="18"/>
              </w:rPr>
              <w:t>54,380,447.46</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2"/>
              <w:jc w:val="right"/>
              <w:rPr>
                <w:rFonts w:ascii="Arial Narrow" w:hAnsi="Arial Narrow" w:cs="Arial Narrow" w:eastAsia="Arial Narrow" w:hint="default"/>
                <w:sz w:val="18"/>
                <w:szCs w:val="18"/>
              </w:rPr>
            </w:pPr>
            <w:r>
              <w:rPr>
                <w:rFonts w:ascii="Arial Narrow"/>
                <w:spacing w:val="-1"/>
                <w:sz w:val="18"/>
              </w:rPr>
              <w:t>54,380,447.46</w:t>
            </w: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
              <w:jc w:val="right"/>
              <w:rPr>
                <w:rFonts w:ascii="Arial Narrow" w:hAnsi="Arial Narrow" w:cs="Arial Narrow" w:eastAsia="Arial Narrow" w:hint="default"/>
                <w:sz w:val="18"/>
                <w:szCs w:val="18"/>
              </w:rPr>
            </w:pPr>
            <w:r>
              <w:rPr>
                <w:rFonts w:ascii="Arial Narrow"/>
                <w:spacing w:val="-1"/>
                <w:sz w:val="18"/>
              </w:rPr>
              <w:t>15,500,000.00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
              <w:jc w:val="right"/>
              <w:rPr>
                <w:rFonts w:ascii="Arial Narrow" w:hAnsi="Arial Narrow" w:cs="Arial Narrow" w:eastAsia="Arial Narrow" w:hint="default"/>
                <w:sz w:val="18"/>
                <w:szCs w:val="18"/>
              </w:rPr>
            </w:pPr>
            <w:r>
              <w:rPr>
                <w:rFonts w:ascii="Arial Narrow"/>
                <w:spacing w:val="-1"/>
                <w:sz w:val="18"/>
              </w:rPr>
              <w:t>354,535,940.00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2"/>
              <w:jc w:val="right"/>
              <w:rPr>
                <w:rFonts w:ascii="Arial Narrow" w:hAnsi="Arial Narrow" w:cs="Arial Narrow" w:eastAsia="Arial Narrow" w:hint="default"/>
                <w:sz w:val="18"/>
                <w:szCs w:val="18"/>
              </w:rPr>
            </w:pPr>
            <w:r>
              <w:rPr>
                <w:rFonts w:ascii="Arial Narrow"/>
                <w:spacing w:val="-1"/>
                <w:sz w:val="18"/>
              </w:rPr>
              <w:t>370,035,940.00</w:t>
            </w: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
              <w:jc w:val="right"/>
              <w:rPr>
                <w:rFonts w:ascii="Arial Narrow" w:hAnsi="Arial Narrow" w:cs="Arial Narrow" w:eastAsia="Arial Narrow" w:hint="default"/>
                <w:sz w:val="18"/>
                <w:szCs w:val="18"/>
              </w:rPr>
            </w:pPr>
            <w:r>
              <w:rPr>
                <w:rFonts w:ascii="Arial Narrow"/>
                <w:spacing w:val="-1"/>
                <w:sz w:val="18"/>
              </w:rPr>
              <w:t>15,500,000.00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
              <w:jc w:val="right"/>
              <w:rPr>
                <w:rFonts w:ascii="Arial Narrow" w:hAnsi="Arial Narrow" w:cs="Arial Narrow" w:eastAsia="Arial Narrow" w:hint="default"/>
                <w:sz w:val="18"/>
                <w:szCs w:val="18"/>
              </w:rPr>
            </w:pPr>
            <w:r>
              <w:rPr>
                <w:rFonts w:ascii="Arial Narrow"/>
                <w:spacing w:val="-1"/>
                <w:sz w:val="18"/>
              </w:rPr>
              <w:t>354,535,940.00</w:t>
            </w: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2"/>
              <w:jc w:val="right"/>
              <w:rPr>
                <w:rFonts w:ascii="Arial Narrow" w:hAnsi="Arial Narrow" w:cs="Arial Narrow" w:eastAsia="Arial Narrow" w:hint="default"/>
                <w:sz w:val="18"/>
                <w:szCs w:val="18"/>
              </w:rPr>
            </w:pPr>
            <w:r>
              <w:rPr>
                <w:rFonts w:ascii="Arial Narrow"/>
                <w:spacing w:val="-1"/>
                <w:sz w:val="18"/>
              </w:rPr>
              <w:t>370,035,940.00</w:t>
            </w: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1"/>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．股份支付计入所有者权益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的金额</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40" w:right="0"/>
              <w:jc w:val="center"/>
              <w:rPr>
                <w:rFonts w:ascii="Arial Narrow" w:hAnsi="Arial Narrow" w:cs="Arial Narrow" w:eastAsia="Arial Narrow" w:hint="default"/>
                <w:sz w:val="18"/>
                <w:szCs w:val="18"/>
              </w:rPr>
            </w:pPr>
            <w:r>
              <w:rPr>
                <w:rFonts w:ascii="Arial Narrow"/>
                <w:sz w:val="18"/>
              </w:rPr>
              <w:t>3,221,651.09</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
              <w:jc w:val="right"/>
              <w:rPr>
                <w:rFonts w:ascii="Arial Narrow" w:hAnsi="Arial Narrow" w:cs="Arial Narrow" w:eastAsia="Arial Narrow" w:hint="default"/>
                <w:sz w:val="18"/>
                <w:szCs w:val="18"/>
              </w:rPr>
            </w:pPr>
            <w:r>
              <w:rPr>
                <w:rFonts w:ascii="Arial Narrow"/>
                <w:spacing w:val="-1"/>
                <w:sz w:val="18"/>
              </w:rPr>
              <w:t>-3,221,651.09</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0" w:right="0"/>
              <w:jc w:val="center"/>
              <w:rPr>
                <w:rFonts w:ascii="Arial Narrow" w:hAnsi="Arial Narrow" w:cs="Arial Narrow" w:eastAsia="Arial Narrow" w:hint="default"/>
                <w:sz w:val="18"/>
                <w:szCs w:val="18"/>
              </w:rPr>
            </w:pPr>
            <w:r>
              <w:rPr>
                <w:rFonts w:ascii="Arial Narrow"/>
                <w:sz w:val="18"/>
              </w:rPr>
              <w:t>3,221,651.09</w:t>
            </w: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Arial Narrow" w:hAnsi="Arial Narrow" w:cs="Arial Narrow" w:eastAsia="Arial Narrow" w:hint="default"/>
                <w:sz w:val="18"/>
                <w:szCs w:val="18"/>
              </w:rPr>
            </w:pPr>
            <w:r>
              <w:rPr>
                <w:rFonts w:ascii="Arial Narrow"/>
                <w:spacing w:val="-1"/>
                <w:sz w:val="18"/>
              </w:rPr>
              <w:t>-3,221,651.09</w:t>
            </w: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5"/>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．对所有者（或股东）的分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配</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1"/>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92"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1"/>
              <w:ind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77"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4"/>
              <w:ind w:left="9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23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8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35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0"/>
              <w:jc w:val="right"/>
              <w:rPr>
                <w:rFonts w:ascii="Arial Narrow" w:hAnsi="Arial Narrow" w:cs="Arial Narrow" w:eastAsia="Arial Narrow" w:hint="default"/>
                <w:sz w:val="18"/>
                <w:szCs w:val="18"/>
              </w:rPr>
            </w:pPr>
            <w:r>
              <w:rPr>
                <w:rFonts w:ascii="Arial Narrow"/>
                <w:spacing w:val="-1"/>
                <w:sz w:val="18"/>
              </w:rPr>
              <w:t>61,500,000.00</w:t>
            </w:r>
          </w:p>
        </w:tc>
        <w:tc>
          <w:tcPr>
            <w:tcW w:w="11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9"/>
              <w:jc w:val="right"/>
              <w:rPr>
                <w:rFonts w:ascii="Arial Narrow" w:hAnsi="Arial Narrow" w:cs="Arial Narrow" w:eastAsia="Arial Narrow" w:hint="default"/>
                <w:sz w:val="18"/>
                <w:szCs w:val="18"/>
              </w:rPr>
            </w:pPr>
            <w:r>
              <w:rPr>
                <w:rFonts w:ascii="Arial Narrow"/>
                <w:spacing w:val="-1"/>
                <w:sz w:val="18"/>
              </w:rPr>
              <w:t>354,607,240.00</w:t>
            </w:r>
          </w:p>
        </w:tc>
        <w:tc>
          <w:tcPr>
            <w:tcW w:w="329" w:type="dxa"/>
            <w:tcBorders>
              <w:top w:val="single" w:sz="4" w:space="0" w:color="000000"/>
              <w:left w:val="single" w:sz="4" w:space="0" w:color="000000"/>
              <w:bottom w:val="single" w:sz="12" w:space="0" w:color="000000"/>
              <w:right w:val="single" w:sz="4" w:space="0" w:color="000000"/>
            </w:tcBorders>
          </w:tcPr>
          <w:p>
            <w:pPr/>
          </w:p>
        </w:tc>
        <w:tc>
          <w:tcPr>
            <w:tcW w:w="372" w:type="dxa"/>
            <w:tcBorders>
              <w:top w:val="single" w:sz="4" w:space="0" w:color="000000"/>
              <w:left w:val="single" w:sz="4" w:space="0" w:color="000000"/>
              <w:bottom w:val="single" w:sz="12" w:space="0" w:color="000000"/>
              <w:right w:val="single" w:sz="4" w:space="0" w:color="000000"/>
            </w:tcBorders>
          </w:tcPr>
          <w:p>
            <w:pPr/>
          </w:p>
        </w:tc>
        <w:tc>
          <w:tcPr>
            <w:tcW w:w="1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left="57" w:right="0"/>
              <w:jc w:val="center"/>
              <w:rPr>
                <w:rFonts w:ascii="Arial Narrow" w:hAnsi="Arial Narrow" w:cs="Arial Narrow" w:eastAsia="Arial Narrow" w:hint="default"/>
                <w:sz w:val="18"/>
                <w:szCs w:val="18"/>
              </w:rPr>
            </w:pPr>
            <w:r>
              <w:rPr>
                <w:rFonts w:ascii="Arial Narrow"/>
                <w:sz w:val="18"/>
              </w:rPr>
              <w:t>18,066,840.31</w:t>
            </w:r>
          </w:p>
        </w:tc>
        <w:tc>
          <w:tcPr>
            <w:tcW w:w="480"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9"/>
              <w:jc w:val="right"/>
              <w:rPr>
                <w:rFonts w:ascii="Arial Narrow" w:hAnsi="Arial Narrow" w:cs="Arial Narrow" w:eastAsia="Arial Narrow" w:hint="default"/>
                <w:sz w:val="18"/>
                <w:szCs w:val="18"/>
              </w:rPr>
            </w:pPr>
            <w:r>
              <w:rPr>
                <w:rFonts w:ascii="Arial Narrow"/>
                <w:spacing w:val="-1"/>
                <w:sz w:val="18"/>
              </w:rPr>
              <w:t>149,719,380.78</w:t>
            </w:r>
          </w:p>
        </w:tc>
        <w:tc>
          <w:tcPr>
            <w:tcW w:w="1081" w:type="dxa"/>
            <w:tcBorders>
              <w:top w:val="single" w:sz="4" w:space="0" w:color="000000"/>
              <w:left w:val="single" w:sz="4" w:space="0" w:color="000000"/>
              <w:bottom w:val="single" w:sz="12" w:space="0" w:color="000000"/>
              <w:right w:val="single" w:sz="4" w:space="0" w:color="000000"/>
            </w:tcBorders>
          </w:tcPr>
          <w:p>
            <w:pPr/>
          </w:p>
        </w:tc>
        <w:tc>
          <w:tcPr>
            <w:tcW w:w="480" w:type="dxa"/>
            <w:tcBorders>
              <w:top w:val="single" w:sz="4" w:space="0" w:color="000000"/>
              <w:left w:val="single" w:sz="4" w:space="0" w:color="000000"/>
              <w:bottom w:val="single" w:sz="12" w:space="0" w:color="000000"/>
              <w:right w:val="single" w:sz="4" w:space="0" w:color="000000"/>
            </w:tcBorders>
          </w:tcPr>
          <w:p>
            <w:pPr/>
          </w:p>
        </w:tc>
        <w:tc>
          <w:tcPr>
            <w:tcW w:w="11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5"/>
              <w:ind w:right="2"/>
              <w:jc w:val="right"/>
              <w:rPr>
                <w:rFonts w:ascii="Arial Narrow" w:hAnsi="Arial Narrow" w:cs="Arial Narrow" w:eastAsia="Arial Narrow" w:hint="default"/>
                <w:sz w:val="18"/>
                <w:szCs w:val="18"/>
              </w:rPr>
            </w:pPr>
            <w:r>
              <w:rPr>
                <w:rFonts w:ascii="Arial Narrow"/>
                <w:spacing w:val="-1"/>
                <w:sz w:val="18"/>
              </w:rPr>
              <w:t>583,893,461.09</w:t>
            </w:r>
          </w:p>
        </w:tc>
      </w:tr>
    </w:tbl>
    <w:p>
      <w:pPr>
        <w:spacing w:after="0" w:line="240" w:lineRule="auto"/>
        <w:jc w:val="right"/>
        <w:rPr>
          <w:rFonts w:ascii="Arial Narrow" w:hAnsi="Arial Narrow" w:cs="Arial Narrow" w:eastAsia="Arial Narrow" w:hint="default"/>
          <w:sz w:val="18"/>
          <w:szCs w:val="18"/>
        </w:rPr>
        <w:sectPr>
          <w:pgSz w:w="11910" w:h="16840"/>
          <w:pgMar w:header="852" w:footer="1551" w:top="1200" w:bottom="1740" w:left="820" w:right="220"/>
        </w:sectPr>
      </w:pPr>
    </w:p>
    <w:p>
      <w:pPr>
        <w:spacing w:line="240" w:lineRule="auto" w:before="11"/>
        <w:rPr>
          <w:rFonts w:ascii="宋体" w:hAnsi="宋体" w:cs="宋体" w:eastAsia="宋体" w:hint="default"/>
          <w:b/>
          <w:bCs/>
          <w:sz w:val="18"/>
          <w:szCs w:val="18"/>
        </w:rPr>
      </w:pPr>
    </w:p>
    <w:p>
      <w:pPr>
        <w:spacing w:line="20" w:lineRule="exact"/>
        <w:ind w:left="1038" w:right="0" w:firstLine="0"/>
        <w:rPr>
          <w:rFonts w:ascii="宋体" w:hAnsi="宋体" w:cs="宋体" w:eastAsia="宋体" w:hint="default"/>
          <w:sz w:val="2"/>
          <w:szCs w:val="2"/>
        </w:rPr>
      </w:pPr>
      <w:r>
        <w:rPr>
          <w:rFonts w:ascii="宋体" w:hAnsi="宋体" w:cs="宋体" w:eastAsia="宋体" w:hint="default"/>
          <w:sz w:val="2"/>
          <w:szCs w:val="2"/>
        </w:rPr>
        <w:pict>
          <v:group style="width:445.9pt;height:.75pt;mso-position-horizontal-relative:char;mso-position-vertical-relative:line" coordorigin="0,0" coordsize="8918,15">
            <v:group style="position:absolute;left:7;top:7;width:8903;height:2" coordorigin="7,7" coordsize="8903,2">
              <v:shape style="position:absolute;left:7;top:7;width:8903;height:2" coordorigin="7,7" coordsize="8903,0" path="m7,7l8910,7e" filled="false" stroked="true" strokeweight=".71999pt" strokecolor="#000000">
                <v:path arrowok="t"/>
              </v:shape>
            </v:group>
          </v:group>
        </w:pict>
      </w:r>
      <w:r>
        <w:rPr>
          <w:rFonts w:ascii="宋体" w:hAnsi="宋体" w:cs="宋体" w:eastAsia="宋体" w:hint="default"/>
          <w:sz w:val="2"/>
          <w:szCs w:val="2"/>
        </w:rPr>
      </w:r>
    </w:p>
    <w:p>
      <w:pPr>
        <w:pStyle w:val="Heading4"/>
        <w:spacing w:line="240" w:lineRule="auto"/>
        <w:ind w:left="4155" w:right="3730"/>
        <w:jc w:val="center"/>
      </w:pPr>
      <w:r>
        <w:rPr/>
        <w:t>母公司所有者权益变动表</w:t>
      </w:r>
    </w:p>
    <w:p>
      <w:pPr>
        <w:tabs>
          <w:tab w:pos="7764" w:val="left" w:leader="none"/>
        </w:tabs>
        <w:spacing w:before="107"/>
        <w:ind w:left="1074"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人民币元</w:t>
      </w:r>
      <w:r>
        <w:rPr>
          <w:rFonts w:ascii="宋体" w:hAnsi="宋体" w:cs="宋体" w:eastAsia="宋体" w:hint="default"/>
          <w:sz w:val="18"/>
          <w:szCs w:val="18"/>
        </w:rPr>
      </w:r>
    </w:p>
    <w:p>
      <w:pPr>
        <w:spacing w:line="240" w:lineRule="auto" w:before="0"/>
        <w:rPr>
          <w:rFonts w:ascii="宋体" w:hAnsi="宋体" w:cs="宋体" w:eastAsia="宋体" w:hint="default"/>
          <w:b/>
          <w:bCs/>
          <w:sz w:val="17"/>
          <w:szCs w:val="17"/>
        </w:rPr>
      </w:pPr>
    </w:p>
    <w:tbl>
      <w:tblPr>
        <w:tblW w:w="0" w:type="auto"/>
        <w:jc w:val="left"/>
        <w:tblInd w:w="114" w:type="dxa"/>
        <w:tblLayout w:type="fixed"/>
        <w:tblCellMar>
          <w:top w:w="0" w:type="dxa"/>
          <w:left w:w="0" w:type="dxa"/>
          <w:bottom w:w="0" w:type="dxa"/>
          <w:right w:w="0" w:type="dxa"/>
        </w:tblCellMar>
        <w:tblLook w:val="01E0"/>
      </w:tblPr>
      <w:tblGrid>
        <w:gridCol w:w="2859"/>
        <w:gridCol w:w="1107"/>
        <w:gridCol w:w="1234"/>
        <w:gridCol w:w="351"/>
        <w:gridCol w:w="348"/>
        <w:gridCol w:w="1003"/>
        <w:gridCol w:w="552"/>
        <w:gridCol w:w="1109"/>
        <w:gridCol w:w="521"/>
        <w:gridCol w:w="1219"/>
      </w:tblGrid>
      <w:tr>
        <w:trPr>
          <w:trHeight w:val="415" w:hRule="exact"/>
        </w:trPr>
        <w:tc>
          <w:tcPr>
            <w:tcW w:w="2859"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17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444" w:type="dxa"/>
            <w:gridSpan w:val="9"/>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8"/>
              <w:ind w:right="15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958" w:hRule="exact"/>
        </w:trPr>
        <w:tc>
          <w:tcPr>
            <w:tcW w:w="2859" w:type="dxa"/>
            <w:vMerge/>
            <w:tcBorders>
              <w:left w:val="single" w:sz="12"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35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both"/>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32" w:lineRule="exact" w:before="24"/>
              <w:ind w:left="79" w:right="81"/>
              <w:jc w:val="both"/>
              <w:rPr>
                <w:rFonts w:ascii="宋体" w:hAnsi="宋体" w:cs="宋体" w:eastAsia="宋体" w:hint="default"/>
                <w:sz w:val="18"/>
                <w:szCs w:val="18"/>
              </w:rPr>
            </w:pP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9" w:right="0"/>
              <w:jc w:val="both"/>
              <w:rPr>
                <w:rFonts w:ascii="宋体" w:hAnsi="宋体" w:cs="宋体" w:eastAsia="宋体" w:hint="default"/>
                <w:sz w:val="18"/>
                <w:szCs w:val="18"/>
              </w:rPr>
            </w:pPr>
            <w:r>
              <w:rPr>
                <w:rFonts w:ascii="宋体" w:hAnsi="宋体" w:cs="宋体" w:eastAsia="宋体" w:hint="default"/>
                <w:b/>
                <w:bCs/>
                <w:w w:val="99"/>
                <w:sz w:val="18"/>
                <w:szCs w:val="18"/>
              </w:rPr>
              <w:t>专</w:t>
            </w:r>
            <w:r>
              <w:rPr>
                <w:rFonts w:ascii="宋体" w:hAnsi="宋体" w:cs="宋体" w:eastAsia="宋体" w:hint="default"/>
                <w:sz w:val="18"/>
                <w:szCs w:val="18"/>
              </w:rPr>
            </w:r>
          </w:p>
          <w:p>
            <w:pPr>
              <w:pStyle w:val="TableParagraph"/>
              <w:spacing w:line="232" w:lineRule="exact" w:before="24"/>
              <w:ind w:left="79" w:right="77"/>
              <w:jc w:val="both"/>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6"/>
              <w:ind w:left="88" w:right="86"/>
              <w:jc w:val="both"/>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b/>
                <w:bCs/>
                <w:spacing w:val="-89"/>
                <w:sz w:val="18"/>
                <w:szCs w:val="18"/>
              </w:rPr>
              <w:t> </w:t>
            </w:r>
            <w:r>
              <w:rPr>
                <w:rFonts w:ascii="宋体" w:hAnsi="宋体" w:cs="宋体" w:eastAsia="宋体" w:hint="default"/>
                <w:b/>
                <w:bCs/>
                <w:sz w:val="18"/>
                <w:szCs w:val="18"/>
              </w:rPr>
              <w:t>风险</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32" w:lineRule="exact"/>
              <w:ind w:left="515" w:right="51" w:hanging="454"/>
              <w:jc w:val="left"/>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3" w:right="0"/>
              <w:jc w:val="center"/>
              <w:rPr>
                <w:rFonts w:ascii="Arial Narrow" w:hAnsi="Arial Narrow" w:cs="Arial Narrow" w:eastAsia="Arial Narrow" w:hint="default"/>
                <w:sz w:val="18"/>
                <w:szCs w:val="18"/>
              </w:rPr>
            </w:pPr>
            <w:r>
              <w:rPr>
                <w:rFonts w:ascii="Arial Narrow"/>
                <w:sz w:val="18"/>
              </w:rPr>
              <w:t>61,500,000.00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7" w:right="0"/>
              <w:jc w:val="left"/>
              <w:rPr>
                <w:rFonts w:ascii="Arial Narrow" w:hAnsi="Arial Narrow" w:cs="Arial Narrow" w:eastAsia="Arial Narrow" w:hint="default"/>
                <w:sz w:val="18"/>
                <w:szCs w:val="18"/>
              </w:rPr>
            </w:pPr>
            <w:r>
              <w:rPr>
                <w:rFonts w:ascii="Arial Narrow"/>
                <w:sz w:val="18"/>
              </w:rPr>
              <w:t>354,607,240.00</w:t>
            </w: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 w:right="0"/>
              <w:jc w:val="center"/>
              <w:rPr>
                <w:rFonts w:ascii="Arial Narrow" w:hAnsi="Arial Narrow" w:cs="Arial Narrow" w:eastAsia="Arial Narrow" w:hint="default"/>
                <w:sz w:val="18"/>
                <w:szCs w:val="18"/>
              </w:rPr>
            </w:pPr>
            <w:r>
              <w:rPr>
                <w:rFonts w:ascii="Arial Narrow"/>
                <w:sz w:val="18"/>
              </w:rPr>
              <w:t>18,066,840.31</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right"/>
              <w:rPr>
                <w:rFonts w:ascii="Arial Narrow" w:hAnsi="Arial Narrow" w:cs="Arial Narrow" w:eastAsia="Arial Narrow" w:hint="default"/>
                <w:sz w:val="18"/>
                <w:szCs w:val="18"/>
              </w:rPr>
            </w:pPr>
            <w:r>
              <w:rPr>
                <w:rFonts w:ascii="Arial Narrow"/>
                <w:spacing w:val="-1"/>
                <w:sz w:val="18"/>
              </w:rPr>
              <w:t>98,062,962.27</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0"/>
              <w:jc w:val="right"/>
              <w:rPr>
                <w:rFonts w:ascii="Arial Narrow" w:hAnsi="Arial Narrow" w:cs="Arial Narrow" w:eastAsia="Arial Narrow" w:hint="default"/>
                <w:sz w:val="18"/>
                <w:szCs w:val="18"/>
              </w:rPr>
            </w:pPr>
            <w:r>
              <w:rPr>
                <w:rFonts w:ascii="Arial Narrow"/>
                <w:spacing w:val="-1"/>
                <w:sz w:val="18"/>
              </w:rPr>
              <w:t>532,237,042.58</w:t>
            </w: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3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3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3" w:right="0"/>
              <w:jc w:val="center"/>
              <w:rPr>
                <w:rFonts w:ascii="Arial Narrow" w:hAnsi="Arial Narrow" w:cs="Arial Narrow" w:eastAsia="Arial Narrow" w:hint="default"/>
                <w:sz w:val="18"/>
                <w:szCs w:val="18"/>
              </w:rPr>
            </w:pPr>
            <w:r>
              <w:rPr>
                <w:rFonts w:ascii="Arial Narrow"/>
                <w:sz w:val="18"/>
              </w:rPr>
              <w:t>61,500,000.00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87" w:right="0"/>
              <w:jc w:val="left"/>
              <w:rPr>
                <w:rFonts w:ascii="Arial Narrow" w:hAnsi="Arial Narrow" w:cs="Arial Narrow" w:eastAsia="Arial Narrow" w:hint="default"/>
                <w:sz w:val="18"/>
                <w:szCs w:val="18"/>
              </w:rPr>
            </w:pPr>
            <w:r>
              <w:rPr>
                <w:rFonts w:ascii="Arial Narrow"/>
                <w:sz w:val="18"/>
              </w:rPr>
              <w:t>354,607,240.00</w:t>
            </w: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9" w:right="0"/>
              <w:jc w:val="center"/>
              <w:rPr>
                <w:rFonts w:ascii="Arial Narrow" w:hAnsi="Arial Narrow" w:cs="Arial Narrow" w:eastAsia="Arial Narrow" w:hint="default"/>
                <w:sz w:val="18"/>
                <w:szCs w:val="18"/>
              </w:rPr>
            </w:pPr>
            <w:r>
              <w:rPr>
                <w:rFonts w:ascii="Arial Narrow"/>
                <w:sz w:val="18"/>
              </w:rPr>
              <w:t>18,066,840.31</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Arial Narrow" w:hAnsi="Arial Narrow" w:cs="Arial Narrow" w:eastAsia="Arial Narrow" w:hint="default"/>
                <w:sz w:val="18"/>
                <w:szCs w:val="18"/>
              </w:rPr>
            </w:pPr>
            <w:r>
              <w:rPr>
                <w:rFonts w:ascii="Arial Narrow"/>
                <w:spacing w:val="-1"/>
                <w:sz w:val="18"/>
              </w:rPr>
              <w:t>98,062,962.27</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0"/>
              <w:jc w:val="right"/>
              <w:rPr>
                <w:rFonts w:ascii="Arial Narrow" w:hAnsi="Arial Narrow" w:cs="Arial Narrow" w:eastAsia="Arial Narrow" w:hint="default"/>
                <w:sz w:val="18"/>
                <w:szCs w:val="18"/>
              </w:rPr>
            </w:pPr>
            <w:r>
              <w:rPr>
                <w:rFonts w:ascii="Arial Narrow"/>
                <w:spacing w:val="-1"/>
                <w:sz w:val="18"/>
              </w:rPr>
              <w:t>532,237,042.58</w:t>
            </w:r>
          </w:p>
        </w:tc>
      </w:tr>
      <w:tr>
        <w:trPr>
          <w:trHeight w:val="49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5"/>
              <w:ind w:right="9"/>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17"/>
                <w:sz w:val="18"/>
                <w:szCs w:val="18"/>
              </w:rPr>
              <w:t>、</w:t>
            </w:r>
            <w:r>
              <w:rPr>
                <w:rFonts w:ascii="宋体" w:hAnsi="宋体" w:cs="宋体" w:eastAsia="宋体" w:hint="default"/>
                <w:sz w:val="18"/>
                <w:szCs w:val="18"/>
              </w:rPr>
              <w:t>本期增减变动金</w:t>
            </w:r>
            <w:r>
              <w:rPr>
                <w:rFonts w:ascii="宋体" w:hAnsi="宋体" w:cs="宋体" w:eastAsia="宋体" w:hint="default"/>
                <w:spacing w:val="-17"/>
                <w:sz w:val="18"/>
                <w:szCs w:val="18"/>
              </w:rPr>
              <w:t>额</w:t>
            </w:r>
            <w:r>
              <w:rPr>
                <w:rFonts w:ascii="宋体" w:hAnsi="宋体" w:cs="宋体" w:eastAsia="宋体" w:hint="default"/>
                <w:sz w:val="18"/>
                <w:szCs w:val="18"/>
              </w:rPr>
              <w:t>（减</w:t>
            </w:r>
            <w:r>
              <w:rPr>
                <w:rFonts w:ascii="宋体" w:hAnsi="宋体" w:cs="宋体" w:eastAsia="宋体" w:hint="default"/>
                <w:spacing w:val="2"/>
                <w:sz w:val="18"/>
                <w:szCs w:val="18"/>
              </w:rPr>
              <w:t>少</w:t>
            </w:r>
            <w:r>
              <w:rPr>
                <w:rFonts w:ascii="宋体" w:hAnsi="宋体" w:cs="宋体" w:eastAsia="宋体" w:hint="default"/>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158"/>
                <w:sz w:val="18"/>
                <w:szCs w:val="18"/>
              </w:rPr>
              <w:t>‖ </w:t>
            </w:r>
            <w:r>
              <w:rPr>
                <w:rFonts w:ascii="宋体" w:hAnsi="宋体" w:cs="宋体" w:eastAsia="宋体" w:hint="default"/>
                <w:sz w:val="18"/>
                <w:szCs w:val="18"/>
              </w:rPr>
              <w:t>号填列）</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33" w:right="0"/>
              <w:jc w:val="center"/>
              <w:rPr>
                <w:rFonts w:ascii="Arial Narrow" w:hAnsi="Arial Narrow" w:cs="Arial Narrow" w:eastAsia="Arial Narrow" w:hint="default"/>
                <w:sz w:val="18"/>
                <w:szCs w:val="18"/>
              </w:rPr>
            </w:pPr>
            <w:r>
              <w:rPr>
                <w:rFonts w:ascii="Arial Narrow"/>
                <w:sz w:val="18"/>
              </w:rPr>
              <w:t>43,050,000.00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20" w:right="0"/>
              <w:jc w:val="left"/>
              <w:rPr>
                <w:rFonts w:ascii="Arial Narrow" w:hAnsi="Arial Narrow" w:cs="Arial Narrow" w:eastAsia="Arial Narrow" w:hint="default"/>
                <w:sz w:val="18"/>
                <w:szCs w:val="18"/>
              </w:rPr>
            </w:pPr>
            <w:r>
              <w:rPr>
                <w:rFonts w:ascii="Arial Narrow"/>
                <w:sz w:val="18"/>
              </w:rPr>
              <w:t>-43,050,000.00</w:t>
            </w: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1" w:right="0"/>
              <w:jc w:val="center"/>
              <w:rPr>
                <w:rFonts w:ascii="Arial Narrow" w:hAnsi="Arial Narrow" w:cs="Arial Narrow" w:eastAsia="Arial Narrow" w:hint="default"/>
                <w:sz w:val="18"/>
                <w:szCs w:val="18"/>
              </w:rPr>
            </w:pPr>
            <w:r>
              <w:rPr>
                <w:rFonts w:ascii="Arial Narrow"/>
                <w:sz w:val="18"/>
              </w:rPr>
              <w:t>4,522,165.88</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
              <w:jc w:val="right"/>
              <w:rPr>
                <w:rFonts w:ascii="Arial Narrow" w:hAnsi="Arial Narrow" w:cs="Arial Narrow" w:eastAsia="Arial Narrow" w:hint="default"/>
                <w:sz w:val="18"/>
                <w:szCs w:val="18"/>
              </w:rPr>
            </w:pPr>
            <w:r>
              <w:rPr>
                <w:rFonts w:ascii="Arial Narrow"/>
                <w:spacing w:val="-1"/>
                <w:sz w:val="18"/>
              </w:rPr>
              <w:t>-2,350,507.10</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5"/>
              <w:ind w:right="1"/>
              <w:jc w:val="right"/>
              <w:rPr>
                <w:rFonts w:ascii="Arial Narrow" w:hAnsi="Arial Narrow" w:cs="Arial Narrow" w:eastAsia="Arial Narrow" w:hint="default"/>
                <w:sz w:val="18"/>
                <w:szCs w:val="18"/>
              </w:rPr>
            </w:pPr>
            <w:r>
              <w:rPr>
                <w:rFonts w:ascii="Arial Narrow"/>
                <w:spacing w:val="-1"/>
                <w:sz w:val="18"/>
              </w:rPr>
              <w:t>2,171,658.78</w:t>
            </w: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right"/>
              <w:rPr>
                <w:rFonts w:ascii="Arial Narrow" w:hAnsi="Arial Narrow" w:cs="Arial Narrow" w:eastAsia="Arial Narrow" w:hint="default"/>
                <w:sz w:val="18"/>
                <w:szCs w:val="18"/>
              </w:rPr>
            </w:pPr>
            <w:r>
              <w:rPr>
                <w:rFonts w:ascii="Arial Narrow"/>
                <w:spacing w:val="-1"/>
                <w:sz w:val="18"/>
              </w:rPr>
              <w:t>45,221,658.78</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1"/>
              <w:jc w:val="right"/>
              <w:rPr>
                <w:rFonts w:ascii="Arial Narrow" w:hAnsi="Arial Narrow" w:cs="Arial Narrow" w:eastAsia="Arial Narrow" w:hint="default"/>
                <w:sz w:val="18"/>
                <w:szCs w:val="18"/>
              </w:rPr>
            </w:pPr>
            <w:r>
              <w:rPr>
                <w:rFonts w:ascii="Arial Narrow"/>
                <w:spacing w:val="-1"/>
                <w:sz w:val="18"/>
              </w:rPr>
              <w:t>45,221,658.78</w:t>
            </w:r>
          </w:p>
        </w:tc>
      </w:tr>
      <w:tr>
        <w:trPr>
          <w:trHeight w:val="40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Arial Narrow" w:hAnsi="Arial Narrow" w:cs="Arial Narrow" w:eastAsia="Arial Narrow" w:hint="default"/>
                <w:sz w:val="18"/>
                <w:szCs w:val="18"/>
              </w:rPr>
            </w:pPr>
            <w:r>
              <w:rPr>
                <w:rFonts w:ascii="Arial Narrow"/>
                <w:spacing w:val="-1"/>
                <w:sz w:val="18"/>
              </w:rPr>
              <w:t>45,221,658.78</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
              <w:jc w:val="right"/>
              <w:rPr>
                <w:rFonts w:ascii="Arial Narrow" w:hAnsi="Arial Narrow" w:cs="Arial Narrow" w:eastAsia="Arial Narrow" w:hint="default"/>
                <w:sz w:val="18"/>
                <w:szCs w:val="18"/>
              </w:rPr>
            </w:pPr>
            <w:r>
              <w:rPr>
                <w:rFonts w:ascii="Arial Narrow"/>
                <w:spacing w:val="-1"/>
                <w:sz w:val="18"/>
              </w:rPr>
              <w:t>45,221,658.78</w:t>
            </w: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1" w:right="0"/>
              <w:jc w:val="center"/>
              <w:rPr>
                <w:rFonts w:ascii="Arial Narrow" w:hAnsi="Arial Narrow" w:cs="Arial Narrow" w:eastAsia="Arial Narrow" w:hint="default"/>
                <w:sz w:val="18"/>
                <w:szCs w:val="18"/>
              </w:rPr>
            </w:pPr>
            <w:r>
              <w:rPr>
                <w:rFonts w:ascii="Arial Narrow"/>
                <w:sz w:val="18"/>
              </w:rPr>
              <w:t>4,522,165.88</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Arial Narrow" w:hAnsi="Arial Narrow" w:cs="Arial Narrow" w:eastAsia="Arial Narrow" w:hint="default"/>
                <w:sz w:val="18"/>
                <w:szCs w:val="18"/>
              </w:rPr>
            </w:pPr>
            <w:r>
              <w:rPr>
                <w:rFonts w:ascii="Arial Narrow"/>
                <w:spacing w:val="-1"/>
                <w:sz w:val="18"/>
              </w:rPr>
              <w:t>-47,572,165.88</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0"/>
              <w:ind w:right="1"/>
              <w:jc w:val="right"/>
              <w:rPr>
                <w:rFonts w:ascii="Arial Narrow" w:hAnsi="Arial Narrow" w:cs="Arial Narrow" w:eastAsia="Arial Narrow" w:hint="default"/>
                <w:sz w:val="18"/>
                <w:szCs w:val="18"/>
              </w:rPr>
            </w:pPr>
            <w:r>
              <w:rPr>
                <w:rFonts w:ascii="Arial Narrow"/>
                <w:spacing w:val="-1"/>
                <w:sz w:val="18"/>
              </w:rPr>
              <w:t>-43,050,000.00</w:t>
            </w:r>
          </w:p>
        </w:tc>
      </w:tr>
      <w:tr>
        <w:trPr>
          <w:trHeight w:val="40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1" w:right="0"/>
              <w:jc w:val="center"/>
              <w:rPr>
                <w:rFonts w:ascii="Arial Narrow" w:hAnsi="Arial Narrow" w:cs="Arial Narrow" w:eastAsia="Arial Narrow" w:hint="default"/>
                <w:sz w:val="18"/>
                <w:szCs w:val="18"/>
              </w:rPr>
            </w:pPr>
            <w:r>
              <w:rPr>
                <w:rFonts w:ascii="Arial Narrow"/>
                <w:sz w:val="18"/>
              </w:rPr>
              <w:t>4,522,165.88</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Arial Narrow" w:hAnsi="Arial Narrow" w:cs="Arial Narrow" w:eastAsia="Arial Narrow" w:hint="default"/>
                <w:sz w:val="18"/>
                <w:szCs w:val="18"/>
              </w:rPr>
            </w:pPr>
            <w:r>
              <w:rPr>
                <w:rFonts w:ascii="Arial Narrow"/>
                <w:spacing w:val="-1"/>
                <w:sz w:val="18"/>
              </w:rPr>
              <w:t>-4,522,165.88</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
              <w:jc w:val="right"/>
              <w:rPr>
                <w:rFonts w:ascii="Arial Narrow" w:hAnsi="Arial Narrow" w:cs="Arial Narrow" w:eastAsia="Arial Narrow" w:hint="default"/>
                <w:sz w:val="18"/>
                <w:szCs w:val="18"/>
              </w:rPr>
            </w:pPr>
            <w:r>
              <w:rPr>
                <w:rFonts w:ascii="Arial Narrow"/>
                <w:spacing w:val="-1"/>
                <w:sz w:val="18"/>
              </w:rPr>
              <w:t>-43,050,000.00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9"/>
              <w:ind w:right="1"/>
              <w:jc w:val="right"/>
              <w:rPr>
                <w:rFonts w:ascii="Arial Narrow" w:hAnsi="Arial Narrow" w:cs="Arial Narrow" w:eastAsia="Arial Narrow" w:hint="default"/>
                <w:sz w:val="18"/>
                <w:szCs w:val="18"/>
              </w:rPr>
            </w:pPr>
            <w:r>
              <w:rPr>
                <w:rFonts w:ascii="Arial Narrow"/>
                <w:spacing w:val="-1"/>
                <w:sz w:val="18"/>
              </w:rPr>
              <w:t>-43,050,000.00</w:t>
            </w: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3" w:right="0"/>
              <w:jc w:val="center"/>
              <w:rPr>
                <w:rFonts w:ascii="Arial Narrow" w:hAnsi="Arial Narrow" w:cs="Arial Narrow" w:eastAsia="Arial Narrow" w:hint="default"/>
                <w:sz w:val="18"/>
                <w:szCs w:val="18"/>
              </w:rPr>
            </w:pPr>
            <w:r>
              <w:rPr>
                <w:rFonts w:ascii="Arial Narrow"/>
                <w:sz w:val="18"/>
              </w:rPr>
              <w:t>43,050,000.00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Arial Narrow" w:hAnsi="Arial Narrow" w:cs="Arial Narrow" w:eastAsia="Arial Narrow" w:hint="default"/>
                <w:sz w:val="18"/>
                <w:szCs w:val="18"/>
              </w:rPr>
            </w:pPr>
            <w:r>
              <w:rPr>
                <w:rFonts w:ascii="Arial Narrow"/>
                <w:sz w:val="18"/>
              </w:rPr>
              <w:t>-43,050,000.00</w:t>
            </w: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3" w:right="0"/>
              <w:jc w:val="center"/>
              <w:rPr>
                <w:rFonts w:ascii="Arial Narrow" w:hAnsi="Arial Narrow" w:cs="Arial Narrow" w:eastAsia="Arial Narrow" w:hint="default"/>
                <w:sz w:val="18"/>
                <w:szCs w:val="18"/>
              </w:rPr>
            </w:pPr>
            <w:r>
              <w:rPr>
                <w:rFonts w:ascii="Arial Narrow"/>
                <w:sz w:val="18"/>
              </w:rPr>
              <w:t>43,050,000.00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Arial Narrow" w:hAnsi="Arial Narrow" w:cs="Arial Narrow" w:eastAsia="Arial Narrow" w:hint="default"/>
                <w:sz w:val="18"/>
                <w:szCs w:val="18"/>
              </w:rPr>
            </w:pPr>
            <w:r>
              <w:rPr>
                <w:rFonts w:ascii="Arial Narrow"/>
                <w:sz w:val="18"/>
              </w:rPr>
              <w:t>-43,050,000.00</w:t>
            </w: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35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34" w:hRule="exact"/>
        </w:trPr>
        <w:tc>
          <w:tcPr>
            <w:tcW w:w="285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left="48" w:right="0"/>
              <w:jc w:val="center"/>
              <w:rPr>
                <w:rFonts w:ascii="Arial Narrow" w:hAnsi="Arial Narrow" w:cs="Arial Narrow" w:eastAsia="Arial Narrow" w:hint="default"/>
                <w:sz w:val="18"/>
                <w:szCs w:val="18"/>
              </w:rPr>
            </w:pPr>
            <w:r>
              <w:rPr>
                <w:rFonts w:ascii="Arial Narrow"/>
                <w:sz w:val="18"/>
              </w:rPr>
              <w:t>104,550,000.00</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left="199" w:right="0"/>
              <w:jc w:val="left"/>
              <w:rPr>
                <w:rFonts w:ascii="Arial Narrow" w:hAnsi="Arial Narrow" w:cs="Arial Narrow" w:eastAsia="Arial Narrow" w:hint="default"/>
                <w:sz w:val="18"/>
                <w:szCs w:val="18"/>
              </w:rPr>
            </w:pPr>
            <w:r>
              <w:rPr>
                <w:rFonts w:ascii="Arial Narrow"/>
                <w:sz w:val="18"/>
              </w:rPr>
              <w:t>311,557,240.00</w:t>
            </w:r>
          </w:p>
        </w:tc>
        <w:tc>
          <w:tcPr>
            <w:tcW w:w="351" w:type="dxa"/>
            <w:tcBorders>
              <w:top w:val="single" w:sz="4" w:space="0" w:color="000000"/>
              <w:left w:val="single" w:sz="4" w:space="0" w:color="000000"/>
              <w:bottom w:val="single" w:sz="12" w:space="0" w:color="000000"/>
              <w:right w:val="single" w:sz="4" w:space="0" w:color="000000"/>
            </w:tcBorders>
          </w:tcPr>
          <w:p>
            <w:pPr/>
          </w:p>
        </w:tc>
        <w:tc>
          <w:tcPr>
            <w:tcW w:w="348" w:type="dxa"/>
            <w:tcBorders>
              <w:top w:val="single" w:sz="4" w:space="0" w:color="000000"/>
              <w:left w:val="single" w:sz="4" w:space="0" w:color="000000"/>
              <w:bottom w:val="single" w:sz="12" w:space="0" w:color="000000"/>
              <w:right w:val="single" w:sz="4" w:space="0" w:color="000000"/>
            </w:tcBorders>
          </w:tcPr>
          <w:p>
            <w:pPr/>
          </w:p>
        </w:tc>
        <w:tc>
          <w:tcPr>
            <w:tcW w:w="10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left="29" w:right="0"/>
              <w:jc w:val="center"/>
              <w:rPr>
                <w:rFonts w:ascii="Arial Narrow" w:hAnsi="Arial Narrow" w:cs="Arial Narrow" w:eastAsia="Arial Narrow" w:hint="default"/>
                <w:sz w:val="18"/>
                <w:szCs w:val="18"/>
              </w:rPr>
            </w:pPr>
            <w:r>
              <w:rPr>
                <w:rFonts w:ascii="Arial Narrow"/>
                <w:sz w:val="18"/>
              </w:rPr>
              <w:t>22,589,006.19</w:t>
            </w:r>
          </w:p>
        </w:tc>
        <w:tc>
          <w:tcPr>
            <w:tcW w:w="552" w:type="dxa"/>
            <w:tcBorders>
              <w:top w:val="single" w:sz="4" w:space="0" w:color="000000"/>
              <w:left w:val="single" w:sz="4" w:space="0" w:color="000000"/>
              <w:bottom w:val="single" w:sz="12" w:space="0" w:color="000000"/>
              <w:right w:val="single" w:sz="4" w:space="0" w:color="000000"/>
            </w:tcBorders>
          </w:tcPr>
          <w:p>
            <w:pP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12"/>
              <w:jc w:val="right"/>
              <w:rPr>
                <w:rFonts w:ascii="Arial Narrow" w:hAnsi="Arial Narrow" w:cs="Arial Narrow" w:eastAsia="Arial Narrow" w:hint="default"/>
                <w:sz w:val="18"/>
                <w:szCs w:val="18"/>
              </w:rPr>
            </w:pPr>
            <w:r>
              <w:rPr>
                <w:rFonts w:ascii="Arial Narrow"/>
                <w:spacing w:val="-1"/>
                <w:sz w:val="18"/>
              </w:rPr>
              <w:t>95,712,455.17</w:t>
            </w:r>
          </w:p>
        </w:tc>
        <w:tc>
          <w:tcPr>
            <w:tcW w:w="521" w:type="dxa"/>
            <w:tcBorders>
              <w:top w:val="single" w:sz="4" w:space="0" w:color="000000"/>
              <w:left w:val="single" w:sz="4" w:space="0" w:color="000000"/>
              <w:bottom w:val="single" w:sz="12" w:space="0" w:color="000000"/>
              <w:right w:val="single" w:sz="4" w:space="0" w:color="000000"/>
            </w:tcBorders>
          </w:tcPr>
          <w:p>
            <w:pPr/>
          </w:p>
        </w:tc>
        <w:tc>
          <w:tcPr>
            <w:tcW w:w="121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9"/>
              <w:ind w:right="0"/>
              <w:jc w:val="right"/>
              <w:rPr>
                <w:rFonts w:ascii="Arial Narrow" w:hAnsi="Arial Narrow" w:cs="Arial Narrow" w:eastAsia="Arial Narrow" w:hint="default"/>
                <w:sz w:val="18"/>
                <w:szCs w:val="18"/>
              </w:rPr>
            </w:pPr>
            <w:r>
              <w:rPr>
                <w:rFonts w:ascii="Arial Narrow"/>
                <w:spacing w:val="-1"/>
                <w:sz w:val="18"/>
              </w:rPr>
              <w:t>534,408,701.36</w:t>
            </w:r>
          </w:p>
        </w:tc>
      </w:tr>
    </w:tbl>
    <w:p>
      <w:pPr>
        <w:spacing w:after="0" w:line="240" w:lineRule="auto"/>
        <w:jc w:val="right"/>
        <w:rPr>
          <w:rFonts w:ascii="Arial Narrow" w:hAnsi="Arial Narrow" w:cs="Arial Narrow" w:eastAsia="Arial Narrow" w:hint="default"/>
          <w:sz w:val="18"/>
          <w:szCs w:val="18"/>
        </w:rPr>
        <w:sectPr>
          <w:footerReference w:type="default" r:id="rId39"/>
          <w:pgSz w:w="11910" w:h="16840"/>
          <w:pgMar w:footer="1508" w:header="852" w:top="1200" w:bottom="1700" w:left="740" w:right="600"/>
          <w:pgNumType w:start="75"/>
        </w:sectPr>
      </w:pPr>
    </w:p>
    <w:p>
      <w:pPr>
        <w:spacing w:line="240" w:lineRule="auto" w:before="11"/>
        <w:rPr>
          <w:rFonts w:ascii="宋体" w:hAnsi="宋体" w:cs="宋体" w:eastAsia="宋体" w:hint="default"/>
          <w:b/>
          <w:bCs/>
          <w:sz w:val="18"/>
          <w:szCs w:val="18"/>
        </w:rPr>
      </w:pPr>
    </w:p>
    <w:p>
      <w:pPr>
        <w:spacing w:line="20" w:lineRule="exact"/>
        <w:ind w:left="1038" w:right="0" w:firstLine="0"/>
        <w:rPr>
          <w:rFonts w:ascii="宋体" w:hAnsi="宋体" w:cs="宋体" w:eastAsia="宋体" w:hint="default"/>
          <w:sz w:val="2"/>
          <w:szCs w:val="2"/>
        </w:rPr>
      </w:pPr>
      <w:r>
        <w:rPr>
          <w:rFonts w:ascii="宋体" w:hAnsi="宋体" w:cs="宋体" w:eastAsia="宋体" w:hint="default"/>
          <w:sz w:val="2"/>
          <w:szCs w:val="2"/>
        </w:rPr>
        <w:pict>
          <v:group style="width:445.9pt;height:.75pt;mso-position-horizontal-relative:char;mso-position-vertical-relative:line" coordorigin="0,0" coordsize="8918,15">
            <v:group style="position:absolute;left:7;top:7;width:8903;height:2" coordorigin="7,7" coordsize="8903,2">
              <v:shape style="position:absolute;left:7;top:7;width:8903;height:2" coordorigin="7,7" coordsize="8903,0" path="m7,7l8910,7e" filled="false" stroked="true" strokeweight=".71999pt" strokecolor="#000000">
                <v:path arrowok="t"/>
              </v:shape>
            </v:group>
          </v:group>
        </w:pict>
      </w:r>
      <w:r>
        <w:rPr>
          <w:rFonts w:ascii="宋体" w:hAnsi="宋体" w:cs="宋体" w:eastAsia="宋体" w:hint="default"/>
          <w:sz w:val="2"/>
          <w:szCs w:val="2"/>
        </w:rPr>
      </w:r>
    </w:p>
    <w:p>
      <w:pPr>
        <w:pStyle w:val="Heading4"/>
        <w:spacing w:line="240" w:lineRule="auto"/>
        <w:ind w:left="4155" w:right="3590"/>
        <w:jc w:val="center"/>
      </w:pPr>
      <w:r>
        <w:rPr/>
        <w:t>母公司所有者权益变动表</w:t>
      </w:r>
    </w:p>
    <w:p>
      <w:pPr>
        <w:tabs>
          <w:tab w:pos="7764" w:val="left" w:leader="none"/>
        </w:tabs>
        <w:spacing w:before="107"/>
        <w:ind w:left="1074"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编制单位：河南辉煌科技股份有限公司</w:t>
        <w:tab/>
      </w:r>
      <w:r>
        <w:rPr>
          <w:rFonts w:ascii="宋体" w:hAnsi="宋体" w:cs="宋体" w:eastAsia="宋体" w:hint="default"/>
          <w:b/>
          <w:bCs/>
          <w:sz w:val="18"/>
          <w:szCs w:val="18"/>
        </w:rPr>
        <w:t>金额单位</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人民币元</w:t>
      </w:r>
      <w:r>
        <w:rPr>
          <w:rFonts w:ascii="宋体" w:hAnsi="宋体" w:cs="宋体" w:eastAsia="宋体" w:hint="default"/>
          <w:sz w:val="18"/>
          <w:szCs w:val="18"/>
        </w:rPr>
      </w:r>
    </w:p>
    <w:p>
      <w:pPr>
        <w:spacing w:line="240" w:lineRule="auto" w:before="0"/>
        <w:rPr>
          <w:rFonts w:ascii="宋体" w:hAnsi="宋体" w:cs="宋体" w:eastAsia="宋体" w:hint="default"/>
          <w:b/>
          <w:bCs/>
          <w:sz w:val="17"/>
          <w:szCs w:val="17"/>
        </w:rPr>
      </w:pPr>
    </w:p>
    <w:tbl>
      <w:tblPr>
        <w:tblW w:w="0" w:type="auto"/>
        <w:jc w:val="left"/>
        <w:tblInd w:w="114" w:type="dxa"/>
        <w:tblLayout w:type="fixed"/>
        <w:tblCellMar>
          <w:top w:w="0" w:type="dxa"/>
          <w:left w:w="0" w:type="dxa"/>
          <w:bottom w:w="0" w:type="dxa"/>
          <w:right w:w="0" w:type="dxa"/>
        </w:tblCellMar>
        <w:tblLook w:val="01E0"/>
      </w:tblPr>
      <w:tblGrid>
        <w:gridCol w:w="2859"/>
        <w:gridCol w:w="1107"/>
        <w:gridCol w:w="1092"/>
        <w:gridCol w:w="353"/>
        <w:gridCol w:w="346"/>
        <w:gridCol w:w="1003"/>
        <w:gridCol w:w="552"/>
        <w:gridCol w:w="1109"/>
        <w:gridCol w:w="523"/>
        <w:gridCol w:w="1217"/>
      </w:tblGrid>
      <w:tr>
        <w:trPr>
          <w:trHeight w:val="415" w:hRule="exact"/>
        </w:trPr>
        <w:tc>
          <w:tcPr>
            <w:tcW w:w="2859"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17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302" w:type="dxa"/>
            <w:gridSpan w:val="9"/>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8"/>
              <w:ind w:right="153"/>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958" w:hRule="exact"/>
        </w:trPr>
        <w:tc>
          <w:tcPr>
            <w:tcW w:w="2859" w:type="dxa"/>
            <w:vMerge/>
            <w:tcBorders>
              <w:left w:val="single" w:sz="12"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both"/>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32" w:lineRule="exact" w:before="24"/>
              <w:ind w:left="79" w:right="83"/>
              <w:jc w:val="both"/>
              <w:rPr>
                <w:rFonts w:ascii="宋体" w:hAnsi="宋体" w:cs="宋体" w:eastAsia="宋体" w:hint="default"/>
                <w:sz w:val="18"/>
                <w:szCs w:val="18"/>
              </w:rPr>
            </w:pP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7" w:right="0"/>
              <w:jc w:val="both"/>
              <w:rPr>
                <w:rFonts w:ascii="宋体" w:hAnsi="宋体" w:cs="宋体" w:eastAsia="宋体" w:hint="default"/>
                <w:sz w:val="18"/>
                <w:szCs w:val="18"/>
              </w:rPr>
            </w:pPr>
            <w:r>
              <w:rPr>
                <w:rFonts w:ascii="宋体" w:hAnsi="宋体" w:cs="宋体" w:eastAsia="宋体" w:hint="default"/>
                <w:b/>
                <w:bCs/>
                <w:w w:val="99"/>
                <w:sz w:val="18"/>
                <w:szCs w:val="18"/>
              </w:rPr>
              <w:t>专</w:t>
            </w:r>
            <w:r>
              <w:rPr>
                <w:rFonts w:ascii="宋体" w:hAnsi="宋体" w:cs="宋体" w:eastAsia="宋体" w:hint="default"/>
                <w:sz w:val="18"/>
                <w:szCs w:val="18"/>
              </w:rPr>
            </w:r>
          </w:p>
          <w:p>
            <w:pPr>
              <w:pStyle w:val="TableParagraph"/>
              <w:spacing w:line="232" w:lineRule="exact" w:before="24"/>
              <w:ind w:left="77" w:right="77"/>
              <w:jc w:val="both"/>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6"/>
              <w:ind w:left="91" w:right="84"/>
              <w:jc w:val="both"/>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b/>
                <w:bCs/>
                <w:spacing w:val="-89"/>
                <w:sz w:val="18"/>
                <w:szCs w:val="18"/>
              </w:rPr>
              <w:t> </w:t>
            </w:r>
            <w:r>
              <w:rPr>
                <w:rFonts w:ascii="宋体" w:hAnsi="宋体" w:cs="宋体" w:eastAsia="宋体" w:hint="default"/>
                <w:b/>
                <w:bCs/>
                <w:sz w:val="18"/>
                <w:szCs w:val="18"/>
              </w:rPr>
              <w:t>风险</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32" w:lineRule="exact"/>
              <w:ind w:left="513" w:right="51" w:hanging="454"/>
              <w:jc w:val="left"/>
              <w:rPr>
                <w:rFonts w:ascii="宋体" w:hAnsi="宋体" w:cs="宋体" w:eastAsia="宋体" w:hint="default"/>
                <w:sz w:val="18"/>
                <w:szCs w:val="18"/>
              </w:rPr>
            </w:pPr>
            <w:r>
              <w:rPr>
                <w:rFonts w:ascii="宋体" w:hAnsi="宋体" w:cs="宋体" w:eastAsia="宋体" w:hint="default"/>
                <w:b/>
                <w:bCs/>
                <w:sz w:val="18"/>
                <w:szCs w:val="18"/>
              </w:rPr>
              <w:t>所有者权益合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3" w:right="0"/>
              <w:jc w:val="center"/>
              <w:rPr>
                <w:rFonts w:ascii="Arial Narrow" w:hAnsi="Arial Narrow" w:cs="Arial Narrow" w:eastAsia="Arial Narrow" w:hint="default"/>
                <w:sz w:val="18"/>
                <w:szCs w:val="18"/>
              </w:rPr>
            </w:pPr>
            <w:r>
              <w:rPr>
                <w:rFonts w:ascii="Arial Narrow"/>
                <w:sz w:val="18"/>
              </w:rPr>
              <w:t>46,000,000.00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Arial Narrow" w:hAnsi="Arial Narrow" w:cs="Arial Narrow" w:eastAsia="Arial Narrow" w:hint="default"/>
                <w:sz w:val="18"/>
                <w:szCs w:val="18"/>
              </w:rPr>
            </w:pPr>
            <w:r>
              <w:rPr>
                <w:rFonts w:ascii="Arial Narrow"/>
                <w:spacing w:val="-1"/>
                <w:sz w:val="18"/>
              </w:rPr>
              <w:t>71,300.00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 w:right="0"/>
              <w:jc w:val="center"/>
              <w:rPr>
                <w:rFonts w:ascii="Arial Narrow" w:hAnsi="Arial Narrow" w:cs="Arial Narrow" w:eastAsia="Arial Narrow" w:hint="default"/>
                <w:sz w:val="18"/>
                <w:szCs w:val="18"/>
              </w:rPr>
            </w:pPr>
            <w:r>
              <w:rPr>
                <w:rFonts w:ascii="Arial Narrow"/>
                <w:sz w:val="18"/>
              </w:rPr>
              <w:t>14,845,189.22</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Arial Narrow" w:hAnsi="Arial Narrow" w:cs="Arial Narrow" w:eastAsia="Arial Narrow" w:hint="default"/>
                <w:sz w:val="18"/>
                <w:szCs w:val="18"/>
              </w:rPr>
            </w:pPr>
            <w:r>
              <w:rPr>
                <w:rFonts w:ascii="Arial Narrow"/>
                <w:sz w:val="18"/>
              </w:rPr>
              <w:t>69,068,102.48</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0"/>
              <w:jc w:val="right"/>
              <w:rPr>
                <w:rFonts w:ascii="Arial Narrow" w:hAnsi="Arial Narrow" w:cs="Arial Narrow" w:eastAsia="Arial Narrow" w:hint="default"/>
                <w:sz w:val="18"/>
                <w:szCs w:val="18"/>
              </w:rPr>
            </w:pPr>
            <w:r>
              <w:rPr>
                <w:rFonts w:ascii="Arial Narrow"/>
                <w:spacing w:val="-1"/>
                <w:sz w:val="18"/>
              </w:rPr>
              <w:t>129,984,591.70</w:t>
            </w: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3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3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3" w:right="0"/>
              <w:jc w:val="center"/>
              <w:rPr>
                <w:rFonts w:ascii="Arial Narrow" w:hAnsi="Arial Narrow" w:cs="Arial Narrow" w:eastAsia="Arial Narrow" w:hint="default"/>
                <w:sz w:val="18"/>
                <w:szCs w:val="18"/>
              </w:rPr>
            </w:pPr>
            <w:r>
              <w:rPr>
                <w:rFonts w:ascii="Arial Narrow"/>
                <w:sz w:val="18"/>
              </w:rPr>
              <w:t>46,000,000.00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
              <w:jc w:val="right"/>
              <w:rPr>
                <w:rFonts w:ascii="Arial Narrow" w:hAnsi="Arial Narrow" w:cs="Arial Narrow" w:eastAsia="Arial Narrow" w:hint="default"/>
                <w:sz w:val="18"/>
                <w:szCs w:val="18"/>
              </w:rPr>
            </w:pPr>
            <w:r>
              <w:rPr>
                <w:rFonts w:ascii="Arial Narrow"/>
                <w:spacing w:val="-1"/>
                <w:sz w:val="18"/>
              </w:rPr>
              <w:t>71,300.00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9" w:right="0"/>
              <w:jc w:val="center"/>
              <w:rPr>
                <w:rFonts w:ascii="Arial Narrow" w:hAnsi="Arial Narrow" w:cs="Arial Narrow" w:eastAsia="Arial Narrow" w:hint="default"/>
                <w:sz w:val="18"/>
                <w:szCs w:val="18"/>
              </w:rPr>
            </w:pPr>
            <w:r>
              <w:rPr>
                <w:rFonts w:ascii="Arial Narrow"/>
                <w:sz w:val="18"/>
              </w:rPr>
              <w:t>14,845,189.22</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6" w:right="0"/>
              <w:jc w:val="left"/>
              <w:rPr>
                <w:rFonts w:ascii="Arial Narrow" w:hAnsi="Arial Narrow" w:cs="Arial Narrow" w:eastAsia="Arial Narrow" w:hint="default"/>
                <w:sz w:val="18"/>
                <w:szCs w:val="18"/>
              </w:rPr>
            </w:pPr>
            <w:r>
              <w:rPr>
                <w:rFonts w:ascii="Arial Narrow"/>
                <w:sz w:val="18"/>
              </w:rPr>
              <w:t>69,068,102.48</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0"/>
              <w:jc w:val="right"/>
              <w:rPr>
                <w:rFonts w:ascii="Arial Narrow" w:hAnsi="Arial Narrow" w:cs="Arial Narrow" w:eastAsia="Arial Narrow" w:hint="default"/>
                <w:sz w:val="18"/>
                <w:szCs w:val="18"/>
              </w:rPr>
            </w:pPr>
            <w:r>
              <w:rPr>
                <w:rFonts w:ascii="Arial Narrow"/>
                <w:spacing w:val="-1"/>
                <w:sz w:val="18"/>
              </w:rPr>
              <w:t>129,984,591.70</w:t>
            </w:r>
          </w:p>
        </w:tc>
      </w:tr>
      <w:tr>
        <w:trPr>
          <w:trHeight w:val="49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5"/>
              <w:ind w:right="9"/>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17"/>
                <w:sz w:val="18"/>
                <w:szCs w:val="18"/>
              </w:rPr>
              <w:t>、</w:t>
            </w:r>
            <w:r>
              <w:rPr>
                <w:rFonts w:ascii="宋体" w:hAnsi="宋体" w:cs="宋体" w:eastAsia="宋体" w:hint="default"/>
                <w:sz w:val="18"/>
                <w:szCs w:val="18"/>
              </w:rPr>
              <w:t>本期增减变动金</w:t>
            </w:r>
            <w:r>
              <w:rPr>
                <w:rFonts w:ascii="宋体" w:hAnsi="宋体" w:cs="宋体" w:eastAsia="宋体" w:hint="default"/>
                <w:spacing w:val="-17"/>
                <w:sz w:val="18"/>
                <w:szCs w:val="18"/>
              </w:rPr>
              <w:t>额</w:t>
            </w:r>
            <w:r>
              <w:rPr>
                <w:rFonts w:ascii="宋体" w:hAnsi="宋体" w:cs="宋体" w:eastAsia="宋体" w:hint="default"/>
                <w:sz w:val="18"/>
                <w:szCs w:val="18"/>
              </w:rPr>
              <w:t>（减</w:t>
            </w:r>
            <w:r>
              <w:rPr>
                <w:rFonts w:ascii="宋体" w:hAnsi="宋体" w:cs="宋体" w:eastAsia="宋体" w:hint="default"/>
                <w:spacing w:val="2"/>
                <w:sz w:val="18"/>
                <w:szCs w:val="18"/>
              </w:rPr>
              <w:t>少</w:t>
            </w:r>
            <w:r>
              <w:rPr>
                <w:rFonts w:ascii="宋体" w:hAnsi="宋体" w:cs="宋体" w:eastAsia="宋体" w:hint="default"/>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158"/>
                <w:sz w:val="18"/>
                <w:szCs w:val="18"/>
              </w:rPr>
              <w:t>‖ </w:t>
            </w:r>
            <w:r>
              <w:rPr>
                <w:rFonts w:ascii="宋体" w:hAnsi="宋体" w:cs="宋体" w:eastAsia="宋体" w:hint="default"/>
                <w:sz w:val="18"/>
                <w:szCs w:val="18"/>
              </w:rPr>
              <w:t>号填列）</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33" w:right="0"/>
              <w:jc w:val="center"/>
              <w:rPr>
                <w:rFonts w:ascii="Arial Narrow" w:hAnsi="Arial Narrow" w:cs="Arial Narrow" w:eastAsia="Arial Narrow" w:hint="default"/>
                <w:sz w:val="18"/>
                <w:szCs w:val="18"/>
              </w:rPr>
            </w:pPr>
            <w:r>
              <w:rPr>
                <w:rFonts w:ascii="Arial Narrow"/>
                <w:sz w:val="18"/>
              </w:rPr>
              <w:t>15,500,000.00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
              <w:jc w:val="right"/>
              <w:rPr>
                <w:rFonts w:ascii="Arial Narrow" w:hAnsi="Arial Narrow" w:cs="Arial Narrow" w:eastAsia="Arial Narrow" w:hint="default"/>
                <w:sz w:val="18"/>
                <w:szCs w:val="18"/>
              </w:rPr>
            </w:pPr>
            <w:r>
              <w:rPr>
                <w:rFonts w:ascii="Arial Narrow"/>
                <w:spacing w:val="-1"/>
                <w:sz w:val="18"/>
              </w:rPr>
              <w:t>354,535,940.00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1" w:right="0"/>
              <w:jc w:val="center"/>
              <w:rPr>
                <w:rFonts w:ascii="Arial Narrow" w:hAnsi="Arial Narrow" w:cs="Arial Narrow" w:eastAsia="Arial Narrow" w:hint="default"/>
                <w:sz w:val="18"/>
                <w:szCs w:val="18"/>
              </w:rPr>
            </w:pPr>
            <w:r>
              <w:rPr>
                <w:rFonts w:ascii="Arial Narrow"/>
                <w:sz w:val="18"/>
              </w:rPr>
              <w:t>3,221,651.09</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6" w:right="0"/>
              <w:jc w:val="left"/>
              <w:rPr>
                <w:rFonts w:ascii="Arial Narrow" w:hAnsi="Arial Narrow" w:cs="Arial Narrow" w:eastAsia="Arial Narrow" w:hint="default"/>
                <w:sz w:val="18"/>
                <w:szCs w:val="18"/>
              </w:rPr>
            </w:pPr>
            <w:r>
              <w:rPr>
                <w:rFonts w:ascii="Arial Narrow"/>
                <w:sz w:val="18"/>
              </w:rPr>
              <w:t>28,994,859.79</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5"/>
              <w:ind w:right="0"/>
              <w:jc w:val="right"/>
              <w:rPr>
                <w:rFonts w:ascii="Arial Narrow" w:hAnsi="Arial Narrow" w:cs="Arial Narrow" w:eastAsia="Arial Narrow" w:hint="default"/>
                <w:sz w:val="18"/>
                <w:szCs w:val="18"/>
              </w:rPr>
            </w:pPr>
            <w:r>
              <w:rPr>
                <w:rFonts w:ascii="Arial Narrow"/>
                <w:spacing w:val="-1"/>
                <w:sz w:val="18"/>
              </w:rPr>
              <w:t>402,252,450.88</w:t>
            </w: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Arial Narrow" w:hAnsi="Arial Narrow" w:cs="Arial Narrow" w:eastAsia="Arial Narrow" w:hint="default"/>
                <w:sz w:val="18"/>
                <w:szCs w:val="18"/>
              </w:rPr>
            </w:pPr>
            <w:r>
              <w:rPr>
                <w:rFonts w:ascii="Arial Narrow"/>
                <w:sz w:val="18"/>
              </w:rPr>
              <w:t>32,216,510.88</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1"/>
              <w:jc w:val="right"/>
              <w:rPr>
                <w:rFonts w:ascii="Arial Narrow" w:hAnsi="Arial Narrow" w:cs="Arial Narrow" w:eastAsia="Arial Narrow" w:hint="default"/>
                <w:sz w:val="18"/>
                <w:szCs w:val="18"/>
              </w:rPr>
            </w:pPr>
            <w:r>
              <w:rPr>
                <w:rFonts w:ascii="Arial Narrow"/>
                <w:spacing w:val="-1"/>
                <w:sz w:val="18"/>
              </w:rPr>
              <w:t>32,216,510.88</w:t>
            </w:r>
          </w:p>
        </w:tc>
      </w:tr>
      <w:tr>
        <w:trPr>
          <w:trHeight w:val="40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6" w:right="0"/>
              <w:jc w:val="left"/>
              <w:rPr>
                <w:rFonts w:ascii="Arial Narrow" w:hAnsi="Arial Narrow" w:cs="Arial Narrow" w:eastAsia="Arial Narrow" w:hint="default"/>
                <w:sz w:val="18"/>
                <w:szCs w:val="18"/>
              </w:rPr>
            </w:pPr>
            <w:r>
              <w:rPr>
                <w:rFonts w:ascii="Arial Narrow"/>
                <w:sz w:val="18"/>
              </w:rPr>
              <w:t>32,216,510.88</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1"/>
              <w:jc w:val="right"/>
              <w:rPr>
                <w:rFonts w:ascii="Arial Narrow" w:hAnsi="Arial Narrow" w:cs="Arial Narrow" w:eastAsia="Arial Narrow" w:hint="default"/>
                <w:sz w:val="18"/>
                <w:szCs w:val="18"/>
              </w:rPr>
            </w:pPr>
            <w:r>
              <w:rPr>
                <w:rFonts w:ascii="Arial Narrow"/>
                <w:spacing w:val="-1"/>
                <w:sz w:val="18"/>
              </w:rPr>
              <w:t>32,216,510.88</w:t>
            </w: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3" w:right="0"/>
              <w:jc w:val="center"/>
              <w:rPr>
                <w:rFonts w:ascii="Arial Narrow" w:hAnsi="Arial Narrow" w:cs="Arial Narrow" w:eastAsia="Arial Narrow" w:hint="default"/>
                <w:sz w:val="18"/>
                <w:szCs w:val="18"/>
              </w:rPr>
            </w:pPr>
            <w:r>
              <w:rPr>
                <w:rFonts w:ascii="Arial Narrow"/>
                <w:sz w:val="18"/>
              </w:rPr>
              <w:t>15,500,000.00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
              <w:jc w:val="right"/>
              <w:rPr>
                <w:rFonts w:ascii="Arial Narrow" w:hAnsi="Arial Narrow" w:cs="Arial Narrow" w:eastAsia="Arial Narrow" w:hint="default"/>
                <w:sz w:val="18"/>
                <w:szCs w:val="18"/>
              </w:rPr>
            </w:pPr>
            <w:r>
              <w:rPr>
                <w:rFonts w:ascii="Arial Narrow"/>
                <w:spacing w:val="-1"/>
                <w:sz w:val="18"/>
              </w:rPr>
              <w:t>354,535,940.00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0"/>
              <w:jc w:val="right"/>
              <w:rPr>
                <w:rFonts w:ascii="Arial Narrow" w:hAnsi="Arial Narrow" w:cs="Arial Narrow" w:eastAsia="Arial Narrow" w:hint="default"/>
                <w:sz w:val="18"/>
                <w:szCs w:val="18"/>
              </w:rPr>
            </w:pPr>
            <w:r>
              <w:rPr>
                <w:rFonts w:ascii="Arial Narrow"/>
                <w:spacing w:val="-1"/>
                <w:sz w:val="18"/>
              </w:rPr>
              <w:t>370,035,940.00</w:t>
            </w: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3" w:right="0"/>
              <w:jc w:val="center"/>
              <w:rPr>
                <w:rFonts w:ascii="Arial Narrow" w:hAnsi="Arial Narrow" w:cs="Arial Narrow" w:eastAsia="Arial Narrow" w:hint="default"/>
                <w:sz w:val="18"/>
                <w:szCs w:val="18"/>
              </w:rPr>
            </w:pPr>
            <w:r>
              <w:rPr>
                <w:rFonts w:ascii="Arial Narrow"/>
                <w:sz w:val="18"/>
              </w:rPr>
              <w:t>15,500,000.00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
              <w:jc w:val="right"/>
              <w:rPr>
                <w:rFonts w:ascii="Arial Narrow" w:hAnsi="Arial Narrow" w:cs="Arial Narrow" w:eastAsia="Arial Narrow" w:hint="default"/>
                <w:sz w:val="18"/>
                <w:szCs w:val="18"/>
              </w:rPr>
            </w:pPr>
            <w:r>
              <w:rPr>
                <w:rFonts w:ascii="Arial Narrow"/>
                <w:spacing w:val="-1"/>
                <w:sz w:val="18"/>
              </w:rPr>
              <w:t>354,535,940.00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9"/>
              <w:ind w:right="0"/>
              <w:jc w:val="right"/>
              <w:rPr>
                <w:rFonts w:ascii="Arial Narrow" w:hAnsi="Arial Narrow" w:cs="Arial Narrow" w:eastAsia="Arial Narrow" w:hint="default"/>
                <w:sz w:val="18"/>
                <w:szCs w:val="18"/>
              </w:rPr>
            </w:pPr>
            <w:r>
              <w:rPr>
                <w:rFonts w:ascii="Arial Narrow"/>
                <w:spacing w:val="-1"/>
                <w:sz w:val="18"/>
              </w:rPr>
              <w:t>370,035,940.00</w:t>
            </w: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1" w:right="0"/>
              <w:jc w:val="center"/>
              <w:rPr>
                <w:rFonts w:ascii="Arial Narrow" w:hAnsi="Arial Narrow" w:cs="Arial Narrow" w:eastAsia="Arial Narrow" w:hint="default"/>
                <w:sz w:val="18"/>
                <w:szCs w:val="18"/>
              </w:rPr>
            </w:pPr>
            <w:r>
              <w:rPr>
                <w:rFonts w:ascii="Arial Narrow"/>
                <w:sz w:val="18"/>
              </w:rPr>
              <w:t>3,221,651.09</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77" w:right="0"/>
              <w:jc w:val="left"/>
              <w:rPr>
                <w:rFonts w:ascii="Arial Narrow" w:hAnsi="Arial Narrow" w:cs="Arial Narrow" w:eastAsia="Arial Narrow" w:hint="default"/>
                <w:sz w:val="18"/>
                <w:szCs w:val="18"/>
              </w:rPr>
            </w:pPr>
            <w:r>
              <w:rPr>
                <w:rFonts w:ascii="Arial Narrow"/>
                <w:sz w:val="18"/>
              </w:rPr>
              <w:t>-3,221,651.09</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1" w:right="0"/>
              <w:jc w:val="center"/>
              <w:rPr>
                <w:rFonts w:ascii="Arial Narrow" w:hAnsi="Arial Narrow" w:cs="Arial Narrow" w:eastAsia="Arial Narrow" w:hint="default"/>
                <w:sz w:val="18"/>
                <w:szCs w:val="18"/>
              </w:rPr>
            </w:pPr>
            <w:r>
              <w:rPr>
                <w:rFonts w:ascii="Arial Narrow"/>
                <w:sz w:val="18"/>
              </w:rPr>
              <w:t>3,221,651.09</w:t>
            </w: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Arial Narrow" w:hAnsi="Arial Narrow" w:cs="Arial Narrow" w:eastAsia="Arial Narrow" w:hint="default"/>
                <w:sz w:val="18"/>
                <w:szCs w:val="18"/>
              </w:rPr>
            </w:pPr>
            <w:r>
              <w:rPr>
                <w:rFonts w:ascii="Arial Narrow"/>
                <w:sz w:val="18"/>
              </w:rPr>
              <w:t>-3,221,651.09</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06"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25" w:hRule="exact"/>
        </w:trPr>
        <w:tc>
          <w:tcPr>
            <w:tcW w:w="28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12" w:space="0" w:color="000000"/>
            </w:tcBorders>
          </w:tcPr>
          <w:p>
            <w:pPr/>
          </w:p>
        </w:tc>
      </w:tr>
      <w:tr>
        <w:trPr>
          <w:trHeight w:val="434" w:hRule="exact"/>
        </w:trPr>
        <w:tc>
          <w:tcPr>
            <w:tcW w:w="285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8"/>
              <w:ind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left="133" w:right="0"/>
              <w:jc w:val="center"/>
              <w:rPr>
                <w:rFonts w:ascii="Arial Narrow" w:hAnsi="Arial Narrow" w:cs="Arial Narrow" w:eastAsia="Arial Narrow" w:hint="default"/>
                <w:sz w:val="18"/>
                <w:szCs w:val="18"/>
              </w:rPr>
            </w:pPr>
            <w:r>
              <w:rPr>
                <w:rFonts w:ascii="Arial Narrow"/>
                <w:sz w:val="18"/>
              </w:rPr>
              <w:t>61,500,000.00</w:t>
            </w:r>
          </w:p>
        </w:tc>
        <w:tc>
          <w:tcPr>
            <w:tcW w:w="1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9"/>
              <w:jc w:val="right"/>
              <w:rPr>
                <w:rFonts w:ascii="Arial Narrow" w:hAnsi="Arial Narrow" w:cs="Arial Narrow" w:eastAsia="Arial Narrow" w:hint="default"/>
                <w:sz w:val="18"/>
                <w:szCs w:val="18"/>
              </w:rPr>
            </w:pPr>
            <w:r>
              <w:rPr>
                <w:rFonts w:ascii="Arial Narrow"/>
                <w:spacing w:val="-1"/>
                <w:sz w:val="18"/>
              </w:rPr>
              <w:t>354,607,240.00</w:t>
            </w:r>
          </w:p>
        </w:tc>
        <w:tc>
          <w:tcPr>
            <w:tcW w:w="353" w:type="dxa"/>
            <w:tcBorders>
              <w:top w:val="single" w:sz="4" w:space="0" w:color="000000"/>
              <w:left w:val="single" w:sz="4" w:space="0" w:color="000000"/>
              <w:bottom w:val="single" w:sz="12" w:space="0" w:color="000000"/>
              <w:right w:val="single" w:sz="4" w:space="0" w:color="000000"/>
            </w:tcBorders>
          </w:tcPr>
          <w:p>
            <w:pPr/>
          </w:p>
        </w:tc>
        <w:tc>
          <w:tcPr>
            <w:tcW w:w="346" w:type="dxa"/>
            <w:tcBorders>
              <w:top w:val="single" w:sz="4" w:space="0" w:color="000000"/>
              <w:left w:val="single" w:sz="4" w:space="0" w:color="000000"/>
              <w:bottom w:val="single" w:sz="12" w:space="0" w:color="000000"/>
              <w:right w:val="single" w:sz="4" w:space="0" w:color="000000"/>
            </w:tcBorders>
          </w:tcPr>
          <w:p>
            <w:pPr/>
          </w:p>
        </w:tc>
        <w:tc>
          <w:tcPr>
            <w:tcW w:w="10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left="29" w:right="0"/>
              <w:jc w:val="center"/>
              <w:rPr>
                <w:rFonts w:ascii="Arial Narrow" w:hAnsi="Arial Narrow" w:cs="Arial Narrow" w:eastAsia="Arial Narrow" w:hint="default"/>
                <w:sz w:val="18"/>
                <w:szCs w:val="18"/>
              </w:rPr>
            </w:pPr>
            <w:r>
              <w:rPr>
                <w:rFonts w:ascii="Arial Narrow"/>
                <w:sz w:val="18"/>
              </w:rPr>
              <w:t>18,066,840.31</w:t>
            </w:r>
          </w:p>
        </w:tc>
        <w:tc>
          <w:tcPr>
            <w:tcW w:w="552" w:type="dxa"/>
            <w:tcBorders>
              <w:top w:val="single" w:sz="4" w:space="0" w:color="000000"/>
              <w:left w:val="single" w:sz="4" w:space="0" w:color="000000"/>
              <w:bottom w:val="single" w:sz="12" w:space="0" w:color="000000"/>
              <w:right w:val="single" w:sz="4" w:space="0" w:color="000000"/>
            </w:tcBorders>
          </w:tcPr>
          <w:p>
            <w:pP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left="146" w:right="0"/>
              <w:jc w:val="left"/>
              <w:rPr>
                <w:rFonts w:ascii="Arial Narrow" w:hAnsi="Arial Narrow" w:cs="Arial Narrow" w:eastAsia="Arial Narrow" w:hint="default"/>
                <w:sz w:val="18"/>
                <w:szCs w:val="18"/>
              </w:rPr>
            </w:pPr>
            <w:r>
              <w:rPr>
                <w:rFonts w:ascii="Arial Narrow"/>
                <w:sz w:val="18"/>
              </w:rPr>
              <w:t>98,062,962.27</w:t>
            </w:r>
          </w:p>
        </w:tc>
        <w:tc>
          <w:tcPr>
            <w:tcW w:w="523" w:type="dxa"/>
            <w:tcBorders>
              <w:top w:val="single" w:sz="4" w:space="0" w:color="000000"/>
              <w:left w:val="single" w:sz="4" w:space="0" w:color="000000"/>
              <w:bottom w:val="single" w:sz="12" w:space="0" w:color="000000"/>
              <w:right w:val="single" w:sz="4" w:space="0" w:color="000000"/>
            </w:tcBorders>
          </w:tcPr>
          <w:p>
            <w:pPr/>
          </w:p>
        </w:tc>
        <w:tc>
          <w:tcPr>
            <w:tcW w:w="121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9"/>
              <w:ind w:right="0"/>
              <w:jc w:val="right"/>
              <w:rPr>
                <w:rFonts w:ascii="Arial Narrow" w:hAnsi="Arial Narrow" w:cs="Arial Narrow" w:eastAsia="Arial Narrow" w:hint="default"/>
                <w:sz w:val="18"/>
                <w:szCs w:val="18"/>
              </w:rPr>
            </w:pPr>
            <w:r>
              <w:rPr>
                <w:rFonts w:ascii="Arial Narrow"/>
                <w:spacing w:val="-1"/>
                <w:sz w:val="18"/>
              </w:rPr>
              <w:t>532,237,042.58</w:t>
            </w:r>
          </w:p>
        </w:tc>
      </w:tr>
    </w:tbl>
    <w:p>
      <w:pPr>
        <w:spacing w:after="0" w:line="240" w:lineRule="auto"/>
        <w:jc w:val="right"/>
        <w:rPr>
          <w:rFonts w:ascii="Arial Narrow" w:hAnsi="Arial Narrow" w:cs="Arial Narrow" w:eastAsia="Arial Narrow" w:hint="default"/>
          <w:sz w:val="18"/>
          <w:szCs w:val="18"/>
        </w:rPr>
        <w:sectPr>
          <w:pgSz w:w="11910" w:h="16840"/>
          <w:pgMar w:header="852" w:footer="1508" w:top="1200" w:bottom="1700" w:left="740" w:right="740"/>
        </w:sectPr>
      </w:pPr>
    </w:p>
    <w:p>
      <w:pPr>
        <w:spacing w:line="240" w:lineRule="auto" w:before="11"/>
        <w:rPr>
          <w:rFonts w:ascii="宋体" w:hAnsi="宋体" w:cs="宋体" w:eastAsia="宋体" w:hint="default"/>
          <w:b/>
          <w:bCs/>
          <w:sz w:val="18"/>
          <w:szCs w:val="18"/>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1999pt" strokecolor="#000000">
                <v:path arrowok="t"/>
              </v:shape>
            </v:group>
          </v:group>
        </w:pict>
      </w:r>
      <w:r>
        <w:rPr>
          <w:rFonts w:ascii="宋体" w:hAnsi="宋体" w:cs="宋体" w:eastAsia="宋体" w:hint="default"/>
          <w:sz w:val="2"/>
          <w:szCs w:val="2"/>
        </w:rPr>
      </w:r>
    </w:p>
    <w:p>
      <w:pPr>
        <w:spacing w:before="19"/>
        <w:ind w:left="0" w:right="60" w:firstLine="0"/>
        <w:jc w:val="center"/>
        <w:rPr>
          <w:rFonts w:ascii="黑体" w:hAnsi="黑体" w:cs="黑体" w:eastAsia="黑体" w:hint="default"/>
          <w:sz w:val="32"/>
          <w:szCs w:val="32"/>
        </w:rPr>
      </w:pPr>
      <w:r>
        <w:rPr>
          <w:rFonts w:ascii="黑体" w:hAnsi="黑体" w:cs="黑体" w:eastAsia="黑体" w:hint="default"/>
          <w:b/>
          <w:bCs/>
          <w:sz w:val="32"/>
          <w:szCs w:val="32"/>
        </w:rPr>
        <w:t>河南辉煌科技股份有限公司</w:t>
      </w:r>
      <w:r>
        <w:rPr>
          <w:rFonts w:ascii="黑体" w:hAnsi="黑体" w:cs="黑体" w:eastAsia="黑体" w:hint="default"/>
          <w:sz w:val="32"/>
          <w:szCs w:val="32"/>
        </w:rPr>
      </w:r>
    </w:p>
    <w:p>
      <w:pPr>
        <w:spacing w:before="282"/>
        <w:ind w:left="0" w:right="59" w:firstLine="0"/>
        <w:jc w:val="center"/>
        <w:rPr>
          <w:rFonts w:ascii="黑体" w:hAnsi="黑体" w:cs="黑体" w:eastAsia="黑体" w:hint="default"/>
          <w:sz w:val="32"/>
          <w:szCs w:val="32"/>
        </w:rPr>
      </w:pPr>
      <w:r>
        <w:rPr>
          <w:rFonts w:ascii="Times New Roman" w:hAnsi="Times New Roman" w:cs="Times New Roman" w:eastAsia="Times New Roman" w:hint="default"/>
          <w:b/>
          <w:bCs/>
          <w:sz w:val="32"/>
          <w:szCs w:val="32"/>
        </w:rPr>
        <w:t>2010</w:t>
      </w:r>
      <w:r>
        <w:rPr>
          <w:rFonts w:ascii="Times New Roman" w:hAnsi="Times New Roman" w:cs="Times New Roman" w:eastAsia="Times New Roman" w:hint="default"/>
          <w:b/>
          <w:bCs/>
          <w:spacing w:val="-6"/>
          <w:sz w:val="32"/>
          <w:szCs w:val="32"/>
        </w:rPr>
        <w:t> </w:t>
      </w:r>
      <w:r>
        <w:rPr>
          <w:rFonts w:ascii="黑体" w:hAnsi="黑体" w:cs="黑体" w:eastAsia="黑体" w:hint="default"/>
          <w:b/>
          <w:bCs/>
          <w:sz w:val="32"/>
          <w:szCs w:val="32"/>
        </w:rPr>
        <w:t>年度财务报表附注</w:t>
      </w:r>
      <w:r>
        <w:rPr>
          <w:rFonts w:ascii="黑体" w:hAnsi="黑体" w:cs="黑体" w:eastAsia="黑体" w:hint="default"/>
          <w:sz w:val="32"/>
          <w:szCs w:val="32"/>
        </w:rPr>
      </w:r>
    </w:p>
    <w:p>
      <w:pPr>
        <w:pStyle w:val="BodyText"/>
        <w:tabs>
          <w:tab w:pos="6327" w:val="left" w:leader="none"/>
        </w:tabs>
        <w:spacing w:line="240" w:lineRule="auto" w:before="225"/>
        <w:ind w:left="0" w:right="55"/>
        <w:jc w:val="center"/>
      </w:pPr>
      <w:r>
        <w:rPr>
          <w:spacing w:val="8"/>
        </w:rPr>
        <w:t>编制单位：河南辉煌科技股份有限公司</w:t>
        <w:tab/>
      </w:r>
      <w:r>
        <w:rPr>
          <w:spacing w:val="7"/>
        </w:rPr>
        <w:t>金额单位：人民币元</w:t>
      </w:r>
    </w:p>
    <w:p>
      <w:pPr>
        <w:spacing w:line="240" w:lineRule="auto" w:before="3"/>
        <w:rPr>
          <w:rFonts w:ascii="宋体" w:hAnsi="宋体" w:cs="宋体" w:eastAsia="宋体" w:hint="default"/>
          <w:sz w:val="14"/>
          <w:szCs w:val="14"/>
        </w:rPr>
      </w:pPr>
    </w:p>
    <w:p>
      <w:pPr>
        <w:spacing w:line="43" w:lineRule="exact"/>
        <w:ind w:left="110" w:right="0" w:firstLine="0"/>
        <w:rPr>
          <w:rFonts w:ascii="宋体" w:hAnsi="宋体" w:cs="宋体" w:eastAsia="宋体" w:hint="default"/>
          <w:sz w:val="4"/>
          <w:szCs w:val="4"/>
        </w:rPr>
      </w:pPr>
      <w:r>
        <w:rPr>
          <w:rFonts w:ascii="宋体" w:hAnsi="宋体" w:cs="宋体" w:eastAsia="宋体" w:hint="default"/>
          <w:position w:val="0"/>
          <w:sz w:val="4"/>
          <w:szCs w:val="4"/>
        </w:rPr>
        <w:pict>
          <v:group style="width:420.45pt;height:2.2pt;mso-position-horizontal-relative:char;mso-position-vertical-relative:line" coordorigin="0,0" coordsize="8409,44">
            <v:group style="position:absolute;left:22;top:22;width:8366;height:2" coordorigin="22,22" coordsize="8366,2">
              <v:shape style="position:absolute;left:22;top:22;width:8366;height:2" coordorigin="22,22" coordsize="8366,0" path="m22,22l8387,22e" filled="false" stroked="true" strokeweight="2.16pt" strokecolor="#000000">
                <v:path arrowok="t"/>
              </v:shape>
            </v:group>
          </v:group>
        </w:pict>
      </w:r>
      <w:r>
        <w:rPr>
          <w:rFonts w:ascii="宋体" w:hAnsi="宋体" w:cs="宋体" w:eastAsia="宋体" w:hint="default"/>
          <w:position w:val="0"/>
          <w:sz w:val="4"/>
          <w:szCs w:val="4"/>
        </w:rPr>
      </w:r>
    </w:p>
    <w:p>
      <w:pPr>
        <w:spacing w:line="240" w:lineRule="auto" w:before="11"/>
        <w:rPr>
          <w:rFonts w:ascii="宋体" w:hAnsi="宋体" w:cs="宋体" w:eastAsia="宋体" w:hint="default"/>
          <w:sz w:val="6"/>
          <w:szCs w:val="6"/>
        </w:rPr>
      </w:pPr>
    </w:p>
    <w:p>
      <w:pPr>
        <w:pStyle w:val="Heading4"/>
        <w:spacing w:line="240" w:lineRule="auto" w:before="26"/>
        <w:ind w:left="160" w:right="95"/>
        <w:jc w:val="left"/>
      </w:pPr>
      <w:r>
        <w:rPr/>
        <w:t>一、公司的基本情况</w:t>
      </w:r>
    </w:p>
    <w:p>
      <w:pPr>
        <w:pStyle w:val="BodyText"/>
        <w:spacing w:line="338" w:lineRule="auto" w:before="184"/>
        <w:ind w:left="160" w:right="105" w:firstLine="419"/>
        <w:jc w:val="left"/>
      </w:pPr>
      <w:r>
        <w:rPr>
          <w:spacing w:val="-3"/>
          <w:w w:val="100"/>
        </w:rPr>
        <w:t>河南辉煌科技股份有限公司（以下简称</w:t>
      </w:r>
      <w:r>
        <w:rPr>
          <w:rFonts w:ascii="Times New Roman" w:hAnsi="Times New Roman" w:cs="Times New Roman" w:eastAsia="Times New Roman" w:hint="default"/>
          <w:spacing w:val="-3"/>
          <w:w w:val="100"/>
        </w:rPr>
        <w:t>―</w:t>
      </w:r>
      <w:r>
        <w:rPr>
          <w:spacing w:val="-3"/>
          <w:w w:val="100"/>
        </w:rPr>
        <w:t>公司</w:t>
      </w:r>
      <w:r>
        <w:rPr>
          <w:rFonts w:ascii="Times New Roman" w:hAnsi="Times New Roman" w:cs="Times New Roman" w:eastAsia="Times New Roman" w:hint="default"/>
          <w:spacing w:val="-3"/>
          <w:w w:val="100"/>
        </w:rPr>
        <w:t>‖</w:t>
      </w:r>
      <w:r>
        <w:rPr>
          <w:spacing w:val="-3"/>
          <w:w w:val="100"/>
        </w:rPr>
        <w:t>或</w:t>
      </w:r>
      <w:r>
        <w:rPr>
          <w:rFonts w:ascii="Times New Roman" w:hAnsi="Times New Roman" w:cs="Times New Roman" w:eastAsia="Times New Roman" w:hint="default"/>
          <w:spacing w:val="-3"/>
          <w:w w:val="100"/>
        </w:rPr>
        <w:t>―</w:t>
      </w:r>
      <w:r>
        <w:rPr>
          <w:spacing w:val="-3"/>
          <w:w w:val="100"/>
        </w:rPr>
        <w:t>本公司</w:t>
      </w:r>
      <w:r>
        <w:rPr>
          <w:rFonts w:ascii="Times New Roman" w:hAnsi="Times New Roman" w:cs="Times New Roman" w:eastAsia="Times New Roman" w:hint="default"/>
          <w:spacing w:val="-3"/>
          <w:w w:val="100"/>
        </w:rPr>
        <w:t>‖</w:t>
      </w:r>
      <w:r>
        <w:rPr>
          <w:spacing w:val="-3"/>
          <w:w w:val="100"/>
        </w:rPr>
        <w:t>）于</w:t>
      </w:r>
      <w:r>
        <w:rPr>
          <w:spacing w:val="-81"/>
          <w:w w:val="100"/>
        </w:rPr>
        <w:t> </w:t>
      </w:r>
      <w:r>
        <w:rPr>
          <w:rFonts w:ascii="Times New Roman" w:hAnsi="Times New Roman" w:cs="Times New Roman" w:eastAsia="Times New Roman" w:hint="default"/>
          <w:spacing w:val="-1"/>
          <w:w w:val="100"/>
        </w:rPr>
        <w:t>2001</w:t>
      </w:r>
      <w:r>
        <w:rPr>
          <w:rFonts w:ascii="Times New Roman" w:hAnsi="Times New Roman" w:cs="Times New Roman" w:eastAsia="Times New Roman" w:hint="default"/>
          <w:spacing w:val="-30"/>
          <w:w w:val="100"/>
        </w:rPr>
        <w:t> </w:t>
      </w:r>
      <w:r>
        <w:rPr>
          <w:w w:val="100"/>
        </w:rPr>
        <w:t>年</w:t>
      </w:r>
      <w:r>
        <w:rPr>
          <w:spacing w:val="-81"/>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0"/>
          <w:w w:val="100"/>
        </w:rPr>
        <w:t> </w:t>
      </w:r>
      <w:r>
        <w:rPr>
          <w:spacing w:val="-1"/>
          <w:w w:val="100"/>
        </w:rPr>
        <w:t>月经河南省人</w:t>
      </w:r>
      <w:r>
        <w:rPr>
          <w:w w:val="100"/>
        </w:rPr>
        <w:t> </w:t>
      </w:r>
      <w:r>
        <w:rPr/>
        <w:t>民政府豫股批字</w:t>
      </w:r>
      <w:r>
        <w:rPr>
          <w:rFonts w:ascii="Times New Roman" w:hAnsi="Times New Roman" w:cs="Times New Roman" w:eastAsia="Times New Roman" w:hint="default"/>
        </w:rPr>
        <w:t>(2001)35</w:t>
      </w:r>
      <w:r>
        <w:rPr>
          <w:rFonts w:ascii="Times New Roman" w:hAnsi="Times New Roman" w:cs="Times New Roman" w:eastAsia="Times New Roman" w:hint="default"/>
          <w:spacing w:val="-1"/>
        </w:rPr>
        <w:t> </w:t>
      </w:r>
      <w:r>
        <w:rPr>
          <w:spacing w:val="-9"/>
        </w:rPr>
        <w:t>号文批准，由李海鹰等</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位自然人以现金出资方式发起设立的股份</w:t>
      </w:r>
      <w:r>
        <w:rPr>
          <w:spacing w:val="-101"/>
        </w:rPr>
        <w:t> </w:t>
      </w:r>
      <w:r>
        <w:rPr>
          <w:spacing w:val="-101"/>
        </w:rPr>
      </w:r>
      <w:r>
        <w:rPr>
          <w:spacing w:val="-4"/>
        </w:rPr>
        <w:t>有限公司，经天一会计师事务所有限责任公司天一验字（</w:t>
      </w:r>
      <w:r>
        <w:rPr>
          <w:rFonts w:ascii="Times New Roman" w:hAnsi="Times New Roman" w:cs="Times New Roman" w:eastAsia="Times New Roman" w:hint="default"/>
          <w:spacing w:val="-4"/>
        </w:rPr>
        <w:t>2001</w:t>
      </w:r>
      <w:r>
        <w:rPr>
          <w:spacing w:val="-4"/>
        </w:rPr>
        <w:t>）</w:t>
      </w:r>
      <w:r>
        <w:rPr>
          <w:rFonts w:ascii="Times New Roman" w:hAnsi="Times New Roman" w:cs="Times New Roman" w:eastAsia="Times New Roman" w:hint="default"/>
          <w:spacing w:val="-4"/>
        </w:rPr>
        <w:t>3--79 </w:t>
      </w:r>
      <w:r>
        <w:rPr/>
        <w:t>号验资报告验证确认，</w:t>
      </w:r>
      <w:r>
        <w:rPr>
          <w:spacing w:val="-93"/>
        </w:rPr>
        <w:t> </w:t>
      </w:r>
      <w:r>
        <w:rPr>
          <w:spacing w:val="-93"/>
        </w:rPr>
      </w:r>
      <w:r>
        <w:rPr/>
        <w:t>股本为</w:t>
      </w:r>
      <w:r>
        <w:rPr>
          <w:spacing w:val="-53"/>
        </w:rPr>
        <w:t> </w:t>
      </w:r>
      <w:r>
        <w:rPr>
          <w:rFonts w:ascii="Times New Roman" w:hAnsi="Times New Roman" w:cs="Times New Roman" w:eastAsia="Times New Roman" w:hint="default"/>
        </w:rPr>
        <w:t>2300 </w:t>
      </w:r>
      <w:r>
        <w:rPr/>
        <w:t>万股。根据本公司</w:t>
      </w:r>
      <w:r>
        <w:rPr>
          <w:spacing w:val="-52"/>
        </w:rPr>
        <w:t> </w:t>
      </w:r>
      <w:r>
        <w:rPr>
          <w:rFonts w:ascii="Times New Roman" w:hAnsi="Times New Roman" w:cs="Times New Roman" w:eastAsia="Times New Roman" w:hint="default"/>
        </w:rPr>
        <w:t>2002</w:t>
      </w:r>
      <w:r>
        <w:rPr>
          <w:rFonts w:ascii="Times New Roman" w:hAnsi="Times New Roman" w:cs="Times New Roman" w:eastAsia="Times New Roman" w:hint="default"/>
          <w:spacing w:val="-3"/>
        </w:rPr>
        <w:t> </w:t>
      </w:r>
      <w:r>
        <w:rPr/>
        <w:t>年度股东大会决议通过，以公司</w:t>
      </w:r>
      <w:r>
        <w:rPr>
          <w:spacing w:val="-53"/>
        </w:rPr>
        <w:t> </w:t>
      </w:r>
      <w:r>
        <w:rPr>
          <w:rFonts w:ascii="Times New Roman" w:hAnsi="Times New Roman" w:cs="Times New Roman" w:eastAsia="Times New Roman" w:hint="default"/>
        </w:rPr>
        <w:t>2002 </w:t>
      </w:r>
      <w:r>
        <w:rPr/>
        <w:t>年</w:t>
      </w:r>
      <w:r>
        <w:rPr>
          <w:spacing w:val="-52"/>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日总</w:t>
      </w:r>
      <w:r>
        <w:rPr>
          <w:w w:val="100"/>
        </w:rPr>
        <w:t> </w:t>
      </w:r>
      <w:r>
        <w:rPr/>
        <w:t>股本</w:t>
      </w:r>
      <w:r>
        <w:rPr>
          <w:spacing w:val="-49"/>
        </w:rPr>
        <w:t> </w:t>
      </w:r>
      <w:r>
        <w:rPr>
          <w:rFonts w:ascii="Times New Roman" w:hAnsi="Times New Roman" w:cs="Times New Roman" w:eastAsia="Times New Roman" w:hint="default"/>
        </w:rPr>
        <w:t>2300</w:t>
      </w:r>
      <w:r>
        <w:rPr>
          <w:rFonts w:ascii="Times New Roman" w:hAnsi="Times New Roman" w:cs="Times New Roman" w:eastAsia="Times New Roman" w:hint="default"/>
          <w:spacing w:val="1"/>
        </w:rPr>
        <w:t> </w:t>
      </w:r>
      <w:r>
        <w:rPr/>
        <w:t>万股为基数向全体股东按</w:t>
      </w:r>
      <w:r>
        <w:rPr>
          <w:spacing w:val="-48"/>
        </w:rPr>
        <w:t> </w:t>
      </w:r>
      <w:r>
        <w:rPr>
          <w:rFonts w:ascii="Times New Roman" w:hAnsi="Times New Roman" w:cs="Times New Roman" w:eastAsia="Times New Roman" w:hint="default"/>
          <w:spacing w:val="-5"/>
        </w:rPr>
        <w:t>10</w:t>
      </w:r>
      <w:r>
        <w:rPr>
          <w:spacing w:val="-5"/>
        </w:rPr>
        <w:t>：</w:t>
      </w:r>
      <w:r>
        <w:rPr>
          <w:rFonts w:ascii="Times New Roman" w:hAnsi="Times New Roman" w:cs="Times New Roman" w:eastAsia="Times New Roman" w:hint="default"/>
          <w:spacing w:val="-5"/>
        </w:rPr>
        <w:t>6</w:t>
      </w:r>
      <w:r>
        <w:rPr>
          <w:rFonts w:ascii="Times New Roman" w:hAnsi="Times New Roman" w:cs="Times New Roman" w:eastAsia="Times New Roman" w:hint="default"/>
          <w:spacing w:val="1"/>
        </w:rPr>
        <w:t> </w:t>
      </w:r>
      <w:r>
        <w:rPr>
          <w:spacing w:val="-3"/>
        </w:rPr>
        <w:t>的比例配售新股，配售价格每股</w:t>
      </w:r>
      <w:r>
        <w:rPr>
          <w:spacing w:val="-49"/>
        </w:rPr>
        <w:t> </w:t>
      </w:r>
      <w:r>
        <w:rPr>
          <w:rFonts w:ascii="Times New Roman" w:hAnsi="Times New Roman" w:cs="Times New Roman" w:eastAsia="Times New Roman" w:hint="default"/>
        </w:rPr>
        <w:t>1.2985</w:t>
      </w:r>
      <w:r>
        <w:rPr>
          <w:rFonts w:ascii="Times New Roman" w:hAnsi="Times New Roman" w:cs="Times New Roman" w:eastAsia="Times New Roman" w:hint="default"/>
          <w:spacing w:val="4"/>
        </w:rPr>
        <w:t> </w:t>
      </w:r>
      <w:r>
        <w:rPr>
          <w:spacing w:val="-6"/>
        </w:rPr>
        <w:t>元，实际</w:t>
      </w:r>
      <w:r>
        <w:rPr>
          <w:spacing w:val="-94"/>
        </w:rPr>
        <w:t> </w:t>
      </w:r>
      <w:r>
        <w:rPr>
          <w:spacing w:val="-94"/>
        </w:rPr>
      </w:r>
      <w:r>
        <w:rPr/>
        <w:t>配售</w:t>
      </w:r>
      <w:r>
        <w:rPr>
          <w:spacing w:val="-38"/>
        </w:rPr>
        <w:t> </w:t>
      </w:r>
      <w:r>
        <w:rPr>
          <w:rFonts w:ascii="Times New Roman" w:hAnsi="Times New Roman" w:cs="Times New Roman" w:eastAsia="Times New Roman" w:hint="default"/>
        </w:rPr>
        <w:t>1380</w:t>
      </w:r>
      <w:r>
        <w:rPr>
          <w:rFonts w:ascii="Times New Roman" w:hAnsi="Times New Roman" w:cs="Times New Roman" w:eastAsia="Times New Roman" w:hint="default"/>
          <w:spacing w:val="12"/>
        </w:rPr>
        <w:t> </w:t>
      </w:r>
      <w:r>
        <w:rPr>
          <w:spacing w:val="-5"/>
        </w:rPr>
        <w:t>万股，配股后总股本变更为</w:t>
      </w:r>
      <w:r>
        <w:rPr>
          <w:spacing w:val="-36"/>
        </w:rPr>
        <w:t> </w:t>
      </w:r>
      <w:r>
        <w:rPr>
          <w:rFonts w:ascii="Times New Roman" w:hAnsi="Times New Roman" w:cs="Times New Roman" w:eastAsia="Times New Roman" w:hint="default"/>
        </w:rPr>
        <w:t>3680</w:t>
      </w:r>
      <w:r>
        <w:rPr>
          <w:rFonts w:ascii="Times New Roman" w:hAnsi="Times New Roman" w:cs="Times New Roman" w:eastAsia="Times New Roman" w:hint="default"/>
          <w:spacing w:val="15"/>
        </w:rPr>
        <w:t> </w:t>
      </w:r>
      <w:r>
        <w:rPr>
          <w:spacing w:val="-5"/>
        </w:rPr>
        <w:t>万股，全体股东均以现金全额认购。根据本公司</w:t>
      </w:r>
    </w:p>
    <w:p>
      <w:pPr>
        <w:pStyle w:val="BodyText"/>
        <w:spacing w:line="240" w:lineRule="auto" w:before="22"/>
        <w:ind w:left="160" w:right="95"/>
        <w:jc w:val="left"/>
      </w:pP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年度股东大会决议通过，以</w:t>
      </w:r>
      <w:r>
        <w:rPr>
          <w:spacing w:val="-4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日总股本</w:t>
      </w:r>
      <w:r>
        <w:rPr>
          <w:spacing w:val="-47"/>
        </w:rPr>
        <w:t> </w:t>
      </w:r>
      <w:r>
        <w:rPr>
          <w:rFonts w:ascii="Times New Roman" w:hAnsi="Times New Roman" w:cs="Times New Roman" w:eastAsia="Times New Roman" w:hint="default"/>
        </w:rPr>
        <w:t>3680</w:t>
      </w:r>
      <w:r>
        <w:rPr>
          <w:rFonts w:ascii="Times New Roman" w:hAnsi="Times New Roman" w:cs="Times New Roman" w:eastAsia="Times New Roman" w:hint="default"/>
          <w:spacing w:val="4"/>
        </w:rPr>
        <w:t> </w:t>
      </w:r>
      <w:r>
        <w:rPr/>
        <w:t>万股为基数，向全体股东</w:t>
      </w:r>
    </w:p>
    <w:p>
      <w:pPr>
        <w:pStyle w:val="BodyText"/>
        <w:spacing w:line="240" w:lineRule="auto" w:before="119"/>
        <w:ind w:left="160" w:right="95"/>
        <w:jc w:val="left"/>
      </w:pPr>
      <w:r>
        <w:rPr/>
        <w:t>以未分配利润按每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股、以资本公积金按每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股的比例，送转新股，</w:t>
      </w:r>
    </w:p>
    <w:p>
      <w:pPr>
        <w:pStyle w:val="BodyText"/>
        <w:spacing w:line="240" w:lineRule="auto" w:before="117"/>
        <w:ind w:left="160" w:right="95"/>
        <w:jc w:val="left"/>
      </w:pPr>
      <w:r>
        <w:rPr/>
        <w:t>共计送转数额为</w:t>
      </w:r>
      <w:r>
        <w:rPr>
          <w:spacing w:val="-53"/>
        </w:rPr>
        <w:t> </w:t>
      </w:r>
      <w:r>
        <w:rPr>
          <w:rFonts w:ascii="Times New Roman" w:hAnsi="Times New Roman" w:cs="Times New Roman" w:eastAsia="Times New Roman" w:hint="default"/>
        </w:rPr>
        <w:t>920 </w:t>
      </w:r>
      <w:r>
        <w:rPr/>
        <w:t>万股，送转后总股本变更为</w:t>
      </w:r>
      <w:r>
        <w:rPr>
          <w:spacing w:val="-50"/>
        </w:rPr>
        <w:t> </w:t>
      </w:r>
      <w:r>
        <w:rPr>
          <w:rFonts w:ascii="Times New Roman" w:hAnsi="Times New Roman" w:cs="Times New Roman" w:eastAsia="Times New Roman" w:hint="default"/>
        </w:rPr>
        <w:t>4600</w:t>
      </w:r>
      <w:r>
        <w:rPr>
          <w:rFonts w:ascii="Times New Roman" w:hAnsi="Times New Roman" w:cs="Times New Roman" w:eastAsia="Times New Roman" w:hint="default"/>
          <w:spacing w:val="3"/>
        </w:rPr>
        <w:t> </w:t>
      </w:r>
      <w:r>
        <w:rPr/>
        <w:t>万股。以上两次变更已经北京中洲光</w:t>
      </w:r>
    </w:p>
    <w:p>
      <w:pPr>
        <w:pStyle w:val="BodyText"/>
        <w:spacing w:line="336" w:lineRule="auto" w:before="117"/>
        <w:ind w:left="160" w:right="95"/>
        <w:jc w:val="left"/>
      </w:pPr>
      <w:r>
        <w:rPr/>
        <w:t>华会计师事务所有限公司中洲光华（</w:t>
      </w:r>
      <w:r>
        <w:rPr>
          <w:rFonts w:ascii="Times New Roman" w:hAnsi="Times New Roman" w:cs="Times New Roman" w:eastAsia="Times New Roman" w:hint="default"/>
        </w:rPr>
        <w:t>2003</w:t>
      </w:r>
      <w:r>
        <w:rPr/>
        <w:t>）验字第</w:t>
      </w:r>
      <w:r>
        <w:rPr>
          <w:spacing w:val="-60"/>
        </w:rPr>
        <w:t> </w:t>
      </w:r>
      <w:r>
        <w:rPr>
          <w:rFonts w:ascii="Times New Roman" w:hAnsi="Times New Roman" w:cs="Times New Roman" w:eastAsia="Times New Roman" w:hint="default"/>
        </w:rPr>
        <w:t>010</w:t>
      </w:r>
      <w:r>
        <w:rPr>
          <w:rFonts w:ascii="Times New Roman" w:hAnsi="Times New Roman" w:cs="Times New Roman" w:eastAsia="Times New Roman" w:hint="default"/>
          <w:spacing w:val="-8"/>
        </w:rPr>
        <w:t> </w:t>
      </w:r>
      <w:r>
        <w:rPr/>
        <w:t>号、中洲光华</w:t>
      </w:r>
      <w:r>
        <w:rPr>
          <w:rFonts w:ascii="Times New Roman" w:hAnsi="Times New Roman" w:cs="Times New Roman" w:eastAsia="Times New Roman" w:hint="default"/>
        </w:rPr>
        <w:t>(2004)</w:t>
      </w:r>
      <w:r>
        <w:rPr/>
        <w:t>验字第</w:t>
      </w:r>
      <w:r>
        <w:rPr>
          <w:spacing w:val="-60"/>
        </w:rPr>
        <w:t> </w:t>
      </w:r>
      <w:r>
        <w:rPr>
          <w:rFonts w:ascii="Times New Roman" w:hAnsi="Times New Roman" w:cs="Times New Roman" w:eastAsia="Times New Roman" w:hint="default"/>
        </w:rPr>
        <w:t>003</w:t>
      </w:r>
      <w:r>
        <w:rPr>
          <w:rFonts w:ascii="Times New Roman" w:hAnsi="Times New Roman" w:cs="Times New Roman" w:eastAsia="Times New Roman" w:hint="default"/>
          <w:spacing w:val="-8"/>
        </w:rPr>
        <w:t> </w:t>
      </w:r>
      <w:r>
        <w:rPr>
          <w:spacing w:val="-3"/>
        </w:rPr>
        <w:t>号验</w:t>
      </w:r>
      <w:r>
        <w:rPr>
          <w:spacing w:val="-3"/>
          <w:w w:val="100"/>
        </w:rPr>
        <w:t> </w:t>
      </w:r>
      <w:r>
        <w:rPr/>
        <w:t>资报告验证。</w:t>
      </w:r>
    </w:p>
    <w:p>
      <w:pPr>
        <w:pStyle w:val="BodyText"/>
        <w:spacing w:line="338" w:lineRule="auto" w:before="75"/>
        <w:ind w:left="160" w:right="211" w:firstLine="419"/>
        <w:jc w:val="both"/>
      </w:pPr>
      <w:r>
        <w:rPr>
          <w:w w:val="100"/>
        </w:rPr>
        <w:t>根据公司 </w:t>
      </w:r>
      <w:r>
        <w:rPr>
          <w:rFonts w:ascii="Times New Roman" w:hAnsi="Times New Roman" w:cs="Times New Roman" w:eastAsia="Times New Roman" w:hint="default"/>
          <w:w w:val="100"/>
        </w:rPr>
        <w:t>2008 </w:t>
      </w:r>
      <w:r>
        <w:rPr>
          <w:spacing w:val="-2"/>
          <w:w w:val="100"/>
        </w:rPr>
        <w:t>年度股东大会决议及中国证券监督管理委员会证监许可</w:t>
      </w:r>
      <w:r>
        <w:rPr>
          <w:rFonts w:ascii="Times New Roman" w:hAnsi="Times New Roman" w:cs="Times New Roman" w:eastAsia="Times New Roman" w:hint="default"/>
          <w:spacing w:val="-2"/>
          <w:w w:val="100"/>
        </w:rPr>
        <w:t>[2009]860</w:t>
      </w:r>
      <w:r>
        <w:rPr>
          <w:rFonts w:ascii="Times New Roman" w:hAnsi="Times New Roman" w:cs="Times New Roman" w:eastAsia="Times New Roman" w:hint="default"/>
          <w:spacing w:val="4"/>
          <w:w w:val="100"/>
        </w:rPr>
        <w:t> </w:t>
      </w:r>
      <w:r>
        <w:rPr>
          <w:spacing w:val="-1"/>
          <w:w w:val="81"/>
        </w:rPr>
        <w:t>号</w:t>
      </w:r>
      <w:r>
        <w:rPr>
          <w:rFonts w:ascii="Times New Roman" w:hAnsi="Times New Roman" w:cs="Times New Roman" w:eastAsia="Times New Roman" w:hint="default"/>
          <w:spacing w:val="-1"/>
          <w:w w:val="81"/>
        </w:rPr>
        <w:t>―</w:t>
      </w:r>
      <w:r>
        <w:rPr>
          <w:spacing w:val="-1"/>
          <w:w w:val="81"/>
        </w:rPr>
        <w:t>关</w:t>
      </w:r>
      <w:r>
        <w:rPr>
          <w:w w:val="100"/>
        </w:rPr>
        <w:t> </w:t>
      </w:r>
      <w:r>
        <w:rPr/>
        <w:t>于核准河南辉煌科技股份有限公司首次公开发行股票的批复</w:t>
      </w:r>
      <w:r>
        <w:rPr>
          <w:rFonts w:ascii="Times New Roman" w:hAnsi="Times New Roman" w:cs="Times New Roman" w:eastAsia="Times New Roman" w:hint="default"/>
        </w:rPr>
        <w:t>‖</w:t>
      </w:r>
      <w:r>
        <w:rPr/>
        <w:t>，公司分别于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9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w w:val="100"/>
        </w:rPr>
        <w:t> </w:t>
      </w:r>
      <w:r>
        <w:rPr>
          <w:spacing w:val="-5"/>
        </w:rPr>
        <w:t>日（</w:t>
      </w:r>
      <w:r>
        <w:rPr>
          <w:rFonts w:ascii="Times New Roman" w:hAnsi="Times New Roman" w:cs="Times New Roman" w:eastAsia="Times New Roman" w:hint="default"/>
          <w:spacing w:val="-5"/>
        </w:rPr>
        <w:t>T</w:t>
      </w:r>
      <w:r>
        <w:rPr>
          <w:rFonts w:ascii="Times New Roman" w:hAnsi="Times New Roman" w:cs="Times New Roman" w:eastAsia="Times New Roman" w:hint="default"/>
          <w:spacing w:val="22"/>
        </w:rPr>
        <w:t> </w:t>
      </w:r>
      <w:r>
        <w:rPr>
          <w:spacing w:val="-3"/>
        </w:rPr>
        <w:t>日）采用网下配售方式向询价对象公开发行人民币普通股（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20"/>
        </w:rPr>
        <w:t> </w:t>
      </w:r>
      <w:r>
        <w:rPr>
          <w:spacing w:val="-3"/>
        </w:rPr>
        <w:t>股）</w:t>
      </w:r>
      <w:r>
        <w:rPr>
          <w:rFonts w:ascii="Times New Roman" w:hAnsi="Times New Roman" w:cs="Times New Roman" w:eastAsia="Times New Roman" w:hint="default"/>
          <w:spacing w:val="-3"/>
        </w:rPr>
        <w:t>310.00</w:t>
      </w:r>
      <w:r>
        <w:rPr>
          <w:rFonts w:ascii="Times New Roman" w:hAnsi="Times New Roman" w:cs="Times New Roman" w:eastAsia="Times New Roman" w:hint="default"/>
          <w:spacing w:val="22"/>
        </w:rPr>
        <w:t> </w:t>
      </w:r>
      <w:r>
        <w:rPr>
          <w:spacing w:val="-3"/>
        </w:rPr>
        <w:t>万股，</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15 </w:t>
      </w:r>
      <w:r>
        <w:rPr/>
        <w:t>日（</w:t>
      </w:r>
      <w:r>
        <w:rPr>
          <w:rFonts w:ascii="Times New Roman" w:hAnsi="Times New Roman" w:cs="Times New Roman" w:eastAsia="Times New Roman" w:hint="default"/>
        </w:rPr>
        <w:t>T </w:t>
      </w:r>
      <w:r>
        <w:rPr/>
        <w:t>日）采用网上定价方式公开发行人民币普通股（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1,240.00</w:t>
      </w:r>
      <w:r>
        <w:rPr>
          <w:rFonts w:ascii="Times New Roman" w:hAnsi="Times New Roman" w:cs="Times New Roman" w:eastAsia="Times New Roman" w:hint="default"/>
          <w:spacing w:val="-16"/>
        </w:rPr>
        <w:t> </w:t>
      </w:r>
      <w:r>
        <w:rPr/>
        <w:t>万股，共</w:t>
      </w:r>
      <w:r>
        <w:rPr>
          <w:w w:val="100"/>
        </w:rPr>
        <w:t> </w:t>
      </w:r>
      <w:r>
        <w:rPr/>
        <w:t>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t>股）</w:t>
      </w:r>
      <w:r>
        <w:rPr>
          <w:rFonts w:ascii="Times New Roman" w:hAnsi="Times New Roman" w:cs="Times New Roman" w:eastAsia="Times New Roman" w:hint="default"/>
        </w:rPr>
        <w:t>1,550.00</w:t>
      </w:r>
      <w:r>
        <w:rPr>
          <w:rFonts w:ascii="Times New Roman" w:hAnsi="Times New Roman" w:cs="Times New Roman" w:eastAsia="Times New Roman" w:hint="default"/>
          <w:spacing w:val="10"/>
        </w:rPr>
        <w:t> </w:t>
      </w:r>
      <w:r>
        <w:rPr/>
        <w:t>万股，每股面值</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元，每股发行价格为</w:t>
      </w:r>
      <w:r>
        <w:rPr>
          <w:spacing w:val="-42"/>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spacing w:val="-3"/>
        </w:rPr>
        <w:t>元，</w:t>
      </w:r>
      <w:r>
        <w:rPr>
          <w:spacing w:val="-3"/>
          <w:w w:val="100"/>
        </w:rPr>
        <w:t> </w:t>
      </w:r>
      <w:r>
        <w:rPr/>
        <w:t>本次发行后公司的注册资本为 </w:t>
      </w:r>
      <w:r>
        <w:rPr>
          <w:rFonts w:ascii="Times New Roman" w:hAnsi="Times New Roman" w:cs="Times New Roman" w:eastAsia="Times New Roman" w:hint="default"/>
        </w:rPr>
        <w:t>6,150.00</w:t>
      </w:r>
      <w:r>
        <w:rPr>
          <w:rFonts w:ascii="Times New Roman" w:hAnsi="Times New Roman" w:cs="Times New Roman" w:eastAsia="Times New Roman" w:hint="default"/>
          <w:spacing w:val="-17"/>
        </w:rPr>
        <w:t> </w:t>
      </w:r>
      <w:r>
        <w:rPr>
          <w:spacing w:val="-6"/>
        </w:rPr>
        <w:t>万元。此次变更已经天健光华（北京）会计师事务所</w:t>
      </w:r>
    </w:p>
    <w:p>
      <w:pPr>
        <w:pStyle w:val="BodyText"/>
        <w:spacing w:line="240" w:lineRule="auto" w:before="22"/>
        <w:ind w:left="160" w:right="95"/>
        <w:jc w:val="left"/>
      </w:pPr>
      <w:r>
        <w:rPr/>
        <w:t>有限公司出具天健光华验（</w:t>
      </w:r>
      <w:r>
        <w:rPr>
          <w:rFonts w:ascii="Times New Roman" w:hAnsi="Times New Roman" w:cs="Times New Roman" w:eastAsia="Times New Roman" w:hint="default"/>
        </w:rPr>
        <w:t>2009</w:t>
      </w:r>
      <w:r>
        <w:rPr/>
        <w:t>）综字第</w:t>
      </w:r>
      <w:r>
        <w:rPr>
          <w:spacing w:val="-54"/>
        </w:rPr>
        <w:t> </w:t>
      </w:r>
      <w:r>
        <w:rPr>
          <w:rFonts w:ascii="Times New Roman" w:hAnsi="Times New Roman" w:cs="Times New Roman" w:eastAsia="Times New Roman" w:hint="default"/>
        </w:rPr>
        <w:t>060005</w:t>
      </w:r>
      <w:r>
        <w:rPr>
          <w:rFonts w:ascii="Times New Roman" w:hAnsi="Times New Roman" w:cs="Times New Roman" w:eastAsia="Times New Roman" w:hint="default"/>
          <w:spacing w:val="-4"/>
        </w:rPr>
        <w:t> </w:t>
      </w:r>
      <w:r>
        <w:rPr/>
        <w:t>号验资报告验证。</w:t>
      </w:r>
    </w:p>
    <w:p>
      <w:pPr>
        <w:pStyle w:val="BodyText"/>
        <w:spacing w:line="240" w:lineRule="auto" w:before="143"/>
        <w:ind w:left="580" w:right="95"/>
        <w:jc w:val="left"/>
      </w:pPr>
      <w:r>
        <w:rPr/>
        <w:t>根据公司</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年度股东大会批准，公司以</w:t>
      </w:r>
      <w:r>
        <w:rPr>
          <w:spacing w:val="-52"/>
        </w:rPr>
        <w:t> </w:t>
      </w:r>
      <w:r>
        <w:rPr>
          <w:rFonts w:ascii="Times New Roman" w:hAnsi="Times New Roman" w:cs="Times New Roman" w:eastAsia="Times New Roman" w:hint="default"/>
        </w:rPr>
        <w:t>2009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日的公司总股本</w:t>
      </w:r>
      <w:r>
        <w:rPr>
          <w:spacing w:val="-55"/>
        </w:rPr>
        <w:t> </w:t>
      </w:r>
      <w:r>
        <w:rPr>
          <w:rFonts w:ascii="Times New Roman" w:hAnsi="Times New Roman" w:cs="Times New Roman" w:eastAsia="Times New Roman" w:hint="default"/>
        </w:rPr>
        <w:t>6150 </w:t>
      </w:r>
      <w:r>
        <w:rPr/>
        <w:t>万股</w:t>
      </w:r>
    </w:p>
    <w:p>
      <w:pPr>
        <w:pStyle w:val="BodyText"/>
        <w:spacing w:line="240" w:lineRule="auto" w:before="117"/>
        <w:ind w:left="160" w:right="95"/>
        <w:jc w:val="left"/>
      </w:pPr>
      <w:r>
        <w:rPr/>
        <w:t>为基数，以资本公积转增股本，每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股。转增后的股本为</w:t>
      </w:r>
      <w:r>
        <w:rPr>
          <w:spacing w:val="-51"/>
        </w:rPr>
        <w:t> </w:t>
      </w:r>
      <w:r>
        <w:rPr>
          <w:rFonts w:ascii="Times New Roman" w:hAnsi="Times New Roman" w:cs="Times New Roman" w:eastAsia="Times New Roman" w:hint="default"/>
        </w:rPr>
        <w:t>10455</w:t>
      </w:r>
      <w:r>
        <w:rPr>
          <w:rFonts w:ascii="Times New Roman" w:hAnsi="Times New Roman" w:cs="Times New Roman" w:eastAsia="Times New Roman" w:hint="default"/>
          <w:spacing w:val="-1"/>
        </w:rPr>
        <w:t> </w:t>
      </w:r>
      <w:r>
        <w:rPr/>
        <w:t>万股，此次变更</w:t>
      </w:r>
    </w:p>
    <w:p>
      <w:pPr>
        <w:pStyle w:val="BodyText"/>
        <w:spacing w:line="338" w:lineRule="auto" w:before="117"/>
        <w:ind w:left="160" w:right="206"/>
        <w:jc w:val="left"/>
      </w:pPr>
      <w:r>
        <w:rPr/>
        <w:t>已经天健正信会计师事务所有限公司出具天健正信验（</w:t>
      </w:r>
      <w:r>
        <w:rPr>
          <w:rFonts w:ascii="Times New Roman" w:hAnsi="Times New Roman" w:cs="Times New Roman" w:eastAsia="Times New Roman" w:hint="default"/>
        </w:rPr>
        <w:t>2010</w:t>
      </w:r>
      <w:r>
        <w:rPr/>
        <w:t>）综字第</w:t>
      </w:r>
      <w:r>
        <w:rPr>
          <w:spacing w:val="-49"/>
        </w:rPr>
        <w:t> </w:t>
      </w:r>
      <w:r>
        <w:rPr>
          <w:rFonts w:ascii="Times New Roman" w:hAnsi="Times New Roman" w:cs="Times New Roman" w:eastAsia="Times New Roman" w:hint="default"/>
        </w:rPr>
        <w:t>220002</w:t>
      </w:r>
      <w:r>
        <w:rPr>
          <w:rFonts w:ascii="Times New Roman" w:hAnsi="Times New Roman" w:cs="Times New Roman" w:eastAsia="Times New Roman" w:hint="default"/>
          <w:spacing w:val="1"/>
        </w:rPr>
        <w:t> </w:t>
      </w:r>
      <w:r>
        <w:rPr/>
        <w:t>号验资报告验</w:t>
      </w:r>
      <w:r>
        <w:rPr>
          <w:w w:val="100"/>
        </w:rPr>
        <w:t> </w:t>
      </w:r>
      <w:r>
        <w:rPr/>
        <w:t>证。</w:t>
      </w:r>
    </w:p>
    <w:p>
      <w:pPr>
        <w:pStyle w:val="BodyText"/>
        <w:spacing w:line="336" w:lineRule="auto" w:before="71"/>
        <w:ind w:left="160" w:right="216" w:firstLine="419"/>
        <w:jc w:val="both"/>
      </w:pPr>
      <w:r>
        <w:rPr>
          <w:spacing w:val="-1"/>
        </w:rPr>
        <w:t>公司取得郑州市工商行政管理局颁发的企业法人营业执照，号码：</w:t>
      </w:r>
      <w:r>
        <w:rPr>
          <w:rFonts w:ascii="Times New Roman" w:hAnsi="Times New Roman" w:cs="Times New Roman" w:eastAsia="Times New Roman" w:hint="default"/>
          <w:spacing w:val="-1"/>
        </w:rPr>
        <w:t>410100000015035</w:t>
      </w:r>
      <w:r>
        <w:rPr>
          <w:spacing w:val="-1"/>
        </w:rPr>
        <w:t>。</w:t>
      </w:r>
      <w:r>
        <w:rPr>
          <w:w w:val="100"/>
        </w:rPr>
        <w:t> </w:t>
      </w:r>
      <w:r>
        <w:rPr/>
        <w:t>公司住所：郑州市高新技术产业开发区重阳街</w:t>
      </w:r>
      <w:r>
        <w:rPr>
          <w:spacing w:val="-55"/>
        </w:rPr>
        <w:t> </w:t>
      </w:r>
      <w:r>
        <w:rPr>
          <w:rFonts w:ascii="Times New Roman" w:hAnsi="Times New Roman" w:cs="Times New Roman" w:eastAsia="Times New Roman" w:hint="default"/>
        </w:rPr>
        <w:t>74</w:t>
      </w:r>
      <w:r>
        <w:rPr>
          <w:rFonts w:ascii="Times New Roman" w:hAnsi="Times New Roman" w:cs="Times New Roman" w:eastAsia="Times New Roman" w:hint="default"/>
          <w:spacing w:val="-5"/>
        </w:rPr>
        <w:t> </w:t>
      </w:r>
      <w:r>
        <w:rPr/>
        <w:t>号，法定代表人：李海鹰。</w:t>
      </w:r>
    </w:p>
    <w:p>
      <w:pPr>
        <w:pStyle w:val="BodyText"/>
        <w:spacing w:line="355" w:lineRule="auto" w:before="50"/>
        <w:ind w:left="160" w:right="211" w:firstLine="419"/>
        <w:jc w:val="both"/>
      </w:pPr>
      <w:r>
        <w:rPr>
          <w:spacing w:val="-4"/>
        </w:rPr>
        <w:t>公司主要经营范围：计算机监控设备、电子产品的设计、开发、生产；通讯设备（凭有</w:t>
      </w:r>
      <w:r>
        <w:rPr>
          <w:w w:val="100"/>
        </w:rPr>
        <w:t> </w:t>
      </w:r>
      <w:r>
        <w:rPr>
          <w:spacing w:val="-4"/>
          <w:w w:val="100"/>
        </w:rPr>
        <w:t>效批准证书并按其核定和范围经营）、电子器件、仪器仪表、电子产品的销售；软件开发；</w:t>
      </w:r>
      <w:r>
        <w:rPr>
          <w:spacing w:val="-91"/>
          <w:w w:val="100"/>
        </w:rPr>
        <w:t> </w:t>
      </w:r>
      <w:r>
        <w:rPr>
          <w:spacing w:val="-91"/>
          <w:w w:val="100"/>
        </w:rPr>
      </w:r>
      <w:r>
        <w:rPr>
          <w:spacing w:val="-4"/>
        </w:rPr>
        <w:t>信息服务。铁路电务工程施工（凭有效资质证核定的范围和期限经营，未获审批前，不得经</w:t>
      </w:r>
    </w:p>
    <w:p>
      <w:pPr>
        <w:spacing w:after="0" w:line="355" w:lineRule="auto"/>
        <w:jc w:val="both"/>
        <w:sectPr>
          <w:footerReference w:type="default" r:id="rId40"/>
          <w:pgSz w:w="11910" w:h="16840"/>
          <w:pgMar w:footer="1186" w:header="852" w:top="1200" w:bottom="1380" w:left="1640" w:right="1580"/>
        </w:sectPr>
      </w:pPr>
    </w:p>
    <w:p>
      <w:pPr>
        <w:spacing w:line="240" w:lineRule="auto" w:before="3"/>
        <w:rPr>
          <w:rFonts w:ascii="宋体" w:hAnsi="宋体" w:cs="宋体" w:eastAsia="宋体" w:hint="default"/>
          <w:sz w:val="12"/>
          <w:szCs w:val="12"/>
        </w:rPr>
      </w:pPr>
    </w:p>
    <w:p>
      <w:pPr>
        <w:pStyle w:val="BodyText"/>
        <w:spacing w:line="240" w:lineRule="auto" w:before="36"/>
        <w:ind w:right="0"/>
        <w:jc w:val="both"/>
      </w:pPr>
      <w:r>
        <w:rPr>
          <w:w w:val="100"/>
        </w:rPr>
        <w:t>营</w:t>
      </w:r>
      <w:r>
        <w:rPr>
          <w:spacing w:val="-106"/>
          <w:w w:val="100"/>
        </w:rPr>
        <w:t>）</w:t>
      </w:r>
      <w:r>
        <w:rPr>
          <w:w w:val="100"/>
        </w:rPr>
        <w:t>。</w:t>
      </w:r>
    </w:p>
    <w:p>
      <w:pPr>
        <w:pStyle w:val="BodyText"/>
        <w:spacing w:line="376" w:lineRule="auto" w:before="160"/>
        <w:ind w:left="540" w:right="107"/>
        <w:jc w:val="left"/>
      </w:pPr>
      <w:r>
        <w:rPr/>
        <w:t>公司的主营业务为铁路信号通信领域产品的研制开发、生产及销售。</w:t>
      </w:r>
      <w:r>
        <w:rPr>
          <w:w w:val="100"/>
        </w:rPr>
        <w:t> </w:t>
      </w:r>
      <w:r>
        <w:rPr>
          <w:spacing w:val="-2"/>
          <w:w w:val="100"/>
        </w:rPr>
        <w:t>公司主要产品包括铁路信号集中监测系统、列车调度指挥系统（</w:t>
      </w:r>
      <w:r>
        <w:rPr>
          <w:rFonts w:ascii="Times New Roman" w:hAnsi="Times New Roman" w:cs="Times New Roman" w:eastAsia="Times New Roman" w:hint="default"/>
          <w:spacing w:val="-2"/>
          <w:w w:val="100"/>
        </w:rPr>
        <w:t>TDCS</w:t>
      </w:r>
      <w:r>
        <w:rPr>
          <w:spacing w:val="-2"/>
          <w:w w:val="100"/>
        </w:rPr>
        <w:t>）、无线调车机</w:t>
      </w:r>
    </w:p>
    <w:p>
      <w:pPr>
        <w:pStyle w:val="BodyText"/>
        <w:spacing w:line="260" w:lineRule="exact"/>
        <w:ind w:right="0"/>
        <w:jc w:val="both"/>
      </w:pPr>
      <w:r>
        <w:rPr>
          <w:spacing w:val="-4"/>
        </w:rPr>
        <w:t>车信号和监控系统、铁路防灾安全监控系统、铁路电源及机房环境监控系统、分散自律调度</w:t>
      </w:r>
    </w:p>
    <w:p>
      <w:pPr>
        <w:pStyle w:val="BodyText"/>
        <w:spacing w:line="350" w:lineRule="auto" w:before="135"/>
        <w:ind w:right="111"/>
        <w:jc w:val="both"/>
      </w:pPr>
      <w:r>
        <w:rPr>
          <w:spacing w:val="-4"/>
          <w:w w:val="100"/>
        </w:rPr>
        <w:t>集中系统（</w:t>
      </w:r>
      <w:r>
        <w:rPr>
          <w:rFonts w:ascii="Times New Roman" w:hAnsi="Times New Roman" w:cs="Times New Roman" w:eastAsia="Times New Roman" w:hint="default"/>
          <w:spacing w:val="-4"/>
          <w:w w:val="100"/>
        </w:rPr>
        <w:t>CTC</w:t>
      </w:r>
      <w:r>
        <w:rPr>
          <w:spacing w:val="-4"/>
          <w:w w:val="100"/>
        </w:rPr>
        <w:t>）、无线车次号校核系统、机车综合无线通信设备、计轴系统、厂矿铁路综</w:t>
      </w:r>
      <w:r>
        <w:rPr>
          <w:spacing w:val="-79"/>
          <w:w w:val="100"/>
        </w:rPr>
        <w:t> </w:t>
      </w:r>
      <w:r>
        <w:rPr>
          <w:spacing w:val="-79"/>
          <w:w w:val="100"/>
        </w:rPr>
      </w:r>
      <w:r>
        <w:rPr>
          <w:spacing w:val="-4"/>
        </w:rPr>
        <w:t>合信息管理系统、铁路综合视频监控系统、电务管理信息系统、铁路信号计算机联锁系统以</w:t>
      </w:r>
      <w:r>
        <w:rPr>
          <w:spacing w:val="-46"/>
        </w:rPr>
        <w:t> </w:t>
      </w:r>
      <w:r>
        <w:rPr>
          <w:spacing w:val="-46"/>
        </w:rPr>
      </w:r>
      <w:r>
        <w:rPr>
          <w:spacing w:val="-4"/>
        </w:rPr>
        <w:t>及电源维护测试产品等。公司营业收入主要是以上产品形成的收入，报告期内公司主营业务</w:t>
      </w:r>
      <w:r>
        <w:rPr>
          <w:spacing w:val="-44"/>
        </w:rPr>
        <w:t> </w:t>
      </w:r>
      <w:r>
        <w:rPr>
          <w:spacing w:val="-44"/>
        </w:rPr>
      </w:r>
      <w:r>
        <w:rPr/>
        <w:t>未发生变更。</w:t>
      </w:r>
    </w:p>
    <w:p>
      <w:pPr>
        <w:pStyle w:val="Heading4"/>
        <w:spacing w:line="240" w:lineRule="auto" w:before="56"/>
        <w:ind w:left="120" w:right="0"/>
        <w:jc w:val="both"/>
      </w:pPr>
      <w:r>
        <w:rPr/>
        <w:t>二、公司主要会计政策、会计估计和前期差错</w:t>
      </w:r>
    </w:p>
    <w:p>
      <w:pPr>
        <w:spacing w:line="500" w:lineRule="atLeast" w:before="9"/>
        <w:ind w:left="540" w:right="107"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0"/>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4"/>
          <w:sz w:val="21"/>
          <w:szCs w:val="21"/>
        </w:rPr>
        <w:t>本公司以持续经营为基础，根据实际发生的交易和事项，按照《企业会计准则</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基本准</w:t>
      </w:r>
    </w:p>
    <w:p>
      <w:pPr>
        <w:pStyle w:val="BodyText"/>
        <w:spacing w:line="355" w:lineRule="auto" w:before="117"/>
        <w:ind w:right="111"/>
        <w:jc w:val="both"/>
      </w:pPr>
      <w:r>
        <w:rPr>
          <w:spacing w:val="-4"/>
        </w:rPr>
        <w:t>则》和其他各项具体会计准则、应用指南及准则解释的规定进行确认和计量，在此基础上编</w:t>
      </w:r>
      <w:r>
        <w:rPr>
          <w:spacing w:val="-46"/>
        </w:rPr>
        <w:t> </w:t>
      </w:r>
      <w:r>
        <w:rPr>
          <w:spacing w:val="-46"/>
        </w:rPr>
      </w:r>
      <w:r>
        <w:rPr>
          <w:spacing w:val="-4"/>
        </w:rPr>
        <w:t>制财务报表。编制符合企业会计准则要求的财务报表需要使用估计和假设，这些估计和假设</w:t>
      </w:r>
      <w:r>
        <w:rPr>
          <w:spacing w:val="-44"/>
        </w:rPr>
        <w:t> </w:t>
      </w:r>
      <w:r>
        <w:rPr>
          <w:spacing w:val="-44"/>
        </w:rPr>
      </w:r>
      <w:r>
        <w:rPr/>
        <w:t>会影响到财务报告日的资产、负债和或有负债的披露，以及报告期间的收入和费用。</w:t>
      </w:r>
    </w:p>
    <w:p>
      <w:pPr>
        <w:spacing w:line="427" w:lineRule="auto" w:before="109"/>
        <w:ind w:left="540" w:right="107"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6"/>
          <w:sz w:val="21"/>
          <w:szCs w:val="21"/>
        </w:rPr>
        <w:t>本公司编制的财务报表符合《企业会计准则》的要求，真实、完整地反映了本公司</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2010</w:t>
      </w:r>
    </w:p>
    <w:p>
      <w:pPr>
        <w:pStyle w:val="BodyText"/>
        <w:spacing w:line="227" w:lineRule="exact"/>
        <w:ind w:right="0"/>
        <w:jc w:val="both"/>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日的财务状况、</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年度的经营成果和现金流量等有关信息。</w:t>
      </w:r>
    </w:p>
    <w:p>
      <w:pPr>
        <w:pStyle w:val="Heading5"/>
        <w:spacing w:line="240" w:lineRule="auto" w:before="194"/>
        <w:ind w:left="540" w:right="107"/>
        <w:jc w:val="left"/>
        <w:rPr>
          <w:b w:val="0"/>
          <w:bCs w:val="0"/>
        </w:rPr>
      </w:pPr>
      <w:r>
        <w:rPr/>
        <w:t>（三）</w:t>
      </w:r>
      <w:r>
        <w:rPr>
          <w:spacing w:val="-78"/>
        </w:rPr>
        <w:t> </w:t>
      </w:r>
      <w:r>
        <w:rPr/>
        <w:t>会计期间</w:t>
      </w:r>
      <w:r>
        <w:rPr>
          <w:b w:val="0"/>
          <w:bCs w:val="0"/>
        </w:rPr>
      </w:r>
    </w:p>
    <w:p>
      <w:pPr>
        <w:spacing w:line="240" w:lineRule="auto" w:before="3"/>
        <w:rPr>
          <w:rFonts w:ascii="宋体" w:hAnsi="宋体" w:cs="宋体" w:eastAsia="宋体" w:hint="default"/>
          <w:b/>
          <w:bCs/>
          <w:sz w:val="16"/>
          <w:szCs w:val="16"/>
        </w:rPr>
      </w:pPr>
    </w:p>
    <w:p>
      <w:pPr>
        <w:pStyle w:val="BodyText"/>
        <w:spacing w:line="240" w:lineRule="auto"/>
        <w:ind w:left="540" w:right="107"/>
        <w:jc w:val="left"/>
      </w:pPr>
      <w:r>
        <w:rPr/>
        <w:t>本公司会计年度为公历年度，即每年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427" w:lineRule="auto" w:before="194"/>
        <w:ind w:left="540" w:right="3402"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80"/>
          <w:sz w:val="21"/>
          <w:szCs w:val="21"/>
        </w:rPr>
        <w:t> </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本公司以人民币为记账本位币。</w:t>
      </w:r>
    </w:p>
    <w:p>
      <w:pPr>
        <w:pStyle w:val="Heading5"/>
        <w:spacing w:line="240" w:lineRule="auto" w:before="43"/>
        <w:ind w:left="540" w:right="107"/>
        <w:jc w:val="left"/>
        <w:rPr>
          <w:b w:val="0"/>
          <w:bCs w:val="0"/>
        </w:rPr>
      </w:pPr>
      <w:r>
        <w:rPr/>
        <w:t>（五）</w:t>
      </w:r>
      <w:r>
        <w:rPr>
          <w:spacing w:val="-83"/>
        </w:rPr>
        <w:t> </w:t>
      </w:r>
      <w:r>
        <w:rPr/>
        <w:t>同一控制下和非同一控制下企业合并的会计处理方法</w:t>
      </w:r>
      <w:r>
        <w:rPr>
          <w:b w:val="0"/>
          <w:bCs w:val="0"/>
        </w:rPr>
      </w:r>
    </w:p>
    <w:p>
      <w:pPr>
        <w:spacing w:line="240" w:lineRule="auto" w:before="5"/>
        <w:rPr>
          <w:rFonts w:ascii="宋体" w:hAnsi="宋体" w:cs="宋体" w:eastAsia="宋体" w:hint="default"/>
          <w:b/>
          <w:bCs/>
          <w:sz w:val="16"/>
          <w:szCs w:val="16"/>
        </w:rPr>
      </w:pPr>
    </w:p>
    <w:p>
      <w:pPr>
        <w:spacing w:line="357" w:lineRule="auto" w:before="0"/>
        <w:ind w:left="540" w:right="1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0"/>
          <w:sz w:val="21"/>
          <w:szCs w:val="21"/>
        </w:rPr>
        <w:t> </w:t>
      </w:r>
      <w:r>
        <w:rPr>
          <w:rFonts w:ascii="宋体" w:hAnsi="宋体" w:cs="宋体" w:eastAsia="宋体" w:hint="default"/>
          <w:b/>
          <w:bCs/>
          <w:sz w:val="21"/>
          <w:szCs w:val="21"/>
        </w:rPr>
        <w:t>同一控制下的企业合并</w:t>
      </w:r>
      <w:r>
        <w:rPr>
          <w:rFonts w:ascii="宋体" w:hAnsi="宋体" w:cs="宋体" w:eastAsia="宋体" w:hint="default"/>
          <w:b/>
          <w:bCs/>
          <w:w w:val="100"/>
          <w:sz w:val="21"/>
          <w:szCs w:val="21"/>
        </w:rPr>
        <w:t> </w:t>
      </w:r>
      <w:r>
        <w:rPr>
          <w:rFonts w:ascii="宋体" w:hAnsi="宋体" w:cs="宋体" w:eastAsia="宋体" w:hint="default"/>
          <w:spacing w:val="-4"/>
          <w:sz w:val="21"/>
          <w:szCs w:val="21"/>
        </w:rPr>
        <w:t>对于同一控制下的企业合并，合并方在企业合并中取得的资产和负债，按照合并日在被</w:t>
      </w:r>
    </w:p>
    <w:p>
      <w:pPr>
        <w:pStyle w:val="BodyText"/>
        <w:spacing w:line="355" w:lineRule="auto" w:before="30"/>
        <w:ind w:right="111"/>
        <w:jc w:val="both"/>
      </w:pPr>
      <w:r>
        <w:rPr>
          <w:spacing w:val="-4"/>
        </w:rPr>
        <w:t>合并方的账面价值计量。合并方取得的净资产账面价值与支付的合并对价账面价值（或发行</w:t>
      </w:r>
      <w:r>
        <w:rPr>
          <w:spacing w:val="-45"/>
        </w:rPr>
        <w:t> </w:t>
      </w:r>
      <w:r>
        <w:rPr>
          <w:spacing w:val="-45"/>
        </w:rPr>
      </w:r>
      <w:r>
        <w:rPr/>
        <w:t>股份面值总额）的差额，调整资本公积；资本公积不足冲减的，调整留存收益。</w:t>
      </w:r>
    </w:p>
    <w:p>
      <w:pPr>
        <w:spacing w:line="357" w:lineRule="auto" w:before="59"/>
        <w:ind w:left="540" w:right="1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40"/>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w w:val="100"/>
          <w:sz w:val="21"/>
          <w:szCs w:val="21"/>
        </w:rPr>
        <w:t>对于非同一控制下的企业合并，合并成本为购买方在购买日为取得对被购买方的控制权</w:t>
      </w:r>
    </w:p>
    <w:p>
      <w:pPr>
        <w:pStyle w:val="BodyText"/>
        <w:spacing w:line="376" w:lineRule="auto" w:before="30"/>
        <w:ind w:left="540" w:right="107" w:hanging="420"/>
        <w:jc w:val="left"/>
      </w:pPr>
      <w:r>
        <w:rPr/>
        <w:t>而付出的资产、发生或承担的负债以及发行的权益性证券的公允价值。</w:t>
      </w:r>
      <w:r>
        <w:rPr>
          <w:w w:val="100"/>
        </w:rPr>
        <w:t> </w:t>
      </w:r>
      <w:r>
        <w:rPr>
          <w:spacing w:val="-4"/>
          <w:w w:val="100"/>
        </w:rPr>
        <w:t>通过多次交换交易分步实现的非同一控制下企业合并，区分个别财务报表和合并财务报</w:t>
      </w:r>
    </w:p>
    <w:p>
      <w:pPr>
        <w:pStyle w:val="BodyText"/>
        <w:spacing w:line="240" w:lineRule="auto" w:before="16"/>
        <w:ind w:right="0"/>
        <w:jc w:val="both"/>
      </w:pPr>
      <w:r>
        <w:rPr/>
        <w:t>表进行相关会计处理：</w:t>
      </w:r>
    </w:p>
    <w:p>
      <w:pPr>
        <w:spacing w:after="0" w:line="240" w:lineRule="auto"/>
        <w:jc w:val="both"/>
        <w:sectPr>
          <w:footerReference w:type="default" r:id="rId41"/>
          <w:pgSz w:w="11910" w:h="16840"/>
          <w:pgMar w:footer="1186" w:header="852" w:top="1200" w:bottom="1380" w:left="1680" w:right="1680"/>
          <w:pgNumType w:start="78"/>
        </w:sectPr>
      </w:pPr>
    </w:p>
    <w:p>
      <w:pPr>
        <w:spacing w:line="240" w:lineRule="auto" w:before="3"/>
        <w:rPr>
          <w:rFonts w:ascii="宋体" w:hAnsi="宋体" w:cs="宋体" w:eastAsia="宋体" w:hint="default"/>
          <w:sz w:val="12"/>
          <w:szCs w:val="12"/>
        </w:rPr>
      </w:pPr>
    </w:p>
    <w:p>
      <w:pPr>
        <w:pStyle w:val="BodyText"/>
        <w:spacing w:line="350" w:lineRule="auto" w:before="36"/>
        <w:ind w:right="211" w:firstLine="419"/>
        <w:jc w:val="both"/>
      </w:pPr>
      <w:r>
        <w:rPr>
          <w:spacing w:val="-1"/>
        </w:rPr>
        <w:t>（</w:t>
      </w:r>
      <w:r>
        <w:rPr>
          <w:rFonts w:ascii="Times New Roman" w:hAnsi="Times New Roman" w:cs="Times New Roman" w:eastAsia="Times New Roman" w:hint="default"/>
          <w:spacing w:val="-1"/>
        </w:rPr>
        <w:t>1</w:t>
      </w:r>
      <w:r>
        <w:rPr>
          <w:spacing w:val="-1"/>
        </w:rPr>
        <w:t>）在个别财务报表中，以购买日之前所持被购买方的股权投资的账面价值与购买日</w:t>
      </w:r>
      <w:r>
        <w:rPr>
          <w:w w:val="100"/>
        </w:rPr>
        <w:t> </w:t>
      </w:r>
      <w:r>
        <w:rPr>
          <w:spacing w:val="-4"/>
        </w:rPr>
        <w:t>新增投资成本之和，作为该项投资的初始投资成本；购买日之前持有的被购买方的股权涉及</w:t>
      </w:r>
      <w:r>
        <w:rPr>
          <w:spacing w:val="-44"/>
        </w:rPr>
        <w:t> </w:t>
      </w:r>
      <w:r>
        <w:rPr>
          <w:spacing w:val="-44"/>
        </w:rPr>
      </w:r>
      <w:r>
        <w:rPr>
          <w:spacing w:val="-4"/>
        </w:rPr>
        <w:t>其他综合收益的，在处置该项投资时将与其相关的其他综合收益（例如，可供出售金融资产</w:t>
      </w:r>
      <w:r>
        <w:rPr>
          <w:spacing w:val="-45"/>
        </w:rPr>
        <w:t> </w:t>
      </w:r>
      <w:r>
        <w:rPr>
          <w:spacing w:val="-45"/>
        </w:rPr>
      </w:r>
      <w:r>
        <w:rPr/>
        <w:t>公允价值变动计入资本公积的部分，下同）转入当期投资收益。</w:t>
      </w:r>
    </w:p>
    <w:p>
      <w:pPr>
        <w:pStyle w:val="BodyText"/>
        <w:spacing w:line="350" w:lineRule="auto" w:before="60"/>
        <w:ind w:right="211" w:firstLine="419"/>
        <w:jc w:val="both"/>
      </w:pPr>
      <w:r>
        <w:rPr>
          <w:spacing w:val="-1"/>
        </w:rPr>
        <w:t>（</w:t>
      </w:r>
      <w:r>
        <w:rPr>
          <w:rFonts w:ascii="Times New Roman" w:hAnsi="Times New Roman" w:cs="Times New Roman" w:eastAsia="Times New Roman" w:hint="default"/>
          <w:spacing w:val="-1"/>
        </w:rPr>
        <w:t>2</w:t>
      </w:r>
      <w:r>
        <w:rPr>
          <w:spacing w:val="-1"/>
        </w:rPr>
        <w:t>）在合并财务报表中，对于购买日之前持有的被购买方的股权，按照该股权在购买</w:t>
      </w:r>
      <w:r>
        <w:rPr>
          <w:w w:val="100"/>
        </w:rPr>
        <w:t> </w:t>
      </w:r>
      <w:r>
        <w:rPr>
          <w:spacing w:val="-4"/>
        </w:rPr>
        <w:t>日的公允价值进行重新计量，公允价值与其账面价值的差额计入当期投资收益；购买日之前</w:t>
      </w:r>
      <w:r>
        <w:rPr>
          <w:spacing w:val="-44"/>
        </w:rPr>
        <w:t> </w:t>
      </w:r>
      <w:r>
        <w:rPr>
          <w:spacing w:val="-44"/>
        </w:rPr>
      </w:r>
      <w:r>
        <w:rPr>
          <w:spacing w:val="-4"/>
          <w:w w:val="100"/>
        </w:rPr>
        <w:t>持有的被购买方的股权涉及其他综合收益的，与其相关的其他综合收益转为购买日所属当期</w:t>
      </w:r>
      <w:r>
        <w:rPr>
          <w:spacing w:val="-94"/>
          <w:w w:val="100"/>
        </w:rPr>
        <w:t> </w:t>
      </w:r>
      <w:r>
        <w:rPr>
          <w:spacing w:val="-94"/>
          <w:w w:val="100"/>
        </w:rPr>
      </w:r>
      <w:r>
        <w:rPr/>
        <w:t>投资收益。</w:t>
      </w:r>
    </w:p>
    <w:p>
      <w:pPr>
        <w:pStyle w:val="BodyText"/>
        <w:spacing w:line="357" w:lineRule="auto" w:before="63"/>
        <w:ind w:right="211" w:firstLine="419"/>
        <w:jc w:val="both"/>
      </w:pPr>
      <w:r>
        <w:rPr>
          <w:spacing w:val="-4"/>
        </w:rPr>
        <w:t>购买方为进行企业合并发生的审计、法律服务、评估咨询等中介费用以及其他相关管理</w:t>
      </w:r>
      <w:r>
        <w:rPr>
          <w:w w:val="100"/>
        </w:rPr>
        <w:t> </w:t>
      </w:r>
      <w:r>
        <w:rPr>
          <w:spacing w:val="-4"/>
        </w:rPr>
        <w:t>费用，于发生时计入当期损益；购买方作为合并对价发行的权益性证券或债务性证券的交易</w:t>
      </w:r>
      <w:r>
        <w:rPr>
          <w:spacing w:val="-44"/>
        </w:rPr>
        <w:t> </w:t>
      </w:r>
      <w:r>
        <w:rPr>
          <w:spacing w:val="-44"/>
        </w:rPr>
      </w:r>
      <w:r>
        <w:rPr/>
        <w:t>费用，计入权益性证券或债务性证券的初始确认金额。</w:t>
      </w:r>
    </w:p>
    <w:p>
      <w:pPr>
        <w:pStyle w:val="BodyText"/>
        <w:spacing w:line="355" w:lineRule="auto" w:before="56"/>
        <w:ind w:right="211" w:firstLine="419"/>
        <w:jc w:val="both"/>
      </w:pPr>
      <w:r>
        <w:rPr>
          <w:spacing w:val="-4"/>
          <w:w w:val="100"/>
        </w:rPr>
        <w:t>购买方对合并成本大于合并中取得的被购买方可辨认净资产公允价值份额的差额，确认</w:t>
      </w:r>
      <w:r>
        <w:rPr>
          <w:w w:val="100"/>
        </w:rPr>
        <w:t> </w:t>
      </w:r>
      <w:r>
        <w:rPr>
          <w:spacing w:val="-4"/>
        </w:rPr>
        <w:t>为商誉。购买方对合并成本小于合并中取得的被购买方可辨认净资产公允价值份额的，经复</w:t>
      </w:r>
      <w:r>
        <w:rPr>
          <w:spacing w:val="-44"/>
        </w:rPr>
        <w:t> </w:t>
      </w:r>
      <w:r>
        <w:rPr>
          <w:spacing w:val="-44"/>
        </w:rPr>
      </w:r>
      <w:r>
        <w:rPr>
          <w:spacing w:val="-4"/>
          <w:w w:val="100"/>
        </w:rPr>
        <w:t>核后合并成本仍小于合并中取得的被购买方可辨认净资产公允价值份额的差额，计入当期损</w:t>
      </w:r>
      <w:r>
        <w:rPr>
          <w:spacing w:val="-94"/>
          <w:w w:val="100"/>
        </w:rPr>
        <w:t> </w:t>
      </w:r>
      <w:r>
        <w:rPr>
          <w:spacing w:val="-94"/>
          <w:w w:val="100"/>
        </w:rPr>
      </w:r>
      <w:r>
        <w:rPr/>
        <w:t>益。</w:t>
      </w:r>
    </w:p>
    <w:p>
      <w:pPr>
        <w:pStyle w:val="Heading5"/>
        <w:spacing w:line="240" w:lineRule="auto" w:before="109"/>
        <w:ind w:left="540" w:right="98"/>
        <w:jc w:val="left"/>
        <w:rPr>
          <w:b w:val="0"/>
          <w:bCs w:val="0"/>
        </w:rPr>
      </w:pPr>
      <w:r>
        <w:rPr/>
        <w:t>（六）</w:t>
      </w:r>
      <w:r>
        <w:rPr>
          <w:spacing w:val="-78"/>
        </w:rPr>
        <w:t> </w:t>
      </w:r>
      <w:r>
        <w:rPr/>
        <w:t>合并财务报表的编制方法</w:t>
      </w:r>
      <w:r>
        <w:rPr>
          <w:b w:val="0"/>
          <w:bCs w:val="0"/>
        </w:rPr>
      </w:r>
    </w:p>
    <w:p>
      <w:pPr>
        <w:spacing w:line="240" w:lineRule="auto" w:before="5"/>
        <w:rPr>
          <w:rFonts w:ascii="宋体" w:hAnsi="宋体" w:cs="宋体" w:eastAsia="宋体" w:hint="default"/>
          <w:b/>
          <w:bCs/>
          <w:sz w:val="16"/>
          <w:szCs w:val="16"/>
        </w:rPr>
      </w:pPr>
    </w:p>
    <w:p>
      <w:pPr>
        <w:pStyle w:val="BodyText"/>
        <w:spacing w:line="376" w:lineRule="auto"/>
        <w:ind w:left="540" w:right="205"/>
        <w:jc w:val="left"/>
      </w:pPr>
      <w:r>
        <w:rPr/>
        <w:t>本公司将拥有实际控制权的子公司和特殊目的主体纳入合并财务报表范围。</w:t>
      </w:r>
      <w:r>
        <w:rPr>
          <w:w w:val="100"/>
        </w:rPr>
        <w:t> </w:t>
      </w:r>
      <w:r>
        <w:rPr/>
        <w:t>本公司合并财务报表按照《企业会计准则第</w:t>
      </w:r>
      <w:r>
        <w:rPr>
          <w:spacing w:val="-49"/>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号－合并财务报表》及相关规定的要求</w:t>
      </w:r>
    </w:p>
    <w:p>
      <w:pPr>
        <w:pStyle w:val="BodyText"/>
        <w:spacing w:line="357" w:lineRule="auto"/>
        <w:ind w:right="98"/>
        <w:jc w:val="left"/>
      </w:pPr>
      <w:r>
        <w:rPr>
          <w:spacing w:val="-4"/>
        </w:rPr>
        <w:t>编制，合并时合并范围内的所有重大内部交易和往来业已抵销。子公司的股东权益中不属于</w:t>
      </w:r>
      <w:r>
        <w:rPr>
          <w:spacing w:val="-44"/>
        </w:rPr>
        <w:t> </w:t>
      </w:r>
      <w:r>
        <w:rPr>
          <w:spacing w:val="-44"/>
        </w:rPr>
      </w:r>
      <w:r>
        <w:rPr/>
        <w:t>母公司所拥有的部分作为少数股东权益在合并财务报表中股东权益项下单独列示。</w:t>
      </w:r>
    </w:p>
    <w:p>
      <w:pPr>
        <w:pStyle w:val="BodyText"/>
        <w:spacing w:line="357" w:lineRule="auto" w:before="54"/>
        <w:ind w:right="211" w:firstLine="419"/>
        <w:jc w:val="both"/>
      </w:pPr>
      <w:r>
        <w:rPr>
          <w:spacing w:val="-4"/>
        </w:rPr>
        <w:t>子公司与本公司采用的会计政策或会计期间不一致的，在编制合并财务报表时，按照本</w:t>
      </w:r>
      <w:r>
        <w:rPr>
          <w:w w:val="100"/>
        </w:rPr>
        <w:t> </w:t>
      </w:r>
      <w:r>
        <w:rPr/>
        <w:t>公司的会计政策或会计期间对子公司财务报表进行必要的调整。</w:t>
      </w:r>
    </w:p>
    <w:p>
      <w:pPr>
        <w:pStyle w:val="BodyText"/>
        <w:spacing w:line="357" w:lineRule="auto" w:before="54"/>
        <w:ind w:right="98" w:firstLine="419"/>
        <w:jc w:val="left"/>
      </w:pPr>
      <w:r>
        <w:rPr>
          <w:spacing w:val="-4"/>
        </w:rPr>
        <w:t>对于非同一控制下企业合并取得的子公司，在编制合并财务报表时，以购买日可辨认净</w:t>
      </w:r>
      <w:r>
        <w:rPr>
          <w:w w:val="100"/>
        </w:rPr>
        <w:t> </w:t>
      </w:r>
      <w:r>
        <w:rPr>
          <w:spacing w:val="-2"/>
        </w:rPr>
        <w:t>资产公允价值为基础对其个别财务报表进行调整；对于同一控制下企业合并取得的子公司，</w:t>
      </w:r>
      <w:r>
        <w:rPr>
          <w:spacing w:val="-31"/>
        </w:rPr>
        <w:t> </w:t>
      </w:r>
      <w:r>
        <w:rPr>
          <w:spacing w:val="-31"/>
        </w:rPr>
      </w:r>
      <w:r>
        <w:rPr>
          <w:spacing w:val="-4"/>
          <w:w w:val="100"/>
        </w:rPr>
        <w:t>在编制合并财务报表时，视同合并后形成的报告主体自最终控制方开始实施控制时一直是一</w:t>
      </w:r>
      <w:r>
        <w:rPr>
          <w:spacing w:val="-94"/>
          <w:w w:val="100"/>
        </w:rPr>
        <w:t> </w:t>
      </w:r>
      <w:r>
        <w:rPr>
          <w:spacing w:val="-94"/>
          <w:w w:val="100"/>
        </w:rPr>
      </w:r>
      <w:r>
        <w:rPr>
          <w:spacing w:val="-4"/>
        </w:rPr>
        <w:t>体化存续下来的，对合并资产负债表的期初数进行调整，同时对比较报表的相关项目进行调</w:t>
      </w:r>
      <w:r>
        <w:rPr>
          <w:spacing w:val="-44"/>
        </w:rPr>
        <w:t> </w:t>
      </w:r>
      <w:r>
        <w:rPr>
          <w:spacing w:val="-44"/>
        </w:rPr>
      </w:r>
      <w:r>
        <w:rPr/>
        <w:t>整。</w:t>
      </w:r>
    </w:p>
    <w:p>
      <w:pPr>
        <w:spacing w:line="427" w:lineRule="auto" w:before="107"/>
        <w:ind w:left="540" w:right="98"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80"/>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本公司在编制现金流量表时所确定的现金，是指本公司的库存现金以及可以随时用于支</w:t>
      </w:r>
    </w:p>
    <w:p>
      <w:pPr>
        <w:pStyle w:val="BodyText"/>
        <w:spacing w:line="244" w:lineRule="exact"/>
        <w:ind w:right="0"/>
        <w:jc w:val="left"/>
      </w:pPr>
      <w:r>
        <w:rPr/>
        <w:t>付的存款；现金等价物，是指本公司持有的期限短、流动性强、易于转换为已知金额现金、</w:t>
      </w:r>
    </w:p>
    <w:p>
      <w:pPr>
        <w:pStyle w:val="BodyText"/>
        <w:spacing w:line="240" w:lineRule="auto" w:before="133"/>
        <w:ind w:right="98"/>
        <w:jc w:val="left"/>
      </w:pPr>
      <w:r>
        <w:rPr/>
        <w:t>价值变动风险很小的投资。</w:t>
      </w:r>
    </w:p>
    <w:p>
      <w:pPr>
        <w:spacing w:line="240" w:lineRule="auto" w:before="1"/>
        <w:rPr>
          <w:rFonts w:ascii="宋体" w:hAnsi="宋体" w:cs="宋体" w:eastAsia="宋体" w:hint="default"/>
          <w:sz w:val="16"/>
          <w:szCs w:val="16"/>
        </w:rPr>
      </w:pPr>
    </w:p>
    <w:p>
      <w:pPr>
        <w:pStyle w:val="Heading5"/>
        <w:spacing w:line="240" w:lineRule="auto"/>
        <w:ind w:left="540" w:right="98"/>
        <w:jc w:val="left"/>
        <w:rPr>
          <w:b w:val="0"/>
          <w:bCs w:val="0"/>
        </w:rPr>
      </w:pPr>
      <w:r>
        <w:rPr/>
        <w:t>（八）</w:t>
      </w:r>
      <w:r>
        <w:rPr>
          <w:spacing w:val="-78"/>
        </w:rPr>
        <w:t> </w:t>
      </w:r>
      <w:r>
        <w:rPr/>
        <w:t>外币业务和外币报表折算</w:t>
      </w:r>
      <w:r>
        <w:rPr>
          <w:b w:val="0"/>
          <w:bCs w:val="0"/>
        </w:rPr>
      </w:r>
    </w:p>
    <w:p>
      <w:pPr>
        <w:spacing w:after="0" w:line="240" w:lineRule="auto"/>
        <w:jc w:val="left"/>
        <w:sectPr>
          <w:pgSz w:w="11910" w:h="16840"/>
          <w:pgMar w:header="852" w:footer="1186" w:top="1200" w:bottom="1380" w:left="1680" w:right="1580"/>
        </w:sectPr>
      </w:pPr>
    </w:p>
    <w:p>
      <w:pPr>
        <w:spacing w:line="240" w:lineRule="auto" w:before="3"/>
        <w:rPr>
          <w:rFonts w:ascii="宋体" w:hAnsi="宋体" w:cs="宋体" w:eastAsia="宋体" w:hint="default"/>
          <w:b/>
          <w:bCs/>
          <w:sz w:val="12"/>
          <w:szCs w:val="12"/>
        </w:rPr>
      </w:pPr>
    </w:p>
    <w:p>
      <w:pPr>
        <w:pStyle w:val="BodyText"/>
        <w:spacing w:line="360" w:lineRule="auto" w:before="36"/>
        <w:ind w:left="540" w:right="98" w:firstLine="120"/>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6"/>
        </w:rPr>
        <w:t> </w:t>
      </w:r>
      <w:r>
        <w:rPr>
          <w:rFonts w:ascii="宋体" w:hAnsi="宋体" w:cs="宋体" w:eastAsia="宋体" w:hint="default"/>
          <w:b/>
          <w:bCs/>
        </w:rPr>
        <w:t>外币业务</w:t>
      </w:r>
      <w:r>
        <w:rPr>
          <w:rFonts w:ascii="宋体" w:hAnsi="宋体" w:cs="宋体" w:eastAsia="宋体" w:hint="default"/>
          <w:b/>
          <w:bCs/>
          <w:w w:val="100"/>
        </w:rPr>
        <w:t> </w:t>
      </w:r>
      <w:r>
        <w:rPr>
          <w:spacing w:val="-4"/>
          <w:w w:val="100"/>
        </w:rPr>
        <w:t>本公司对发生的外币业务，采用业务发生日中国人民银行授权中国外汇交易中心公布的</w:t>
      </w:r>
    </w:p>
    <w:p>
      <w:pPr>
        <w:pStyle w:val="BodyText"/>
        <w:spacing w:line="357" w:lineRule="auto" w:before="28"/>
        <w:ind w:right="211"/>
        <w:jc w:val="both"/>
      </w:pPr>
      <w:r>
        <w:rPr>
          <w:spacing w:val="-4"/>
        </w:rPr>
        <w:t>中间价折合为人民币记账。资产负债表日，外币货币性项目按中国人民银行授权中国外汇交</w:t>
      </w:r>
      <w:r>
        <w:rPr>
          <w:spacing w:val="-44"/>
        </w:rPr>
        <w:t> </w:t>
      </w:r>
      <w:r>
        <w:rPr>
          <w:spacing w:val="-44"/>
        </w:rPr>
      </w:r>
      <w:r>
        <w:rPr>
          <w:spacing w:val="-4"/>
        </w:rPr>
        <w:t>易中心公布的中间价折算，由此产生的汇兑损益，除属于与符合资本化条件资产有关的借款</w:t>
      </w:r>
      <w:r>
        <w:rPr>
          <w:spacing w:val="-44"/>
        </w:rPr>
        <w:t> </w:t>
      </w:r>
      <w:r>
        <w:rPr>
          <w:spacing w:val="-44"/>
        </w:rPr>
      </w:r>
      <w:r>
        <w:rPr>
          <w:spacing w:val="-4"/>
        </w:rPr>
        <w:t>产生的汇兑损益，予以资本化计入相关资产成本外，其余计入当期损益。以历史成本计量的</w:t>
      </w:r>
      <w:r>
        <w:rPr>
          <w:spacing w:val="-46"/>
        </w:rPr>
        <w:t> </w:t>
      </w:r>
      <w:r>
        <w:rPr>
          <w:spacing w:val="-46"/>
        </w:rPr>
      </w:r>
      <w:r>
        <w:rPr>
          <w:spacing w:val="-4"/>
          <w:w w:val="100"/>
        </w:rPr>
        <w:t>外币非货币性项目，仍采用业务发生日中国人民银行授权中国外汇交易中心公布的中间价折</w:t>
      </w:r>
      <w:r>
        <w:rPr>
          <w:spacing w:val="-94"/>
          <w:w w:val="100"/>
        </w:rPr>
        <w:t> </w:t>
      </w:r>
      <w:r>
        <w:rPr>
          <w:spacing w:val="-94"/>
          <w:w w:val="100"/>
        </w:rPr>
      </w:r>
      <w:r>
        <w:rPr/>
        <w:t>算，不改变其记账本位币金额。</w:t>
      </w:r>
    </w:p>
    <w:p>
      <w:pPr>
        <w:spacing w:line="357" w:lineRule="auto" w:before="54"/>
        <w:ind w:left="540" w:right="98" w:firstLine="1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6"/>
          <w:sz w:val="21"/>
          <w:szCs w:val="21"/>
        </w:rPr>
        <w:t> </w:t>
      </w:r>
      <w:r>
        <w:rPr>
          <w:rFonts w:ascii="宋体" w:hAnsi="宋体" w:cs="宋体" w:eastAsia="宋体" w:hint="default"/>
          <w:b/>
          <w:bCs/>
          <w:sz w:val="21"/>
          <w:szCs w:val="21"/>
        </w:rPr>
        <w:t>外币财务报表折算</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本公司对合并范围内境外经营实体的财务报表（含采用不同于本公司记账本位币的境内</w:t>
      </w:r>
    </w:p>
    <w:p>
      <w:pPr>
        <w:pStyle w:val="BodyText"/>
        <w:spacing w:line="379" w:lineRule="auto" w:before="30"/>
        <w:ind w:left="540" w:right="205" w:hanging="420"/>
        <w:jc w:val="left"/>
      </w:pPr>
      <w:r>
        <w:rPr>
          <w:w w:val="100"/>
        </w:rPr>
        <w:t>子公</w:t>
      </w:r>
      <w:r>
        <w:rPr>
          <w:spacing w:val="-3"/>
          <w:w w:val="100"/>
        </w:rPr>
        <w:t>司</w:t>
      </w:r>
      <w:r>
        <w:rPr>
          <w:w w:val="100"/>
        </w:rPr>
        <w:t>、</w:t>
      </w:r>
      <w:r>
        <w:rPr>
          <w:spacing w:val="-3"/>
          <w:w w:val="100"/>
        </w:rPr>
        <w:t>合</w:t>
      </w:r>
      <w:r>
        <w:rPr>
          <w:w w:val="100"/>
        </w:rPr>
        <w:t>营</w:t>
      </w:r>
      <w:r>
        <w:rPr>
          <w:spacing w:val="-3"/>
          <w:w w:val="100"/>
        </w:rPr>
        <w:t>企</w:t>
      </w:r>
      <w:r>
        <w:rPr>
          <w:w w:val="100"/>
        </w:rPr>
        <w:t>业</w:t>
      </w:r>
      <w:r>
        <w:rPr>
          <w:spacing w:val="-3"/>
          <w:w w:val="100"/>
        </w:rPr>
        <w:t>、</w:t>
      </w:r>
      <w:r>
        <w:rPr>
          <w:w w:val="100"/>
        </w:rPr>
        <w:t>联</w:t>
      </w:r>
      <w:r>
        <w:rPr>
          <w:spacing w:val="-3"/>
          <w:w w:val="100"/>
        </w:rPr>
        <w:t>营</w:t>
      </w:r>
      <w:r>
        <w:rPr>
          <w:w w:val="100"/>
        </w:rPr>
        <w:t>企业</w:t>
      </w:r>
      <w:r>
        <w:rPr>
          <w:spacing w:val="-3"/>
          <w:w w:val="100"/>
        </w:rPr>
        <w:t>、</w:t>
      </w:r>
      <w:r>
        <w:rPr>
          <w:w w:val="100"/>
        </w:rPr>
        <w:t>分</w:t>
      </w:r>
      <w:r>
        <w:rPr>
          <w:spacing w:val="-3"/>
          <w:w w:val="100"/>
        </w:rPr>
        <w:t>支</w:t>
      </w:r>
      <w:r>
        <w:rPr>
          <w:w w:val="100"/>
        </w:rPr>
        <w:t>机</w:t>
      </w:r>
      <w:r>
        <w:rPr>
          <w:spacing w:val="-3"/>
          <w:w w:val="100"/>
        </w:rPr>
        <w:t>构</w:t>
      </w:r>
      <w:r>
        <w:rPr>
          <w:w w:val="100"/>
        </w:rPr>
        <w:t>等</w:t>
      </w:r>
      <w:r>
        <w:rPr>
          <w:spacing w:val="-108"/>
          <w:w w:val="100"/>
        </w:rPr>
        <w:t>）</w:t>
      </w:r>
      <w:r>
        <w:rPr>
          <w:w w:val="100"/>
        </w:rPr>
        <w:t>，</w:t>
      </w:r>
      <w:r>
        <w:rPr>
          <w:spacing w:val="-3"/>
          <w:w w:val="100"/>
        </w:rPr>
        <w:t>折算</w:t>
      </w:r>
      <w:r>
        <w:rPr>
          <w:w w:val="100"/>
        </w:rPr>
        <w:t>为人</w:t>
      </w:r>
      <w:r>
        <w:rPr>
          <w:spacing w:val="-3"/>
          <w:w w:val="100"/>
        </w:rPr>
        <w:t>民</w:t>
      </w:r>
      <w:r>
        <w:rPr>
          <w:w w:val="100"/>
        </w:rPr>
        <w:t>币</w:t>
      </w:r>
      <w:r>
        <w:rPr>
          <w:spacing w:val="-3"/>
          <w:w w:val="100"/>
        </w:rPr>
        <w:t>财</w:t>
      </w:r>
      <w:r>
        <w:rPr>
          <w:w w:val="100"/>
        </w:rPr>
        <w:t>务</w:t>
      </w:r>
      <w:r>
        <w:rPr>
          <w:spacing w:val="-3"/>
          <w:w w:val="100"/>
        </w:rPr>
        <w:t>报</w:t>
      </w:r>
      <w:r>
        <w:rPr>
          <w:w w:val="100"/>
        </w:rPr>
        <w:t>表</w:t>
      </w:r>
      <w:r>
        <w:rPr>
          <w:spacing w:val="-3"/>
          <w:w w:val="100"/>
        </w:rPr>
        <w:t>进</w:t>
      </w:r>
      <w:r>
        <w:rPr>
          <w:w w:val="100"/>
        </w:rPr>
        <w:t>行</w:t>
      </w:r>
      <w:r>
        <w:rPr>
          <w:spacing w:val="-3"/>
          <w:w w:val="100"/>
        </w:rPr>
        <w:t>编</w:t>
      </w:r>
      <w:r>
        <w:rPr>
          <w:w w:val="100"/>
        </w:rPr>
        <w:t>报。</w:t>
      </w:r>
      <w:r>
        <w:rPr>
          <w:w w:val="100"/>
        </w:rPr>
        <w:t> 资产</w:t>
      </w:r>
      <w:r>
        <w:rPr>
          <w:spacing w:val="-3"/>
          <w:w w:val="100"/>
        </w:rPr>
        <w:t>负</w:t>
      </w:r>
      <w:r>
        <w:rPr>
          <w:w w:val="100"/>
        </w:rPr>
        <w:t>债</w:t>
      </w:r>
      <w:r>
        <w:rPr>
          <w:spacing w:val="-3"/>
          <w:w w:val="100"/>
        </w:rPr>
        <w:t>表</w:t>
      </w:r>
      <w:r>
        <w:rPr>
          <w:w w:val="100"/>
        </w:rPr>
        <w:t>中</w:t>
      </w:r>
      <w:r>
        <w:rPr>
          <w:spacing w:val="-3"/>
          <w:w w:val="100"/>
        </w:rPr>
        <w:t>的</w:t>
      </w:r>
      <w:r>
        <w:rPr>
          <w:w w:val="100"/>
        </w:rPr>
        <w:t>资</w:t>
      </w:r>
      <w:r>
        <w:rPr>
          <w:spacing w:val="-3"/>
          <w:w w:val="100"/>
        </w:rPr>
        <w:t>产</w:t>
      </w:r>
      <w:r>
        <w:rPr>
          <w:w w:val="100"/>
        </w:rPr>
        <w:t>和</w:t>
      </w:r>
      <w:r>
        <w:rPr>
          <w:spacing w:val="-3"/>
          <w:w w:val="100"/>
        </w:rPr>
        <w:t>负</w:t>
      </w:r>
      <w:r>
        <w:rPr>
          <w:w w:val="100"/>
        </w:rPr>
        <w:t>债项</w:t>
      </w:r>
      <w:r>
        <w:rPr>
          <w:spacing w:val="-3"/>
          <w:w w:val="100"/>
        </w:rPr>
        <w:t>目</w:t>
      </w:r>
      <w:r>
        <w:rPr>
          <w:spacing w:val="-97"/>
          <w:w w:val="100"/>
        </w:rPr>
        <w:t>，</w:t>
      </w:r>
      <w:r>
        <w:rPr>
          <w:w w:val="100"/>
        </w:rPr>
        <w:t>采</w:t>
      </w:r>
      <w:r>
        <w:rPr>
          <w:spacing w:val="-3"/>
          <w:w w:val="100"/>
        </w:rPr>
        <w:t>用</w:t>
      </w:r>
      <w:r>
        <w:rPr>
          <w:w w:val="100"/>
        </w:rPr>
        <w:t>资</w:t>
      </w:r>
      <w:r>
        <w:rPr>
          <w:spacing w:val="-3"/>
          <w:w w:val="100"/>
        </w:rPr>
        <w:t>产</w:t>
      </w:r>
      <w:r>
        <w:rPr>
          <w:w w:val="100"/>
        </w:rPr>
        <w:t>负</w:t>
      </w:r>
      <w:r>
        <w:rPr>
          <w:spacing w:val="-3"/>
          <w:w w:val="100"/>
        </w:rPr>
        <w:t>债</w:t>
      </w:r>
      <w:r>
        <w:rPr>
          <w:w w:val="100"/>
        </w:rPr>
        <w:t>表</w:t>
      </w:r>
      <w:r>
        <w:rPr>
          <w:spacing w:val="-3"/>
          <w:w w:val="100"/>
        </w:rPr>
        <w:t>日</w:t>
      </w:r>
      <w:r>
        <w:rPr>
          <w:w w:val="100"/>
        </w:rPr>
        <w:t>中国</w:t>
      </w:r>
      <w:r>
        <w:rPr>
          <w:spacing w:val="-3"/>
          <w:w w:val="100"/>
        </w:rPr>
        <w:t>人</w:t>
      </w:r>
      <w:r>
        <w:rPr>
          <w:w w:val="100"/>
        </w:rPr>
        <w:t>民</w:t>
      </w:r>
      <w:r>
        <w:rPr>
          <w:spacing w:val="-3"/>
          <w:w w:val="100"/>
        </w:rPr>
        <w:t>银</w:t>
      </w:r>
      <w:r>
        <w:rPr>
          <w:w w:val="100"/>
        </w:rPr>
        <w:t>行</w:t>
      </w:r>
      <w:r>
        <w:rPr>
          <w:spacing w:val="-3"/>
          <w:w w:val="100"/>
        </w:rPr>
        <w:t>授</w:t>
      </w:r>
      <w:r>
        <w:rPr>
          <w:w w:val="100"/>
        </w:rPr>
        <w:t>权</w:t>
      </w:r>
      <w:r>
        <w:rPr>
          <w:spacing w:val="-3"/>
          <w:w w:val="100"/>
        </w:rPr>
        <w:t>中</w:t>
      </w:r>
      <w:r>
        <w:rPr>
          <w:w w:val="100"/>
        </w:rPr>
        <w:t>国</w:t>
      </w:r>
      <w:r>
        <w:rPr>
          <w:spacing w:val="-3"/>
          <w:w w:val="100"/>
        </w:rPr>
        <w:t>外</w:t>
      </w:r>
      <w:r>
        <w:rPr>
          <w:w w:val="100"/>
        </w:rPr>
        <w:t>汇交</w:t>
      </w:r>
      <w:r>
        <w:rPr>
          <w:spacing w:val="-3"/>
          <w:w w:val="100"/>
        </w:rPr>
        <w:t>易</w:t>
      </w:r>
      <w:r>
        <w:rPr>
          <w:w w:val="100"/>
        </w:rPr>
        <w:t>中</w:t>
      </w:r>
    </w:p>
    <w:p>
      <w:pPr>
        <w:pStyle w:val="BodyText"/>
        <w:spacing w:line="352" w:lineRule="auto" w:before="11"/>
        <w:ind w:right="211"/>
        <w:jc w:val="both"/>
      </w:pPr>
      <w:r>
        <w:rPr>
          <w:w w:val="100"/>
        </w:rPr>
        <w:t>心公</w:t>
      </w:r>
      <w:r>
        <w:rPr>
          <w:spacing w:val="-3"/>
          <w:w w:val="100"/>
        </w:rPr>
        <w:t>布</w:t>
      </w:r>
      <w:r>
        <w:rPr>
          <w:w w:val="100"/>
        </w:rPr>
        <w:t>的</w:t>
      </w:r>
      <w:r>
        <w:rPr>
          <w:spacing w:val="-3"/>
          <w:w w:val="100"/>
        </w:rPr>
        <w:t>中</w:t>
      </w:r>
      <w:r>
        <w:rPr>
          <w:w w:val="100"/>
        </w:rPr>
        <w:t>间</w:t>
      </w:r>
      <w:r>
        <w:rPr>
          <w:spacing w:val="-3"/>
          <w:w w:val="100"/>
        </w:rPr>
        <w:t>价</w:t>
      </w:r>
      <w:r>
        <w:rPr>
          <w:w w:val="100"/>
        </w:rPr>
        <w:t>折</w:t>
      </w:r>
      <w:r>
        <w:rPr>
          <w:spacing w:val="-3"/>
          <w:w w:val="100"/>
        </w:rPr>
        <w:t>算</w:t>
      </w:r>
      <w:r>
        <w:rPr>
          <w:spacing w:val="-36"/>
          <w:w w:val="100"/>
        </w:rPr>
        <w:t>，</w:t>
      </w:r>
      <w:r>
        <w:rPr>
          <w:spacing w:val="-3"/>
          <w:w w:val="100"/>
        </w:rPr>
        <w:t>所</w:t>
      </w:r>
      <w:r>
        <w:rPr>
          <w:w w:val="100"/>
        </w:rPr>
        <w:t>有者</w:t>
      </w:r>
      <w:r>
        <w:rPr>
          <w:spacing w:val="-3"/>
          <w:w w:val="100"/>
        </w:rPr>
        <w:t>权</w:t>
      </w:r>
      <w:r>
        <w:rPr>
          <w:w w:val="100"/>
        </w:rPr>
        <w:t>益</w:t>
      </w:r>
      <w:r>
        <w:rPr>
          <w:spacing w:val="-3"/>
          <w:w w:val="100"/>
        </w:rPr>
        <w:t>项</w:t>
      </w:r>
      <w:r>
        <w:rPr>
          <w:w w:val="100"/>
        </w:rPr>
        <w:t>目</w:t>
      </w:r>
      <w:r>
        <w:rPr>
          <w:spacing w:val="-3"/>
          <w:w w:val="100"/>
        </w:rPr>
        <w:t>除</w:t>
      </w:r>
      <w:r>
        <w:rPr>
          <w:rFonts w:ascii="Times New Roman" w:hAnsi="Times New Roman" w:cs="Times New Roman" w:eastAsia="Times New Roman" w:hint="default"/>
          <w:spacing w:val="-1"/>
          <w:w w:val="44"/>
        </w:rPr>
        <w:t>―</w:t>
      </w:r>
      <w:r>
        <w:rPr>
          <w:spacing w:val="-3"/>
          <w:w w:val="100"/>
        </w:rPr>
        <w:t>未</w:t>
      </w:r>
      <w:r>
        <w:rPr>
          <w:w w:val="100"/>
        </w:rPr>
        <w:t>分</w:t>
      </w:r>
      <w:r>
        <w:rPr>
          <w:spacing w:val="-3"/>
          <w:w w:val="100"/>
        </w:rPr>
        <w:t>配利</w:t>
      </w:r>
      <w:r>
        <w:rPr>
          <w:w w:val="100"/>
        </w:rPr>
        <w:t>润</w:t>
      </w:r>
      <w:r>
        <w:rPr>
          <w:rFonts w:ascii="Times New Roman" w:hAnsi="Times New Roman" w:cs="Times New Roman" w:eastAsia="Times New Roman" w:hint="default"/>
          <w:spacing w:val="-1"/>
          <w:w w:val="159"/>
        </w:rPr>
        <w:t>‖</w:t>
      </w:r>
      <w:r>
        <w:rPr>
          <w:spacing w:val="-3"/>
          <w:w w:val="100"/>
        </w:rPr>
        <w:t>项</w:t>
      </w:r>
      <w:r>
        <w:rPr>
          <w:w w:val="100"/>
        </w:rPr>
        <w:t>目外</w:t>
      </w:r>
      <w:r>
        <w:rPr>
          <w:spacing w:val="-39"/>
          <w:w w:val="100"/>
        </w:rPr>
        <w:t>，</w:t>
      </w:r>
      <w:r>
        <w:rPr>
          <w:w w:val="100"/>
        </w:rPr>
        <w:t>其</w:t>
      </w:r>
      <w:r>
        <w:rPr>
          <w:spacing w:val="-3"/>
          <w:w w:val="100"/>
        </w:rPr>
        <w:t>他</w:t>
      </w:r>
      <w:r>
        <w:rPr>
          <w:w w:val="100"/>
        </w:rPr>
        <w:t>项</w:t>
      </w:r>
      <w:r>
        <w:rPr>
          <w:spacing w:val="-3"/>
          <w:w w:val="100"/>
        </w:rPr>
        <w:t>目</w:t>
      </w:r>
      <w:r>
        <w:rPr>
          <w:w w:val="100"/>
        </w:rPr>
        <w:t>采</w:t>
      </w:r>
      <w:r>
        <w:rPr>
          <w:spacing w:val="-3"/>
          <w:w w:val="100"/>
        </w:rPr>
        <w:t>用</w:t>
      </w:r>
      <w:r>
        <w:rPr>
          <w:w w:val="100"/>
        </w:rPr>
        <w:t>发生</w:t>
      </w:r>
      <w:r>
        <w:rPr>
          <w:spacing w:val="-3"/>
          <w:w w:val="100"/>
        </w:rPr>
        <w:t>时</w:t>
      </w:r>
      <w:r>
        <w:rPr>
          <w:w w:val="100"/>
        </w:rPr>
        <w:t>中</w:t>
      </w:r>
      <w:r>
        <w:rPr>
          <w:spacing w:val="-3"/>
          <w:w w:val="100"/>
        </w:rPr>
        <w:t>国</w:t>
      </w:r>
      <w:r>
        <w:rPr>
          <w:w w:val="100"/>
        </w:rPr>
        <w:t>人</w:t>
      </w:r>
      <w:r>
        <w:rPr>
          <w:w w:val="100"/>
        </w:rPr>
        <w:t> </w:t>
      </w:r>
      <w:r>
        <w:rPr>
          <w:spacing w:val="-4"/>
        </w:rPr>
        <w:t>民银行授权中国外汇交易中心公布的中间价折算。利润表中的收入和费用项目，采用交易发</w:t>
      </w:r>
      <w:r>
        <w:rPr>
          <w:spacing w:val="-44"/>
        </w:rPr>
        <w:t> </w:t>
      </w:r>
      <w:r>
        <w:rPr>
          <w:spacing w:val="-44"/>
        </w:rPr>
      </w:r>
      <w:r>
        <w:rPr>
          <w:spacing w:val="-4"/>
          <w:w w:val="100"/>
        </w:rPr>
        <w:t>生日中国人民银行授权中国外汇交易中心公布的中间价折算。折算产生的外币财务报表折算</w:t>
      </w:r>
      <w:r>
        <w:rPr>
          <w:spacing w:val="-94"/>
          <w:w w:val="100"/>
        </w:rPr>
        <w:t> </w:t>
      </w:r>
      <w:r>
        <w:rPr>
          <w:spacing w:val="-94"/>
          <w:w w:val="100"/>
        </w:rPr>
      </w:r>
      <w:r>
        <w:rPr>
          <w:spacing w:val="-4"/>
        </w:rPr>
        <w:t>差额，在资产负债表中所有者权益项目下单独列示。外币现金流量采用现金流量发生日中国</w:t>
      </w:r>
      <w:r>
        <w:rPr>
          <w:spacing w:val="-44"/>
        </w:rPr>
        <w:t> </w:t>
      </w:r>
      <w:r>
        <w:rPr>
          <w:spacing w:val="-44"/>
        </w:rPr>
      </w:r>
      <w:r>
        <w:rPr>
          <w:spacing w:val="-4"/>
        </w:rPr>
        <w:t>人民银行授权中国外汇交易中心公布的中间价折算。汇率变动对现金的影响额，在现金流量</w:t>
      </w:r>
      <w:r>
        <w:rPr>
          <w:spacing w:val="-44"/>
        </w:rPr>
        <w:t> </w:t>
      </w:r>
      <w:r>
        <w:rPr>
          <w:spacing w:val="-44"/>
        </w:rPr>
      </w:r>
      <w:r>
        <w:rPr/>
        <w:t>表中单独列示。</w:t>
      </w:r>
    </w:p>
    <w:p>
      <w:pPr>
        <w:pStyle w:val="BodyText"/>
        <w:spacing w:line="240" w:lineRule="auto" w:before="61"/>
        <w:ind w:left="540" w:right="0"/>
        <w:jc w:val="left"/>
      </w:pPr>
      <w:r>
        <w:rPr/>
        <w:t>处置境外经营时，与该境外经营有关的外币报表折算差额，按比例转入处置当期损益。</w:t>
      </w:r>
    </w:p>
    <w:p>
      <w:pPr>
        <w:spacing w:line="240" w:lineRule="auto" w:before="11"/>
        <w:rPr>
          <w:rFonts w:ascii="宋体" w:hAnsi="宋体" w:cs="宋体" w:eastAsia="宋体" w:hint="default"/>
          <w:sz w:val="15"/>
          <w:szCs w:val="15"/>
        </w:rPr>
      </w:pPr>
    </w:p>
    <w:p>
      <w:pPr>
        <w:pStyle w:val="Heading5"/>
        <w:spacing w:line="240" w:lineRule="auto"/>
        <w:ind w:left="540" w:right="98"/>
        <w:jc w:val="left"/>
        <w:rPr>
          <w:b w:val="0"/>
          <w:bCs w:val="0"/>
        </w:rPr>
      </w:pPr>
      <w:r>
        <w:rPr/>
        <w:t>（九）</w:t>
      </w:r>
      <w:r>
        <w:rPr>
          <w:spacing w:val="-78"/>
        </w:rPr>
        <w:t> </w:t>
      </w:r>
      <w:r>
        <w:rPr/>
        <w:t>金融工具</w:t>
      </w:r>
      <w:r>
        <w:rPr>
          <w:b w:val="0"/>
          <w:bCs w:val="0"/>
        </w:rPr>
      </w:r>
    </w:p>
    <w:p>
      <w:pPr>
        <w:spacing w:line="240" w:lineRule="auto" w:before="6"/>
        <w:rPr>
          <w:rFonts w:ascii="宋体" w:hAnsi="宋体" w:cs="宋体" w:eastAsia="宋体" w:hint="default"/>
          <w:b/>
          <w:bCs/>
          <w:sz w:val="16"/>
          <w:szCs w:val="16"/>
        </w:rPr>
      </w:pPr>
    </w:p>
    <w:p>
      <w:pPr>
        <w:spacing w:line="357" w:lineRule="auto" w:before="0"/>
        <w:ind w:left="540" w:right="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金融工具的分类、确认依据和计量方法</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本公司的金融资产包括：以公允价值计量且其变动计入当期损益的金融资产、应收款项</w:t>
      </w:r>
    </w:p>
    <w:p>
      <w:pPr>
        <w:pStyle w:val="BodyText"/>
        <w:spacing w:line="355" w:lineRule="auto" w:before="30"/>
        <w:ind w:right="211"/>
        <w:jc w:val="both"/>
      </w:pPr>
      <w:r>
        <w:rPr>
          <w:spacing w:val="-9"/>
          <w:w w:val="100"/>
        </w:rPr>
        <w:t>（相关说明见附注二之（十））、可供出售金融资产和持有至到期投资。金融资产的分类取决</w:t>
      </w:r>
      <w:r>
        <w:rPr>
          <w:spacing w:val="-97"/>
          <w:w w:val="100"/>
        </w:rPr>
        <w:t> </w:t>
      </w:r>
      <w:r>
        <w:rPr>
          <w:spacing w:val="-97"/>
          <w:w w:val="100"/>
        </w:rPr>
      </w:r>
      <w:r>
        <w:rPr/>
        <w:t>于本公司及其子公司对金融资产的持有意图和持有能力。</w:t>
      </w:r>
    </w:p>
    <w:p>
      <w:pPr>
        <w:pStyle w:val="BodyText"/>
        <w:spacing w:line="355" w:lineRule="auto" w:before="58"/>
        <w:ind w:right="98" w:firstLine="419"/>
        <w:jc w:val="left"/>
      </w:pPr>
      <w:r>
        <w:rPr>
          <w:spacing w:val="-4"/>
          <w:w w:val="100"/>
        </w:rPr>
        <w:t>本公司的金融负债包括：以公允价值计量且其变动计入当期损益的金融负债和其他金融</w:t>
      </w:r>
      <w:r>
        <w:rPr>
          <w:w w:val="100"/>
        </w:rPr>
        <w:t> </w:t>
      </w:r>
      <w:r>
        <w:rPr/>
        <w:t>负债。</w:t>
      </w:r>
    </w:p>
    <w:p>
      <w:pPr>
        <w:pStyle w:val="BodyText"/>
        <w:spacing w:line="357" w:lineRule="auto" w:before="58"/>
        <w:ind w:left="540" w:right="98"/>
        <w:jc w:val="left"/>
      </w:pPr>
      <w:r>
        <w:rPr/>
        <w:t>（</w:t>
      </w:r>
      <w:r>
        <w:rPr>
          <w:rFonts w:ascii="Times New Roman" w:hAnsi="Times New Roman" w:cs="Times New Roman" w:eastAsia="Times New Roman" w:hint="default"/>
        </w:rPr>
        <w:t>1</w:t>
      </w:r>
      <w:r>
        <w:rPr/>
        <w:t>）以公允价值计量且其变动计入当期损益的金融资产</w:t>
      </w:r>
      <w:r>
        <w:rPr>
          <w:w w:val="100"/>
        </w:rPr>
        <w:t> </w:t>
      </w:r>
      <w:r>
        <w:rPr>
          <w:spacing w:val="-2"/>
        </w:rPr>
        <w:t>包括交易性金融资产和直接指定为以公允价值计量且其变动计入当期损益的金融资产，</w:t>
      </w:r>
    </w:p>
    <w:p>
      <w:pPr>
        <w:pStyle w:val="BodyText"/>
        <w:spacing w:line="357" w:lineRule="auto" w:before="32"/>
        <w:ind w:right="211"/>
        <w:jc w:val="both"/>
      </w:pPr>
      <w:r>
        <w:rPr>
          <w:spacing w:val="-4"/>
        </w:rPr>
        <w:t>按照取得时的公允价值作为初始确认金额，相关的交易费用在发生时计入当期损益。支付的</w:t>
      </w:r>
      <w:r>
        <w:rPr>
          <w:spacing w:val="-45"/>
        </w:rPr>
        <w:t> </w:t>
      </w:r>
      <w:r>
        <w:rPr>
          <w:spacing w:val="-45"/>
        </w:rPr>
      </w:r>
      <w:r>
        <w:rPr>
          <w:spacing w:val="-4"/>
          <w:w w:val="100"/>
        </w:rPr>
        <w:t>价款中包含已宣告但尚未发放的现金股利或已到付息期但尚未领取的债券利息，单独确认为</w:t>
      </w:r>
      <w:r>
        <w:rPr>
          <w:spacing w:val="-94"/>
          <w:w w:val="100"/>
        </w:rPr>
        <w:t> </w:t>
      </w:r>
      <w:r>
        <w:rPr>
          <w:spacing w:val="-94"/>
          <w:w w:val="100"/>
        </w:rPr>
      </w:r>
      <w:r>
        <w:rPr>
          <w:spacing w:val="-4"/>
        </w:rPr>
        <w:t>应收项目。本公司在持有该等金融资产期间取得的利息或现金股利，确认为投资收益。资产</w:t>
      </w:r>
      <w:r>
        <w:rPr>
          <w:spacing w:val="-47"/>
        </w:rPr>
        <w:t> </w:t>
      </w:r>
      <w:r>
        <w:rPr>
          <w:spacing w:val="-47"/>
        </w:rPr>
      </w:r>
      <w:r>
        <w:rPr>
          <w:spacing w:val="-4"/>
        </w:rPr>
        <w:t>负债表日，本公司将该等金融资产的公允价值变动计入当期损益。处置该等金融资产时，该</w:t>
      </w:r>
      <w:r>
        <w:rPr>
          <w:spacing w:val="-46"/>
        </w:rPr>
        <w:t> </w:t>
      </w:r>
      <w:r>
        <w:rPr>
          <w:spacing w:val="-46"/>
        </w:rPr>
      </w:r>
      <w:r>
        <w:rPr>
          <w:spacing w:val="-4"/>
          <w:w w:val="100"/>
        </w:rPr>
        <w:t>等金融资产公允价值与初始入账金额之间的差额确认为投资收益，同时调整公允价值变动损</w:t>
      </w:r>
      <w:r>
        <w:rPr>
          <w:spacing w:val="-94"/>
          <w:w w:val="100"/>
        </w:rPr>
        <w:t> </w:t>
      </w:r>
      <w:r>
        <w:rPr>
          <w:spacing w:val="-94"/>
          <w:w w:val="100"/>
        </w:rPr>
      </w:r>
      <w:r>
        <w:rPr/>
        <w:t>益。</w:t>
      </w:r>
    </w:p>
    <w:p>
      <w:pPr>
        <w:spacing w:after="0" w:line="357" w:lineRule="auto"/>
        <w:jc w:val="both"/>
        <w:sectPr>
          <w:pgSz w:w="11910" w:h="16840"/>
          <w:pgMar w:header="852" w:footer="1186" w:top="1200" w:bottom="1380" w:left="1680" w:right="1580"/>
        </w:sectPr>
      </w:pPr>
    </w:p>
    <w:p>
      <w:pPr>
        <w:spacing w:line="240" w:lineRule="auto" w:before="3"/>
        <w:rPr>
          <w:rFonts w:ascii="宋体" w:hAnsi="宋体" w:cs="宋体" w:eastAsia="宋体" w:hint="default"/>
          <w:sz w:val="12"/>
          <w:szCs w:val="12"/>
        </w:rPr>
      </w:pPr>
    </w:p>
    <w:p>
      <w:pPr>
        <w:pStyle w:val="BodyText"/>
        <w:spacing w:line="360" w:lineRule="auto" w:before="36"/>
        <w:ind w:left="540" w:right="98"/>
        <w:jc w:val="left"/>
      </w:pPr>
      <w:r>
        <w:rPr/>
        <w:t>（</w:t>
      </w:r>
      <w:r>
        <w:rPr>
          <w:rFonts w:ascii="Times New Roman" w:hAnsi="Times New Roman" w:cs="Times New Roman" w:eastAsia="Times New Roman" w:hint="default"/>
        </w:rPr>
        <w:t>2</w:t>
      </w:r>
      <w:r>
        <w:rPr/>
        <w:t>）持有至到期投资</w:t>
      </w:r>
      <w:r>
        <w:rPr>
          <w:w w:val="100"/>
        </w:rPr>
        <w:t> </w:t>
      </w:r>
      <w:r>
        <w:rPr>
          <w:spacing w:val="-4"/>
        </w:rPr>
        <w:t>指到期日固定、回收金额固定或可确定，且本公司有明确意图和能力持有至到期的非衍</w:t>
      </w:r>
    </w:p>
    <w:p>
      <w:pPr>
        <w:pStyle w:val="BodyText"/>
        <w:spacing w:line="357" w:lineRule="auto" w:before="28"/>
        <w:ind w:right="98"/>
        <w:jc w:val="left"/>
      </w:pPr>
      <w:r>
        <w:rPr>
          <w:spacing w:val="-4"/>
        </w:rPr>
        <w:t>生金融资产，该非衍生金额资产有活跃的市场，可以取得其市场价格。本公司对持有至到期</w:t>
      </w:r>
      <w:r>
        <w:rPr>
          <w:spacing w:val="-45"/>
        </w:rPr>
        <w:t> </w:t>
      </w:r>
      <w:r>
        <w:rPr>
          <w:spacing w:val="-45"/>
        </w:rPr>
      </w:r>
      <w:r>
        <w:rPr>
          <w:spacing w:val="-4"/>
        </w:rPr>
        <w:t>投资，按取得时的公允价值和相关交易费用之和作为初始确认金额。支付的价款中包含的已</w:t>
      </w:r>
      <w:r>
        <w:rPr>
          <w:spacing w:val="-44"/>
        </w:rPr>
        <w:t> </w:t>
      </w:r>
      <w:r>
        <w:rPr>
          <w:spacing w:val="-44"/>
        </w:rPr>
      </w:r>
      <w:r>
        <w:rPr>
          <w:spacing w:val="-4"/>
        </w:rPr>
        <w:t>到付息期但尚未领取的债券利息的，单独确认为应收项目。持有至到期投资在持有期间按照</w:t>
      </w:r>
      <w:r>
        <w:rPr>
          <w:spacing w:val="-44"/>
        </w:rPr>
        <w:t> </w:t>
      </w:r>
      <w:r>
        <w:rPr>
          <w:spacing w:val="-44"/>
        </w:rPr>
      </w:r>
      <w:r>
        <w:rPr>
          <w:spacing w:val="-7"/>
          <w:w w:val="100"/>
        </w:rPr>
        <w:t>摊余成本和实际利率确认利息收入，计入投资收益。实际利率在取得持有至到期投资时确定，</w:t>
      </w:r>
      <w:r>
        <w:rPr>
          <w:spacing w:val="-73"/>
          <w:w w:val="100"/>
        </w:rPr>
        <w:t> </w:t>
      </w:r>
      <w:r>
        <w:rPr>
          <w:spacing w:val="-73"/>
          <w:w w:val="100"/>
        </w:rPr>
      </w:r>
      <w:r>
        <w:rPr>
          <w:spacing w:val="-4"/>
        </w:rPr>
        <w:t>在随后期间保持不变。实际利率与票面利率差别很小的，按票面利率计算利息收入，计入投</w:t>
      </w:r>
      <w:r>
        <w:rPr>
          <w:spacing w:val="-46"/>
        </w:rPr>
        <w:t> </w:t>
      </w:r>
      <w:r>
        <w:rPr>
          <w:spacing w:val="-46"/>
        </w:rPr>
      </w:r>
      <w:r>
        <w:rPr>
          <w:spacing w:val="-4"/>
        </w:rPr>
        <w:t>资收益。处置持有至到期投资时，将所取得价款与该投资账面价值之间的差额确认为投资收</w:t>
      </w:r>
      <w:r>
        <w:rPr>
          <w:spacing w:val="-44"/>
        </w:rPr>
        <w:t> </w:t>
      </w:r>
      <w:r>
        <w:rPr>
          <w:spacing w:val="-44"/>
        </w:rPr>
      </w:r>
      <w:r>
        <w:rPr/>
        <w:t>益。</w:t>
      </w:r>
    </w:p>
    <w:p>
      <w:pPr>
        <w:pStyle w:val="BodyText"/>
        <w:spacing w:line="357" w:lineRule="auto" w:before="56"/>
        <w:ind w:right="211" w:firstLine="419"/>
        <w:jc w:val="both"/>
      </w:pPr>
      <w:r>
        <w:rPr>
          <w:spacing w:val="-4"/>
        </w:rPr>
        <w:t>如本公司因持有意图或能力发生改变，使某项投资不再适合作为持有至到期投资，则将</w:t>
      </w:r>
      <w:r>
        <w:rPr>
          <w:w w:val="100"/>
        </w:rPr>
        <w:t> </w:t>
      </w:r>
      <w:r>
        <w:rPr>
          <w:spacing w:val="-4"/>
        </w:rPr>
        <w:t>其重分类为可供出售金融资产，并以公允价值进行后续计量。重分类日，该投资的账面价值</w:t>
      </w:r>
      <w:r>
        <w:rPr>
          <w:spacing w:val="-46"/>
        </w:rPr>
        <w:t> </w:t>
      </w:r>
      <w:r>
        <w:rPr>
          <w:spacing w:val="-46"/>
        </w:rPr>
      </w:r>
      <w:r>
        <w:rPr/>
        <w:t>与公允价值之间的差额计入所有者权益，在该可供出售金融资产发生减值或终止确认时转</w:t>
      </w:r>
      <w:r>
        <w:rPr>
          <w:spacing w:val="3"/>
        </w:rPr>
        <w:t> </w:t>
      </w:r>
      <w:r>
        <w:rPr>
          <w:spacing w:val="3"/>
        </w:rPr>
      </w:r>
      <w:r>
        <w:rPr/>
        <w:t>出，计入当期损益。</w:t>
      </w:r>
    </w:p>
    <w:p>
      <w:pPr>
        <w:pStyle w:val="BodyText"/>
        <w:spacing w:line="357" w:lineRule="auto" w:before="56"/>
        <w:ind w:left="540" w:right="98"/>
        <w:jc w:val="left"/>
      </w:pPr>
      <w:r>
        <w:rPr/>
        <w:t>（</w:t>
      </w:r>
      <w:r>
        <w:rPr>
          <w:rFonts w:ascii="Times New Roman" w:hAnsi="Times New Roman" w:cs="Times New Roman" w:eastAsia="Times New Roman" w:hint="default"/>
        </w:rPr>
        <w:t>3</w:t>
      </w:r>
      <w:r>
        <w:rPr/>
        <w:t>）可供出售金融资产</w:t>
      </w:r>
      <w:r>
        <w:rPr>
          <w:w w:val="100"/>
        </w:rPr>
        <w:t> </w:t>
      </w:r>
      <w:r>
        <w:rPr>
          <w:spacing w:val="-4"/>
          <w:w w:val="100"/>
        </w:rPr>
        <w:t>指初始确认时即被指定为可供出售的非衍生金融资产，即本公司没有划分为以公允价值</w:t>
      </w:r>
    </w:p>
    <w:p>
      <w:pPr>
        <w:pStyle w:val="BodyText"/>
        <w:spacing w:line="379" w:lineRule="auto" w:before="30"/>
        <w:ind w:left="540" w:right="98" w:hanging="420"/>
        <w:jc w:val="left"/>
      </w:pPr>
      <w:r>
        <w:rPr/>
        <w:t>计量且其变动计入当期损益的金融资产、持有至到期投资、贷款和应收款项的金融资产。</w:t>
      </w:r>
      <w:r>
        <w:rPr>
          <w:w w:val="100"/>
        </w:rPr>
        <w:t> </w:t>
      </w:r>
      <w:r>
        <w:rPr>
          <w:spacing w:val="-2"/>
        </w:rPr>
        <w:t>本公司可供出售金融资产按取得时的公允价值和相关交易费用之和作为初始确认金额。</w:t>
      </w:r>
    </w:p>
    <w:p>
      <w:pPr>
        <w:pStyle w:val="BodyText"/>
        <w:spacing w:line="350" w:lineRule="auto" w:before="11"/>
        <w:ind w:right="211"/>
        <w:jc w:val="both"/>
      </w:pPr>
      <w:r>
        <w:rPr>
          <w:spacing w:val="-4"/>
          <w:w w:val="100"/>
        </w:rPr>
        <w:t>支付的价款中包含已到付息期但尚未领取的债券利息或已宣告但尚未发放的现金股利，单独</w:t>
      </w:r>
      <w:r>
        <w:rPr>
          <w:spacing w:val="-94"/>
          <w:w w:val="100"/>
        </w:rPr>
        <w:t> </w:t>
      </w:r>
      <w:r>
        <w:rPr>
          <w:spacing w:val="-94"/>
          <w:w w:val="100"/>
        </w:rPr>
      </w:r>
      <w:r>
        <w:rPr>
          <w:spacing w:val="-4"/>
        </w:rPr>
        <w:t>确认为应收项目。本公司可供出售金融资产持有期间取得的利息或现金股利，确认为投资收</w:t>
      </w:r>
      <w:r>
        <w:rPr>
          <w:spacing w:val="-44"/>
        </w:rPr>
        <w:t> </w:t>
      </w:r>
      <w:r>
        <w:rPr>
          <w:spacing w:val="-44"/>
        </w:rPr>
      </w:r>
      <w:r>
        <w:rPr>
          <w:spacing w:val="-1"/>
          <w:w w:val="99"/>
        </w:rPr>
        <w:t>益。资产负债表日，可供出售资产按公允价值计量，其公允价值变动计入</w:t>
      </w:r>
      <w:r>
        <w:rPr>
          <w:rFonts w:ascii="Times New Roman" w:hAnsi="Times New Roman" w:cs="Times New Roman" w:eastAsia="Times New Roman" w:hint="default"/>
          <w:spacing w:val="-1"/>
          <w:w w:val="99"/>
        </w:rPr>
        <w:t>―</w:t>
      </w:r>
      <w:r>
        <w:rPr>
          <w:spacing w:val="-1"/>
          <w:w w:val="99"/>
        </w:rPr>
        <w:t>资本公积－其他</w:t>
      </w:r>
      <w:r>
        <w:rPr>
          <w:spacing w:val="-95"/>
          <w:w w:val="99"/>
        </w:rPr>
        <w:t> </w:t>
      </w:r>
      <w:r>
        <w:rPr>
          <w:spacing w:val="-95"/>
          <w:w w:val="99"/>
        </w:rPr>
      </w:r>
      <w:r>
        <w:rPr/>
        <w:t>资本公积</w:t>
      </w:r>
      <w:r>
        <w:rPr>
          <w:rFonts w:ascii="Times New Roman" w:hAnsi="Times New Roman" w:cs="Times New Roman" w:eastAsia="Times New Roman" w:hint="default"/>
        </w:rPr>
        <w:t>‖</w:t>
      </w:r>
      <w:r>
        <w:rPr/>
        <w:t>。</w:t>
      </w:r>
    </w:p>
    <w:p>
      <w:pPr>
        <w:pStyle w:val="BodyText"/>
        <w:spacing w:line="355" w:lineRule="auto" w:before="36"/>
        <w:ind w:right="98" w:firstLine="419"/>
        <w:jc w:val="left"/>
      </w:pPr>
      <w:r>
        <w:rPr>
          <w:spacing w:val="-4"/>
        </w:rPr>
        <w:t>处置可供出售金融资产时，将取得的价款和该金融资产的账面价值之间的差额，计入投</w:t>
      </w:r>
      <w:r>
        <w:rPr>
          <w:w w:val="100"/>
        </w:rPr>
        <w:t> </w:t>
      </w:r>
      <w:r>
        <w:rPr>
          <w:spacing w:val="-2"/>
        </w:rPr>
        <w:t>资收益，同时，将原直接计入所有者权益的公允价值变动累计额对应处置部分的金额转出，</w:t>
      </w:r>
      <w:r>
        <w:rPr>
          <w:spacing w:val="-31"/>
        </w:rPr>
        <w:t> </w:t>
      </w:r>
      <w:r>
        <w:rPr>
          <w:spacing w:val="-31"/>
        </w:rPr>
      </w:r>
      <w:r>
        <w:rPr/>
        <w:t>计入投资收益。</w:t>
      </w:r>
    </w:p>
    <w:p>
      <w:pPr>
        <w:pStyle w:val="BodyText"/>
        <w:spacing w:line="357" w:lineRule="auto" w:before="58"/>
        <w:ind w:left="540" w:right="98"/>
        <w:jc w:val="left"/>
      </w:pPr>
      <w:r>
        <w:rPr/>
        <w:t>（</w:t>
      </w:r>
      <w:r>
        <w:rPr>
          <w:rFonts w:ascii="Times New Roman" w:hAnsi="Times New Roman" w:cs="Times New Roman" w:eastAsia="Times New Roman" w:hint="default"/>
        </w:rPr>
        <w:t>4</w:t>
      </w:r>
      <w:r>
        <w:rPr/>
        <w:t>）以公允价值计量且其变动计入当期损益的金融负债</w:t>
      </w:r>
      <w:r>
        <w:rPr>
          <w:w w:val="100"/>
        </w:rPr>
        <w:t> </w:t>
      </w:r>
      <w:r>
        <w:rPr>
          <w:spacing w:val="-4"/>
          <w:w w:val="100"/>
        </w:rPr>
        <w:t>指交易性金融负债和直接指定为以公允价值计量且其变动计入当期损益的金融负债，具</w:t>
      </w:r>
    </w:p>
    <w:p>
      <w:pPr>
        <w:pStyle w:val="BodyText"/>
        <w:spacing w:line="336" w:lineRule="auto" w:before="30"/>
        <w:ind w:right="98"/>
        <w:jc w:val="left"/>
      </w:pPr>
      <w:r>
        <w:rPr>
          <w:spacing w:val="-7"/>
        </w:rPr>
        <w:t>体包括：</w:t>
      </w:r>
      <w:r>
        <w:rPr>
          <w:rFonts w:ascii="Times New Roman" w:hAnsi="Times New Roman" w:cs="Times New Roman" w:eastAsia="Times New Roman" w:hint="default"/>
          <w:spacing w:val="-7"/>
        </w:rPr>
        <w:t>1</w:t>
      </w:r>
      <w:r>
        <w:rPr>
          <w:spacing w:val="-7"/>
        </w:rPr>
        <w:t>）为了近期内回购而承担的金融负债；</w:t>
      </w:r>
      <w:r>
        <w:rPr>
          <w:rFonts w:ascii="Times New Roman" w:hAnsi="Times New Roman" w:cs="Times New Roman" w:eastAsia="Times New Roman" w:hint="default"/>
          <w:spacing w:val="-7"/>
        </w:rPr>
        <w:t>2</w:t>
      </w:r>
      <w:r>
        <w:rPr>
          <w:spacing w:val="-7"/>
        </w:rPr>
        <w:t>）本公司基于风险管理、战略投资需要等，</w:t>
      </w:r>
      <w:r>
        <w:rPr>
          <w:spacing w:val="-19"/>
        </w:rPr>
        <w:t> </w:t>
      </w:r>
      <w:r>
        <w:rPr>
          <w:spacing w:val="-19"/>
        </w:rPr>
      </w:r>
      <w:r>
        <w:rPr/>
        <w:t>直接指定为以公允价值计量且其变动计入当期损益的金融负债；</w:t>
      </w:r>
      <w:r>
        <w:rPr>
          <w:rFonts w:ascii="Times New Roman" w:hAnsi="Times New Roman" w:cs="Times New Roman" w:eastAsia="Times New Roman" w:hint="default"/>
        </w:rPr>
        <w:t>3</w:t>
      </w:r>
      <w:r>
        <w:rPr/>
        <w:t>）不作为有效套期工具的</w:t>
      </w:r>
      <w:r>
        <w:rPr>
          <w:spacing w:val="-97"/>
        </w:rPr>
        <w:t> </w:t>
      </w:r>
      <w:r>
        <w:rPr>
          <w:spacing w:val="-97"/>
        </w:rPr>
      </w:r>
      <w:r>
        <w:rPr/>
        <w:t>衍生工具。</w:t>
      </w:r>
    </w:p>
    <w:p>
      <w:pPr>
        <w:pStyle w:val="BodyText"/>
        <w:spacing w:line="355" w:lineRule="auto" w:before="75"/>
        <w:ind w:right="98" w:firstLine="419"/>
        <w:jc w:val="left"/>
      </w:pPr>
      <w:r>
        <w:rPr>
          <w:spacing w:val="-4"/>
          <w:w w:val="100"/>
        </w:rPr>
        <w:t>本公司持有该类金融负债按公允价值计价，不扣除将来结清金融负债时可能发生的交易</w:t>
      </w:r>
      <w:r>
        <w:rPr>
          <w:w w:val="100"/>
        </w:rPr>
        <w:t> </w:t>
      </w:r>
      <w:r>
        <w:rPr/>
        <w:t>费用。如不适合按公允价值计量时，本公司将该类金融负债改按摊余成本计量。</w:t>
      </w:r>
    </w:p>
    <w:p>
      <w:pPr>
        <w:pStyle w:val="BodyText"/>
        <w:spacing w:line="240" w:lineRule="auto" w:before="58"/>
        <w:ind w:left="540" w:right="98"/>
        <w:jc w:val="left"/>
      </w:pPr>
      <w:r>
        <w:rPr/>
        <w:t>（</w:t>
      </w:r>
      <w:r>
        <w:rPr>
          <w:rFonts w:ascii="Times New Roman" w:hAnsi="Times New Roman" w:cs="Times New Roman" w:eastAsia="Times New Roman" w:hint="default"/>
        </w:rPr>
        <w:t>5</w:t>
      </w:r>
      <w:r>
        <w:rPr/>
        <w:t>）其他金融负债</w:t>
      </w:r>
    </w:p>
    <w:p>
      <w:pPr>
        <w:pStyle w:val="BodyText"/>
        <w:spacing w:line="240" w:lineRule="auto" w:before="141"/>
        <w:ind w:left="540" w:right="98"/>
        <w:jc w:val="left"/>
      </w:pPr>
      <w:r>
        <w:rPr/>
        <w:t>本公司的其他金融负债是指除以公允价值计量且其变动计入当期损益的金融负债以外</w:t>
      </w:r>
    </w:p>
    <w:p>
      <w:pPr>
        <w:spacing w:after="0" w:line="240" w:lineRule="auto"/>
        <w:jc w:val="left"/>
        <w:sectPr>
          <w:pgSz w:w="11910" w:h="16840"/>
          <w:pgMar w:header="852" w:footer="1186" w:top="1200" w:bottom="1380" w:left="1680" w:right="1580"/>
        </w:sectPr>
      </w:pPr>
    </w:p>
    <w:p>
      <w:pPr>
        <w:spacing w:line="240" w:lineRule="auto" w:before="3"/>
        <w:rPr>
          <w:rFonts w:ascii="宋体" w:hAnsi="宋体" w:cs="宋体" w:eastAsia="宋体" w:hint="default"/>
          <w:sz w:val="12"/>
          <w:szCs w:val="12"/>
        </w:rPr>
      </w:pPr>
    </w:p>
    <w:p>
      <w:pPr>
        <w:pStyle w:val="BodyText"/>
        <w:spacing w:line="357" w:lineRule="auto" w:before="36"/>
        <w:ind w:right="211"/>
        <w:jc w:val="both"/>
      </w:pPr>
      <w:r>
        <w:rPr>
          <w:spacing w:val="-4"/>
        </w:rPr>
        <w:t>的金融负债。主要包括企业发行的债券、因购买商品产生的应付账款、长期应付款等。其他</w:t>
      </w:r>
      <w:r>
        <w:rPr>
          <w:spacing w:val="-45"/>
        </w:rPr>
        <w:t> </w:t>
      </w:r>
      <w:r>
        <w:rPr>
          <w:spacing w:val="-45"/>
        </w:rPr>
      </w:r>
      <w:r>
        <w:rPr/>
        <w:t>金融负债按其公允价值和相关交易费用之和作为初始确认金额。采用摊余成本进行后续计</w:t>
      </w:r>
      <w:r>
        <w:rPr>
          <w:spacing w:val="9"/>
        </w:rPr>
        <w:t> </w:t>
      </w:r>
      <w:r>
        <w:rPr>
          <w:spacing w:val="9"/>
        </w:rPr>
      </w:r>
      <w:r>
        <w:rPr/>
        <w:t>量。</w:t>
      </w:r>
    </w:p>
    <w:p>
      <w:pPr>
        <w:pStyle w:val="BodyText"/>
        <w:spacing w:line="355" w:lineRule="auto" w:before="56"/>
        <w:ind w:right="211" w:firstLine="419"/>
        <w:jc w:val="both"/>
      </w:pPr>
      <w:r>
        <w:rPr/>
        <w:t>本公司拥有的其他不属于以公允价值计量且其变动计入当期损益的金融负债的财务担</w:t>
      </w:r>
      <w:r>
        <w:rPr>
          <w:spacing w:val="2"/>
          <w:w w:val="100"/>
        </w:rPr>
        <w:t> </w:t>
      </w:r>
      <w:r>
        <w:rPr>
          <w:spacing w:val="-4"/>
        </w:rPr>
        <w:t>保合同等，按其公允价值和相关交易费用之和作为初始确认金额。在初始计量后按照下列两</w:t>
      </w:r>
      <w:r>
        <w:rPr>
          <w:spacing w:val="-44"/>
        </w:rPr>
        <w:t> </w:t>
      </w:r>
      <w:r>
        <w:rPr>
          <w:spacing w:val="-44"/>
        </w:rPr>
      </w:r>
      <w:r>
        <w:rPr/>
        <w:t>项金额之中的较高者进行后续计量：</w:t>
      </w:r>
    </w:p>
    <w:p>
      <w:pPr>
        <w:pStyle w:val="BodyText"/>
        <w:spacing w:line="240" w:lineRule="auto" w:before="58"/>
        <w:ind w:left="540" w:right="98"/>
        <w:jc w:val="left"/>
      </w:pPr>
      <w:r>
        <w:rPr>
          <w:rFonts w:ascii="Times New Roman" w:hAnsi="Times New Roman" w:cs="Times New Roman" w:eastAsia="Times New Roman" w:hint="default"/>
        </w:rPr>
        <w:t>1</w:t>
      </w:r>
      <w:r>
        <w:rPr/>
        <w:t>．按照《企业会计准则第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或有事项》确定的金额；</w:t>
      </w:r>
    </w:p>
    <w:p>
      <w:pPr>
        <w:pStyle w:val="BodyText"/>
        <w:spacing w:line="336" w:lineRule="auto" w:before="143"/>
        <w:ind w:right="213" w:firstLine="419"/>
        <w:jc w:val="both"/>
      </w:pPr>
      <w:r>
        <w:rPr>
          <w:rFonts w:ascii="Times New Roman" w:hAnsi="Times New Roman" w:cs="Times New Roman" w:eastAsia="Times New Roman" w:hint="default"/>
        </w:rPr>
        <w:t>2</w:t>
      </w:r>
      <w:r>
        <w:rPr/>
        <w:t>．初始确认金额扣除按照《企业会计准则第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收入》的原则确定的累计摊销</w:t>
      </w:r>
      <w:r>
        <w:rPr>
          <w:w w:val="100"/>
        </w:rPr>
        <w:t> </w:t>
      </w:r>
      <w:r>
        <w:rPr/>
        <w:t>额后的余额。</w:t>
      </w:r>
    </w:p>
    <w:p>
      <w:pPr>
        <w:spacing w:line="357" w:lineRule="auto" w:before="75"/>
        <w:ind w:left="540" w:right="9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本公司的金融资产转移，包括下列两种情形：</w:t>
      </w:r>
    </w:p>
    <w:p>
      <w:pPr>
        <w:pStyle w:val="BodyText"/>
        <w:spacing w:line="240" w:lineRule="auto" w:before="56"/>
        <w:ind w:left="540" w:right="98"/>
        <w:jc w:val="left"/>
      </w:pPr>
      <w:r>
        <w:rPr/>
        <w:t>（</w:t>
      </w:r>
      <w:r>
        <w:rPr>
          <w:rFonts w:ascii="Times New Roman" w:hAnsi="Times New Roman" w:cs="Times New Roman" w:eastAsia="Times New Roman" w:hint="default"/>
        </w:rPr>
        <w:t>1</w:t>
      </w:r>
      <w:r>
        <w:rPr/>
        <w:t>）将收取金融资产现金流量的权利转移给另一方；</w:t>
      </w:r>
    </w:p>
    <w:p>
      <w:pPr>
        <w:pStyle w:val="BodyText"/>
        <w:spacing w:line="338" w:lineRule="auto" w:before="141"/>
        <w:ind w:right="214" w:firstLine="419"/>
        <w:jc w:val="both"/>
      </w:pPr>
      <w:r>
        <w:rPr>
          <w:spacing w:val="-1"/>
        </w:rPr>
        <w:t>（</w:t>
      </w:r>
      <w:r>
        <w:rPr>
          <w:rFonts w:ascii="Times New Roman" w:hAnsi="Times New Roman" w:cs="Times New Roman" w:eastAsia="Times New Roman" w:hint="default"/>
          <w:spacing w:val="-1"/>
        </w:rPr>
        <w:t>2</w:t>
      </w:r>
      <w:r>
        <w:rPr>
          <w:spacing w:val="-1"/>
        </w:rPr>
        <w:t>）将金融资产转移给另一方，但保留收取金融资产现金流量的权利，并承担将收取</w:t>
      </w:r>
      <w:r>
        <w:rPr>
          <w:w w:val="100"/>
        </w:rPr>
        <w:t> </w:t>
      </w:r>
      <w:r>
        <w:rPr/>
        <w:t>的现金流量支付给最终收款方的义务，同时满足下列条件：</w:t>
      </w:r>
    </w:p>
    <w:p>
      <w:pPr>
        <w:pStyle w:val="BodyText"/>
        <w:spacing w:line="348" w:lineRule="auto" w:before="71"/>
        <w:ind w:right="211" w:firstLine="419"/>
        <w:jc w:val="both"/>
      </w:pPr>
      <w:r>
        <w:rPr>
          <w:rFonts w:ascii="Times New Roman" w:hAnsi="Times New Roman" w:cs="Times New Roman" w:eastAsia="Times New Roman" w:hint="default"/>
          <w:spacing w:val="-3"/>
        </w:rPr>
        <w:t>A</w:t>
      </w:r>
      <w:r>
        <w:rPr>
          <w:spacing w:val="-3"/>
        </w:rPr>
        <w:t>．从该金融资产收到对等的现金流量时，才有义务将其支付给最终收款方。企业发生</w:t>
      </w:r>
      <w:r>
        <w:rPr>
          <w:w w:val="100"/>
        </w:rPr>
        <w:t> </w:t>
      </w:r>
      <w:r>
        <w:rPr>
          <w:spacing w:val="-4"/>
        </w:rPr>
        <w:t>短期垫付款，但有权全额收回该垫付款并按照市场上同期银行贷款利率计收利息的，视同满</w:t>
      </w:r>
      <w:r>
        <w:rPr>
          <w:spacing w:val="-44"/>
        </w:rPr>
        <w:t> </w:t>
      </w:r>
      <w:r>
        <w:rPr>
          <w:spacing w:val="-44"/>
        </w:rPr>
      </w:r>
      <w:r>
        <w:rPr/>
        <w:t>足本条件。</w:t>
      </w:r>
    </w:p>
    <w:p>
      <w:pPr>
        <w:pStyle w:val="BodyText"/>
        <w:spacing w:line="338" w:lineRule="auto" w:before="62"/>
        <w:ind w:right="213" w:firstLine="419"/>
        <w:jc w:val="both"/>
      </w:pPr>
      <w:r>
        <w:rPr>
          <w:rFonts w:ascii="Times New Roman" w:hAnsi="Times New Roman" w:cs="Times New Roman" w:eastAsia="Times New Roman" w:hint="default"/>
          <w:spacing w:val="-3"/>
        </w:rPr>
        <w:t>B</w:t>
      </w:r>
      <w:r>
        <w:rPr>
          <w:spacing w:val="-3"/>
        </w:rPr>
        <w:t>．根据合同约定，不能出售该金融资产或作为担保物，但可以将其作为对最终收款方</w:t>
      </w:r>
      <w:r>
        <w:rPr>
          <w:w w:val="100"/>
        </w:rPr>
        <w:t> </w:t>
      </w:r>
      <w:r>
        <w:rPr/>
        <w:t>支付现金流量的保证。</w:t>
      </w:r>
    </w:p>
    <w:p>
      <w:pPr>
        <w:pStyle w:val="BodyText"/>
        <w:spacing w:line="350" w:lineRule="auto" w:before="71"/>
        <w:ind w:right="211" w:firstLine="419"/>
        <w:jc w:val="both"/>
      </w:pPr>
      <w:r>
        <w:rPr>
          <w:rFonts w:ascii="Times New Roman" w:hAnsi="Times New Roman" w:cs="Times New Roman" w:eastAsia="Times New Roman" w:hint="default"/>
          <w:spacing w:val="-2"/>
        </w:rPr>
        <w:t>C</w:t>
      </w:r>
      <w:r>
        <w:rPr>
          <w:spacing w:val="-2"/>
        </w:rPr>
        <w:t>．有义务将收取的现金流量及时支付给最终收款方。企业无权将该现金流量进行再投</w:t>
      </w:r>
      <w:r>
        <w:rPr>
          <w:w w:val="100"/>
        </w:rPr>
        <w:t> </w:t>
      </w:r>
      <w:r>
        <w:rPr>
          <w:spacing w:val="-4"/>
          <w:w w:val="100"/>
        </w:rPr>
        <w:t>资，但按照合同约定在相邻两次支付间隔期内将所收到的现金流量进行现金或现金等价物投</w:t>
      </w:r>
      <w:r>
        <w:rPr>
          <w:spacing w:val="-94"/>
          <w:w w:val="100"/>
        </w:rPr>
        <w:t> </w:t>
      </w:r>
      <w:r>
        <w:rPr>
          <w:spacing w:val="-94"/>
          <w:w w:val="100"/>
        </w:rPr>
      </w:r>
      <w:r>
        <w:rPr>
          <w:spacing w:val="-4"/>
        </w:rPr>
        <w:t>资的除外。企业按照合同约定进行再投资的，应当将投资收益按照合同约定支付给最终收款</w:t>
      </w:r>
      <w:r>
        <w:rPr>
          <w:spacing w:val="-44"/>
        </w:rPr>
        <w:t> </w:t>
      </w:r>
      <w:r>
        <w:rPr>
          <w:spacing w:val="-44"/>
        </w:rPr>
      </w:r>
      <w:r>
        <w:rPr/>
        <w:t>方。</w:t>
      </w:r>
    </w:p>
    <w:p>
      <w:pPr>
        <w:pStyle w:val="BodyText"/>
        <w:spacing w:line="355" w:lineRule="auto" w:before="63"/>
        <w:ind w:right="117" w:firstLine="419"/>
        <w:jc w:val="both"/>
      </w:pPr>
      <w:r>
        <w:rPr>
          <w:spacing w:val="-2"/>
        </w:rPr>
        <w:t>已将金融资产所有权上几乎所有的风险和报酬转移给转入方的，终止确认该金融资产；</w:t>
      </w:r>
      <w:r>
        <w:rPr>
          <w:w w:val="100"/>
        </w:rPr>
        <w:t> </w:t>
      </w:r>
      <w:r>
        <w:rPr/>
        <w:t>保留了金融资产所有权上几乎所有的风险和报酬的，不终止确认该金融资产。</w:t>
      </w:r>
    </w:p>
    <w:p>
      <w:pPr>
        <w:pStyle w:val="BodyText"/>
        <w:spacing w:line="357" w:lineRule="auto" w:before="56"/>
        <w:ind w:right="214" w:firstLine="419"/>
        <w:jc w:val="both"/>
      </w:pPr>
      <w:r>
        <w:rPr/>
        <w:t>既没有转移也没有保留金融资产所有权上几乎所有的风险和报酬的，分别下列情况处</w:t>
      </w:r>
      <w:r>
        <w:rPr>
          <w:spacing w:val="2"/>
          <w:w w:val="100"/>
        </w:rPr>
        <w:t> </w:t>
      </w:r>
      <w:r>
        <w:rPr/>
        <w:t>理：</w:t>
      </w:r>
    </w:p>
    <w:p>
      <w:pPr>
        <w:pStyle w:val="BodyText"/>
        <w:spacing w:line="240" w:lineRule="auto" w:before="54"/>
        <w:ind w:left="540" w:right="98"/>
        <w:jc w:val="left"/>
      </w:pPr>
      <w:r>
        <w:rPr/>
        <w:t>（</w:t>
      </w:r>
      <w:r>
        <w:rPr>
          <w:rFonts w:ascii="Times New Roman" w:hAnsi="Times New Roman" w:cs="Times New Roman" w:eastAsia="Times New Roman" w:hint="default"/>
        </w:rPr>
        <w:t>1</w:t>
      </w:r>
      <w:r>
        <w:rPr/>
        <w:t>）放弃了对该金融资产控制的，终止确认该金融资产。</w:t>
      </w:r>
    </w:p>
    <w:p>
      <w:pPr>
        <w:pStyle w:val="BodyText"/>
        <w:spacing w:line="336" w:lineRule="auto" w:before="144"/>
        <w:ind w:right="214" w:firstLine="419"/>
        <w:jc w:val="both"/>
      </w:pPr>
      <w:r>
        <w:rPr>
          <w:spacing w:val="-1"/>
        </w:rPr>
        <w:t>（</w:t>
      </w:r>
      <w:r>
        <w:rPr>
          <w:rFonts w:ascii="Times New Roman" w:hAnsi="Times New Roman" w:cs="Times New Roman" w:eastAsia="Times New Roman" w:hint="default"/>
          <w:spacing w:val="-1"/>
        </w:rPr>
        <w:t>2</w:t>
      </w:r>
      <w:r>
        <w:rPr>
          <w:spacing w:val="-1"/>
        </w:rPr>
        <w:t>）未放弃对该金融资产控制的，按照其继续涉入所转移金融资产的程度确认有关金</w:t>
      </w:r>
      <w:r>
        <w:rPr>
          <w:w w:val="100"/>
        </w:rPr>
        <w:t> </w:t>
      </w:r>
      <w:r>
        <w:rPr/>
        <w:t>融资产，并相应确认有关负债。</w:t>
      </w:r>
    </w:p>
    <w:p>
      <w:pPr>
        <w:spacing w:line="357" w:lineRule="auto" w:before="75"/>
        <w:ind w:left="540"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4"/>
          <w:sz w:val="21"/>
          <w:szCs w:val="21"/>
        </w:rPr>
        <w:t>金融负债的现时义务全部或部分已经解除的，终止确认该金融负债或其一部分。金融负</w:t>
      </w:r>
    </w:p>
    <w:p>
      <w:pPr>
        <w:pStyle w:val="BodyText"/>
        <w:spacing w:line="240" w:lineRule="auto" w:before="32"/>
        <w:ind w:right="0"/>
        <w:jc w:val="both"/>
      </w:pPr>
      <w:r>
        <w:rPr>
          <w:spacing w:val="-4"/>
        </w:rPr>
        <w:t>债全部或部分终止确认的，将终止确认部分的账面价值与支付的对价（包括转出的非现金资</w:t>
      </w:r>
    </w:p>
    <w:p>
      <w:pPr>
        <w:spacing w:after="0" w:line="240" w:lineRule="auto"/>
        <w:jc w:val="both"/>
        <w:sectPr>
          <w:footerReference w:type="default" r:id="rId42"/>
          <w:pgSz w:w="11910" w:h="16840"/>
          <w:pgMar w:footer="1186" w:header="852" w:top="1200" w:bottom="1380" w:left="1680" w:right="1580"/>
          <w:pgNumType w:start="82"/>
        </w:sectPr>
      </w:pPr>
    </w:p>
    <w:p>
      <w:pPr>
        <w:spacing w:line="240" w:lineRule="auto" w:before="3"/>
        <w:rPr>
          <w:rFonts w:ascii="宋体" w:hAnsi="宋体" w:cs="宋体" w:eastAsia="宋体" w:hint="default"/>
          <w:sz w:val="12"/>
          <w:szCs w:val="12"/>
        </w:rPr>
      </w:pPr>
    </w:p>
    <w:p>
      <w:pPr>
        <w:pStyle w:val="BodyText"/>
        <w:spacing w:line="240" w:lineRule="auto" w:before="36"/>
        <w:ind w:right="0"/>
        <w:jc w:val="both"/>
      </w:pPr>
      <w:r>
        <w:rPr/>
        <w:t>产或承担的新金融负债）之间的差额，计入当期损益。</w:t>
      </w:r>
    </w:p>
    <w:p>
      <w:pPr>
        <w:spacing w:line="357" w:lineRule="auto" w:before="160"/>
        <w:ind w:left="540"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金融工具的公允价值确定方法</w:t>
      </w:r>
      <w:r>
        <w:rPr>
          <w:rFonts w:ascii="宋体" w:hAnsi="宋体" w:cs="宋体" w:eastAsia="宋体" w:hint="default"/>
          <w:b/>
          <w:bCs/>
          <w:w w:val="100"/>
          <w:sz w:val="21"/>
          <w:szCs w:val="21"/>
        </w:rPr>
        <w:t> </w:t>
      </w:r>
      <w:r>
        <w:rPr>
          <w:rFonts w:ascii="宋体" w:hAnsi="宋体" w:cs="宋体" w:eastAsia="宋体" w:hint="default"/>
          <w:spacing w:val="-4"/>
          <w:sz w:val="21"/>
          <w:szCs w:val="21"/>
        </w:rPr>
        <w:t>存在活跃市场的金融工具，以活跃市场中的报价确定其公允价值。不存在活跃市场的金</w:t>
      </w:r>
    </w:p>
    <w:p>
      <w:pPr>
        <w:pStyle w:val="BodyText"/>
        <w:spacing w:line="357" w:lineRule="auto" w:before="30"/>
        <w:ind w:right="211"/>
        <w:jc w:val="both"/>
      </w:pPr>
      <w:r>
        <w:rPr>
          <w:spacing w:val="-4"/>
        </w:rPr>
        <w:t>融工具，采用估值技术确定其公允价值。估值技术包括参考熟悉情况并自愿交易的各方最近</w:t>
      </w:r>
      <w:r>
        <w:rPr>
          <w:spacing w:val="-44"/>
        </w:rPr>
        <w:t> </w:t>
      </w:r>
      <w:r>
        <w:rPr>
          <w:spacing w:val="-44"/>
        </w:rPr>
      </w:r>
      <w:r>
        <w:rPr>
          <w:spacing w:val="-4"/>
        </w:rPr>
        <w:t>进行的市场交易中使用的价格、参照实质上相同的其他金融资产的当前公允价值、现金流量</w:t>
      </w:r>
      <w:r>
        <w:rPr>
          <w:spacing w:val="-44"/>
        </w:rPr>
        <w:t> </w:t>
      </w:r>
      <w:r>
        <w:rPr>
          <w:spacing w:val="-44"/>
        </w:rPr>
      </w:r>
      <w:r>
        <w:rPr>
          <w:spacing w:val="-4"/>
        </w:rPr>
        <w:t>折现法等。采用估值技术时，尽可能最大程度使用市场参数，减少使用与本公司及其子公司</w:t>
      </w:r>
      <w:r>
        <w:rPr>
          <w:spacing w:val="-46"/>
        </w:rPr>
        <w:t> </w:t>
      </w:r>
      <w:r>
        <w:rPr>
          <w:spacing w:val="-46"/>
        </w:rPr>
      </w:r>
      <w:r>
        <w:rPr/>
        <w:t>特定相关的参数。</w:t>
      </w:r>
    </w:p>
    <w:p>
      <w:pPr>
        <w:spacing w:line="357" w:lineRule="auto" w:before="56"/>
        <w:ind w:left="540"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金融资产减值测试方法、减值准备计提方法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w w:val="100"/>
          <w:sz w:val="21"/>
          <w:szCs w:val="21"/>
        </w:rPr>
        <w:t>资产负债表日，本公司对以公允价值计量且其变动计入当期损益的金融资产以外的金融</w:t>
      </w:r>
    </w:p>
    <w:p>
      <w:pPr>
        <w:pStyle w:val="BodyText"/>
        <w:spacing w:line="376" w:lineRule="auto" w:before="32"/>
        <w:ind w:left="540" w:right="98" w:hanging="420"/>
        <w:jc w:val="left"/>
      </w:pPr>
      <w:r>
        <w:rPr/>
        <w:t>资产的账面价值进行检查。</w:t>
      </w:r>
      <w:r>
        <w:rPr>
          <w:w w:val="100"/>
        </w:rPr>
        <w:t> </w:t>
      </w:r>
      <w:r>
        <w:rPr>
          <w:spacing w:val="-4"/>
        </w:rPr>
        <w:t>对于持有至到期投资，有客观证据表明其发生了减值的，根据其账面价值与预计未来现</w:t>
      </w:r>
    </w:p>
    <w:p>
      <w:pPr>
        <w:pStyle w:val="BodyText"/>
        <w:spacing w:line="357" w:lineRule="auto" w:before="13"/>
        <w:ind w:right="211"/>
        <w:jc w:val="both"/>
      </w:pPr>
      <w:r>
        <w:rPr>
          <w:spacing w:val="-4"/>
        </w:rPr>
        <w:t>金流量现值之间差额计算确认减值损失；计提后如有证据表明其价值已恢复，原确认的减值</w:t>
      </w:r>
      <w:r>
        <w:rPr>
          <w:spacing w:val="-44"/>
        </w:rPr>
        <w:t> </w:t>
      </w:r>
      <w:r>
        <w:rPr>
          <w:spacing w:val="-44"/>
        </w:rPr>
      </w:r>
      <w:r>
        <w:rPr>
          <w:spacing w:val="-4"/>
        </w:rPr>
        <w:t>损失可予以转回，记入当期损益，但该转回的账面价值不超过假定不计提减值准备情况下该</w:t>
      </w:r>
      <w:r>
        <w:rPr>
          <w:spacing w:val="-44"/>
        </w:rPr>
        <w:t> </w:t>
      </w:r>
      <w:r>
        <w:rPr>
          <w:spacing w:val="-44"/>
        </w:rPr>
      </w:r>
      <w:r>
        <w:rPr/>
        <w:t>金融资产在转回日的摊余成本。</w:t>
      </w:r>
    </w:p>
    <w:p>
      <w:pPr>
        <w:pStyle w:val="BodyText"/>
        <w:spacing w:line="355" w:lineRule="auto" w:before="56"/>
        <w:ind w:right="211" w:firstLine="419"/>
        <w:jc w:val="both"/>
      </w:pPr>
      <w:r>
        <w:rPr>
          <w:spacing w:val="-4"/>
        </w:rPr>
        <w:t>对于可供出售金融资产，如果其公允价值出现持续大幅度下降，且预期该下降为非暂时</w:t>
      </w:r>
      <w:r>
        <w:rPr>
          <w:w w:val="100"/>
        </w:rPr>
        <w:t> </w:t>
      </w:r>
      <w:r>
        <w:rPr>
          <w:spacing w:val="-4"/>
          <w:w w:val="100"/>
        </w:rPr>
        <w:t>性的，则根据其初始投资成本扣除已收回本金和已摊销金额及当期公允价值后的差额计算确</w:t>
      </w:r>
      <w:r>
        <w:rPr>
          <w:spacing w:val="-94"/>
          <w:w w:val="100"/>
        </w:rPr>
        <w:t> </w:t>
      </w:r>
      <w:r>
        <w:rPr>
          <w:spacing w:val="-94"/>
          <w:w w:val="100"/>
        </w:rPr>
      </w:r>
      <w:r>
        <w:rPr>
          <w:spacing w:val="-4"/>
          <w:w w:val="100"/>
        </w:rPr>
        <w:t>认减值损失；在计提减值损失时将原直接计入所有者权益的公允价值下降形成的累计损失一</w:t>
      </w:r>
      <w:r>
        <w:rPr>
          <w:spacing w:val="-94"/>
          <w:w w:val="100"/>
        </w:rPr>
        <w:t> </w:t>
      </w:r>
      <w:r>
        <w:rPr>
          <w:spacing w:val="-94"/>
          <w:w w:val="100"/>
        </w:rPr>
      </w:r>
      <w:r>
        <w:rPr>
          <w:spacing w:val="-2"/>
          <w:w w:val="100"/>
        </w:rPr>
        <w:t>并转出，计入</w:t>
      </w:r>
      <w:r>
        <w:rPr>
          <w:rFonts w:ascii="Times New Roman" w:hAnsi="Times New Roman" w:cs="Times New Roman" w:eastAsia="Times New Roman" w:hint="default"/>
          <w:spacing w:val="-2"/>
          <w:w w:val="100"/>
        </w:rPr>
        <w:t>―</w:t>
      </w:r>
      <w:r>
        <w:rPr>
          <w:spacing w:val="-2"/>
          <w:w w:val="100"/>
        </w:rPr>
        <w:t>资产减值损失</w:t>
      </w:r>
      <w:r>
        <w:rPr>
          <w:rFonts w:ascii="Times New Roman" w:hAnsi="Times New Roman" w:cs="Times New Roman" w:eastAsia="Times New Roman" w:hint="default"/>
          <w:spacing w:val="-2"/>
          <w:w w:val="100"/>
        </w:rPr>
        <w:t>‖</w:t>
      </w:r>
      <w:r>
        <w:rPr>
          <w:spacing w:val="-2"/>
          <w:w w:val="100"/>
        </w:rPr>
        <w:t>。</w:t>
      </w:r>
    </w:p>
    <w:p>
      <w:pPr>
        <w:pStyle w:val="BodyText"/>
        <w:spacing w:line="427" w:lineRule="auto" w:before="82"/>
        <w:ind w:left="540" w:right="98"/>
        <w:jc w:val="left"/>
      </w:pPr>
      <w:r>
        <w:rPr>
          <w:rFonts w:ascii="宋体" w:hAnsi="宋体" w:cs="宋体" w:eastAsia="宋体" w:hint="default"/>
          <w:b/>
          <w:bCs/>
        </w:rPr>
        <w:t>（十）</w:t>
      </w:r>
      <w:r>
        <w:rPr>
          <w:rFonts w:ascii="宋体" w:hAnsi="宋体" w:cs="宋体" w:eastAsia="宋体" w:hint="default"/>
          <w:b/>
          <w:bCs/>
          <w:spacing w:val="-80"/>
        </w:rPr>
        <w:t> </w:t>
      </w:r>
      <w:r>
        <w:rPr>
          <w:rFonts w:ascii="宋体" w:hAnsi="宋体" w:cs="宋体" w:eastAsia="宋体" w:hint="default"/>
          <w:b/>
          <w:bCs/>
        </w:rPr>
        <w:t>应收款项</w:t>
      </w:r>
      <w:r>
        <w:rPr>
          <w:rFonts w:ascii="宋体" w:hAnsi="宋体" w:cs="宋体" w:eastAsia="宋体" w:hint="default"/>
          <w:b/>
          <w:bCs/>
          <w:spacing w:val="-104"/>
        </w:rPr>
        <w:t> </w:t>
      </w:r>
      <w:r>
        <w:rPr>
          <w:rFonts w:ascii="宋体" w:hAnsi="宋体" w:cs="宋体" w:eastAsia="宋体" w:hint="default"/>
          <w:b/>
          <w:bCs/>
          <w:spacing w:val="-104"/>
        </w:rPr>
      </w:r>
      <w:r>
        <w:rPr>
          <w:spacing w:val="-7"/>
          <w:w w:val="100"/>
        </w:rPr>
        <w:t>本公司应收款项（包括应收账款和其他应收款等）按合同或协议价款作为初始入账金额。</w:t>
      </w:r>
    </w:p>
    <w:p>
      <w:pPr>
        <w:pStyle w:val="BodyText"/>
        <w:spacing w:line="244" w:lineRule="exact"/>
        <w:ind w:right="0"/>
        <w:jc w:val="both"/>
      </w:pPr>
      <w:r>
        <w:rPr>
          <w:spacing w:val="-4"/>
        </w:rPr>
        <w:t>凡因债务人破产，依照法律清偿程序清偿后仍无法收回；或因债务人死亡，既无遗产可供清</w:t>
      </w:r>
    </w:p>
    <w:p>
      <w:pPr>
        <w:pStyle w:val="BodyText"/>
        <w:spacing w:line="355" w:lineRule="auto" w:before="133"/>
        <w:ind w:right="211"/>
        <w:jc w:val="both"/>
      </w:pPr>
      <w:r>
        <w:rPr>
          <w:spacing w:val="-4"/>
        </w:rPr>
        <w:t>偿，又无义务承担人，确实无法收回；或因债务人逾期未能履行偿债义务，经法定程序审核</w:t>
      </w:r>
      <w:r>
        <w:rPr>
          <w:spacing w:val="-47"/>
        </w:rPr>
        <w:t> </w:t>
      </w:r>
      <w:r>
        <w:rPr>
          <w:spacing w:val="-47"/>
        </w:rPr>
      </w:r>
      <w:r>
        <w:rPr/>
        <w:t>批准，该等应收账款列为坏账损失。</w:t>
      </w:r>
    </w:p>
    <w:p>
      <w:pPr>
        <w:pStyle w:val="BodyText"/>
        <w:spacing w:line="357" w:lineRule="auto" w:before="58"/>
        <w:ind w:right="98" w:firstLine="419"/>
        <w:jc w:val="left"/>
      </w:pPr>
      <w:r>
        <w:rPr>
          <w:spacing w:val="-4"/>
        </w:rPr>
        <w:t>本公司以应收债权向银行等金融机构转让、质押或贴现等方式融资时，根据相关合同的</w:t>
      </w:r>
      <w:r>
        <w:rPr>
          <w:w w:val="100"/>
        </w:rPr>
        <w:t> </w:t>
      </w:r>
      <w:r>
        <w:rPr>
          <w:spacing w:val="-4"/>
        </w:rPr>
        <w:t>约定，当债务人到期未偿还该项债务时，若本公司负有向金融机构还款的责任，则该应收债</w:t>
      </w:r>
      <w:r>
        <w:rPr>
          <w:spacing w:val="-46"/>
        </w:rPr>
        <w:t> </w:t>
      </w:r>
      <w:r>
        <w:rPr>
          <w:spacing w:val="-46"/>
        </w:rPr>
      </w:r>
      <w:r>
        <w:rPr>
          <w:spacing w:val="-2"/>
        </w:rPr>
        <w:t>权作为质押贷款处理；若本公司没有向金融机构还款的责任，则该应收债权作为转让处理，</w:t>
      </w:r>
      <w:r>
        <w:rPr>
          <w:spacing w:val="-31"/>
        </w:rPr>
        <w:t> </w:t>
      </w:r>
      <w:r>
        <w:rPr>
          <w:spacing w:val="-31"/>
        </w:rPr>
      </w:r>
      <w:r>
        <w:rPr/>
        <w:t>并确认债权的转让损益。</w:t>
      </w:r>
    </w:p>
    <w:p>
      <w:pPr>
        <w:pStyle w:val="BodyText"/>
        <w:spacing w:line="240" w:lineRule="auto" w:before="54"/>
        <w:ind w:left="540" w:right="0"/>
        <w:jc w:val="left"/>
      </w:pPr>
      <w:r>
        <w:rPr/>
        <w:t>本公司收回应收款项时，将取得的价款和应收款项账面价值之间的差额计入当期损益。</w:t>
      </w:r>
    </w:p>
    <w:p>
      <w:pPr>
        <w:pStyle w:val="Heading5"/>
        <w:spacing w:line="240" w:lineRule="auto" w:before="160"/>
        <w:ind w:left="540" w:right="9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9"/>
        </w:rPr>
        <w:t> </w:t>
      </w:r>
      <w:r>
        <w:rPr/>
        <w:t>单项金额重大并单项计提坏账准备的应收款项</w:t>
      </w:r>
      <w:r>
        <w:rPr>
          <w:b w:val="0"/>
          <w:bCs w:val="0"/>
        </w:rPr>
      </w:r>
    </w:p>
    <w:p>
      <w:pPr>
        <w:pStyle w:val="BodyText"/>
        <w:spacing w:line="338" w:lineRule="auto" w:before="141"/>
        <w:ind w:right="207" w:firstLine="419"/>
        <w:jc w:val="left"/>
      </w:pPr>
      <w:r>
        <w:rPr/>
        <w:t>本公司将单项金额超过</w:t>
      </w:r>
      <w:r>
        <w:rPr>
          <w:spacing w:val="-77"/>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25"/>
        </w:rPr>
        <w:t> </w:t>
      </w:r>
      <w:r>
        <w:rPr/>
        <w:t>万元的应收账款和单项金额超过</w:t>
      </w:r>
      <w:r>
        <w:rPr>
          <w:spacing w:val="-78"/>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5"/>
        </w:rPr>
        <w:t> </w:t>
      </w:r>
      <w:r>
        <w:rPr/>
        <w:t>万元的其他应收款</w:t>
      </w:r>
      <w:r>
        <w:rPr>
          <w:w w:val="100"/>
        </w:rPr>
        <w:t> </w:t>
      </w:r>
      <w:r>
        <w:rPr/>
        <w:t>确定为单项金额重大的应收款项。</w:t>
      </w:r>
    </w:p>
    <w:p>
      <w:pPr>
        <w:pStyle w:val="BodyText"/>
        <w:spacing w:line="355" w:lineRule="auto" w:before="71"/>
        <w:ind w:right="98" w:firstLine="419"/>
        <w:jc w:val="left"/>
      </w:pPr>
      <w:r>
        <w:rPr>
          <w:spacing w:val="-4"/>
        </w:rPr>
        <w:t>在资产负债表日，本公司对单项金额重大的应收款项单独进行减值测试，经测试发生了</w:t>
      </w:r>
      <w:r>
        <w:rPr>
          <w:w w:val="100"/>
        </w:rPr>
        <w:t> </w:t>
      </w:r>
      <w:r>
        <w:rPr>
          <w:spacing w:val="-4"/>
        </w:rPr>
        <w:t>减值的，按其未来现金流量现值低于其账面价值的差额，确定减值损失，计提坏账准备；对</w:t>
      </w:r>
    </w:p>
    <w:p>
      <w:pPr>
        <w:spacing w:after="0" w:line="355" w:lineRule="auto"/>
        <w:jc w:val="left"/>
        <w:sectPr>
          <w:footerReference w:type="default" r:id="rId43"/>
          <w:pgSz w:w="11910" w:h="16840"/>
          <w:pgMar w:footer="1186" w:header="852" w:top="1200" w:bottom="1380" w:left="1680" w:right="1580"/>
          <w:pgNumType w:start="83"/>
        </w:sectPr>
      </w:pPr>
    </w:p>
    <w:p>
      <w:pPr>
        <w:spacing w:line="240" w:lineRule="auto" w:before="3"/>
        <w:rPr>
          <w:rFonts w:ascii="宋体" w:hAnsi="宋体" w:cs="宋体" w:eastAsia="宋体" w:hint="default"/>
          <w:sz w:val="12"/>
          <w:szCs w:val="12"/>
        </w:rPr>
      </w:pPr>
    </w:p>
    <w:p>
      <w:pPr>
        <w:pStyle w:val="BodyText"/>
        <w:spacing w:line="357" w:lineRule="auto" w:before="36"/>
        <w:ind w:left="280" w:right="0"/>
        <w:jc w:val="left"/>
      </w:pPr>
      <w:r>
        <w:rPr>
          <w:spacing w:val="-4"/>
        </w:rPr>
        <w:t>单项测试未减值的应收款项，汇同对单项金额非重大的应收款项，按类似的信用风险特征划</w:t>
      </w:r>
      <w:r>
        <w:rPr>
          <w:spacing w:val="-44"/>
        </w:rPr>
        <w:t> </w:t>
      </w:r>
      <w:r>
        <w:rPr>
          <w:spacing w:val="-44"/>
        </w:rPr>
      </w:r>
      <w:r>
        <w:rPr>
          <w:spacing w:val="-2"/>
        </w:rPr>
        <w:t>分为若干组合，再按这些应收款项组合在资产负债表日余额的一定比例计算确定减值损失，</w:t>
      </w:r>
      <w:r>
        <w:rPr>
          <w:spacing w:val="-31"/>
        </w:rPr>
        <w:t> </w:t>
      </w:r>
      <w:r>
        <w:rPr>
          <w:spacing w:val="-31"/>
        </w:rPr>
      </w:r>
      <w:r>
        <w:rPr/>
        <w:t>计提坏账准备。</w:t>
      </w:r>
    </w:p>
    <w:p>
      <w:pPr>
        <w:pStyle w:val="BodyText"/>
        <w:spacing w:line="240" w:lineRule="auto" w:before="56"/>
        <w:ind w:left="700" w:right="0"/>
        <w:jc w:val="left"/>
        <w:rPr>
          <w:rFonts w:ascii="新宋体" w:hAnsi="新宋体" w:cs="新宋体" w:eastAsia="新宋体" w:hint="default"/>
        </w:rPr>
      </w:pPr>
      <w:r>
        <w:rPr>
          <w:rFonts w:ascii="新宋体" w:hAnsi="新宋体" w:cs="新宋体" w:eastAsia="新宋体" w:hint="default"/>
        </w:rPr>
        <w:t>本公司本年度无单项金额重大并单项计提坏账准备的应收款项。</w:t>
      </w:r>
    </w:p>
    <w:p>
      <w:pPr>
        <w:spacing w:line="357" w:lineRule="auto" w:before="159"/>
        <w:ind w:left="70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按组合计提坏账准备的应收款项</w:t>
      </w:r>
      <w:r>
        <w:rPr>
          <w:rFonts w:ascii="宋体" w:hAnsi="宋体" w:cs="宋体" w:eastAsia="宋体" w:hint="default"/>
          <w:b/>
          <w:bCs/>
          <w:w w:val="100"/>
          <w:sz w:val="21"/>
          <w:szCs w:val="21"/>
        </w:rPr>
        <w:t> </w:t>
      </w:r>
      <w:r>
        <w:rPr>
          <w:rFonts w:ascii="宋体" w:hAnsi="宋体" w:cs="宋体" w:eastAsia="宋体" w:hint="default"/>
          <w:spacing w:val="-4"/>
          <w:sz w:val="21"/>
          <w:szCs w:val="21"/>
        </w:rPr>
        <w:t>应收款项以账龄为风险特征划分信用风险组合，采用账龄分析法计提坏账准备，确定计</w:t>
      </w:r>
    </w:p>
    <w:p>
      <w:pPr>
        <w:pStyle w:val="BodyText"/>
        <w:spacing w:line="240" w:lineRule="auto" w:before="32"/>
        <w:ind w:left="280" w:right="0"/>
        <w:jc w:val="left"/>
      </w:pPr>
      <w:r>
        <w:rPr/>
        <w:t>提比例如下：</w:t>
      </w:r>
    </w:p>
    <w:p>
      <w:pPr>
        <w:spacing w:line="240" w:lineRule="auto" w:before="8"/>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306"/>
        <w:gridCol w:w="1669"/>
        <w:gridCol w:w="1068"/>
        <w:gridCol w:w="1073"/>
        <w:gridCol w:w="1207"/>
        <w:gridCol w:w="1064"/>
        <w:gridCol w:w="1200"/>
      </w:tblGrid>
      <w:tr>
        <w:trPr>
          <w:trHeight w:val="415" w:hRule="exact"/>
        </w:trPr>
        <w:tc>
          <w:tcPr>
            <w:tcW w:w="1306" w:type="dxa"/>
            <w:tcBorders>
              <w:top w:val="single" w:sz="12" w:space="0" w:color="000000"/>
              <w:left w:val="nil" w:sz="6" w:space="0" w:color="auto"/>
              <w:bottom w:val="single" w:sz="6" w:space="0" w:color="000000"/>
              <w:right w:val="single" w:sz="6" w:space="0" w:color="000000"/>
            </w:tcBorders>
          </w:tcPr>
          <w:p>
            <w:pPr>
              <w:pStyle w:val="TableParagraph"/>
              <w:tabs>
                <w:tab w:pos="448" w:val="left" w:leader="none"/>
              </w:tabs>
              <w:spacing w:line="240" w:lineRule="auto" w:before="28"/>
              <w:ind w:left="26"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16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0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0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0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8"/>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r>
      <w:tr>
        <w:trPr>
          <w:trHeight w:val="415" w:hRule="exact"/>
        </w:trPr>
        <w:tc>
          <w:tcPr>
            <w:tcW w:w="130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24"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6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sz w:val="21"/>
              </w:rPr>
              <w:t>5%</w:t>
            </w: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left="5" w:right="0"/>
              <w:jc w:val="center"/>
              <w:rPr>
                <w:rFonts w:ascii="Times New Roman" w:hAnsi="Times New Roman" w:cs="Times New Roman" w:eastAsia="Times New Roman" w:hint="default"/>
                <w:sz w:val="21"/>
                <w:szCs w:val="21"/>
              </w:rPr>
            </w:pPr>
            <w:r>
              <w:rPr>
                <w:rFonts w:ascii="Times New Roman"/>
                <w:sz w:val="21"/>
              </w:rPr>
              <w:t>10%</w:t>
            </w:r>
          </w:p>
        </w:tc>
        <w:tc>
          <w:tcPr>
            <w:tcW w:w="1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30%</w:t>
            </w:r>
          </w:p>
        </w:tc>
        <w:tc>
          <w:tcPr>
            <w:tcW w:w="12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60%</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80%</w:t>
            </w:r>
          </w:p>
        </w:tc>
        <w:tc>
          <w:tcPr>
            <w:tcW w:w="12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sz w:val="21"/>
              </w:rPr>
              <w:t>100%</w:t>
            </w:r>
          </w:p>
        </w:tc>
      </w:tr>
    </w:tbl>
    <w:p>
      <w:pPr>
        <w:spacing w:line="357" w:lineRule="auto" w:before="0"/>
        <w:ind w:left="70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单项金额虽不重大但单项计提坏账准备的应收账款</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如果有迹象表明某项应收款项的可收回性与该账龄段其它应收款项存在明显差别，导致</w:t>
      </w:r>
    </w:p>
    <w:p>
      <w:pPr>
        <w:pStyle w:val="BodyText"/>
        <w:spacing w:line="357" w:lineRule="auto" w:before="30"/>
        <w:ind w:left="280" w:right="271"/>
        <w:jc w:val="both"/>
      </w:pPr>
      <w:r>
        <w:rPr>
          <w:spacing w:val="-4"/>
        </w:rPr>
        <w:t>该项应收款项如果按照既定比例计提坏账准备，无法真实反映其可收回金额的，采用个别认</w:t>
      </w:r>
      <w:r>
        <w:rPr>
          <w:spacing w:val="-44"/>
        </w:rPr>
        <w:t> </w:t>
      </w:r>
      <w:r>
        <w:rPr>
          <w:spacing w:val="-44"/>
        </w:rPr>
      </w:r>
      <w:r>
        <w:rPr/>
        <w:t>定法计提坏账准备。</w:t>
      </w:r>
    </w:p>
    <w:p>
      <w:pPr>
        <w:pStyle w:val="Heading5"/>
        <w:spacing w:line="240" w:lineRule="auto" w:before="104"/>
        <w:ind w:left="700" w:right="0"/>
        <w:jc w:val="left"/>
        <w:rPr>
          <w:b w:val="0"/>
          <w:bCs w:val="0"/>
        </w:rPr>
      </w:pPr>
      <w:r>
        <w:rPr/>
        <w:t>（十一）</w:t>
      </w:r>
      <w:r>
        <w:rPr>
          <w:spacing w:val="71"/>
        </w:rPr>
        <w:t> </w:t>
      </w:r>
      <w:r>
        <w:rPr/>
        <w:t>存货</w:t>
      </w:r>
      <w:r>
        <w:rPr>
          <w:b w:val="0"/>
          <w:bCs w:val="0"/>
        </w:rPr>
      </w:r>
    </w:p>
    <w:p>
      <w:pPr>
        <w:spacing w:line="240" w:lineRule="auto" w:before="5"/>
        <w:rPr>
          <w:rFonts w:ascii="宋体" w:hAnsi="宋体" w:cs="宋体" w:eastAsia="宋体" w:hint="default"/>
          <w:b/>
          <w:bCs/>
          <w:sz w:val="16"/>
          <w:szCs w:val="16"/>
        </w:rPr>
      </w:pPr>
    </w:p>
    <w:p>
      <w:pPr>
        <w:pStyle w:val="Heading5"/>
        <w:spacing w:line="240" w:lineRule="auto"/>
        <w:ind w:left="702"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t>存货的分类</w:t>
      </w:r>
      <w:r>
        <w:rPr>
          <w:b w:val="0"/>
          <w:bCs w:val="0"/>
        </w:rPr>
      </w:r>
    </w:p>
    <w:p>
      <w:pPr>
        <w:pStyle w:val="BodyText"/>
        <w:spacing w:line="355" w:lineRule="auto" w:before="143"/>
        <w:ind w:left="280" w:right="271" w:firstLine="419"/>
        <w:jc w:val="both"/>
      </w:pPr>
      <w:r>
        <w:rPr/>
        <w:t>存货是指本公司在日常活动中持有以备出售的产成品或商品、处在生产过程中的在产</w:t>
      </w:r>
      <w:r>
        <w:rPr>
          <w:spacing w:val="2"/>
          <w:w w:val="100"/>
        </w:rPr>
        <w:t> </w:t>
      </w:r>
      <w:r>
        <w:rPr>
          <w:spacing w:val="-4"/>
        </w:rPr>
        <w:t>品、在生产过程或提供劳务过程中耗用的材料和物料等。主要包括原材料、在产品、自制半</w:t>
      </w:r>
      <w:r>
        <w:rPr>
          <w:spacing w:val="-45"/>
        </w:rPr>
        <w:t> </w:t>
      </w:r>
      <w:r>
        <w:rPr>
          <w:spacing w:val="-45"/>
        </w:rPr>
      </w:r>
      <w:r>
        <w:rPr/>
        <w:t>成品、库存商品等。</w:t>
      </w:r>
    </w:p>
    <w:p>
      <w:pPr>
        <w:spacing w:line="357" w:lineRule="auto" w:before="58"/>
        <w:ind w:left="70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spacing w:val="-104"/>
          <w:sz w:val="21"/>
          <w:szCs w:val="21"/>
        </w:rPr>
        <w:t> </w:t>
      </w:r>
      <w:r>
        <w:rPr>
          <w:rFonts w:ascii="宋体" w:hAnsi="宋体" w:cs="宋体" w:eastAsia="宋体" w:hint="default"/>
          <w:spacing w:val="-4"/>
          <w:sz w:val="21"/>
          <w:szCs w:val="21"/>
        </w:rPr>
        <w:t>存货在取得时，按成本进行初始计量，包括采购成本、加工成本和其他成本。存货发出</w:t>
      </w:r>
    </w:p>
    <w:p>
      <w:pPr>
        <w:pStyle w:val="BodyText"/>
        <w:spacing w:line="240" w:lineRule="auto" w:before="32"/>
        <w:ind w:left="280" w:right="0"/>
        <w:jc w:val="both"/>
      </w:pPr>
      <w:r>
        <w:rPr/>
        <w:t>时，采用加权平均法确定发出存货的实际成本。</w:t>
      </w:r>
    </w:p>
    <w:p>
      <w:pPr>
        <w:spacing w:line="357" w:lineRule="auto" w:before="157"/>
        <w:ind w:left="70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4"/>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资产负债表日，存货按照成本与可变现净值孰低计量。年末，在对存货进行全面盘点的</w:t>
      </w:r>
    </w:p>
    <w:p>
      <w:pPr>
        <w:pStyle w:val="BodyText"/>
        <w:spacing w:line="357" w:lineRule="auto" w:before="30"/>
        <w:ind w:left="280" w:right="180"/>
        <w:jc w:val="both"/>
      </w:pPr>
      <w:r>
        <w:rPr>
          <w:spacing w:val="-4"/>
        </w:rPr>
        <w:t>基础上，对于存货因被淘汰、全部或部分陈旧过时或销售价格低于成本等原因导致成本高于</w:t>
      </w:r>
      <w:r>
        <w:rPr>
          <w:spacing w:val="-44"/>
        </w:rPr>
        <w:t> </w:t>
      </w:r>
      <w:r>
        <w:rPr>
          <w:spacing w:val="-44"/>
        </w:rPr>
      </w:r>
      <w:r>
        <w:rPr>
          <w:spacing w:val="-4"/>
        </w:rPr>
        <w:t>可变现净值的部分，以及承揽工程预计存在的亏损部分，提取存货跌价准备。存货跌价准备</w:t>
      </w:r>
      <w:r>
        <w:rPr>
          <w:spacing w:val="-46"/>
        </w:rPr>
        <w:t> </w:t>
      </w:r>
      <w:r>
        <w:rPr>
          <w:spacing w:val="-46"/>
        </w:rPr>
      </w:r>
      <w:r>
        <w:rPr>
          <w:spacing w:val="-4"/>
        </w:rPr>
        <w:t>按单个存货项目的成本高于其可变现净值的差额提取。其中：对于产成品、商品和用于出售</w:t>
      </w:r>
      <w:r>
        <w:rPr>
          <w:spacing w:val="-47"/>
        </w:rPr>
        <w:t> </w:t>
      </w:r>
      <w:r>
        <w:rPr>
          <w:spacing w:val="-47"/>
        </w:rPr>
      </w:r>
      <w:r>
        <w:rPr>
          <w:spacing w:val="-4"/>
        </w:rPr>
        <w:t>的材料等直接用于出售的商品存货，在正常生产经营过程中，以该存货的估计售价减去估计</w:t>
      </w:r>
      <w:r>
        <w:rPr>
          <w:spacing w:val="-44"/>
        </w:rPr>
        <w:t> </w:t>
      </w:r>
      <w:r>
        <w:rPr>
          <w:spacing w:val="-44"/>
        </w:rPr>
      </w:r>
      <w:r>
        <w:rPr>
          <w:spacing w:val="-4"/>
        </w:rPr>
        <w:t>的销售费用和相关税费后的金额，确定其可变现净值；对于需要经过加工的材料存货，在正</w:t>
      </w:r>
      <w:r>
        <w:rPr>
          <w:spacing w:val="-45"/>
        </w:rPr>
        <w:t> </w:t>
      </w:r>
      <w:r>
        <w:rPr>
          <w:spacing w:val="-45"/>
        </w:rPr>
      </w:r>
      <w:r>
        <w:rPr>
          <w:spacing w:val="-4"/>
        </w:rPr>
        <w:t>常生产经营过程中，以所生产的产成品的估计售价减去至完工时估计将要发生的成本、估计</w:t>
      </w:r>
      <w:r>
        <w:rPr>
          <w:spacing w:val="-44"/>
        </w:rPr>
        <w:t> </w:t>
      </w:r>
      <w:r>
        <w:rPr>
          <w:spacing w:val="-44"/>
        </w:rPr>
      </w:r>
      <w:r>
        <w:rPr>
          <w:spacing w:val="-4"/>
        </w:rPr>
        <w:t>销售费用和相关税费后的金额，确定其可变现净值；对于资产负债表日，同一项存货中一部</w:t>
      </w:r>
      <w:r>
        <w:rPr>
          <w:spacing w:val="-46"/>
        </w:rPr>
        <w:t> </w:t>
      </w:r>
      <w:r>
        <w:rPr>
          <w:spacing w:val="-46"/>
        </w:rPr>
      </w:r>
      <w:r>
        <w:rPr>
          <w:spacing w:val="-4"/>
        </w:rPr>
        <w:t>分有合同价格约定、其他部分不存在合同价格的，分别确定其可变现净值。与具有类似目的</w:t>
      </w:r>
      <w:r>
        <w:rPr>
          <w:spacing w:val="-44"/>
        </w:rPr>
        <w:t> </w:t>
      </w:r>
      <w:r>
        <w:rPr>
          <w:spacing w:val="-44"/>
        </w:rPr>
      </w:r>
      <w:r>
        <w:rPr>
          <w:spacing w:val="-4"/>
          <w:w w:val="100"/>
        </w:rPr>
        <w:t>或最终用途并在同一地区生产和销售的产品系列相关，且难以将其与该产品系列的其他项目</w:t>
      </w:r>
      <w:r>
        <w:rPr>
          <w:spacing w:val="-94"/>
          <w:w w:val="100"/>
        </w:rPr>
        <w:t> </w:t>
      </w:r>
      <w:r>
        <w:rPr>
          <w:spacing w:val="-94"/>
          <w:w w:val="100"/>
        </w:rPr>
      </w:r>
      <w:r>
        <w:rPr>
          <w:spacing w:val="-2"/>
        </w:rPr>
        <w:t>区别开来进行估价的存货，合并计提；对于数量繁多、单价较低的存货，按存货类别计提。</w:t>
      </w:r>
    </w:p>
    <w:p>
      <w:pPr>
        <w:spacing w:after="0" w:line="357" w:lineRule="auto"/>
        <w:jc w:val="both"/>
        <w:sectPr>
          <w:footerReference w:type="default" r:id="rId44"/>
          <w:pgSz w:w="11910" w:h="16840"/>
          <w:pgMar w:footer="1186" w:header="852" w:top="1200" w:bottom="1380" w:left="1520" w:right="1520"/>
          <w:pgNumType w:start="84"/>
        </w:sectPr>
      </w:pPr>
    </w:p>
    <w:p>
      <w:pPr>
        <w:spacing w:line="240" w:lineRule="auto" w:before="3"/>
        <w:rPr>
          <w:rFonts w:ascii="宋体" w:hAnsi="宋体" w:cs="宋体" w:eastAsia="宋体" w:hint="default"/>
          <w:sz w:val="12"/>
          <w:szCs w:val="12"/>
        </w:rPr>
      </w:pPr>
    </w:p>
    <w:p>
      <w:pPr>
        <w:spacing w:line="360" w:lineRule="auto" w:before="36"/>
        <w:ind w:left="540" w:right="1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本公司的存货盘存制度为永续盘存制。本公司定期对存货进行清查，盘盈利得和盘亏损</w:t>
      </w:r>
    </w:p>
    <w:p>
      <w:pPr>
        <w:pStyle w:val="BodyText"/>
        <w:spacing w:line="240" w:lineRule="auto" w:before="28"/>
        <w:ind w:right="0"/>
        <w:jc w:val="both"/>
      </w:pPr>
      <w:r>
        <w:rPr/>
        <w:t>失计入当期损益。</w:t>
      </w:r>
    </w:p>
    <w:p>
      <w:pPr>
        <w:spacing w:line="357" w:lineRule="auto" w:before="157"/>
        <w:ind w:left="540" w:right="1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低值易耗品和包装物的摊销方法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低值易耗品、包装物和其他周转材料采用一次转销法摊销。</w:t>
      </w:r>
    </w:p>
    <w:p>
      <w:pPr>
        <w:spacing w:line="427" w:lineRule="auto" w:before="107"/>
        <w:ind w:left="540" w:right="107"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27"/>
          <w:sz w:val="21"/>
          <w:szCs w:val="21"/>
        </w:rPr>
        <w:t> </w:t>
      </w:r>
      <w:r>
        <w:rPr>
          <w:rFonts w:ascii="宋体" w:hAnsi="宋体" w:cs="宋体" w:eastAsia="宋体" w:hint="default"/>
          <w:b/>
          <w:bCs/>
          <w:sz w:val="21"/>
          <w:szCs w:val="21"/>
        </w:rPr>
        <w:t>长期股权投资</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sz w:val="21"/>
          <w:szCs w:val="21"/>
        </w:rPr>
        <w:t>本公司的长期股权投资包括对子公司的投资、对合营企业、联营企业的投资和其他长期</w:t>
      </w:r>
    </w:p>
    <w:p>
      <w:pPr>
        <w:pStyle w:val="BodyText"/>
        <w:spacing w:line="244" w:lineRule="exact"/>
        <w:ind w:right="0"/>
        <w:jc w:val="both"/>
      </w:pPr>
      <w:r>
        <w:rPr/>
        <w:t>股权投资。</w:t>
      </w:r>
    </w:p>
    <w:p>
      <w:pPr>
        <w:spacing w:line="357" w:lineRule="auto" w:before="157"/>
        <w:ind w:left="540" w:right="1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投资成本的确定</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本公司对子公司的投资按照初始投资成本计价，控股合并形成的长期股权投资的初始计</w:t>
      </w:r>
    </w:p>
    <w:p>
      <w:pPr>
        <w:pStyle w:val="BodyText"/>
        <w:spacing w:line="355" w:lineRule="auto" w:before="31"/>
        <w:ind w:right="113"/>
        <w:jc w:val="both"/>
      </w:pPr>
      <w:r>
        <w:rPr>
          <w:spacing w:val="-4"/>
        </w:rPr>
        <w:t>量参见本附注二之（五）同一控制下和非同一控制下企业合并的会计处理方法。追加或收回</w:t>
      </w:r>
      <w:r>
        <w:rPr>
          <w:spacing w:val="-48"/>
        </w:rPr>
        <w:t> </w:t>
      </w:r>
      <w:r>
        <w:rPr>
          <w:spacing w:val="-48"/>
        </w:rPr>
      </w:r>
      <w:r>
        <w:rPr/>
        <w:t>投资调整长期股权投资的成本。</w:t>
      </w:r>
    </w:p>
    <w:p>
      <w:pPr>
        <w:pStyle w:val="BodyText"/>
        <w:spacing w:line="357" w:lineRule="auto" w:before="58"/>
        <w:ind w:right="111" w:firstLine="419"/>
        <w:jc w:val="both"/>
      </w:pPr>
      <w:r>
        <w:rPr>
          <w:spacing w:val="-4"/>
          <w:w w:val="100"/>
        </w:rPr>
        <w:t>本公司对被投资单位具有共同控制或重大影响的长期股权投资，以及对被投资单位不具</w:t>
      </w:r>
      <w:r>
        <w:rPr>
          <w:w w:val="100"/>
        </w:rPr>
        <w:t> </w:t>
      </w:r>
      <w:r>
        <w:rPr>
          <w:spacing w:val="-4"/>
        </w:rPr>
        <w:t>有共同控制或重大影响，并且在活跃市场中没有报价、公允价值不能可靠计量的长期股权投</w:t>
      </w:r>
      <w:r>
        <w:rPr>
          <w:spacing w:val="-44"/>
        </w:rPr>
        <w:t> </w:t>
      </w:r>
      <w:r>
        <w:rPr>
          <w:spacing w:val="-44"/>
        </w:rPr>
      </w:r>
      <w:r>
        <w:rPr/>
        <w:t>资，均按照初始投资成本计价。</w:t>
      </w:r>
    </w:p>
    <w:p>
      <w:pPr>
        <w:spacing w:line="357" w:lineRule="auto" w:before="54"/>
        <w:ind w:left="540" w:right="1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后续计量及损益确认方法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本公司对子公司的投资的后续计量采用成本法核算，编制合并财务报表时按照权益法进</w:t>
      </w:r>
    </w:p>
    <w:p>
      <w:pPr>
        <w:pStyle w:val="BodyText"/>
        <w:spacing w:line="355" w:lineRule="auto" w:before="30"/>
        <w:ind w:right="111"/>
        <w:jc w:val="both"/>
      </w:pPr>
      <w:r>
        <w:rPr>
          <w:spacing w:val="-4"/>
          <w:w w:val="100"/>
        </w:rPr>
        <w:t>行调整。除取得投资时实际支付的价款或对价中包含的已宣告但尚未发放的现金股利或利润</w:t>
      </w:r>
      <w:r>
        <w:rPr>
          <w:spacing w:val="-94"/>
          <w:w w:val="100"/>
        </w:rPr>
        <w:t> </w:t>
      </w:r>
      <w:r>
        <w:rPr>
          <w:spacing w:val="-94"/>
          <w:w w:val="100"/>
        </w:rPr>
      </w:r>
      <w:r>
        <w:rPr/>
        <w:t>外，按照享有被投资单位宣告发放的现金股利或利润确认投资收益。</w:t>
      </w:r>
    </w:p>
    <w:p>
      <w:pPr>
        <w:pStyle w:val="BodyText"/>
        <w:spacing w:line="357" w:lineRule="auto" w:before="59"/>
        <w:ind w:right="111" w:firstLine="419"/>
        <w:jc w:val="both"/>
      </w:pPr>
      <w:r>
        <w:rPr>
          <w:spacing w:val="-4"/>
          <w:w w:val="100"/>
        </w:rPr>
        <w:t>本公司对被投资单位具有共同控制或重大影响的长期股权投资，后续计量采用权益法核</w:t>
      </w:r>
      <w:r>
        <w:rPr>
          <w:w w:val="100"/>
        </w:rPr>
        <w:t> </w:t>
      </w:r>
      <w:r>
        <w:rPr>
          <w:spacing w:val="-4"/>
          <w:w w:val="100"/>
        </w:rPr>
        <w:t>算。长期股权投资的初始投资成本大于投资时应享有被投资单位可辨认净资产公允价值份额</w:t>
      </w:r>
      <w:r>
        <w:rPr>
          <w:spacing w:val="-94"/>
          <w:w w:val="100"/>
        </w:rPr>
        <w:t> </w:t>
      </w:r>
      <w:r>
        <w:rPr>
          <w:spacing w:val="-94"/>
          <w:w w:val="100"/>
        </w:rPr>
      </w:r>
      <w:r>
        <w:rPr>
          <w:spacing w:val="-4"/>
        </w:rPr>
        <w:t>的，不调整长期股权投资的初始投资成本；长期股权投资的初始投资成本小于投资时应享有</w:t>
      </w:r>
      <w:r>
        <w:rPr>
          <w:spacing w:val="-44"/>
        </w:rPr>
        <w:t> </w:t>
      </w:r>
      <w:r>
        <w:rPr>
          <w:spacing w:val="-44"/>
        </w:rPr>
      </w:r>
      <w:r>
        <w:rPr>
          <w:spacing w:val="-4"/>
        </w:rPr>
        <w:t>被投资单位可辨认净资产公允价值份额的，其差额计入当期损益，同时调整长期股权投资的</w:t>
      </w:r>
      <w:r>
        <w:rPr>
          <w:spacing w:val="-44"/>
        </w:rPr>
        <w:t> </w:t>
      </w:r>
      <w:r>
        <w:rPr>
          <w:spacing w:val="-44"/>
        </w:rPr>
      </w:r>
      <w:r>
        <w:rPr>
          <w:spacing w:val="-4"/>
        </w:rPr>
        <w:t>成本。取得长期股权投资后，按照应享有或应分担的被投资单位实现的净损益的份额，确认</w:t>
      </w:r>
      <w:r>
        <w:rPr>
          <w:spacing w:val="-46"/>
        </w:rPr>
        <w:t> </w:t>
      </w:r>
      <w:r>
        <w:rPr>
          <w:spacing w:val="-46"/>
        </w:rPr>
      </w:r>
      <w:r>
        <w:rPr>
          <w:spacing w:val="-4"/>
          <w:w w:val="100"/>
        </w:rPr>
        <w:t>投资损益并调整长期股权投资的账面价值。本公司按照被投资单位宣告分派的利润或现金股</w:t>
      </w:r>
      <w:r>
        <w:rPr>
          <w:spacing w:val="-94"/>
          <w:w w:val="100"/>
        </w:rPr>
        <w:t> </w:t>
      </w:r>
      <w:r>
        <w:rPr>
          <w:spacing w:val="-94"/>
          <w:w w:val="100"/>
        </w:rPr>
      </w:r>
      <w:r>
        <w:rPr/>
        <w:t>利计算应分得的部分，相应减少长期股权投资的账面价值。</w:t>
      </w:r>
    </w:p>
    <w:p>
      <w:pPr>
        <w:pStyle w:val="BodyText"/>
        <w:spacing w:line="355" w:lineRule="auto" w:before="56"/>
        <w:ind w:right="111" w:firstLine="419"/>
        <w:jc w:val="both"/>
      </w:pPr>
      <w:r>
        <w:rPr>
          <w:spacing w:val="-4"/>
        </w:rPr>
        <w:t>本公司对被投资单位不具有共同控制或重大影响，并且在活跃市场中没有报价、公允价</w:t>
      </w:r>
      <w:r>
        <w:rPr>
          <w:w w:val="100"/>
        </w:rPr>
        <w:t> </w:t>
      </w:r>
      <w:r>
        <w:rPr/>
        <w:t>值不能可靠计量的长期股权投资，后续计量采用成本法核算。</w:t>
      </w:r>
    </w:p>
    <w:p>
      <w:pPr>
        <w:spacing w:line="357" w:lineRule="auto" w:before="59"/>
        <w:ind w:left="540" w:right="1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4"/>
          <w:sz w:val="21"/>
          <w:szCs w:val="21"/>
        </w:rPr>
        <w:t>共同控制，是指按照合同约定对某项经济活动所共有的控制，仅在与该项经济活动相关</w:t>
      </w:r>
    </w:p>
    <w:p>
      <w:pPr>
        <w:pStyle w:val="BodyText"/>
        <w:spacing w:line="357" w:lineRule="auto" w:before="30"/>
        <w:ind w:right="111"/>
        <w:jc w:val="both"/>
      </w:pPr>
      <w:r>
        <w:rPr>
          <w:spacing w:val="-4"/>
          <w:w w:val="100"/>
        </w:rPr>
        <w:t>的重要财务和经营决策需要分享控制权的投资方一致同意时存在。投资企业与其他方对被投</w:t>
      </w:r>
      <w:r>
        <w:rPr>
          <w:spacing w:val="-94"/>
          <w:w w:val="100"/>
        </w:rPr>
        <w:t> </w:t>
      </w:r>
      <w:r>
        <w:rPr>
          <w:spacing w:val="-94"/>
          <w:w w:val="100"/>
        </w:rPr>
      </w:r>
      <w:r>
        <w:rPr>
          <w:spacing w:val="-4"/>
        </w:rPr>
        <w:t>资单位实施共同控制的，被投资单位为其合营企业；重大影响，是指对一个企业的财务和经</w:t>
      </w:r>
      <w:r>
        <w:rPr>
          <w:spacing w:val="-45"/>
        </w:rPr>
        <w:t> </w:t>
      </w:r>
      <w:r>
        <w:rPr>
          <w:spacing w:val="-45"/>
        </w:rPr>
      </w:r>
      <w:r>
        <w:rPr>
          <w:spacing w:val="-4"/>
        </w:rPr>
        <w:t>营政策有参与决策的权力，但并不能够控制或者与其他方一起共同控制这些政策的制定。投</w:t>
      </w:r>
    </w:p>
    <w:p>
      <w:pPr>
        <w:spacing w:after="0" w:line="357" w:lineRule="auto"/>
        <w:jc w:val="both"/>
        <w:sectPr>
          <w:footerReference w:type="default" r:id="rId45"/>
          <w:pgSz w:w="11910" w:h="16840"/>
          <w:pgMar w:footer="1186" w:header="852" w:top="1200" w:bottom="1380" w:left="1680" w:right="1680"/>
          <w:pgNumType w:start="85"/>
        </w:sectPr>
      </w:pPr>
    </w:p>
    <w:p>
      <w:pPr>
        <w:spacing w:line="240" w:lineRule="auto" w:before="3"/>
        <w:rPr>
          <w:rFonts w:ascii="宋体" w:hAnsi="宋体" w:cs="宋体" w:eastAsia="宋体" w:hint="default"/>
          <w:sz w:val="12"/>
          <w:szCs w:val="12"/>
        </w:rPr>
      </w:pPr>
    </w:p>
    <w:p>
      <w:pPr>
        <w:pStyle w:val="BodyText"/>
        <w:spacing w:line="240" w:lineRule="auto" w:before="36"/>
        <w:ind w:right="98"/>
        <w:jc w:val="left"/>
      </w:pPr>
      <w:r>
        <w:rPr/>
        <w:t>资企业能够对被投资单位施加重大影响的，被投资单位为其联营企业。</w:t>
      </w:r>
    </w:p>
    <w:p>
      <w:pPr>
        <w:spacing w:line="357" w:lineRule="auto" w:before="160"/>
        <w:ind w:left="540" w:right="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资产负债表日，若因市价持续下跌或被投资单位经营状况恶化等原因使长期股权投资存</w:t>
      </w:r>
    </w:p>
    <w:p>
      <w:pPr>
        <w:pStyle w:val="BodyText"/>
        <w:spacing w:line="357" w:lineRule="auto" w:before="30"/>
        <w:ind w:right="98"/>
        <w:jc w:val="left"/>
      </w:pPr>
      <w:r>
        <w:rPr>
          <w:spacing w:val="-4"/>
          <w:w w:val="100"/>
        </w:rPr>
        <w:t>在减值迹象时，根据单项长期股权投资的公允价值减去处置费用后的净额与长期股权投资预</w:t>
      </w:r>
      <w:r>
        <w:rPr>
          <w:spacing w:val="-94"/>
          <w:w w:val="100"/>
        </w:rPr>
        <w:t> </w:t>
      </w:r>
      <w:r>
        <w:rPr>
          <w:spacing w:val="-94"/>
          <w:w w:val="100"/>
        </w:rPr>
      </w:r>
      <w:r>
        <w:rPr>
          <w:spacing w:val="-4"/>
          <w:w w:val="100"/>
        </w:rPr>
        <w:t>计未来现金流量的现值两者之间较高者确定长期股权投资的可收回金额。长期股权投资的可</w:t>
      </w:r>
      <w:r>
        <w:rPr>
          <w:spacing w:val="-94"/>
          <w:w w:val="100"/>
        </w:rPr>
        <w:t> </w:t>
      </w:r>
      <w:r>
        <w:rPr>
          <w:spacing w:val="-94"/>
          <w:w w:val="100"/>
        </w:rPr>
      </w:r>
      <w:r>
        <w:rPr>
          <w:spacing w:val="-4"/>
        </w:rPr>
        <w:t>收回金额低于账面价值时，将资产的账面价值减记至可收回金额，减记的金额确认为资产减</w:t>
      </w:r>
      <w:r>
        <w:rPr>
          <w:spacing w:val="-44"/>
        </w:rPr>
        <w:t> </w:t>
      </w:r>
      <w:r>
        <w:rPr>
          <w:spacing w:val="-44"/>
        </w:rPr>
      </w:r>
      <w:r>
        <w:rPr>
          <w:spacing w:val="-2"/>
        </w:rPr>
        <w:t>值损失，计入当期损益，同时计提相应的资产减值准备。长期股权投资减值损失一经确认，</w:t>
      </w:r>
      <w:r>
        <w:rPr>
          <w:spacing w:val="-31"/>
        </w:rPr>
        <w:t> </w:t>
      </w:r>
      <w:r>
        <w:rPr>
          <w:spacing w:val="-31"/>
        </w:rPr>
      </w:r>
      <w:r>
        <w:rPr/>
        <w:t>在以后会计期间不再转回。</w:t>
      </w:r>
    </w:p>
    <w:p>
      <w:pPr>
        <w:spacing w:line="427" w:lineRule="auto" w:before="107"/>
        <w:ind w:left="540" w:right="98" w:firstLine="0"/>
        <w:jc w:val="left"/>
        <w:rPr>
          <w:rFonts w:ascii="宋体" w:hAnsi="宋体" w:cs="宋体" w:eastAsia="宋体" w:hint="default"/>
          <w:sz w:val="21"/>
          <w:szCs w:val="21"/>
        </w:rPr>
      </w:pPr>
      <w:r>
        <w:rPr>
          <w:rFonts w:ascii="宋体" w:hAnsi="宋体" w:cs="宋体" w:eastAsia="宋体" w:hint="default"/>
          <w:b/>
          <w:bCs/>
          <w:sz w:val="21"/>
          <w:szCs w:val="21"/>
        </w:rPr>
        <w:t>（十三）</w:t>
      </w:r>
      <w:r>
        <w:rPr>
          <w:rFonts w:ascii="宋体" w:hAnsi="宋体" w:cs="宋体" w:eastAsia="宋体" w:hint="default"/>
          <w:b/>
          <w:bCs/>
          <w:spacing w:val="-27"/>
          <w:sz w:val="21"/>
          <w:szCs w:val="21"/>
        </w:rPr>
        <w:t> </w:t>
      </w:r>
      <w:r>
        <w:rPr>
          <w:rFonts w:ascii="宋体" w:hAnsi="宋体" w:cs="宋体" w:eastAsia="宋体" w:hint="default"/>
          <w:b/>
          <w:bCs/>
          <w:sz w:val="21"/>
          <w:szCs w:val="21"/>
        </w:rPr>
        <w:t>投资性房地产</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w w:val="100"/>
          <w:sz w:val="21"/>
          <w:szCs w:val="21"/>
        </w:rPr>
        <w:t>本公司的投资性房地产包括已出租的土地使用权、持有并准备增值后转让的土地使用权</w:t>
      </w:r>
    </w:p>
    <w:p>
      <w:pPr>
        <w:pStyle w:val="BodyText"/>
        <w:spacing w:line="245" w:lineRule="exact"/>
        <w:ind w:right="98"/>
        <w:jc w:val="left"/>
      </w:pPr>
      <w:r>
        <w:rPr/>
        <w:t>和已出租的建筑物。</w:t>
      </w:r>
    </w:p>
    <w:p>
      <w:pPr>
        <w:pStyle w:val="BodyText"/>
        <w:spacing w:line="355" w:lineRule="auto" w:before="159"/>
        <w:ind w:right="211" w:firstLine="419"/>
        <w:jc w:val="both"/>
      </w:pPr>
      <w:r>
        <w:rPr/>
        <w:t>本公司的投资性房地产按其成本作为入账价值，外购投资性房地产的成本包括购买价</w:t>
      </w:r>
      <w:r>
        <w:rPr>
          <w:spacing w:val="2"/>
          <w:w w:val="100"/>
        </w:rPr>
        <w:t> </w:t>
      </w:r>
      <w:r>
        <w:rPr>
          <w:spacing w:val="-4"/>
        </w:rPr>
        <w:t>款、相关税费和可直接归属于该资产的其他支出；自行建造投资性房地产的成本，由建造该</w:t>
      </w:r>
      <w:r>
        <w:rPr>
          <w:spacing w:val="-45"/>
        </w:rPr>
        <w:t> </w:t>
      </w:r>
      <w:r>
        <w:rPr>
          <w:spacing w:val="-45"/>
        </w:rPr>
      </w:r>
      <w:r>
        <w:rPr/>
        <w:t>项资产达到预定可使用状态前所发生的必要支出构成。</w:t>
      </w:r>
    </w:p>
    <w:p>
      <w:pPr>
        <w:pStyle w:val="BodyText"/>
        <w:spacing w:line="355" w:lineRule="auto" w:before="58"/>
        <w:ind w:right="211" w:firstLine="419"/>
        <w:jc w:val="both"/>
      </w:pPr>
      <w:r>
        <w:rPr>
          <w:spacing w:val="-4"/>
          <w:w w:val="100"/>
        </w:rPr>
        <w:t>本公司对投资性房地产采用成本模式进行后续计量，按其预计使用寿命及净残值率对建</w:t>
      </w:r>
      <w:r>
        <w:rPr>
          <w:w w:val="100"/>
        </w:rPr>
        <w:t> </w:t>
      </w:r>
      <w:r>
        <w:rPr/>
        <w:t>筑物和土地使用权计提折旧或摊销。</w:t>
      </w:r>
    </w:p>
    <w:p>
      <w:pPr>
        <w:pStyle w:val="BodyText"/>
        <w:spacing w:line="357" w:lineRule="auto" w:before="58"/>
        <w:ind w:right="211" w:firstLine="419"/>
        <w:jc w:val="both"/>
      </w:pPr>
      <w:r>
        <w:rPr>
          <w:spacing w:val="-4"/>
        </w:rPr>
        <w:t>投资性房地产的用途改变为自用时，自改变之日起，本公司将该投资性房地产转换为固</w:t>
      </w:r>
      <w:r>
        <w:rPr>
          <w:w w:val="100"/>
        </w:rPr>
        <w:t> </w:t>
      </w:r>
      <w:r>
        <w:rPr>
          <w:spacing w:val="-4"/>
        </w:rPr>
        <w:t>定资产或无形资产。自用房地产的用途改变为赚取租金或资本增值时，自改变之日起，本公</w:t>
      </w:r>
      <w:r>
        <w:rPr>
          <w:spacing w:val="-45"/>
        </w:rPr>
        <w:t> </w:t>
      </w:r>
      <w:r>
        <w:rPr>
          <w:spacing w:val="-45"/>
        </w:rPr>
      </w:r>
      <w:r>
        <w:rPr>
          <w:spacing w:val="-4"/>
        </w:rPr>
        <w:t>司将固定资产或无形资产转换为投资性房地产。发生转换时，以转换前的账面价值作为转换</w:t>
      </w:r>
      <w:r>
        <w:rPr>
          <w:spacing w:val="-44"/>
        </w:rPr>
        <w:t> </w:t>
      </w:r>
      <w:r>
        <w:rPr>
          <w:spacing w:val="-44"/>
        </w:rPr>
      </w:r>
      <w:r>
        <w:rPr/>
        <w:t>后的入账价值。</w:t>
      </w:r>
    </w:p>
    <w:p>
      <w:pPr>
        <w:pStyle w:val="BodyText"/>
        <w:spacing w:line="355" w:lineRule="auto" w:before="56"/>
        <w:ind w:right="211" w:firstLine="419"/>
        <w:jc w:val="both"/>
      </w:pPr>
      <w:r>
        <w:rPr>
          <w:spacing w:val="-4"/>
        </w:rPr>
        <w:t>资产负债表日，若单项投资性房地产的可收回金额低于账面价值时，将资产的账面价值</w:t>
      </w:r>
      <w:r>
        <w:rPr>
          <w:w w:val="100"/>
        </w:rPr>
        <w:t> </w:t>
      </w:r>
      <w:r>
        <w:rPr>
          <w:spacing w:val="-4"/>
        </w:rPr>
        <w:t>减记至可收回金额，减记的金额确认为资产减值损失，计入当期损益，同时计提相应的资产</w:t>
      </w:r>
      <w:r>
        <w:rPr>
          <w:spacing w:val="-45"/>
        </w:rPr>
        <w:t> </w:t>
      </w:r>
      <w:r>
        <w:rPr>
          <w:spacing w:val="-45"/>
        </w:rPr>
      </w:r>
      <w:r>
        <w:rPr/>
        <w:t>减值准备。投资性房地产减值损失一经确认，在以后会计期间不再转回。</w:t>
      </w:r>
    </w:p>
    <w:p>
      <w:pPr>
        <w:pStyle w:val="BodyText"/>
        <w:spacing w:line="355" w:lineRule="auto" w:before="58"/>
        <w:ind w:right="211" w:firstLine="419"/>
        <w:jc w:val="both"/>
      </w:pPr>
      <w:r>
        <w:rPr>
          <w:spacing w:val="-4"/>
        </w:rPr>
        <w:t>当投资性房地产被处置，或者永久退出使用且预计不能从其处置中取得经济利益时，终</w:t>
      </w:r>
      <w:r>
        <w:rPr>
          <w:w w:val="100"/>
        </w:rPr>
        <w:t> </w:t>
      </w:r>
      <w:r>
        <w:rPr>
          <w:spacing w:val="-4"/>
        </w:rPr>
        <w:t>止确认该项投资性房地产。投资性房地产出售、转让、报废或毁损的处置收入扣除其账面价</w:t>
      </w:r>
      <w:r>
        <w:rPr>
          <w:spacing w:val="-45"/>
        </w:rPr>
        <w:t> </w:t>
      </w:r>
      <w:r>
        <w:rPr>
          <w:spacing w:val="-45"/>
        </w:rPr>
      </w:r>
      <w:r>
        <w:rPr/>
        <w:t>值和相关税费后的金额计入当期损益。</w:t>
      </w:r>
    </w:p>
    <w:p>
      <w:pPr>
        <w:pStyle w:val="Heading5"/>
        <w:spacing w:line="240" w:lineRule="auto" w:before="109"/>
        <w:ind w:left="540" w:right="98"/>
        <w:jc w:val="left"/>
        <w:rPr>
          <w:b w:val="0"/>
          <w:bCs w:val="0"/>
        </w:rPr>
      </w:pPr>
      <w:r>
        <w:rPr/>
        <w:t>（十四）</w:t>
      </w:r>
      <w:r>
        <w:rPr>
          <w:spacing w:val="-24"/>
        </w:rPr>
        <w:t> </w:t>
      </w:r>
      <w:r>
        <w:rPr/>
        <w:t>固定资产</w:t>
      </w:r>
      <w:r>
        <w:rPr>
          <w:b w:val="0"/>
          <w:bCs w:val="0"/>
        </w:rPr>
      </w:r>
    </w:p>
    <w:p>
      <w:pPr>
        <w:spacing w:line="240" w:lineRule="auto" w:before="5"/>
        <w:rPr>
          <w:rFonts w:ascii="宋体" w:hAnsi="宋体" w:cs="宋体" w:eastAsia="宋体" w:hint="default"/>
          <w:b/>
          <w:bCs/>
          <w:sz w:val="16"/>
          <w:szCs w:val="16"/>
        </w:rPr>
      </w:pPr>
    </w:p>
    <w:p>
      <w:pPr>
        <w:pStyle w:val="Heading5"/>
        <w:spacing w:line="240" w:lineRule="auto"/>
        <w:ind w:left="542" w:right="9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8"/>
        </w:rPr>
        <w:t> </w:t>
      </w:r>
      <w:r>
        <w:rPr/>
        <w:t>固定资产确认条件</w:t>
      </w:r>
      <w:r>
        <w:rPr>
          <w:b w:val="0"/>
          <w:bCs w:val="0"/>
        </w:rPr>
      </w:r>
    </w:p>
    <w:p>
      <w:pPr>
        <w:pStyle w:val="BodyText"/>
        <w:spacing w:line="357" w:lineRule="auto" w:before="142"/>
        <w:ind w:right="211" w:firstLine="419"/>
        <w:jc w:val="both"/>
      </w:pPr>
      <w:r>
        <w:rPr/>
        <w:t>固定资产指同时满足与该固定资产有关的经济利益很可能流入企业和该固定资产的成</w:t>
      </w:r>
      <w:r>
        <w:rPr>
          <w:spacing w:val="2"/>
          <w:w w:val="100"/>
        </w:rPr>
        <w:t> </w:t>
      </w:r>
      <w:r>
        <w:rPr>
          <w:spacing w:val="-4"/>
        </w:rPr>
        <w:t>本能够可靠地计量条件的，为生产商品、提供劳务、出租或经营管理而持有的使用寿命超过</w:t>
      </w:r>
      <w:r>
        <w:rPr>
          <w:spacing w:val="-46"/>
        </w:rPr>
        <w:t> </w:t>
      </w:r>
      <w:r>
        <w:rPr>
          <w:spacing w:val="-46"/>
        </w:rPr>
      </w:r>
      <w:r>
        <w:rPr/>
        <w:t>一个会计年度的有形资产。</w:t>
      </w:r>
    </w:p>
    <w:p>
      <w:pPr>
        <w:spacing w:line="357" w:lineRule="auto" w:before="54"/>
        <w:ind w:left="540" w:right="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除已提足折旧仍继续使用的固定资产和单独计价入账的土地之外，本公司对所有固定资</w:t>
      </w:r>
    </w:p>
    <w:p>
      <w:pPr>
        <w:spacing w:after="0" w:line="357" w:lineRule="auto"/>
        <w:jc w:val="left"/>
        <w:rPr>
          <w:rFonts w:ascii="宋体" w:hAnsi="宋体" w:cs="宋体" w:eastAsia="宋体" w:hint="default"/>
          <w:sz w:val="21"/>
          <w:szCs w:val="21"/>
        </w:rPr>
        <w:sectPr>
          <w:footerReference w:type="default" r:id="rId46"/>
          <w:pgSz w:w="11910" w:h="16840"/>
          <w:pgMar w:footer="1186" w:header="852" w:top="1200" w:bottom="1380" w:left="1680" w:right="1580"/>
          <w:pgNumType w:start="86"/>
        </w:sectPr>
      </w:pPr>
    </w:p>
    <w:p>
      <w:pPr>
        <w:spacing w:line="240" w:lineRule="auto" w:before="3"/>
        <w:rPr>
          <w:rFonts w:ascii="宋体" w:hAnsi="宋体" w:cs="宋体" w:eastAsia="宋体" w:hint="default"/>
          <w:sz w:val="12"/>
          <w:szCs w:val="12"/>
        </w:rPr>
      </w:pPr>
    </w:p>
    <w:p>
      <w:pPr>
        <w:pStyle w:val="BodyText"/>
        <w:spacing w:line="379" w:lineRule="auto" w:before="36"/>
        <w:ind w:left="820" w:right="0" w:hanging="420"/>
        <w:jc w:val="left"/>
      </w:pPr>
      <w:r>
        <w:rPr/>
        <w:t>产计提折旧。折旧方法采用年限平均法。</w:t>
      </w:r>
      <w:r>
        <w:rPr>
          <w:w w:val="100"/>
        </w:rPr>
        <w:t> </w:t>
      </w:r>
      <w:r>
        <w:rPr>
          <w:spacing w:val="-4"/>
        </w:rPr>
        <w:t>本公司根据固定资产的性质和使用情况，确定固定资产的使用寿命和预计净残值。并在</w:t>
      </w:r>
    </w:p>
    <w:p>
      <w:pPr>
        <w:pStyle w:val="BodyText"/>
        <w:spacing w:line="355" w:lineRule="auto" w:before="11"/>
        <w:ind w:left="400" w:right="0"/>
        <w:jc w:val="left"/>
      </w:pPr>
      <w:r>
        <w:rPr>
          <w:spacing w:val="-4"/>
        </w:rPr>
        <w:t>年度终了，对固定资产的使用寿命、预计净残值和折旧方法进行复核，如与原先估计数存在</w:t>
      </w:r>
      <w:r>
        <w:rPr>
          <w:spacing w:val="-46"/>
        </w:rPr>
        <w:t> </w:t>
      </w:r>
      <w:r>
        <w:rPr>
          <w:spacing w:val="-46"/>
        </w:rPr>
      </w:r>
      <w:r>
        <w:rPr/>
        <w:t>差异的，进行相应的调整。</w:t>
      </w:r>
    </w:p>
    <w:p>
      <w:pPr>
        <w:pStyle w:val="BodyText"/>
        <w:spacing w:line="240" w:lineRule="auto" w:before="58"/>
        <w:ind w:left="820" w:right="0"/>
        <w:jc w:val="left"/>
      </w:pPr>
      <w:r>
        <w:rPr/>
        <w:t>本公司的固定资产类别、折旧年限、残值率和年折旧率如下：</w:t>
      </w:r>
    </w:p>
    <w:p>
      <w:pPr>
        <w:spacing w:line="240" w:lineRule="auto" w:before="8"/>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429"/>
        <w:gridCol w:w="2415"/>
        <w:gridCol w:w="1805"/>
        <w:gridCol w:w="2211"/>
      </w:tblGrid>
      <w:tr>
        <w:trPr>
          <w:trHeight w:val="362" w:hRule="exact"/>
        </w:trPr>
        <w:tc>
          <w:tcPr>
            <w:tcW w:w="24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折旧年限</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2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6"/>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6.47</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2.77</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6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24.25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16.17</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6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19.40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16.17</w:t>
            </w:r>
          </w:p>
        </w:tc>
      </w:tr>
      <w:tr>
        <w:trPr>
          <w:trHeight w:val="365" w:hRule="exact"/>
        </w:trPr>
        <w:tc>
          <w:tcPr>
            <w:tcW w:w="242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2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w:t>
            </w:r>
          </w:p>
        </w:tc>
        <w:tc>
          <w:tcPr>
            <w:tcW w:w="22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32.33</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19.40</w:t>
            </w:r>
          </w:p>
        </w:tc>
      </w:tr>
    </w:tbl>
    <w:p>
      <w:pPr>
        <w:spacing w:line="357" w:lineRule="auto" w:before="0"/>
        <w:ind w:left="82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资产负债表日，固定资产按照账面价值与可收回金额孰低计价。若单项固定资产的可收</w:t>
      </w:r>
    </w:p>
    <w:p>
      <w:pPr>
        <w:pStyle w:val="BodyText"/>
        <w:spacing w:line="355" w:lineRule="auto" w:before="30"/>
        <w:ind w:left="400" w:right="391"/>
        <w:jc w:val="both"/>
      </w:pPr>
      <w:r>
        <w:rPr>
          <w:spacing w:val="-4"/>
        </w:rPr>
        <w:t>回金额低于账面价值，将资产的账面价值减记至可收回金额，减记的金额确认为资产减值损</w:t>
      </w:r>
      <w:r>
        <w:rPr>
          <w:spacing w:val="-44"/>
        </w:rPr>
        <w:t> </w:t>
      </w:r>
      <w:r>
        <w:rPr>
          <w:spacing w:val="-44"/>
        </w:rPr>
      </w:r>
      <w:r>
        <w:rPr>
          <w:spacing w:val="-4"/>
        </w:rPr>
        <w:t>失，计入当期损益，同时计提相应的资产减值准备。固定资产减值损失一经确认，在以后会</w:t>
      </w:r>
      <w:r>
        <w:rPr>
          <w:spacing w:val="-46"/>
        </w:rPr>
        <w:t> </w:t>
      </w:r>
      <w:r>
        <w:rPr>
          <w:spacing w:val="-46"/>
        </w:rPr>
      </w:r>
      <w:r>
        <w:rPr/>
        <w:t>计期间不再转回。</w:t>
      </w:r>
    </w:p>
    <w:p>
      <w:pPr>
        <w:pStyle w:val="BodyText"/>
        <w:spacing w:line="357" w:lineRule="auto" w:before="58"/>
        <w:ind w:left="820" w:right="0" w:firstLine="2"/>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15"/>
        </w:rPr>
        <w:t> </w:t>
      </w:r>
      <w:r>
        <w:rPr>
          <w:rFonts w:ascii="宋体" w:hAnsi="宋体" w:cs="宋体" w:eastAsia="宋体" w:hint="default"/>
          <w:b/>
          <w:bCs/>
        </w:rPr>
        <w:t>其他说明</w:t>
      </w:r>
      <w:r>
        <w:rPr>
          <w:rFonts w:ascii="宋体" w:hAnsi="宋体" w:cs="宋体" w:eastAsia="宋体" w:hint="default"/>
          <w:b/>
          <w:bCs/>
          <w:w w:val="100"/>
        </w:rPr>
        <w:t> </w:t>
      </w:r>
      <w:r>
        <w:rPr>
          <w:spacing w:val="-4"/>
        </w:rPr>
        <w:t>本公司固定资产按成本进行初始计量。其中，外购的固定资产的成本包括买价、进口关</w:t>
      </w:r>
    </w:p>
    <w:p>
      <w:pPr>
        <w:pStyle w:val="BodyText"/>
        <w:spacing w:line="357" w:lineRule="auto" w:before="30"/>
        <w:ind w:left="400" w:right="391"/>
        <w:jc w:val="both"/>
      </w:pPr>
      <w:r>
        <w:rPr>
          <w:spacing w:val="-4"/>
          <w:w w:val="100"/>
        </w:rPr>
        <w:t>税等相关税费，以及为使固定资产达到预定可使用状态前所发生的可直接归属于该资产的其</w:t>
      </w:r>
      <w:r>
        <w:rPr>
          <w:spacing w:val="-94"/>
          <w:w w:val="100"/>
        </w:rPr>
        <w:t> </w:t>
      </w:r>
      <w:r>
        <w:rPr>
          <w:spacing w:val="-94"/>
          <w:w w:val="100"/>
        </w:rPr>
      </w:r>
      <w:r>
        <w:rPr>
          <w:spacing w:val="-4"/>
        </w:rPr>
        <w:t>他支出。自行建造固定资产的成本，由建造该项资产达到预定可使用状态前所发生的必要支</w:t>
      </w:r>
      <w:r>
        <w:rPr>
          <w:spacing w:val="-44"/>
        </w:rPr>
        <w:t> </w:t>
      </w:r>
      <w:r>
        <w:rPr>
          <w:spacing w:val="-44"/>
        </w:rPr>
      </w:r>
      <w:r>
        <w:rPr>
          <w:spacing w:val="-4"/>
        </w:rPr>
        <w:t>出构成。投资者投入的固定资产，按投资合同或协议约定的价值作为入账价值，但合同或协</w:t>
      </w:r>
      <w:r>
        <w:rPr>
          <w:spacing w:val="-44"/>
        </w:rPr>
        <w:t> </w:t>
      </w:r>
      <w:r>
        <w:rPr>
          <w:spacing w:val="-44"/>
        </w:rPr>
      </w:r>
      <w:r>
        <w:rPr>
          <w:spacing w:val="-4"/>
        </w:rPr>
        <w:t>议约定价值不公允的按公允价值入账。购买固定资产的价款超过正常信用条件延期支付，实</w:t>
      </w:r>
      <w:r>
        <w:rPr>
          <w:spacing w:val="-44"/>
        </w:rPr>
        <w:t> </w:t>
      </w:r>
      <w:r>
        <w:rPr>
          <w:spacing w:val="-44"/>
        </w:rPr>
      </w:r>
      <w:r>
        <w:rPr>
          <w:spacing w:val="-4"/>
        </w:rPr>
        <w:t>质上具有融资性质的，固定资产的成本以购买价款的现值为基础确定。实际支付的价款与购</w:t>
      </w:r>
      <w:r>
        <w:rPr>
          <w:spacing w:val="-44"/>
        </w:rPr>
        <w:t> </w:t>
      </w:r>
      <w:r>
        <w:rPr>
          <w:spacing w:val="-44"/>
        </w:rPr>
      </w:r>
      <w:r>
        <w:rPr/>
        <w:t>买价款的现值之间的差额，除应予资本化的以外，在信用期间内计入当期损益。</w:t>
      </w:r>
    </w:p>
    <w:p>
      <w:pPr>
        <w:pStyle w:val="BodyText"/>
        <w:spacing w:line="355" w:lineRule="auto" w:before="56"/>
        <w:ind w:left="400" w:right="391" w:firstLine="419"/>
        <w:jc w:val="both"/>
      </w:pPr>
      <w:r>
        <w:rPr>
          <w:spacing w:val="-4"/>
        </w:rPr>
        <w:t>当固定资产被处置、或者预期通过使用或处置不能产生经济利益时，终止确认该固定资</w:t>
      </w:r>
      <w:r>
        <w:rPr>
          <w:w w:val="100"/>
        </w:rPr>
        <w:t> </w:t>
      </w:r>
      <w:r>
        <w:rPr>
          <w:spacing w:val="-4"/>
        </w:rPr>
        <w:t>产。固定资产出售、转让、报废或毁损的处置收入扣除其账面价值和相关税费后的金额计入</w:t>
      </w:r>
      <w:r>
        <w:rPr>
          <w:spacing w:val="-45"/>
        </w:rPr>
        <w:t> </w:t>
      </w:r>
      <w:r>
        <w:rPr>
          <w:spacing w:val="-45"/>
        </w:rPr>
      </w:r>
      <w:r>
        <w:rPr/>
        <w:t>当期损益。</w:t>
      </w:r>
    </w:p>
    <w:p>
      <w:pPr>
        <w:spacing w:line="424" w:lineRule="auto" w:before="109"/>
        <w:ind w:left="820" w:right="0" w:firstLine="0"/>
        <w:jc w:val="left"/>
        <w:rPr>
          <w:rFonts w:ascii="宋体" w:hAnsi="宋体" w:cs="宋体" w:eastAsia="宋体" w:hint="default"/>
          <w:sz w:val="21"/>
          <w:szCs w:val="21"/>
        </w:rPr>
      </w:pPr>
      <w:r>
        <w:rPr>
          <w:rFonts w:ascii="宋体" w:hAnsi="宋体" w:cs="宋体" w:eastAsia="宋体" w:hint="default"/>
          <w:b/>
          <w:bCs/>
          <w:sz w:val="21"/>
          <w:szCs w:val="21"/>
        </w:rPr>
        <w:t>（十五）</w:t>
      </w:r>
      <w:r>
        <w:rPr>
          <w:rFonts w:ascii="宋体" w:hAnsi="宋体" w:cs="宋体" w:eastAsia="宋体" w:hint="default"/>
          <w:b/>
          <w:bCs/>
          <w:spacing w:val="-27"/>
          <w:sz w:val="21"/>
          <w:szCs w:val="21"/>
        </w:rPr>
        <w:t> </w:t>
      </w:r>
      <w:r>
        <w:rPr>
          <w:rFonts w:ascii="宋体" w:hAnsi="宋体" w:cs="宋体" w:eastAsia="宋体" w:hint="default"/>
          <w:b/>
          <w:bCs/>
          <w:sz w:val="21"/>
          <w:szCs w:val="21"/>
        </w:rPr>
        <w:t>在建工程</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w w:val="100"/>
          <w:sz w:val="21"/>
          <w:szCs w:val="21"/>
        </w:rPr>
        <w:t>本公司自行建造的在建工程按实际成本计价，实际成本由建造该项资产达到预定可使用</w:t>
      </w:r>
    </w:p>
    <w:p>
      <w:pPr>
        <w:pStyle w:val="BodyText"/>
        <w:spacing w:line="249" w:lineRule="exact"/>
        <w:ind w:left="400" w:right="0"/>
        <w:jc w:val="both"/>
      </w:pPr>
      <w:r>
        <w:rPr/>
        <w:t>状态前所发生的必要支出构成。</w:t>
      </w:r>
    </w:p>
    <w:p>
      <w:pPr>
        <w:pStyle w:val="BodyText"/>
        <w:spacing w:line="357" w:lineRule="auto" w:before="157"/>
        <w:ind w:left="400" w:right="391" w:firstLine="419"/>
        <w:jc w:val="both"/>
      </w:pPr>
      <w:r>
        <w:rPr>
          <w:spacing w:val="-4"/>
        </w:rPr>
        <w:t>已达到预定可使用状态但尚未办理竣工决算的固定资产，按照估计价值确定其成本，并</w:t>
      </w:r>
      <w:r>
        <w:rPr>
          <w:w w:val="100"/>
        </w:rPr>
        <w:t> </w:t>
      </w:r>
      <w:r>
        <w:rPr>
          <w:spacing w:val="-4"/>
        </w:rPr>
        <w:t>计提折旧；待办理竣工决算后，再按实际成本调整原来的暂估价值，但不调整原已计提的折</w:t>
      </w:r>
      <w:r>
        <w:rPr>
          <w:spacing w:val="-47"/>
        </w:rPr>
        <w:t> </w:t>
      </w:r>
      <w:r>
        <w:rPr>
          <w:spacing w:val="-47"/>
        </w:rPr>
      </w:r>
      <w:r>
        <w:rPr/>
        <w:t>旧额。</w:t>
      </w:r>
    </w:p>
    <w:p>
      <w:pPr>
        <w:pStyle w:val="BodyText"/>
        <w:spacing w:line="240" w:lineRule="auto" w:before="54"/>
        <w:ind w:left="400" w:right="0" w:firstLine="419"/>
        <w:jc w:val="both"/>
      </w:pPr>
      <w:r>
        <w:rPr>
          <w:spacing w:val="-4"/>
        </w:rPr>
        <w:t>资产负债表日，本公司对在建工程按照账面价值与可收回金额孰低计量，按单项工程可</w:t>
      </w:r>
    </w:p>
    <w:p>
      <w:pPr>
        <w:pStyle w:val="BodyText"/>
        <w:spacing w:line="240" w:lineRule="auto" w:before="135"/>
        <w:ind w:left="400" w:right="0"/>
        <w:jc w:val="both"/>
      </w:pPr>
      <w:r>
        <w:rPr>
          <w:spacing w:val="-4"/>
        </w:rPr>
        <w:t>收回金额低于账面价值的差额，计提在建工程减值准备，计入当期损益，同时计提相应的资</w:t>
      </w:r>
    </w:p>
    <w:p>
      <w:pPr>
        <w:spacing w:after="0" w:line="240" w:lineRule="auto"/>
        <w:jc w:val="both"/>
        <w:sectPr>
          <w:footerReference w:type="default" r:id="rId47"/>
          <w:pgSz w:w="11910" w:h="16840"/>
          <w:pgMar w:footer="1186" w:header="852" w:top="1200" w:bottom="1380" w:left="1400" w:right="1400"/>
          <w:pgNumType w:start="87"/>
        </w:sectPr>
      </w:pPr>
    </w:p>
    <w:p>
      <w:pPr>
        <w:spacing w:line="240" w:lineRule="auto" w:before="3"/>
        <w:rPr>
          <w:rFonts w:ascii="宋体" w:hAnsi="宋体" w:cs="宋体" w:eastAsia="宋体" w:hint="default"/>
          <w:sz w:val="12"/>
          <w:szCs w:val="12"/>
        </w:rPr>
      </w:pPr>
    </w:p>
    <w:p>
      <w:pPr>
        <w:pStyle w:val="BodyText"/>
        <w:spacing w:line="240" w:lineRule="auto" w:before="36"/>
        <w:ind w:right="98"/>
        <w:jc w:val="left"/>
      </w:pPr>
      <w:r>
        <w:rPr/>
        <w:t>产减值准备。在建工程减值损失一经确认，在以后会计期间不再转回。</w:t>
      </w:r>
    </w:p>
    <w:p>
      <w:pPr>
        <w:spacing w:line="240" w:lineRule="auto" w:before="1"/>
        <w:rPr>
          <w:rFonts w:ascii="宋体" w:hAnsi="宋体" w:cs="宋体" w:eastAsia="宋体" w:hint="default"/>
          <w:sz w:val="16"/>
          <w:szCs w:val="16"/>
        </w:rPr>
      </w:pPr>
    </w:p>
    <w:p>
      <w:pPr>
        <w:spacing w:line="424" w:lineRule="auto" w:before="0"/>
        <w:ind w:left="540" w:right="98" w:firstLine="0"/>
        <w:jc w:val="left"/>
        <w:rPr>
          <w:rFonts w:ascii="宋体" w:hAnsi="宋体" w:cs="宋体" w:eastAsia="宋体" w:hint="default"/>
          <w:sz w:val="21"/>
          <w:szCs w:val="21"/>
        </w:rPr>
      </w:pPr>
      <w:r>
        <w:rPr>
          <w:rFonts w:ascii="宋体" w:hAnsi="宋体" w:cs="宋体" w:eastAsia="宋体" w:hint="default"/>
          <w:b/>
          <w:bCs/>
          <w:sz w:val="21"/>
          <w:szCs w:val="21"/>
        </w:rPr>
        <w:t>（十六）</w:t>
      </w:r>
      <w:r>
        <w:rPr>
          <w:rFonts w:ascii="宋体" w:hAnsi="宋体" w:cs="宋体" w:eastAsia="宋体" w:hint="default"/>
          <w:b/>
          <w:bCs/>
          <w:spacing w:val="-27"/>
          <w:sz w:val="21"/>
          <w:szCs w:val="21"/>
        </w:rPr>
        <w:t> </w:t>
      </w:r>
      <w:r>
        <w:rPr>
          <w:rFonts w:ascii="宋体" w:hAnsi="宋体" w:cs="宋体" w:eastAsia="宋体" w:hint="default"/>
          <w:b/>
          <w:bCs/>
          <w:sz w:val="21"/>
          <w:szCs w:val="21"/>
        </w:rPr>
        <w:t>借款费用</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sz w:val="21"/>
          <w:szCs w:val="21"/>
        </w:rPr>
        <w:t>本公司发生的借款费用，可直接归属于符合资本化条件的资产的购建或者生产的，予以</w:t>
      </w:r>
    </w:p>
    <w:p>
      <w:pPr>
        <w:pStyle w:val="BodyText"/>
        <w:spacing w:line="249" w:lineRule="exact"/>
        <w:ind w:right="98"/>
        <w:jc w:val="left"/>
      </w:pPr>
      <w:r>
        <w:rPr>
          <w:spacing w:val="-4"/>
        </w:rPr>
        <w:t>资本化，计入相关资产成本；其他借款费用，在发生时根据其发生额确认为费用，计入当期</w:t>
      </w:r>
    </w:p>
    <w:p>
      <w:pPr>
        <w:pStyle w:val="BodyText"/>
        <w:spacing w:line="355" w:lineRule="auto" w:before="133"/>
        <w:ind w:right="98"/>
        <w:jc w:val="left"/>
      </w:pPr>
      <w:r>
        <w:rPr>
          <w:spacing w:val="-4"/>
        </w:rPr>
        <w:t>损益。符合资本化条件的资产，是指需要经过相当长时间的购建或者生产活动才能达到预定</w:t>
      </w:r>
      <w:r>
        <w:rPr>
          <w:spacing w:val="-44"/>
        </w:rPr>
        <w:t> </w:t>
      </w:r>
      <w:r>
        <w:rPr>
          <w:spacing w:val="-44"/>
        </w:rPr>
      </w:r>
      <w:r>
        <w:rPr/>
        <w:t>可使用或者可销售状态的固定资产、投资性房地产和存货等资产。</w:t>
      </w:r>
    </w:p>
    <w:p>
      <w:pPr>
        <w:pStyle w:val="BodyText"/>
        <w:spacing w:line="343" w:lineRule="auto" w:before="58"/>
        <w:ind w:right="211" w:firstLine="419"/>
        <w:jc w:val="both"/>
      </w:pPr>
      <w:r>
        <w:rPr>
          <w:spacing w:val="-7"/>
          <w:w w:val="100"/>
        </w:rPr>
        <w:t>同时满足下列条件时，借款费用开始资本化：（</w:t>
      </w:r>
      <w:r>
        <w:rPr>
          <w:rFonts w:ascii="Times New Roman" w:hAnsi="Times New Roman" w:cs="Times New Roman" w:eastAsia="Times New Roman" w:hint="default"/>
          <w:spacing w:val="-7"/>
          <w:w w:val="100"/>
        </w:rPr>
        <w:t>1</w:t>
      </w:r>
      <w:r>
        <w:rPr>
          <w:spacing w:val="-7"/>
          <w:w w:val="100"/>
        </w:rPr>
        <w:t>）资产支出已经发生，资产支出包括为</w:t>
      </w:r>
      <w:r>
        <w:rPr>
          <w:w w:val="100"/>
        </w:rPr>
        <w:t> </w:t>
      </w:r>
      <w:r>
        <w:rPr>
          <w:spacing w:val="-4"/>
          <w:w w:val="100"/>
        </w:rPr>
        <w:t>购建或者生产符合资本化条件的资产而以支付现金、转移非现金资产或者承担带息债务形式</w:t>
      </w:r>
      <w:r>
        <w:rPr>
          <w:spacing w:val="-94"/>
          <w:w w:val="100"/>
        </w:rPr>
        <w:t> </w:t>
      </w:r>
      <w:r>
        <w:rPr>
          <w:spacing w:val="-94"/>
          <w:w w:val="100"/>
        </w:rPr>
      </w:r>
      <w:r>
        <w:rPr>
          <w:spacing w:val="-9"/>
          <w:w w:val="100"/>
        </w:rPr>
        <w:t>发生的支出；（</w:t>
      </w:r>
      <w:r>
        <w:rPr>
          <w:rFonts w:ascii="Times New Roman" w:hAnsi="Times New Roman" w:cs="Times New Roman" w:eastAsia="Times New Roman" w:hint="default"/>
          <w:spacing w:val="-9"/>
          <w:w w:val="100"/>
        </w:rPr>
        <w:t>2</w:t>
      </w:r>
      <w:r>
        <w:rPr>
          <w:spacing w:val="-9"/>
          <w:w w:val="100"/>
        </w:rPr>
        <w:t>）借款费用已经发生；（</w:t>
      </w:r>
      <w:r>
        <w:rPr>
          <w:rFonts w:ascii="Times New Roman" w:hAnsi="Times New Roman" w:cs="Times New Roman" w:eastAsia="Times New Roman" w:hint="default"/>
          <w:spacing w:val="-9"/>
          <w:w w:val="100"/>
        </w:rPr>
        <w:t>3</w:t>
      </w:r>
      <w:r>
        <w:rPr>
          <w:spacing w:val="-9"/>
          <w:w w:val="100"/>
        </w:rPr>
        <w:t>）为使资产达到预定可使用或者可销售状态所必要</w:t>
      </w:r>
      <w:r>
        <w:rPr>
          <w:spacing w:val="-90"/>
          <w:w w:val="100"/>
        </w:rPr>
        <w:t> </w:t>
      </w:r>
      <w:r>
        <w:rPr>
          <w:spacing w:val="-90"/>
          <w:w w:val="100"/>
        </w:rPr>
      </w:r>
      <w:r>
        <w:rPr/>
        <w:t>的购建或者生产活动已经开始。</w:t>
      </w:r>
    </w:p>
    <w:p>
      <w:pPr>
        <w:pStyle w:val="BodyText"/>
        <w:spacing w:line="357" w:lineRule="auto" w:before="70"/>
        <w:ind w:right="211" w:firstLine="419"/>
        <w:jc w:val="both"/>
      </w:pPr>
      <w:r>
        <w:rPr>
          <w:spacing w:val="-4"/>
        </w:rPr>
        <w:t>在资本化期间内，每一会计期间的资本化金额，为购建或者生产符合资本化条件的资产</w:t>
      </w:r>
      <w:r>
        <w:rPr>
          <w:w w:val="100"/>
        </w:rPr>
        <w:t> </w:t>
      </w:r>
      <w:r>
        <w:rPr>
          <w:spacing w:val="-4"/>
        </w:rPr>
        <w:t>而借入专门借款的，以专门借款当期实际发生的利息费用，减去将尚未动用的借款资金存入</w:t>
      </w:r>
      <w:r>
        <w:rPr>
          <w:spacing w:val="-44"/>
        </w:rPr>
        <w:t> </w:t>
      </w:r>
      <w:r>
        <w:rPr>
          <w:spacing w:val="-44"/>
        </w:rPr>
      </w:r>
      <w:r>
        <w:rPr>
          <w:spacing w:val="-4"/>
          <w:w w:val="100"/>
        </w:rPr>
        <w:t>银行取得的利息收入或进行暂时性投资取得的投资收益后的金额确定。为购建或者生产符合</w:t>
      </w:r>
      <w:r>
        <w:rPr>
          <w:spacing w:val="-94"/>
          <w:w w:val="100"/>
        </w:rPr>
        <w:t> </w:t>
      </w:r>
      <w:r>
        <w:rPr>
          <w:spacing w:val="-94"/>
          <w:w w:val="100"/>
        </w:rPr>
      </w:r>
      <w:r>
        <w:rPr>
          <w:spacing w:val="-4"/>
          <w:w w:val="100"/>
        </w:rPr>
        <w:t>资本化条件的资产而占用了一般借款的，根据累计资产支出超过专门借款部分的资产支出加</w:t>
      </w:r>
      <w:r>
        <w:rPr>
          <w:spacing w:val="-94"/>
          <w:w w:val="100"/>
        </w:rPr>
        <w:t> </w:t>
      </w:r>
      <w:r>
        <w:rPr>
          <w:spacing w:val="-94"/>
          <w:w w:val="100"/>
        </w:rPr>
      </w:r>
      <w:r>
        <w:rPr>
          <w:spacing w:val="-4"/>
        </w:rPr>
        <w:t>权平均数乘以所占用一般借款的资本化率，计算确定一般借款应予资本化的利息金额。资本</w:t>
      </w:r>
      <w:r>
        <w:rPr>
          <w:spacing w:val="-44"/>
        </w:rPr>
        <w:t> </w:t>
      </w:r>
      <w:r>
        <w:rPr>
          <w:spacing w:val="-44"/>
        </w:rPr>
      </w:r>
      <w:r>
        <w:rPr>
          <w:spacing w:val="-4"/>
        </w:rPr>
        <w:t>化率根据一般借款加权平均利率计算确定。利息资本化金额，不超过当期相关借款实际发生</w:t>
      </w:r>
      <w:r>
        <w:rPr>
          <w:spacing w:val="-44"/>
        </w:rPr>
        <w:t> </w:t>
      </w:r>
      <w:r>
        <w:rPr>
          <w:spacing w:val="-44"/>
        </w:rPr>
      </w:r>
      <w:r>
        <w:rPr/>
        <w:t>的利息金额。</w:t>
      </w:r>
    </w:p>
    <w:p>
      <w:pPr>
        <w:pStyle w:val="BodyText"/>
        <w:spacing w:line="350" w:lineRule="auto" w:before="56"/>
        <w:ind w:right="98" w:firstLine="419"/>
        <w:jc w:val="left"/>
      </w:pPr>
      <w:r>
        <w:rPr>
          <w:spacing w:val="-3"/>
        </w:rPr>
        <w:t>符合资本化条件的资产在购建或者生产过程中发生非正常中断、且中断时间连续超过</w:t>
      </w:r>
      <w:r>
        <w:rPr>
          <w:spacing w:val="-32"/>
        </w:rPr>
        <w:t> </w:t>
      </w:r>
      <w:r>
        <w:rPr>
          <w:rFonts w:ascii="Times New Roman" w:hAnsi="Times New Roman" w:cs="Times New Roman" w:eastAsia="Times New Roman" w:hint="default"/>
        </w:rPr>
        <w:t>3</w:t>
      </w:r>
      <w:r>
        <w:rPr>
          <w:rFonts w:ascii="Times New Roman" w:hAnsi="Times New Roman" w:cs="Times New Roman" w:eastAsia="Times New Roman" w:hint="default"/>
          <w:w w:val="100"/>
        </w:rPr>
        <w:t> </w:t>
      </w:r>
      <w:r>
        <w:rPr>
          <w:spacing w:val="-2"/>
        </w:rPr>
        <w:t>个月的，暂停借款费用的资本化。在中断期间发生的借款费用确认为费用，计入当期损益，</w:t>
      </w:r>
      <w:r>
        <w:rPr>
          <w:spacing w:val="-31"/>
        </w:rPr>
        <w:t> </w:t>
      </w:r>
      <w:r>
        <w:rPr>
          <w:spacing w:val="-31"/>
        </w:rPr>
      </w:r>
      <w:r>
        <w:rPr>
          <w:spacing w:val="-4"/>
          <w:w w:val="100"/>
        </w:rPr>
        <w:t>直至资产的购建或者生产活动重新开始。如果中断是所购建或者生产的符合资本化条件的资</w:t>
      </w:r>
      <w:r>
        <w:rPr>
          <w:spacing w:val="-94"/>
          <w:w w:val="100"/>
        </w:rPr>
        <w:t> </w:t>
      </w:r>
      <w:r>
        <w:rPr>
          <w:spacing w:val="-94"/>
          <w:w w:val="100"/>
        </w:rPr>
      </w:r>
      <w:r>
        <w:rPr/>
        <w:t>产达到预定可使用或者可销售状态必要的程序，借款费用继续资本化。</w:t>
      </w:r>
    </w:p>
    <w:p>
      <w:pPr>
        <w:pStyle w:val="BodyText"/>
        <w:spacing w:line="355" w:lineRule="auto" w:before="60"/>
        <w:ind w:right="211" w:firstLine="419"/>
        <w:jc w:val="both"/>
      </w:pPr>
      <w:r>
        <w:rPr>
          <w:spacing w:val="-4"/>
          <w:w w:val="100"/>
        </w:rPr>
        <w:t>购建或者生产符合资本化条件的资产达到预定可使用或者可销售状态时，停止借款费用</w:t>
      </w:r>
      <w:r>
        <w:rPr>
          <w:w w:val="100"/>
        </w:rPr>
        <w:t> </w:t>
      </w:r>
      <w:r>
        <w:rPr/>
        <w:t>资本化。</w:t>
      </w:r>
    </w:p>
    <w:p>
      <w:pPr>
        <w:pStyle w:val="Heading5"/>
        <w:spacing w:line="240" w:lineRule="auto" w:before="109"/>
        <w:ind w:left="540" w:right="98"/>
        <w:jc w:val="left"/>
        <w:rPr>
          <w:b w:val="0"/>
          <w:bCs w:val="0"/>
        </w:rPr>
      </w:pPr>
      <w:r>
        <w:rPr/>
        <w:t>（十七）</w:t>
      </w:r>
      <w:r>
        <w:rPr>
          <w:spacing w:val="-23"/>
        </w:rPr>
        <w:t> </w:t>
      </w:r>
      <w:r>
        <w:rPr/>
        <w:t>无形资产与开发支出</w:t>
      </w:r>
      <w:r>
        <w:rPr>
          <w:b w:val="0"/>
          <w:bCs w:val="0"/>
        </w:rPr>
      </w:r>
    </w:p>
    <w:p>
      <w:pPr>
        <w:spacing w:line="240" w:lineRule="auto" w:before="5"/>
        <w:rPr>
          <w:rFonts w:ascii="宋体" w:hAnsi="宋体" w:cs="宋体" w:eastAsia="宋体" w:hint="default"/>
          <w:b/>
          <w:bCs/>
          <w:sz w:val="16"/>
          <w:szCs w:val="16"/>
        </w:rPr>
      </w:pPr>
    </w:p>
    <w:p>
      <w:pPr>
        <w:pStyle w:val="BodyText"/>
        <w:spacing w:line="357" w:lineRule="auto"/>
        <w:ind w:left="540" w:right="98"/>
        <w:jc w:val="left"/>
      </w:pPr>
      <w:r>
        <w:rPr>
          <w:spacing w:val="-2"/>
        </w:rPr>
        <w:t>无形资产是指本公司拥有或者控制的没有实物形态的可辨认非货币性资产，包括</w:t>
      </w:r>
      <w:r>
        <w:rPr>
          <w:rFonts w:ascii="Times New Roman" w:hAnsi="Times New Roman" w:cs="Times New Roman" w:eastAsia="Times New Roman" w:hint="default"/>
          <w:spacing w:val="-2"/>
        </w:rPr>
        <w:t>……</w:t>
      </w:r>
      <w:r>
        <w:rPr>
          <w:spacing w:val="-2"/>
        </w:rPr>
        <w:t>。</w:t>
      </w:r>
      <w:r>
        <w:rPr>
          <w:spacing w:val="-37"/>
        </w:rPr>
        <w:t> </w:t>
      </w:r>
      <w:r>
        <w:rPr>
          <w:spacing w:val="-4"/>
        </w:rPr>
        <w:t>无形资产按照成本进行初始计量。购入的无形资产，按实际支付的价款和相关支出作为</w:t>
      </w:r>
    </w:p>
    <w:p>
      <w:pPr>
        <w:pStyle w:val="BodyText"/>
        <w:spacing w:line="355" w:lineRule="auto" w:before="32"/>
        <w:ind w:right="98"/>
        <w:jc w:val="left"/>
      </w:pPr>
      <w:r>
        <w:rPr>
          <w:spacing w:val="-4"/>
        </w:rPr>
        <w:t>实际成本。投资者投入的无形资产，按投资合同或协议约定的价值确定实际成本，但合同或</w:t>
      </w:r>
      <w:r>
        <w:rPr>
          <w:spacing w:val="-47"/>
        </w:rPr>
        <w:t> </w:t>
      </w:r>
      <w:r>
        <w:rPr>
          <w:spacing w:val="-47"/>
        </w:rPr>
      </w:r>
      <w:r>
        <w:rPr/>
        <w:t>协议约定价值不公允的，按公允价值确定实际成本。</w:t>
      </w:r>
    </w:p>
    <w:p>
      <w:pPr>
        <w:pStyle w:val="BodyText"/>
        <w:spacing w:line="355" w:lineRule="auto" w:before="59"/>
        <w:ind w:right="211" w:firstLine="419"/>
        <w:jc w:val="both"/>
      </w:pPr>
      <w:r>
        <w:rPr>
          <w:spacing w:val="-4"/>
          <w:w w:val="100"/>
        </w:rPr>
        <w:t>本公司在取得无形资产时分析判断其使用寿命，划分为使用寿命有限和使用寿命不确定</w:t>
      </w:r>
      <w:r>
        <w:rPr>
          <w:w w:val="100"/>
        </w:rPr>
        <w:t> </w:t>
      </w:r>
      <w:r>
        <w:rPr/>
        <w:t>的无形资产。</w:t>
      </w:r>
    </w:p>
    <w:p>
      <w:pPr>
        <w:pStyle w:val="BodyText"/>
        <w:spacing w:line="357" w:lineRule="auto" w:before="56"/>
        <w:ind w:right="211" w:firstLine="419"/>
        <w:jc w:val="both"/>
      </w:pPr>
      <w:r>
        <w:rPr>
          <w:spacing w:val="-4"/>
        </w:rPr>
        <w:t>使用寿命有限的无形资产，在使用寿命内采用直线法摊销，并在年度终了，对无形资产</w:t>
      </w:r>
      <w:r>
        <w:rPr>
          <w:w w:val="100"/>
        </w:rPr>
        <w:t> </w:t>
      </w:r>
      <w:r>
        <w:rPr>
          <w:spacing w:val="-4"/>
        </w:rPr>
        <w:t>的使用寿命和摊销方法进行复核，如与原先估计数存在差异的，进行相应的调整。使用寿命</w:t>
      </w:r>
      <w:r>
        <w:rPr>
          <w:spacing w:val="-45"/>
        </w:rPr>
        <w:t> </w:t>
      </w:r>
      <w:r>
        <w:rPr>
          <w:spacing w:val="-45"/>
        </w:rPr>
      </w:r>
      <w:r>
        <w:rPr/>
        <w:t>有限的无形资产摊销方法如下：</w:t>
      </w:r>
    </w:p>
    <w:p>
      <w:pPr>
        <w:spacing w:after="0" w:line="357" w:lineRule="auto"/>
        <w:jc w:val="both"/>
        <w:sectPr>
          <w:footerReference w:type="default" r:id="rId48"/>
          <w:pgSz w:w="11910" w:h="16840"/>
          <w:pgMar w:footer="1186" w:header="852" w:top="1200" w:bottom="1380" w:left="1680" w:right="1580"/>
          <w:pgNumType w:start="88"/>
        </w:sectPr>
      </w:pPr>
    </w:p>
    <w:p>
      <w:pPr>
        <w:spacing w:line="240" w:lineRule="auto" w:before="7"/>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2912"/>
        <w:gridCol w:w="1923"/>
        <w:gridCol w:w="2254"/>
        <w:gridCol w:w="1772"/>
      </w:tblGrid>
      <w:tr>
        <w:trPr>
          <w:trHeight w:val="362" w:hRule="exact"/>
        </w:trPr>
        <w:tc>
          <w:tcPr>
            <w:tcW w:w="29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22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17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4"/>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6" w:hRule="exact"/>
        </w:trPr>
        <w:tc>
          <w:tcPr>
            <w:tcW w:w="2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实际使用年限</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2"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91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非专利技术</w:t>
            </w:r>
          </w:p>
        </w:tc>
        <w:tc>
          <w:tcPr>
            <w:tcW w:w="1923" w:type="dxa"/>
            <w:tcBorders>
              <w:top w:val="single" w:sz="6" w:space="0" w:color="000000"/>
              <w:left w:val="single" w:sz="6" w:space="0" w:color="000000"/>
              <w:bottom w:val="single" w:sz="12"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5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2" w:type="dxa"/>
            <w:tcBorders>
              <w:top w:val="single" w:sz="6" w:space="0" w:color="000000"/>
              <w:left w:val="single" w:sz="6" w:space="0" w:color="000000"/>
              <w:bottom w:val="single" w:sz="12" w:space="0" w:color="000000"/>
              <w:right w:val="nil" w:sz="6" w:space="0" w:color="auto"/>
            </w:tcBorders>
          </w:tcPr>
          <w:p>
            <w:pPr/>
          </w:p>
        </w:tc>
      </w:tr>
    </w:tbl>
    <w:p>
      <w:pPr>
        <w:pStyle w:val="BodyText"/>
        <w:spacing w:line="357" w:lineRule="auto"/>
        <w:ind w:left="400" w:right="391" w:firstLine="419"/>
        <w:jc w:val="both"/>
      </w:pPr>
      <w:r>
        <w:rPr>
          <w:spacing w:val="-4"/>
          <w:w w:val="100"/>
        </w:rPr>
        <w:t>使用寿命不确定的无形资产不予摊销。本公司在每个会计期间对使用寿命不确定的无形</w:t>
      </w:r>
      <w:r>
        <w:rPr>
          <w:spacing w:val="-3"/>
          <w:w w:val="100"/>
        </w:rPr>
        <w:t> </w:t>
      </w:r>
      <w:r>
        <w:rPr>
          <w:spacing w:val="-4"/>
        </w:rPr>
        <w:t>资产的使用寿命进行复核，当有确凿证据表明其使用寿命是有限的，则估计其使用寿命，按</w:t>
      </w:r>
      <w:r>
        <w:rPr>
          <w:spacing w:val="-46"/>
        </w:rPr>
        <w:t> </w:t>
      </w:r>
      <w:r>
        <w:rPr>
          <w:spacing w:val="-46"/>
        </w:rPr>
      </w:r>
      <w:r>
        <w:rPr>
          <w:spacing w:val="-4"/>
        </w:rPr>
        <w:t>直线法进行摊销。使用寿命不确定的无形资产，无论是否存在减值迹象，每年都进行减值测</w:t>
      </w:r>
      <w:r>
        <w:rPr>
          <w:spacing w:val="-47"/>
        </w:rPr>
        <w:t> </w:t>
      </w:r>
      <w:r>
        <w:rPr>
          <w:spacing w:val="-47"/>
        </w:rPr>
      </w:r>
      <w:r>
        <w:rPr/>
        <w:t>试。</w:t>
      </w:r>
    </w:p>
    <w:p>
      <w:pPr>
        <w:pStyle w:val="BodyText"/>
        <w:spacing w:line="357" w:lineRule="auto" w:before="54"/>
        <w:ind w:left="400" w:right="391" w:firstLine="419"/>
        <w:jc w:val="both"/>
      </w:pPr>
      <w:r>
        <w:rPr>
          <w:spacing w:val="-4"/>
        </w:rPr>
        <w:t>资产负债表日，本公司对无形资产按照其账面价值与可收回金额孰低计量，按单项资产</w:t>
      </w:r>
      <w:r>
        <w:rPr>
          <w:w w:val="100"/>
        </w:rPr>
        <w:t> </w:t>
      </w:r>
      <w:r>
        <w:rPr/>
        <w:t>可收回金额低于账面价值的差额计提无形资产减值准备，相应的资产减值损失计入当期损</w:t>
      </w:r>
      <w:r>
        <w:rPr>
          <w:spacing w:val="3"/>
        </w:rPr>
        <w:t> </w:t>
      </w:r>
      <w:r>
        <w:rPr>
          <w:spacing w:val="3"/>
        </w:rPr>
      </w:r>
      <w:r>
        <w:rPr/>
        <w:t>益。无形资产减值损失一经确认，在以后会计期间不再转回。</w:t>
      </w:r>
    </w:p>
    <w:p>
      <w:pPr>
        <w:pStyle w:val="BodyText"/>
        <w:spacing w:line="357" w:lineRule="auto" w:before="55"/>
        <w:ind w:left="400" w:right="391" w:firstLine="419"/>
        <w:jc w:val="both"/>
      </w:pPr>
      <w:r>
        <w:rPr>
          <w:spacing w:val="-4"/>
        </w:rPr>
        <w:t>本公司内部研究开发项目的支出，区分研究阶段支出与开发阶段支出进行相应处理。研</w:t>
      </w:r>
      <w:r>
        <w:rPr>
          <w:w w:val="100"/>
        </w:rPr>
        <w:t> </w:t>
      </w:r>
      <w:r>
        <w:rPr>
          <w:spacing w:val="-4"/>
          <w:w w:val="100"/>
        </w:rPr>
        <w:t>究是指为获取并理解新的科学或技术知识而进行的独创性的有计划调查。开发是指在进行商</w:t>
      </w:r>
      <w:r>
        <w:rPr>
          <w:spacing w:val="-94"/>
          <w:w w:val="100"/>
        </w:rPr>
        <w:t> </w:t>
      </w:r>
      <w:r>
        <w:rPr>
          <w:spacing w:val="-94"/>
          <w:w w:val="100"/>
        </w:rPr>
      </w:r>
      <w:r>
        <w:rPr>
          <w:spacing w:val="-4"/>
        </w:rPr>
        <w:t>业性生产或使用前，将研究成果或其他知识应用于某项计划或设计，以生产出新的或具有实</w:t>
      </w:r>
      <w:r>
        <w:rPr>
          <w:spacing w:val="-44"/>
        </w:rPr>
        <w:t> </w:t>
      </w:r>
      <w:r>
        <w:rPr>
          <w:spacing w:val="-44"/>
        </w:rPr>
      </w:r>
      <w:r>
        <w:rPr/>
        <w:t>质性改进的材料、装置、产品等。</w:t>
      </w:r>
    </w:p>
    <w:p>
      <w:pPr>
        <w:pStyle w:val="BodyText"/>
        <w:spacing w:line="345" w:lineRule="auto" w:before="56"/>
        <w:ind w:left="400" w:right="0" w:firstLine="419"/>
        <w:jc w:val="left"/>
      </w:pPr>
      <w:r>
        <w:rPr>
          <w:spacing w:val="-4"/>
        </w:rPr>
        <w:t>内部研究开发项目研究阶段的支出，于发生时计入当期损益；内部研究开发项目开发阶</w:t>
      </w:r>
      <w:r>
        <w:rPr>
          <w:w w:val="100"/>
        </w:rPr>
        <w:t> </w:t>
      </w:r>
      <w:r>
        <w:rPr>
          <w:spacing w:val="-7"/>
          <w:w w:val="100"/>
        </w:rPr>
        <w:t>段的支出，同时满足下列条件的确认为无形资产，否则于发生时计入当期损益：（</w:t>
      </w:r>
      <w:r>
        <w:rPr>
          <w:rFonts w:ascii="Times New Roman" w:hAnsi="Times New Roman" w:cs="Times New Roman" w:eastAsia="Times New Roman" w:hint="default"/>
          <w:spacing w:val="-7"/>
          <w:w w:val="100"/>
        </w:rPr>
        <w:t>1</w:t>
      </w:r>
      <w:r>
        <w:rPr>
          <w:spacing w:val="-7"/>
          <w:w w:val="100"/>
        </w:rPr>
        <w:t>）完成该</w:t>
      </w:r>
      <w:r>
        <w:rPr>
          <w:spacing w:val="-73"/>
          <w:w w:val="100"/>
        </w:rPr>
        <w:t> </w:t>
      </w:r>
      <w:r>
        <w:rPr>
          <w:spacing w:val="-73"/>
          <w:w w:val="100"/>
        </w:rPr>
      </w:r>
      <w:r>
        <w:rPr>
          <w:spacing w:val="-7"/>
          <w:w w:val="100"/>
        </w:rPr>
        <w:t>无形资产以使其能够使用或出售在技术上具有可行性；（</w:t>
      </w:r>
      <w:r>
        <w:rPr>
          <w:rFonts w:ascii="Times New Roman" w:hAnsi="Times New Roman" w:cs="Times New Roman" w:eastAsia="Times New Roman" w:hint="default"/>
          <w:spacing w:val="-7"/>
          <w:w w:val="100"/>
        </w:rPr>
        <w:t>2</w:t>
      </w:r>
      <w:r>
        <w:rPr>
          <w:spacing w:val="-7"/>
          <w:w w:val="100"/>
        </w:rPr>
        <w:t>）具有完成该无形资产并使用或出</w:t>
      </w:r>
      <w:r>
        <w:rPr>
          <w:spacing w:val="-72"/>
          <w:w w:val="100"/>
        </w:rPr>
        <w:t> </w:t>
      </w:r>
      <w:r>
        <w:rPr>
          <w:spacing w:val="-72"/>
          <w:w w:val="100"/>
        </w:rPr>
      </w:r>
      <w:r>
        <w:rPr>
          <w:spacing w:val="-7"/>
          <w:w w:val="100"/>
        </w:rPr>
        <w:t>售的意图；（</w:t>
      </w:r>
      <w:r>
        <w:rPr>
          <w:rFonts w:ascii="Times New Roman" w:hAnsi="Times New Roman" w:cs="Times New Roman" w:eastAsia="Times New Roman" w:hint="default"/>
          <w:spacing w:val="-7"/>
          <w:w w:val="100"/>
        </w:rPr>
        <w:t>3</w:t>
      </w:r>
      <w:r>
        <w:rPr>
          <w:spacing w:val="-7"/>
          <w:w w:val="100"/>
        </w:rPr>
        <w:t>）无形资产产生经济利益的方式，包括能够证明运用该无形资产生产的产品存</w:t>
      </w:r>
      <w:r>
        <w:rPr>
          <w:spacing w:val="-75"/>
          <w:w w:val="100"/>
        </w:rPr>
        <w:t> </w:t>
      </w:r>
      <w:r>
        <w:rPr>
          <w:spacing w:val="-75"/>
          <w:w w:val="100"/>
        </w:rPr>
      </w:r>
      <w:r>
        <w:rPr>
          <w:spacing w:val="-7"/>
          <w:w w:val="100"/>
        </w:rPr>
        <w:t>在市场或无形资产自身存在市场，无形资产将在内部使用的，应当证明其有用性；（</w:t>
      </w:r>
      <w:r>
        <w:rPr>
          <w:rFonts w:ascii="Times New Roman" w:hAnsi="Times New Roman" w:cs="Times New Roman" w:eastAsia="Times New Roman" w:hint="default"/>
          <w:spacing w:val="-7"/>
          <w:w w:val="100"/>
        </w:rPr>
        <w:t>4</w:t>
      </w:r>
      <w:r>
        <w:rPr>
          <w:spacing w:val="-7"/>
          <w:w w:val="100"/>
        </w:rPr>
        <w:t>）有足</w:t>
      </w:r>
      <w:r>
        <w:rPr>
          <w:spacing w:val="-72"/>
          <w:w w:val="100"/>
        </w:rPr>
        <w:t> </w:t>
      </w:r>
      <w:r>
        <w:rPr>
          <w:spacing w:val="-72"/>
          <w:w w:val="100"/>
        </w:rPr>
      </w:r>
      <w:r>
        <w:rPr>
          <w:spacing w:val="-4"/>
        </w:rPr>
        <w:t>够的技术、财务资源和其他资源支持，以完成该无形资产的开发，并有能力使用或出售该无</w:t>
      </w:r>
      <w:r>
        <w:rPr>
          <w:spacing w:val="-46"/>
        </w:rPr>
        <w:t> </w:t>
      </w:r>
      <w:r>
        <w:rPr>
          <w:spacing w:val="-46"/>
        </w:rPr>
      </w:r>
      <w:r>
        <w:rPr>
          <w:spacing w:val="-7"/>
          <w:w w:val="100"/>
        </w:rPr>
        <w:t>形资产；（</w:t>
      </w:r>
      <w:r>
        <w:rPr>
          <w:rFonts w:ascii="Times New Roman" w:hAnsi="Times New Roman" w:cs="Times New Roman" w:eastAsia="Times New Roman" w:hint="default"/>
          <w:spacing w:val="-7"/>
          <w:w w:val="100"/>
        </w:rPr>
        <w:t>5</w:t>
      </w:r>
      <w:r>
        <w:rPr>
          <w:spacing w:val="-7"/>
          <w:w w:val="100"/>
        </w:rPr>
        <w:t>）归属于该无形资产开发阶段的支出能够可靠地计量。前期已计入损益的开发支</w:t>
      </w:r>
      <w:r>
        <w:rPr>
          <w:spacing w:val="-73"/>
          <w:w w:val="100"/>
        </w:rPr>
        <w:t> </w:t>
      </w:r>
      <w:r>
        <w:rPr>
          <w:spacing w:val="-73"/>
          <w:w w:val="100"/>
        </w:rPr>
      </w:r>
      <w:r>
        <w:rPr>
          <w:spacing w:val="-2"/>
        </w:rPr>
        <w:t>出不在以后期间确认为资产。已资本化的开发阶段的支出在资产负债表上列示为开发支出，</w:t>
      </w:r>
      <w:r>
        <w:rPr>
          <w:spacing w:val="-31"/>
        </w:rPr>
        <w:t> </w:t>
      </w:r>
      <w:r>
        <w:rPr>
          <w:spacing w:val="-31"/>
        </w:rPr>
      </w:r>
      <w:r>
        <w:rPr/>
        <w:t>自该项目达到预定可使用状态之日起转为无形资产。</w:t>
      </w:r>
    </w:p>
    <w:p>
      <w:pPr>
        <w:pStyle w:val="Heading5"/>
        <w:spacing w:line="240" w:lineRule="auto" w:before="117"/>
        <w:ind w:right="0"/>
        <w:jc w:val="left"/>
        <w:rPr>
          <w:b w:val="0"/>
          <w:bCs w:val="0"/>
        </w:rPr>
      </w:pPr>
      <w:r>
        <w:rPr/>
        <w:t>（十八）</w:t>
      </w:r>
      <w:r>
        <w:rPr>
          <w:spacing w:val="-66"/>
        </w:rPr>
        <w:t> </w:t>
      </w:r>
      <w:r>
        <w:rPr/>
        <w:t>商誉</w:t>
      </w:r>
      <w:r>
        <w:rPr>
          <w:b w:val="0"/>
          <w:bCs w:val="0"/>
        </w:rPr>
      </w:r>
    </w:p>
    <w:p>
      <w:pPr>
        <w:spacing w:line="240" w:lineRule="auto" w:before="5"/>
        <w:rPr>
          <w:rFonts w:ascii="宋体" w:hAnsi="宋体" w:cs="宋体" w:eastAsia="宋体" w:hint="default"/>
          <w:b/>
          <w:bCs/>
          <w:sz w:val="16"/>
          <w:szCs w:val="16"/>
        </w:rPr>
      </w:pPr>
    </w:p>
    <w:p>
      <w:pPr>
        <w:pStyle w:val="BodyText"/>
        <w:spacing w:line="355" w:lineRule="auto"/>
        <w:ind w:left="400" w:right="394" w:firstLine="419"/>
        <w:jc w:val="both"/>
      </w:pPr>
      <w:r>
        <w:rPr/>
        <w:t>商誉为非同一控制下企业合并成本超过应享有的被投资单位或被购买方可辨认净资产</w:t>
      </w:r>
      <w:r>
        <w:rPr>
          <w:spacing w:val="2"/>
          <w:w w:val="100"/>
        </w:rPr>
        <w:t> </w:t>
      </w:r>
      <w:r>
        <w:rPr/>
        <w:t>于取得日或购买日的公允价值份额的差额。</w:t>
      </w:r>
    </w:p>
    <w:p>
      <w:pPr>
        <w:pStyle w:val="BodyText"/>
        <w:spacing w:line="355" w:lineRule="auto" w:before="58"/>
        <w:ind w:left="400" w:right="297" w:firstLine="419"/>
        <w:jc w:val="both"/>
      </w:pPr>
      <w:r>
        <w:rPr>
          <w:spacing w:val="-2"/>
        </w:rPr>
        <w:t>与子公司有关的商誉在合并财务报表上单独列示，与联营企业和合营企业有关的商誉，</w:t>
      </w:r>
      <w:r>
        <w:rPr>
          <w:w w:val="100"/>
        </w:rPr>
        <w:t> </w:t>
      </w:r>
      <w:r>
        <w:rPr/>
        <w:t>包含在长期股权投资的账面价值中。</w:t>
      </w:r>
    </w:p>
    <w:p>
      <w:pPr>
        <w:pStyle w:val="BodyText"/>
        <w:spacing w:line="357" w:lineRule="auto" w:before="57"/>
        <w:ind w:left="400" w:right="391" w:firstLine="419"/>
        <w:jc w:val="both"/>
      </w:pPr>
      <w:r>
        <w:rPr>
          <w:spacing w:val="-4"/>
        </w:rPr>
        <w:t>在财务报表中单独列示的商誉至少在每年年终进行减值测试。减值测试时，商誉的账面</w:t>
      </w:r>
      <w:r>
        <w:rPr>
          <w:w w:val="100"/>
        </w:rPr>
        <w:t> </w:t>
      </w:r>
      <w:r>
        <w:rPr/>
        <w:t>价值依据相关的资产组或者资产组组合能够从企业合并的协同效应中受益的情况分摊至受</w:t>
      </w:r>
      <w:r>
        <w:rPr>
          <w:spacing w:val="3"/>
        </w:rPr>
        <w:t> </w:t>
      </w:r>
      <w:r>
        <w:rPr>
          <w:spacing w:val="3"/>
        </w:rPr>
      </w:r>
      <w:r>
        <w:rPr/>
        <w:t>益的资产组或资产组组合。</w:t>
      </w:r>
    </w:p>
    <w:p>
      <w:pPr>
        <w:spacing w:line="427" w:lineRule="auto" w:before="104"/>
        <w:ind w:left="820" w:right="0" w:firstLine="0"/>
        <w:jc w:val="left"/>
        <w:rPr>
          <w:rFonts w:ascii="宋体" w:hAnsi="宋体" w:cs="宋体" w:eastAsia="宋体" w:hint="default"/>
          <w:sz w:val="21"/>
          <w:szCs w:val="21"/>
        </w:rPr>
      </w:pPr>
      <w:r>
        <w:rPr>
          <w:rFonts w:ascii="宋体" w:hAnsi="宋体" w:cs="宋体" w:eastAsia="宋体" w:hint="default"/>
          <w:b/>
          <w:bCs/>
          <w:sz w:val="21"/>
          <w:szCs w:val="21"/>
        </w:rPr>
        <w:t>（十九）</w:t>
      </w:r>
      <w:r>
        <w:rPr>
          <w:rFonts w:ascii="宋体" w:hAnsi="宋体" w:cs="宋体" w:eastAsia="宋体" w:hint="default"/>
          <w:b/>
          <w:bCs/>
          <w:spacing w:val="-68"/>
          <w:sz w:val="21"/>
          <w:szCs w:val="21"/>
        </w:rPr>
        <w:t> </w:t>
      </w:r>
      <w:r>
        <w:rPr>
          <w:rFonts w:ascii="宋体" w:hAnsi="宋体" w:cs="宋体" w:eastAsia="宋体" w:hint="default"/>
          <w:b/>
          <w:bCs/>
          <w:sz w:val="21"/>
          <w:szCs w:val="21"/>
        </w:rPr>
        <w:t>长期待摊费用</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本公司长期待摊费用是指已经支出，但受益期限在一年以上（不含一年）的各项费用。</w:t>
      </w:r>
    </w:p>
    <w:p>
      <w:pPr>
        <w:spacing w:after="0" w:line="427" w:lineRule="auto"/>
        <w:jc w:val="left"/>
        <w:rPr>
          <w:rFonts w:ascii="宋体" w:hAnsi="宋体" w:cs="宋体" w:eastAsia="宋体" w:hint="default"/>
          <w:sz w:val="21"/>
          <w:szCs w:val="21"/>
        </w:rPr>
        <w:sectPr>
          <w:pgSz w:w="11910" w:h="16840"/>
          <w:pgMar w:header="852" w:footer="1186" w:top="1200" w:bottom="1380" w:left="1400" w:right="1400"/>
        </w:sectPr>
      </w:pPr>
    </w:p>
    <w:p>
      <w:pPr>
        <w:spacing w:line="240" w:lineRule="auto" w:before="0"/>
        <w:rPr>
          <w:rFonts w:ascii="宋体" w:hAnsi="宋体" w:cs="宋体" w:eastAsia="宋体" w:hint="default"/>
          <w:sz w:val="12"/>
          <w:szCs w:val="12"/>
        </w:rPr>
      </w:pPr>
    </w:p>
    <w:p>
      <w:pPr>
        <w:spacing w:line="427" w:lineRule="auto" w:before="36"/>
        <w:ind w:left="540" w:right="98" w:firstLine="0"/>
        <w:jc w:val="left"/>
        <w:rPr>
          <w:rFonts w:ascii="宋体" w:hAnsi="宋体" w:cs="宋体" w:eastAsia="宋体" w:hint="default"/>
          <w:sz w:val="21"/>
          <w:szCs w:val="21"/>
        </w:rPr>
      </w:pPr>
      <w:r>
        <w:rPr>
          <w:rFonts w:ascii="宋体" w:hAnsi="宋体" w:cs="宋体" w:eastAsia="宋体" w:hint="default"/>
          <w:b/>
          <w:bCs/>
          <w:sz w:val="21"/>
          <w:szCs w:val="21"/>
        </w:rPr>
        <w:t>（二十）</w:t>
      </w:r>
      <w:r>
        <w:rPr>
          <w:rFonts w:ascii="宋体" w:hAnsi="宋体" w:cs="宋体" w:eastAsia="宋体" w:hint="default"/>
          <w:b/>
          <w:bCs/>
          <w:spacing w:val="-82"/>
          <w:sz w:val="21"/>
          <w:szCs w:val="21"/>
        </w:rPr>
        <w:t> </w:t>
      </w:r>
      <w:r>
        <w:rPr>
          <w:rFonts w:ascii="宋体" w:hAnsi="宋体" w:cs="宋体" w:eastAsia="宋体" w:hint="default"/>
          <w:b/>
          <w:bCs/>
          <w:sz w:val="21"/>
          <w:szCs w:val="21"/>
        </w:rPr>
        <w:t>预计负债</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w w:val="100"/>
          <w:sz w:val="21"/>
          <w:szCs w:val="21"/>
        </w:rPr>
        <w:t>本公司发生与或有事项相关的义务并同时符合以下条件时，在资产负债表中确认为预计</w:t>
      </w:r>
    </w:p>
    <w:p>
      <w:pPr>
        <w:pStyle w:val="BodyText"/>
        <w:spacing w:line="260" w:lineRule="exact"/>
        <w:ind w:right="0"/>
        <w:jc w:val="both"/>
      </w:pPr>
      <w:r>
        <w:rPr>
          <w:w w:val="100"/>
        </w:rPr>
        <w:t>负债</w:t>
      </w:r>
      <w:r>
        <w:rPr>
          <w:spacing w:val="-132"/>
          <w:w w:val="100"/>
        </w:rPr>
        <w:t>：</w:t>
      </w:r>
      <w:r>
        <w:rPr>
          <w:spacing w:val="-1"/>
          <w:w w:val="100"/>
        </w:rPr>
        <w:t>（</w:t>
      </w:r>
      <w:r>
        <w:rPr>
          <w:rFonts w:ascii="Times New Roman" w:hAnsi="Times New Roman" w:cs="Times New Roman" w:eastAsia="Times New Roman" w:hint="default"/>
          <w:w w:val="100"/>
        </w:rPr>
        <w:t>1</w:t>
      </w:r>
      <w:r>
        <w:rPr>
          <w:spacing w:val="-27"/>
          <w:w w:val="100"/>
        </w:rPr>
        <w:t>）</w:t>
      </w:r>
      <w:r>
        <w:rPr>
          <w:w w:val="100"/>
        </w:rPr>
        <w:t>该</w:t>
      </w:r>
      <w:r>
        <w:rPr>
          <w:spacing w:val="-3"/>
          <w:w w:val="100"/>
        </w:rPr>
        <w:t>义</w:t>
      </w:r>
      <w:r>
        <w:rPr>
          <w:w w:val="100"/>
        </w:rPr>
        <w:t>务</w:t>
      </w:r>
      <w:r>
        <w:rPr>
          <w:spacing w:val="-3"/>
          <w:w w:val="100"/>
        </w:rPr>
        <w:t>是</w:t>
      </w:r>
      <w:r>
        <w:rPr>
          <w:w w:val="100"/>
        </w:rPr>
        <w:t>本</w:t>
      </w:r>
      <w:r>
        <w:rPr>
          <w:spacing w:val="-3"/>
          <w:w w:val="100"/>
        </w:rPr>
        <w:t>公</w:t>
      </w:r>
      <w:r>
        <w:rPr>
          <w:w w:val="100"/>
        </w:rPr>
        <w:t>司承</w:t>
      </w:r>
      <w:r>
        <w:rPr>
          <w:spacing w:val="-3"/>
          <w:w w:val="100"/>
        </w:rPr>
        <w:t>担</w:t>
      </w:r>
      <w:r>
        <w:rPr>
          <w:w w:val="100"/>
        </w:rPr>
        <w:t>的</w:t>
      </w:r>
      <w:r>
        <w:rPr>
          <w:spacing w:val="-3"/>
          <w:w w:val="100"/>
        </w:rPr>
        <w:t>现</w:t>
      </w:r>
      <w:r>
        <w:rPr>
          <w:w w:val="100"/>
        </w:rPr>
        <w:t>时</w:t>
      </w:r>
      <w:r>
        <w:rPr>
          <w:spacing w:val="-3"/>
          <w:w w:val="100"/>
        </w:rPr>
        <w:t>义</w:t>
      </w:r>
      <w:r>
        <w:rPr>
          <w:w w:val="100"/>
        </w:rPr>
        <w:t>务</w:t>
      </w:r>
      <w:r>
        <w:rPr>
          <w:spacing w:val="-130"/>
          <w:w w:val="100"/>
        </w:rPr>
        <w:t>；</w:t>
      </w:r>
      <w:r>
        <w:rPr>
          <w:spacing w:val="-3"/>
          <w:w w:val="100"/>
        </w:rPr>
        <w:t>（</w:t>
      </w:r>
      <w:r>
        <w:rPr>
          <w:rFonts w:ascii="Times New Roman" w:hAnsi="Times New Roman" w:cs="Times New Roman" w:eastAsia="Times New Roman" w:hint="default"/>
          <w:w w:val="100"/>
        </w:rPr>
        <w:t>2</w:t>
      </w:r>
      <w:r>
        <w:rPr>
          <w:spacing w:val="-27"/>
          <w:w w:val="100"/>
        </w:rPr>
        <w:t>）</w:t>
      </w:r>
      <w:r>
        <w:rPr>
          <w:w w:val="100"/>
        </w:rPr>
        <w:t>该义</w:t>
      </w:r>
      <w:r>
        <w:rPr>
          <w:spacing w:val="-3"/>
          <w:w w:val="100"/>
        </w:rPr>
        <w:t>务</w:t>
      </w:r>
      <w:r>
        <w:rPr>
          <w:w w:val="100"/>
        </w:rPr>
        <w:t>的</w:t>
      </w:r>
      <w:r>
        <w:rPr>
          <w:spacing w:val="-3"/>
          <w:w w:val="100"/>
        </w:rPr>
        <w:t>履</w:t>
      </w:r>
      <w:r>
        <w:rPr>
          <w:w w:val="100"/>
        </w:rPr>
        <w:t>行</w:t>
      </w:r>
      <w:r>
        <w:rPr>
          <w:spacing w:val="-3"/>
          <w:w w:val="100"/>
        </w:rPr>
        <w:t>很</w:t>
      </w:r>
      <w:r>
        <w:rPr>
          <w:w w:val="100"/>
        </w:rPr>
        <w:t>可</w:t>
      </w:r>
      <w:r>
        <w:rPr>
          <w:spacing w:val="-3"/>
          <w:w w:val="100"/>
        </w:rPr>
        <w:t>能</w:t>
      </w:r>
      <w:r>
        <w:rPr>
          <w:w w:val="100"/>
        </w:rPr>
        <w:t>导</w:t>
      </w:r>
      <w:r>
        <w:rPr>
          <w:spacing w:val="-3"/>
          <w:w w:val="100"/>
        </w:rPr>
        <w:t>致</w:t>
      </w:r>
      <w:r>
        <w:rPr>
          <w:w w:val="100"/>
        </w:rPr>
        <w:t>经济</w:t>
      </w:r>
      <w:r>
        <w:rPr>
          <w:spacing w:val="-3"/>
          <w:w w:val="100"/>
        </w:rPr>
        <w:t>利</w:t>
      </w:r>
      <w:r>
        <w:rPr>
          <w:w w:val="100"/>
        </w:rPr>
        <w:t>益</w:t>
      </w:r>
      <w:r>
        <w:rPr>
          <w:spacing w:val="-3"/>
          <w:w w:val="100"/>
        </w:rPr>
        <w:t>流</w:t>
      </w:r>
      <w:r>
        <w:rPr>
          <w:w w:val="100"/>
        </w:rPr>
        <w:t>出企</w:t>
      </w:r>
    </w:p>
    <w:p>
      <w:pPr>
        <w:pStyle w:val="BodyText"/>
        <w:spacing w:line="357" w:lineRule="auto" w:before="117"/>
        <w:ind w:left="540" w:right="205" w:hanging="420"/>
        <w:jc w:val="left"/>
      </w:pPr>
      <w:r>
        <w:rPr>
          <w:w w:val="100"/>
        </w:rPr>
        <w:t>业</w:t>
      </w:r>
      <w:r>
        <w:rPr>
          <w:spacing w:val="-106"/>
          <w:w w:val="100"/>
        </w:rPr>
        <w:t>；</w:t>
      </w:r>
      <w:r>
        <w:rPr>
          <w:spacing w:val="-1"/>
          <w:w w:val="100"/>
        </w:rPr>
        <w:t>（</w:t>
      </w:r>
      <w:r>
        <w:rPr>
          <w:rFonts w:ascii="Times New Roman" w:hAnsi="Times New Roman" w:cs="Times New Roman" w:eastAsia="Times New Roman" w:hint="default"/>
          <w:spacing w:val="-3"/>
          <w:w w:val="100"/>
        </w:rPr>
        <w:t>3</w:t>
      </w:r>
      <w:r>
        <w:rPr>
          <w:w w:val="100"/>
        </w:rPr>
        <w:t>）</w:t>
      </w:r>
      <w:r>
        <w:rPr>
          <w:spacing w:val="-3"/>
          <w:w w:val="100"/>
        </w:rPr>
        <w:t>该</w:t>
      </w:r>
      <w:r>
        <w:rPr>
          <w:w w:val="100"/>
        </w:rPr>
        <w:t>义</w:t>
      </w:r>
      <w:r>
        <w:rPr>
          <w:spacing w:val="-3"/>
          <w:w w:val="100"/>
        </w:rPr>
        <w:t>务</w:t>
      </w:r>
      <w:r>
        <w:rPr>
          <w:w w:val="100"/>
        </w:rPr>
        <w:t>的</w:t>
      </w:r>
      <w:r>
        <w:rPr>
          <w:spacing w:val="-3"/>
          <w:w w:val="100"/>
        </w:rPr>
        <w:t>金</w:t>
      </w:r>
      <w:r>
        <w:rPr>
          <w:w w:val="100"/>
        </w:rPr>
        <w:t>额</w:t>
      </w:r>
      <w:r>
        <w:rPr>
          <w:spacing w:val="-3"/>
          <w:w w:val="100"/>
        </w:rPr>
        <w:t>能</w:t>
      </w:r>
      <w:r>
        <w:rPr>
          <w:w w:val="100"/>
        </w:rPr>
        <w:t>够可</w:t>
      </w:r>
      <w:r>
        <w:rPr>
          <w:spacing w:val="-3"/>
          <w:w w:val="100"/>
        </w:rPr>
        <w:t>靠</w:t>
      </w:r>
      <w:r>
        <w:rPr>
          <w:w w:val="100"/>
        </w:rPr>
        <w:t>地</w:t>
      </w:r>
      <w:r>
        <w:rPr>
          <w:spacing w:val="-3"/>
          <w:w w:val="100"/>
        </w:rPr>
        <w:t>计</w:t>
      </w:r>
      <w:r>
        <w:rPr>
          <w:w w:val="100"/>
        </w:rPr>
        <w:t>量。</w:t>
      </w:r>
      <w:r>
        <w:rPr>
          <w:w w:val="100"/>
        </w:rPr>
        <w:t> 预计</w:t>
      </w:r>
      <w:r>
        <w:rPr>
          <w:spacing w:val="-3"/>
          <w:w w:val="100"/>
        </w:rPr>
        <w:t>负</w:t>
      </w:r>
      <w:r>
        <w:rPr>
          <w:w w:val="100"/>
        </w:rPr>
        <w:t>债</w:t>
      </w:r>
      <w:r>
        <w:rPr>
          <w:spacing w:val="-3"/>
          <w:w w:val="100"/>
        </w:rPr>
        <w:t>按</w:t>
      </w:r>
      <w:r>
        <w:rPr>
          <w:w w:val="100"/>
        </w:rPr>
        <w:t>照</w:t>
      </w:r>
      <w:r>
        <w:rPr>
          <w:spacing w:val="-3"/>
          <w:w w:val="100"/>
        </w:rPr>
        <w:t>履</w:t>
      </w:r>
      <w:r>
        <w:rPr>
          <w:w w:val="100"/>
        </w:rPr>
        <w:t>行</w:t>
      </w:r>
      <w:r>
        <w:rPr>
          <w:spacing w:val="-3"/>
          <w:w w:val="100"/>
        </w:rPr>
        <w:t>相</w:t>
      </w:r>
      <w:r>
        <w:rPr>
          <w:w w:val="100"/>
        </w:rPr>
        <w:t>关</w:t>
      </w:r>
      <w:r>
        <w:rPr>
          <w:spacing w:val="-3"/>
          <w:w w:val="100"/>
        </w:rPr>
        <w:t>现</w:t>
      </w:r>
      <w:r>
        <w:rPr>
          <w:w w:val="100"/>
        </w:rPr>
        <w:t>时义</w:t>
      </w:r>
      <w:r>
        <w:rPr>
          <w:spacing w:val="-3"/>
          <w:w w:val="100"/>
        </w:rPr>
        <w:t>务</w:t>
      </w:r>
      <w:r>
        <w:rPr>
          <w:w w:val="100"/>
        </w:rPr>
        <w:t>所</w:t>
      </w:r>
      <w:r>
        <w:rPr>
          <w:spacing w:val="-3"/>
          <w:w w:val="100"/>
        </w:rPr>
        <w:t>需</w:t>
      </w:r>
      <w:r>
        <w:rPr>
          <w:w w:val="100"/>
        </w:rPr>
        <w:t>支</w:t>
      </w:r>
      <w:r>
        <w:rPr>
          <w:spacing w:val="-3"/>
          <w:w w:val="100"/>
        </w:rPr>
        <w:t>出</w:t>
      </w:r>
      <w:r>
        <w:rPr>
          <w:w w:val="100"/>
        </w:rPr>
        <w:t>的</w:t>
      </w:r>
      <w:r>
        <w:rPr>
          <w:spacing w:val="-3"/>
          <w:w w:val="100"/>
        </w:rPr>
        <w:t>最</w:t>
      </w:r>
      <w:r>
        <w:rPr>
          <w:w w:val="100"/>
        </w:rPr>
        <w:t>佳</w:t>
      </w:r>
      <w:r>
        <w:rPr>
          <w:spacing w:val="-3"/>
          <w:w w:val="100"/>
        </w:rPr>
        <w:t>估</w:t>
      </w:r>
      <w:r>
        <w:rPr>
          <w:w w:val="100"/>
        </w:rPr>
        <w:t>计数</w:t>
      </w:r>
      <w:r>
        <w:rPr>
          <w:spacing w:val="-3"/>
          <w:w w:val="100"/>
        </w:rPr>
        <w:t>进</w:t>
      </w:r>
      <w:r>
        <w:rPr>
          <w:w w:val="100"/>
        </w:rPr>
        <w:t>行</w:t>
      </w:r>
      <w:r>
        <w:rPr>
          <w:spacing w:val="-3"/>
          <w:w w:val="100"/>
        </w:rPr>
        <w:t>初</w:t>
      </w:r>
      <w:r>
        <w:rPr>
          <w:w w:val="100"/>
        </w:rPr>
        <w:t>始</w:t>
      </w:r>
      <w:r>
        <w:rPr>
          <w:spacing w:val="-3"/>
          <w:w w:val="100"/>
        </w:rPr>
        <w:t>计量</w:t>
      </w:r>
      <w:r>
        <w:rPr>
          <w:spacing w:val="-94"/>
          <w:w w:val="100"/>
        </w:rPr>
        <w:t>，</w:t>
      </w:r>
      <w:r>
        <w:rPr>
          <w:spacing w:val="-3"/>
          <w:w w:val="100"/>
        </w:rPr>
        <w:t>并</w:t>
      </w:r>
      <w:r>
        <w:rPr>
          <w:w w:val="100"/>
        </w:rPr>
        <w:t>综</w:t>
      </w:r>
      <w:r>
        <w:rPr>
          <w:spacing w:val="-3"/>
          <w:w w:val="100"/>
        </w:rPr>
        <w:t>合</w:t>
      </w:r>
      <w:r>
        <w:rPr>
          <w:w w:val="100"/>
        </w:rPr>
        <w:t>考虑</w:t>
      </w:r>
      <w:r>
        <w:rPr>
          <w:spacing w:val="-3"/>
          <w:w w:val="100"/>
        </w:rPr>
        <w:t>与</w:t>
      </w:r>
      <w:r>
        <w:rPr>
          <w:w w:val="100"/>
        </w:rPr>
        <w:t>或</w:t>
      </w:r>
    </w:p>
    <w:p>
      <w:pPr>
        <w:pStyle w:val="BodyText"/>
        <w:spacing w:line="355" w:lineRule="auto" w:before="30"/>
        <w:ind w:right="211"/>
        <w:jc w:val="both"/>
      </w:pPr>
      <w:r>
        <w:rPr>
          <w:spacing w:val="-4"/>
        </w:rPr>
        <w:t>有事项有关的风险、不确定性和货币时间价值等因素。货币时间价值影响重大的，通过对相</w:t>
      </w:r>
      <w:r>
        <w:rPr>
          <w:spacing w:val="-45"/>
        </w:rPr>
        <w:t> </w:t>
      </w:r>
      <w:r>
        <w:rPr>
          <w:spacing w:val="-45"/>
        </w:rPr>
      </w:r>
      <w:r>
        <w:rPr>
          <w:spacing w:val="-4"/>
          <w:w w:val="100"/>
        </w:rPr>
        <w:t>关未来现金流出进行折现后确定最佳估计数。本公司于资产负债表日对预计负债的账面价值</w:t>
      </w:r>
      <w:r>
        <w:rPr>
          <w:spacing w:val="-94"/>
          <w:w w:val="100"/>
        </w:rPr>
        <w:t> </w:t>
      </w:r>
      <w:r>
        <w:rPr>
          <w:spacing w:val="-94"/>
          <w:w w:val="100"/>
        </w:rPr>
      </w:r>
      <w:r>
        <w:rPr/>
        <w:t>进行复核，并对账面价值进行调整以反映当前最佳估计数。</w:t>
      </w:r>
    </w:p>
    <w:p>
      <w:pPr>
        <w:pStyle w:val="Heading5"/>
        <w:spacing w:line="240" w:lineRule="auto" w:before="109"/>
        <w:ind w:left="540" w:right="98"/>
        <w:jc w:val="left"/>
        <w:rPr>
          <w:b w:val="0"/>
          <w:bCs w:val="0"/>
        </w:rPr>
      </w:pPr>
      <w:r>
        <w:rPr/>
        <w:t>（二十一）</w:t>
      </w:r>
      <w:r>
        <w:rPr>
          <w:spacing w:val="-83"/>
        </w:rPr>
        <w:t> </w:t>
      </w:r>
      <w:r>
        <w:rPr/>
        <w:t>收入</w:t>
      </w:r>
      <w:r>
        <w:rPr>
          <w:b w:val="0"/>
          <w:bCs w:val="0"/>
        </w:rPr>
      </w:r>
    </w:p>
    <w:p>
      <w:pPr>
        <w:spacing w:line="240" w:lineRule="auto" w:before="5"/>
        <w:rPr>
          <w:rFonts w:ascii="宋体" w:hAnsi="宋体" w:cs="宋体" w:eastAsia="宋体" w:hint="default"/>
          <w:b/>
          <w:bCs/>
          <w:sz w:val="16"/>
          <w:szCs w:val="16"/>
        </w:rPr>
      </w:pPr>
    </w:p>
    <w:p>
      <w:pPr>
        <w:pStyle w:val="BodyText"/>
        <w:spacing w:line="357" w:lineRule="auto"/>
        <w:ind w:left="540" w:right="98"/>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17"/>
        </w:rPr>
        <w:t> </w:t>
      </w:r>
      <w:r>
        <w:rPr>
          <w:rFonts w:ascii="宋体" w:hAnsi="宋体" w:cs="宋体" w:eastAsia="宋体" w:hint="default"/>
          <w:b/>
          <w:bCs/>
        </w:rPr>
        <w:t>销售商品</w:t>
      </w:r>
      <w:r>
        <w:rPr>
          <w:rFonts w:ascii="宋体" w:hAnsi="宋体" w:cs="宋体" w:eastAsia="宋体" w:hint="default"/>
          <w:b/>
          <w:bCs/>
          <w:spacing w:val="-104"/>
        </w:rPr>
        <w:t> </w:t>
      </w:r>
      <w:r>
        <w:rPr>
          <w:spacing w:val="-4"/>
          <w:w w:val="100"/>
        </w:rPr>
        <w:t>本公司销售的商品在同时满足下列条件时，按从购货方已收或应收的合同或协议价款的</w:t>
      </w:r>
    </w:p>
    <w:p>
      <w:pPr>
        <w:pStyle w:val="BodyText"/>
        <w:spacing w:line="336" w:lineRule="auto" w:before="32"/>
        <w:ind w:right="211"/>
        <w:jc w:val="both"/>
      </w:pPr>
      <w:r>
        <w:rPr>
          <w:spacing w:val="-9"/>
          <w:w w:val="100"/>
        </w:rPr>
        <w:t>金额确认销售商品收入：（</w:t>
      </w:r>
      <w:r>
        <w:rPr>
          <w:rFonts w:ascii="Times New Roman" w:hAnsi="Times New Roman" w:cs="Times New Roman" w:eastAsia="Times New Roman" w:hint="default"/>
          <w:spacing w:val="-9"/>
          <w:w w:val="100"/>
        </w:rPr>
        <w:t>1</w:t>
      </w:r>
      <w:r>
        <w:rPr>
          <w:spacing w:val="-9"/>
          <w:w w:val="100"/>
        </w:rPr>
        <w:t>）已将商品所有权上的主要风险和报酬转移给购货方；（</w:t>
      </w:r>
      <w:r>
        <w:rPr>
          <w:rFonts w:ascii="Times New Roman" w:hAnsi="Times New Roman" w:cs="Times New Roman" w:eastAsia="Times New Roman" w:hint="default"/>
          <w:spacing w:val="-9"/>
          <w:w w:val="100"/>
        </w:rPr>
        <w:t>2</w:t>
      </w:r>
      <w:r>
        <w:rPr>
          <w:spacing w:val="-9"/>
          <w:w w:val="100"/>
        </w:rPr>
        <w:t>）既没</w:t>
      </w:r>
      <w:r>
        <w:rPr>
          <w:spacing w:val="-89"/>
          <w:w w:val="100"/>
        </w:rPr>
        <w:t> </w:t>
      </w:r>
      <w:r>
        <w:rPr>
          <w:spacing w:val="-89"/>
          <w:w w:val="100"/>
        </w:rPr>
      </w:r>
      <w:r>
        <w:rPr>
          <w:spacing w:val="-7"/>
          <w:w w:val="100"/>
        </w:rPr>
        <w:t>有保留通常与所有权相联系的继续管理权，也没有对已售出的商品实施有效控制；（</w:t>
      </w:r>
      <w:r>
        <w:rPr>
          <w:rFonts w:ascii="Times New Roman" w:hAnsi="Times New Roman" w:cs="Times New Roman" w:eastAsia="Times New Roman" w:hint="default"/>
          <w:spacing w:val="-7"/>
          <w:w w:val="100"/>
        </w:rPr>
        <w:t>3</w:t>
      </w:r>
      <w:r>
        <w:rPr>
          <w:spacing w:val="-7"/>
          <w:w w:val="100"/>
        </w:rPr>
        <w:t>）收入</w:t>
      </w:r>
      <w:r>
        <w:rPr>
          <w:spacing w:val="-74"/>
          <w:w w:val="100"/>
        </w:rPr>
        <w:t> </w:t>
      </w:r>
      <w:r>
        <w:rPr>
          <w:spacing w:val="-74"/>
          <w:w w:val="100"/>
        </w:rPr>
      </w:r>
      <w:r>
        <w:rPr>
          <w:spacing w:val="-9"/>
          <w:w w:val="100"/>
        </w:rPr>
        <w:t>的金额能够可靠地计量；（</w:t>
      </w:r>
      <w:r>
        <w:rPr>
          <w:rFonts w:ascii="Times New Roman" w:hAnsi="Times New Roman" w:cs="Times New Roman" w:eastAsia="Times New Roman" w:hint="default"/>
          <w:spacing w:val="-9"/>
          <w:w w:val="100"/>
        </w:rPr>
        <w:t>4</w:t>
      </w:r>
      <w:r>
        <w:rPr>
          <w:spacing w:val="-9"/>
          <w:w w:val="100"/>
        </w:rPr>
        <w:t>）相关的经济利益很可能流入企业；（</w:t>
      </w:r>
      <w:r>
        <w:rPr>
          <w:rFonts w:ascii="Times New Roman" w:hAnsi="Times New Roman" w:cs="Times New Roman" w:eastAsia="Times New Roman" w:hint="default"/>
          <w:spacing w:val="-9"/>
          <w:w w:val="100"/>
        </w:rPr>
        <w:t>5</w:t>
      </w:r>
      <w:r>
        <w:rPr>
          <w:spacing w:val="-9"/>
          <w:w w:val="100"/>
        </w:rPr>
        <w:t>）相关的已发生或将发生</w:t>
      </w:r>
      <w:r>
        <w:rPr>
          <w:spacing w:val="-87"/>
          <w:w w:val="100"/>
        </w:rPr>
        <w:t> </w:t>
      </w:r>
      <w:r>
        <w:rPr>
          <w:spacing w:val="-87"/>
          <w:w w:val="100"/>
        </w:rPr>
      </w:r>
      <w:r>
        <w:rPr/>
        <w:t>的成本能够可靠地计量。</w:t>
      </w:r>
    </w:p>
    <w:p>
      <w:pPr>
        <w:pStyle w:val="BodyText"/>
        <w:spacing w:line="345" w:lineRule="auto" w:before="75"/>
        <w:ind w:right="98" w:firstLine="419"/>
        <w:jc w:val="left"/>
      </w:pPr>
      <w:r>
        <w:rPr>
          <w:spacing w:val="-2"/>
        </w:rPr>
        <w:t>公司的主要产品为铁路通信信号和铁路运输调度指挥管理领域的软件和系统集成产品，</w:t>
      </w:r>
      <w:r>
        <w:rPr>
          <w:w w:val="100"/>
        </w:rPr>
        <w:t> </w:t>
      </w:r>
      <w:r>
        <w:rPr>
          <w:spacing w:val="-2"/>
          <w:w w:val="100"/>
        </w:rPr>
        <w:t>具体为：铁路信号集中监测系统、列车调度指挥系统（</w:t>
      </w:r>
      <w:r>
        <w:rPr>
          <w:rFonts w:ascii="Times New Roman" w:hAnsi="Times New Roman" w:cs="Times New Roman" w:eastAsia="Times New Roman" w:hint="default"/>
          <w:spacing w:val="-2"/>
          <w:w w:val="100"/>
        </w:rPr>
        <w:t>TDCS</w:t>
      </w:r>
      <w:r>
        <w:rPr>
          <w:spacing w:val="-2"/>
          <w:w w:val="100"/>
        </w:rPr>
        <w:t>）、无线调车机车信号和监控</w:t>
      </w:r>
      <w:r>
        <w:rPr>
          <w:spacing w:val="-79"/>
          <w:w w:val="100"/>
        </w:rPr>
        <w:t> </w:t>
      </w:r>
      <w:r>
        <w:rPr>
          <w:spacing w:val="-79"/>
          <w:w w:val="100"/>
        </w:rPr>
      </w:r>
      <w:r>
        <w:rPr>
          <w:spacing w:val="5"/>
        </w:rPr>
        <w:t>系统、铁路防灾安全监控系统、铁路电源及机房环境监控系统、分散自律调度集中系统</w:t>
      </w:r>
    </w:p>
    <w:p>
      <w:pPr>
        <w:pStyle w:val="BodyText"/>
        <w:spacing w:line="350" w:lineRule="auto" w:before="43"/>
        <w:ind w:right="98"/>
        <w:jc w:val="left"/>
      </w:pPr>
      <w:r>
        <w:rPr>
          <w:spacing w:val="-4"/>
          <w:w w:val="100"/>
        </w:rPr>
        <w:t>（</w:t>
      </w:r>
      <w:r>
        <w:rPr>
          <w:rFonts w:ascii="Times New Roman" w:hAnsi="Times New Roman" w:cs="Times New Roman" w:eastAsia="Times New Roman" w:hint="default"/>
          <w:spacing w:val="-4"/>
          <w:w w:val="100"/>
        </w:rPr>
        <w:t>CTC</w:t>
      </w:r>
      <w:r>
        <w:rPr>
          <w:spacing w:val="-4"/>
          <w:w w:val="100"/>
        </w:rPr>
        <w:t>）、无线车次号校核系统、机车综合无线通信设备、计轴系统等。公司采取以销定产</w:t>
      </w:r>
      <w:r>
        <w:rPr>
          <w:spacing w:val="-80"/>
          <w:w w:val="100"/>
        </w:rPr>
        <w:t> </w:t>
      </w:r>
      <w:r>
        <w:rPr>
          <w:spacing w:val="-80"/>
          <w:w w:val="100"/>
        </w:rPr>
      </w:r>
      <w:r>
        <w:rPr>
          <w:spacing w:val="-4"/>
        </w:rPr>
        <w:t>的经营模式，销售业务主要通过参与客户招标取得。公司中标后，与客户洽谈合同的具体条</w:t>
      </w:r>
      <w:r>
        <w:rPr>
          <w:spacing w:val="-45"/>
        </w:rPr>
        <w:t> </w:t>
      </w:r>
      <w:r>
        <w:rPr>
          <w:spacing w:val="-45"/>
        </w:rPr>
      </w:r>
      <w:r>
        <w:rPr>
          <w:spacing w:val="-2"/>
        </w:rPr>
        <w:t>款并最终签定合同。公司产品定价主要依据铁道部的指导价，最终销售价格则由招标确定。</w:t>
      </w:r>
      <w:r>
        <w:rPr>
          <w:spacing w:val="-31"/>
        </w:rPr>
        <w:t> </w:t>
      </w:r>
      <w:r>
        <w:rPr>
          <w:spacing w:val="-31"/>
        </w:rPr>
      </w:r>
      <w:r>
        <w:rPr/>
        <w:t>其主要业务模式、结算方式和收入确认方法具体如下：</w:t>
      </w:r>
    </w:p>
    <w:p>
      <w:pPr>
        <w:pStyle w:val="BodyText"/>
        <w:spacing w:line="336" w:lineRule="auto" w:before="63"/>
        <w:ind w:right="98" w:firstLine="422"/>
        <w:jc w:val="left"/>
      </w:pPr>
      <w:r>
        <w:rPr>
          <w:spacing w:val="-1"/>
        </w:rPr>
        <w:t>（</w:t>
      </w:r>
      <w:r>
        <w:rPr>
          <w:rFonts w:ascii="Times New Roman" w:hAnsi="Times New Roman" w:cs="Times New Roman" w:eastAsia="Times New Roman" w:hint="default"/>
          <w:spacing w:val="-1"/>
        </w:rPr>
        <w:t>1</w:t>
      </w:r>
      <w:r>
        <w:rPr>
          <w:spacing w:val="-1"/>
        </w:rPr>
        <w:t>）对于不需要安装调试的铁路方面产品、电源维护测试产品和其它产品按普通商品</w:t>
      </w:r>
      <w:r>
        <w:rPr>
          <w:w w:val="100"/>
        </w:rPr>
        <w:t> </w:t>
      </w:r>
      <w:r>
        <w:rPr/>
        <w:t>销售原则核算，于客户收到发出产品且公司取得收款的权利时确认收入。</w:t>
      </w:r>
    </w:p>
    <w:p>
      <w:pPr>
        <w:pStyle w:val="BodyText"/>
        <w:spacing w:line="350" w:lineRule="auto" w:before="75"/>
        <w:ind w:right="105" w:firstLine="434"/>
        <w:jc w:val="both"/>
      </w:pPr>
      <w:r>
        <w:rPr/>
        <w:t>（</w:t>
      </w:r>
      <w:r>
        <w:rPr>
          <w:rFonts w:ascii="Times New Roman" w:hAnsi="Times New Roman" w:cs="Times New Roman" w:eastAsia="Times New Roman" w:hint="default"/>
        </w:rPr>
        <w:t>2</w:t>
      </w:r>
      <w:r>
        <w:rPr/>
        <w:t>）对于铁路通信信号和铁路运输调度指挥管理领域的集成产品，公司销售环节和业</w:t>
      </w:r>
      <w:r>
        <w:rPr>
          <w:w w:val="100"/>
        </w:rPr>
        <w:t> </w:t>
      </w:r>
      <w:r>
        <w:rPr>
          <w:spacing w:val="-4"/>
          <w:w w:val="100"/>
        </w:rPr>
        <w:t>务流程主要为：签订销售合同－组织设计生产－产品发送到现场并经委托方验收－进行配线</w:t>
      </w:r>
      <w:r>
        <w:rPr>
          <w:spacing w:val="-94"/>
          <w:w w:val="100"/>
        </w:rPr>
        <w:t> </w:t>
      </w:r>
      <w:r>
        <w:rPr>
          <w:spacing w:val="-94"/>
          <w:w w:val="100"/>
        </w:rPr>
      </w:r>
      <w:r>
        <w:rPr>
          <w:spacing w:val="-4"/>
        </w:rPr>
        <w:t>安装－进行站机调试并经委托方验收合格。该类产品在同时具备以下条件时确认收入：①已</w:t>
      </w:r>
      <w:r>
        <w:rPr>
          <w:spacing w:val="-44"/>
        </w:rPr>
        <w:t> </w:t>
      </w:r>
      <w:r>
        <w:rPr>
          <w:spacing w:val="-44"/>
        </w:rPr>
      </w:r>
      <w:r>
        <w:rPr>
          <w:spacing w:val="-7"/>
          <w:w w:val="100"/>
        </w:rPr>
        <w:t>与委托方签订销售合同；②站机调试完成并经委托方验收合格；③销售发票已开具给委托方；</w:t>
      </w:r>
    </w:p>
    <w:p>
      <w:pPr>
        <w:pStyle w:val="BodyText"/>
        <w:spacing w:line="240" w:lineRule="auto" w:before="39"/>
        <w:ind w:right="0"/>
        <w:jc w:val="both"/>
      </w:pPr>
      <w:r>
        <w:rPr/>
        <w:t>④收到全部合同价款或已收到部分价款但已约定剩余款项的付款计划。</w:t>
      </w:r>
    </w:p>
    <w:p>
      <w:pPr>
        <w:pStyle w:val="BodyText"/>
        <w:spacing w:line="348" w:lineRule="auto" w:before="157"/>
        <w:ind w:right="98" w:firstLine="419"/>
        <w:jc w:val="left"/>
      </w:pPr>
      <w:r>
        <w:rPr>
          <w:spacing w:val="-4"/>
        </w:rPr>
        <w:t>（</w:t>
      </w:r>
      <w:r>
        <w:rPr>
          <w:rFonts w:ascii="Times New Roman" w:hAnsi="Times New Roman" w:cs="Times New Roman" w:eastAsia="Times New Roman" w:hint="default"/>
          <w:spacing w:val="-4"/>
        </w:rPr>
        <w:t>3</w:t>
      </w:r>
      <w:r>
        <w:rPr>
          <w:spacing w:val="-4"/>
        </w:rPr>
        <w:t>）对于软件产品，如果属于集成产品的组成部分，软件产品随同集成产品确认收入；</w:t>
      </w:r>
      <w:r>
        <w:rPr>
          <w:w w:val="100"/>
        </w:rPr>
        <w:t> </w:t>
      </w:r>
      <w:r>
        <w:rPr>
          <w:spacing w:val="-4"/>
          <w:w w:val="100"/>
        </w:rPr>
        <w:t>如果属于客户单独购买的软件，于软件发出给客户经验收合格并取得收取货款的权利时确认</w:t>
      </w:r>
      <w:r>
        <w:rPr>
          <w:spacing w:val="-94"/>
          <w:w w:val="100"/>
        </w:rPr>
        <w:t> </w:t>
      </w:r>
      <w:r>
        <w:rPr>
          <w:spacing w:val="-94"/>
          <w:w w:val="100"/>
        </w:rPr>
      </w:r>
      <w:r>
        <w:rPr/>
        <w:t>收入。</w:t>
      </w:r>
    </w:p>
    <w:p>
      <w:pPr>
        <w:pStyle w:val="BodyText"/>
        <w:spacing w:line="240" w:lineRule="auto" w:before="62"/>
        <w:ind w:left="540" w:right="98"/>
        <w:jc w:val="left"/>
      </w:pPr>
      <w:r>
        <w:rPr>
          <w:spacing w:val="-4"/>
        </w:rPr>
        <w:t>合同或协议价款的收取采用递延方式，实质上具有融资性质的，按照应收的合同或协议</w:t>
      </w:r>
    </w:p>
    <w:p>
      <w:pPr>
        <w:spacing w:after="0" w:line="240" w:lineRule="auto"/>
        <w:jc w:val="left"/>
        <w:sectPr>
          <w:footerReference w:type="default" r:id="rId49"/>
          <w:pgSz w:w="11910" w:h="16840"/>
          <w:pgMar w:footer="1186" w:header="852" w:top="1200" w:bottom="1380" w:left="1680" w:right="1580"/>
          <w:pgNumType w:start="90"/>
        </w:sectPr>
      </w:pPr>
    </w:p>
    <w:p>
      <w:pPr>
        <w:spacing w:line="240" w:lineRule="auto" w:before="3"/>
        <w:rPr>
          <w:rFonts w:ascii="宋体" w:hAnsi="宋体" w:cs="宋体" w:eastAsia="宋体" w:hint="default"/>
          <w:sz w:val="12"/>
          <w:szCs w:val="12"/>
        </w:rPr>
      </w:pPr>
    </w:p>
    <w:p>
      <w:pPr>
        <w:pStyle w:val="BodyText"/>
        <w:spacing w:line="240" w:lineRule="auto" w:before="36"/>
        <w:ind w:right="0"/>
        <w:jc w:val="both"/>
      </w:pPr>
      <w:r>
        <w:rPr/>
        <w:t>价款的公允价值确定销售商品收入金额。</w:t>
      </w:r>
    </w:p>
    <w:p>
      <w:pPr>
        <w:pStyle w:val="BodyText"/>
        <w:spacing w:line="357" w:lineRule="auto" w:before="160"/>
        <w:ind w:left="540" w:right="98"/>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17"/>
        </w:rPr>
        <w:t> </w:t>
      </w:r>
      <w:r>
        <w:rPr>
          <w:rFonts w:ascii="宋体" w:hAnsi="宋体" w:cs="宋体" w:eastAsia="宋体" w:hint="default"/>
          <w:b/>
          <w:bCs/>
        </w:rPr>
        <w:t>提供劳务</w:t>
      </w:r>
      <w:r>
        <w:rPr>
          <w:rFonts w:ascii="宋体" w:hAnsi="宋体" w:cs="宋体" w:eastAsia="宋体" w:hint="default"/>
          <w:b/>
          <w:bCs/>
          <w:spacing w:val="-104"/>
        </w:rPr>
        <w:t> </w:t>
      </w:r>
      <w:r>
        <w:rPr>
          <w:spacing w:val="-4"/>
        </w:rPr>
        <w:t>在同一会计年度内开始并完成的劳务，在完成劳务时确认收入；如果劳务的开始和完成</w:t>
      </w:r>
    </w:p>
    <w:p>
      <w:pPr>
        <w:pStyle w:val="BodyText"/>
        <w:spacing w:line="357" w:lineRule="auto" w:before="30"/>
        <w:ind w:right="211"/>
        <w:jc w:val="both"/>
      </w:pPr>
      <w:r>
        <w:rPr>
          <w:spacing w:val="-4"/>
        </w:rPr>
        <w:t>分属不同的会计年度，在资产负债表日提供劳务交易的结果能够可靠估计的，采用完工百分</w:t>
      </w:r>
      <w:r>
        <w:rPr>
          <w:spacing w:val="-44"/>
        </w:rPr>
        <w:t> </w:t>
      </w:r>
      <w:r>
        <w:rPr>
          <w:spacing w:val="-44"/>
        </w:rPr>
      </w:r>
      <w:r>
        <w:rPr>
          <w:spacing w:val="-4"/>
        </w:rPr>
        <w:t>比法确认提供劳务收入。本公司根据已完工作的测量确定提供劳务交易的完工进度（完工百</w:t>
      </w:r>
      <w:r>
        <w:rPr>
          <w:spacing w:val="-44"/>
        </w:rPr>
        <w:t> </w:t>
      </w:r>
      <w:r>
        <w:rPr>
          <w:spacing w:val="-44"/>
        </w:rPr>
      </w:r>
      <w:r>
        <w:rPr>
          <w:spacing w:val="-27"/>
          <w:w w:val="100"/>
        </w:rPr>
        <w:t>分比）。</w:t>
      </w:r>
    </w:p>
    <w:p>
      <w:pPr>
        <w:pStyle w:val="BodyText"/>
        <w:spacing w:line="240" w:lineRule="auto" w:before="56"/>
        <w:ind w:left="540" w:right="98"/>
        <w:jc w:val="left"/>
      </w:pPr>
      <w:r>
        <w:rPr/>
        <w:t>在资产负债表日提供劳务交易结果不能够可靠估计的，分别下列情况处理：</w:t>
      </w:r>
    </w:p>
    <w:p>
      <w:pPr>
        <w:pStyle w:val="BodyText"/>
        <w:spacing w:line="336" w:lineRule="auto" w:before="157"/>
        <w:ind w:right="98" w:firstLine="419"/>
        <w:jc w:val="left"/>
      </w:pPr>
      <w:r>
        <w:rPr>
          <w:rFonts w:ascii="Times New Roman" w:hAnsi="Times New Roman" w:cs="Times New Roman" w:eastAsia="Times New Roman" w:hint="default"/>
          <w:spacing w:val="-3"/>
        </w:rPr>
        <w:t>A</w:t>
      </w:r>
      <w:r>
        <w:rPr>
          <w:spacing w:val="-3"/>
        </w:rPr>
        <w:t>、已经发生的劳务成本预计能够得到补偿的，按照已经发生的劳务成本金额确认提供</w:t>
      </w:r>
      <w:r>
        <w:rPr>
          <w:w w:val="100"/>
        </w:rPr>
        <w:t> </w:t>
      </w:r>
      <w:r>
        <w:rPr/>
        <w:t>劳务收入，并按相同金额结转劳务成本。</w:t>
      </w:r>
    </w:p>
    <w:p>
      <w:pPr>
        <w:pStyle w:val="BodyText"/>
        <w:spacing w:line="338" w:lineRule="auto" w:before="75"/>
        <w:ind w:right="98" w:firstLine="419"/>
        <w:jc w:val="left"/>
      </w:pPr>
      <w:r>
        <w:rPr>
          <w:rFonts w:ascii="Times New Roman" w:hAnsi="Times New Roman" w:cs="Times New Roman" w:eastAsia="Times New Roman" w:hint="default"/>
          <w:spacing w:val="-5"/>
        </w:rPr>
        <w:t>B</w:t>
      </w:r>
      <w:r>
        <w:rPr>
          <w:spacing w:val="-5"/>
        </w:rPr>
        <w:t>、已经发生的劳务成本预计不能够得到补偿的，将已经发生的劳务成本计入当期损益，</w:t>
      </w:r>
      <w:r>
        <w:rPr>
          <w:w w:val="100"/>
        </w:rPr>
        <w:t> </w:t>
      </w:r>
      <w:r>
        <w:rPr/>
        <w:t>不确认提供劳务收入。</w:t>
      </w:r>
    </w:p>
    <w:p>
      <w:pPr>
        <w:pStyle w:val="BodyText"/>
        <w:spacing w:line="357" w:lineRule="auto" w:before="73"/>
        <w:ind w:right="211" w:firstLine="419"/>
        <w:jc w:val="both"/>
      </w:pPr>
      <w:r>
        <w:rPr>
          <w:spacing w:val="-4"/>
          <w:w w:val="100"/>
        </w:rPr>
        <w:t>本公司与其他企业签订的合同或协议包括销售商品和提供劳务时，销售商品部分和提供</w:t>
      </w:r>
      <w:r>
        <w:rPr>
          <w:w w:val="100"/>
        </w:rPr>
        <w:t> </w:t>
      </w:r>
      <w:r>
        <w:rPr>
          <w:spacing w:val="-4"/>
        </w:rPr>
        <w:t>劳务部分能够区分且能够单独计量的，将销售商品的部分作为销售商品处理，将提供劳务的</w:t>
      </w:r>
      <w:r>
        <w:rPr>
          <w:spacing w:val="-44"/>
        </w:rPr>
        <w:t> </w:t>
      </w:r>
      <w:r>
        <w:rPr>
          <w:spacing w:val="-44"/>
        </w:rPr>
      </w:r>
      <w:r>
        <w:rPr>
          <w:spacing w:val="-4"/>
        </w:rPr>
        <w:t>部分作为提供劳务处理。销售商品部分和提供劳务部分不能够区分，或虽能区分但不能够单</w:t>
      </w:r>
      <w:r>
        <w:rPr>
          <w:spacing w:val="-44"/>
        </w:rPr>
        <w:t> </w:t>
      </w:r>
      <w:r>
        <w:rPr>
          <w:spacing w:val="-44"/>
        </w:rPr>
      </w:r>
      <w:r>
        <w:rPr/>
        <w:t>独计量的，将销售商品部分和提供劳务部分全部作为销售商品处理。</w:t>
      </w:r>
    </w:p>
    <w:p>
      <w:pPr>
        <w:pStyle w:val="Heading5"/>
        <w:spacing w:line="240" w:lineRule="auto" w:before="54"/>
        <w:ind w:left="540" w:right="98"/>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0"/>
        </w:rPr>
        <w:t> </w:t>
      </w:r>
      <w:r>
        <w:rPr/>
        <w:t>让渡资产使用权</w:t>
      </w:r>
      <w:r>
        <w:rPr>
          <w:b w:val="0"/>
          <w:bCs w:val="0"/>
        </w:rPr>
      </w:r>
    </w:p>
    <w:p>
      <w:pPr>
        <w:pStyle w:val="BodyText"/>
        <w:spacing w:line="355" w:lineRule="auto" w:before="143"/>
        <w:ind w:right="98" w:firstLine="419"/>
        <w:jc w:val="left"/>
      </w:pPr>
      <w:r>
        <w:rPr/>
        <w:t>本公司在与让渡资产使用权相关的经济利益能够流入和收入的金额能够可靠的计量时</w:t>
      </w:r>
      <w:r>
        <w:rPr>
          <w:spacing w:val="2"/>
          <w:w w:val="100"/>
        </w:rPr>
        <w:t> </w:t>
      </w:r>
      <w:r>
        <w:rPr/>
        <w:t>确认让渡资产使用权收入。</w:t>
      </w:r>
    </w:p>
    <w:p>
      <w:pPr>
        <w:pStyle w:val="BodyText"/>
        <w:spacing w:line="357" w:lineRule="auto" w:before="58"/>
        <w:ind w:right="98" w:firstLine="419"/>
        <w:jc w:val="left"/>
      </w:pPr>
      <w:r>
        <w:rPr>
          <w:spacing w:val="-4"/>
        </w:rPr>
        <w:t>利息收入按使用货币资金的使用时间和适用利率计算确定。使用费收入金额，按照有关</w:t>
      </w:r>
      <w:r>
        <w:rPr>
          <w:w w:val="100"/>
        </w:rPr>
        <w:t> </w:t>
      </w:r>
      <w:r>
        <w:rPr/>
        <w:t>合同或协议约定的收费时间和方法计算确定。</w:t>
      </w:r>
    </w:p>
    <w:p>
      <w:pPr>
        <w:spacing w:line="427" w:lineRule="auto" w:before="104"/>
        <w:ind w:left="540" w:right="98" w:firstLine="0"/>
        <w:jc w:val="left"/>
        <w:rPr>
          <w:rFonts w:ascii="宋体" w:hAnsi="宋体" w:cs="宋体" w:eastAsia="宋体" w:hint="default"/>
          <w:sz w:val="21"/>
          <w:szCs w:val="21"/>
        </w:rPr>
      </w:pPr>
      <w:r>
        <w:rPr>
          <w:rFonts w:ascii="宋体" w:hAnsi="宋体" w:cs="宋体" w:eastAsia="宋体" w:hint="default"/>
          <w:b/>
          <w:bCs/>
          <w:sz w:val="21"/>
          <w:szCs w:val="21"/>
        </w:rPr>
        <w:t>（二十二）</w:t>
      </w:r>
      <w:r>
        <w:rPr>
          <w:rFonts w:ascii="宋体" w:hAnsi="宋体" w:cs="宋体" w:eastAsia="宋体" w:hint="default"/>
          <w:b/>
          <w:bCs/>
          <w:spacing w:val="-85"/>
          <w:sz w:val="21"/>
          <w:szCs w:val="21"/>
        </w:rPr>
        <w:t> </w:t>
      </w:r>
      <w:r>
        <w:rPr>
          <w:rFonts w:ascii="宋体" w:hAnsi="宋体" w:cs="宋体" w:eastAsia="宋体" w:hint="default"/>
          <w:b/>
          <w:bCs/>
          <w:sz w:val="21"/>
          <w:szCs w:val="21"/>
        </w:rPr>
        <w:t>政府补助</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sz w:val="21"/>
          <w:szCs w:val="21"/>
        </w:rPr>
        <w:t>政府补助，是指本公司从政府无偿取得货币性资产或非货币性资产，但不包括政府作为</w:t>
      </w:r>
    </w:p>
    <w:p>
      <w:pPr>
        <w:pStyle w:val="BodyText"/>
        <w:spacing w:line="244" w:lineRule="exact"/>
        <w:ind w:right="0"/>
        <w:jc w:val="both"/>
      </w:pPr>
      <w:r>
        <w:rPr/>
        <w:t>企业所有者投入的资本。</w:t>
      </w:r>
    </w:p>
    <w:p>
      <w:pPr>
        <w:pStyle w:val="BodyText"/>
        <w:spacing w:line="355" w:lineRule="auto" w:before="159"/>
        <w:ind w:right="98" w:firstLine="419"/>
        <w:jc w:val="left"/>
      </w:pPr>
      <w:r>
        <w:rPr>
          <w:spacing w:val="-2"/>
        </w:rPr>
        <w:t>政府补助为货币性资产的，按照收到或应收的金额计量；政府补助为非货币性资产的，</w:t>
      </w:r>
      <w:r>
        <w:rPr>
          <w:w w:val="100"/>
        </w:rPr>
        <w:t> </w:t>
      </w:r>
      <w:r>
        <w:rPr/>
        <w:t>按照公允价值计量；公允价值不能可靠取得的，按照名义金额（人民币</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元）计量。</w:t>
      </w:r>
    </w:p>
    <w:p>
      <w:pPr>
        <w:pStyle w:val="BodyText"/>
        <w:spacing w:line="355" w:lineRule="auto" w:before="32"/>
        <w:ind w:right="98" w:firstLine="419"/>
        <w:jc w:val="left"/>
      </w:pPr>
      <w:r>
        <w:rPr>
          <w:spacing w:val="-2"/>
        </w:rPr>
        <w:t>与资产相关的政府补助，本公司确认为递延收益，并在相关资产使用寿命内平均分配，</w:t>
      </w:r>
      <w:r>
        <w:rPr>
          <w:w w:val="100"/>
        </w:rPr>
        <w:t> </w:t>
      </w:r>
      <w:r>
        <w:rPr/>
        <w:t>计入当期损益。但是，按照名义金额计量的政府补助，直接计入当期损益。</w:t>
      </w:r>
    </w:p>
    <w:p>
      <w:pPr>
        <w:pStyle w:val="BodyText"/>
        <w:spacing w:line="357" w:lineRule="auto" w:before="58"/>
        <w:ind w:right="98" w:firstLine="419"/>
        <w:jc w:val="left"/>
      </w:pPr>
      <w:r>
        <w:rPr>
          <w:spacing w:val="-4"/>
        </w:rPr>
        <w:t>与收益相关的政府补助，用于补偿本公司以后期间的相关费用或损失的，确认为递延收</w:t>
      </w:r>
      <w:r>
        <w:rPr>
          <w:w w:val="100"/>
        </w:rPr>
        <w:t> </w:t>
      </w:r>
      <w:r>
        <w:rPr>
          <w:spacing w:val="-7"/>
        </w:rPr>
        <w:t>益，并在确认相关费用的期间，计入当期损益；用于补偿本公司已发生的相关费用或损失的，</w:t>
      </w:r>
      <w:r>
        <w:rPr>
          <w:spacing w:val="-27"/>
        </w:rPr>
        <w:t> </w:t>
      </w:r>
      <w:r>
        <w:rPr>
          <w:spacing w:val="-27"/>
        </w:rPr>
      </w:r>
      <w:r>
        <w:rPr/>
        <w:t>直接计入当期损益。</w:t>
      </w:r>
    </w:p>
    <w:p>
      <w:pPr>
        <w:pStyle w:val="BodyText"/>
        <w:spacing w:line="355" w:lineRule="auto" w:before="56"/>
        <w:ind w:right="98" w:firstLine="419"/>
        <w:jc w:val="left"/>
      </w:pPr>
      <w:r>
        <w:rPr>
          <w:spacing w:val="-4"/>
        </w:rPr>
        <w:t>已确认的政府补助需要返还的，存在相关递延收益的，冲减相关递延收益账面余额，超</w:t>
      </w:r>
      <w:r>
        <w:rPr>
          <w:w w:val="100"/>
        </w:rPr>
        <w:t> </w:t>
      </w:r>
      <w:r>
        <w:rPr/>
        <w:t>出部分计入当期损益；不存在相关递延收益的，直接计入当期损益。</w:t>
      </w:r>
    </w:p>
    <w:p>
      <w:pPr>
        <w:pStyle w:val="Heading5"/>
        <w:spacing w:line="240" w:lineRule="auto" w:before="109"/>
        <w:ind w:left="540" w:right="98"/>
        <w:jc w:val="left"/>
        <w:rPr>
          <w:b w:val="0"/>
          <w:bCs w:val="0"/>
        </w:rPr>
      </w:pPr>
      <w:r>
        <w:rPr/>
        <w:t>（二十三）</w:t>
      </w:r>
      <w:r>
        <w:rPr>
          <w:spacing w:val="-82"/>
        </w:rPr>
        <w:t> </w:t>
      </w:r>
      <w:r>
        <w:rPr/>
        <w:t>递延所得税资产</w:t>
      </w:r>
      <w:r>
        <w:rPr>
          <w:rFonts w:ascii="Times New Roman" w:hAnsi="Times New Roman" w:cs="Times New Roman" w:eastAsia="Times New Roman" w:hint="default"/>
        </w:rPr>
        <w:t>/</w:t>
      </w:r>
      <w:r>
        <w:rPr/>
        <w:t>递延所得税负债</w:t>
      </w:r>
      <w:r>
        <w:rPr>
          <w:b w:val="0"/>
          <w:bCs w:val="0"/>
        </w:rPr>
      </w:r>
    </w:p>
    <w:p>
      <w:pPr>
        <w:spacing w:after="0" w:line="240" w:lineRule="auto"/>
        <w:jc w:val="left"/>
        <w:sectPr>
          <w:footerReference w:type="default" r:id="rId50"/>
          <w:pgSz w:w="11910" w:h="16840"/>
          <w:pgMar w:footer="1186" w:header="852" w:top="1200" w:bottom="1380" w:left="1680" w:right="1580"/>
          <w:pgNumType w:start="91"/>
        </w:sectPr>
      </w:pPr>
    </w:p>
    <w:p>
      <w:pPr>
        <w:spacing w:line="240" w:lineRule="auto" w:before="3"/>
        <w:rPr>
          <w:rFonts w:ascii="宋体" w:hAnsi="宋体" w:cs="宋体" w:eastAsia="宋体" w:hint="default"/>
          <w:b/>
          <w:bCs/>
          <w:sz w:val="12"/>
          <w:szCs w:val="12"/>
        </w:rPr>
      </w:pPr>
    </w:p>
    <w:p>
      <w:pPr>
        <w:pStyle w:val="BodyText"/>
        <w:spacing w:line="357" w:lineRule="auto" w:before="36"/>
        <w:ind w:right="211" w:firstLine="419"/>
        <w:jc w:val="both"/>
      </w:pPr>
      <w:r>
        <w:rPr>
          <w:spacing w:val="-4"/>
        </w:rPr>
        <w:t>本公司的所得税采用资产负债表债务法核算。资产、负债的账面价值与其计税基础存在</w:t>
      </w:r>
      <w:r>
        <w:rPr>
          <w:w w:val="100"/>
        </w:rPr>
        <w:t> </w:t>
      </w:r>
      <w:r>
        <w:rPr/>
        <w:t>差异的，按照规定确认所产生的递延所得税资产和递延所得税负债。</w:t>
      </w:r>
    </w:p>
    <w:p>
      <w:pPr>
        <w:pStyle w:val="BodyText"/>
        <w:spacing w:line="355" w:lineRule="auto" w:before="56"/>
        <w:ind w:right="98" w:firstLine="419"/>
        <w:jc w:val="left"/>
      </w:pPr>
      <w:r>
        <w:rPr>
          <w:spacing w:val="-4"/>
          <w:w w:val="100"/>
        </w:rPr>
        <w:t>在资产负债表日，对于当期和以前期间形成的当期所得税负债（或资产），按照税法规</w:t>
      </w:r>
      <w:r>
        <w:rPr>
          <w:w w:val="100"/>
        </w:rPr>
        <w:t> </w:t>
      </w:r>
      <w:r>
        <w:rPr>
          <w:spacing w:val="-7"/>
        </w:rPr>
        <w:t>定计算的预期应交纳（或返还）的所得税金额计量；对于递延所得税资产和递延所得税负债，</w:t>
      </w:r>
      <w:r>
        <w:rPr>
          <w:spacing w:val="-26"/>
        </w:rPr>
        <w:t> </w:t>
      </w:r>
      <w:r>
        <w:rPr>
          <w:spacing w:val="-26"/>
        </w:rPr>
      </w:r>
      <w:r>
        <w:rPr/>
        <w:t>根据税法规定，按照预期收回该资产或清偿该负债期间的适用税率计量。</w:t>
      </w:r>
    </w:p>
    <w:p>
      <w:pPr>
        <w:pStyle w:val="BodyText"/>
        <w:spacing w:line="357" w:lineRule="auto" w:before="58"/>
        <w:ind w:right="211" w:firstLine="419"/>
        <w:jc w:val="both"/>
      </w:pPr>
      <w:r>
        <w:rPr>
          <w:spacing w:val="-4"/>
          <w:w w:val="100"/>
        </w:rPr>
        <w:t>递延所得税资产的确认以本公司很可能取得用来抵扣可抵扣暂时性差异、可抵扣亏损和</w:t>
      </w:r>
      <w:r>
        <w:rPr>
          <w:w w:val="100"/>
        </w:rPr>
        <w:t> </w:t>
      </w:r>
      <w:r>
        <w:rPr>
          <w:spacing w:val="-4"/>
          <w:w w:val="100"/>
        </w:rPr>
        <w:t>税款抵减的应纳税所得额为限。在无法明确估计可抵扣暂时性差异预期转回期间可能取得的</w:t>
      </w:r>
      <w:r>
        <w:rPr>
          <w:spacing w:val="-94"/>
          <w:w w:val="100"/>
        </w:rPr>
        <w:t> </w:t>
      </w:r>
      <w:r>
        <w:rPr>
          <w:spacing w:val="-94"/>
          <w:w w:val="100"/>
        </w:rPr>
      </w:r>
      <w:r>
        <w:rPr>
          <w:spacing w:val="-4"/>
        </w:rPr>
        <w:t>应纳税所得额时，不确认与可抵扣暂时性差异相关的递延所得税资产。对子公司、联营企业</w:t>
      </w:r>
      <w:r>
        <w:rPr>
          <w:spacing w:val="-46"/>
        </w:rPr>
        <w:t> </w:t>
      </w:r>
      <w:r>
        <w:rPr>
          <w:spacing w:val="-46"/>
        </w:rPr>
      </w:r>
      <w:r>
        <w:rPr>
          <w:spacing w:val="-4"/>
        </w:rPr>
        <w:t>及合营企业投资相关的应纳税暂时性差异产生的递延所得税负债，予以确认，但同时满足能</w:t>
      </w:r>
      <w:r>
        <w:rPr>
          <w:spacing w:val="-44"/>
        </w:rPr>
        <w:t> </w:t>
      </w:r>
      <w:r>
        <w:rPr>
          <w:spacing w:val="-44"/>
        </w:rPr>
      </w:r>
      <w:r>
        <w:rPr>
          <w:spacing w:val="-4"/>
          <w:w w:val="100"/>
        </w:rPr>
        <w:t>够控制应纳税暂时性差异转回的时间且该暂时性差异在可预见的未来很可能不会转回的，不</w:t>
      </w:r>
      <w:r>
        <w:rPr>
          <w:spacing w:val="-94"/>
          <w:w w:val="100"/>
        </w:rPr>
        <w:t> </w:t>
      </w:r>
      <w:r>
        <w:rPr>
          <w:spacing w:val="-94"/>
          <w:w w:val="100"/>
        </w:rPr>
      </w:r>
      <w:r>
        <w:rPr>
          <w:spacing w:val="-4"/>
        </w:rPr>
        <w:t>予确认；对子公司、联营企业及合营企业投资相关的可抵扣暂时性差异产生的递延所得税资</w:t>
      </w:r>
      <w:r>
        <w:rPr>
          <w:spacing w:val="-44"/>
        </w:rPr>
        <w:t> </w:t>
      </w:r>
      <w:r>
        <w:rPr>
          <w:spacing w:val="-44"/>
        </w:rPr>
      </w:r>
      <w:r>
        <w:rPr>
          <w:spacing w:val="-4"/>
          <w:w w:val="100"/>
        </w:rPr>
        <w:t>产，该可抵扣暂时性差异同时满足在可预见的未来很可能转回即在可预见的将来有处置该项</w:t>
      </w:r>
      <w:r>
        <w:rPr>
          <w:spacing w:val="-94"/>
          <w:w w:val="100"/>
        </w:rPr>
        <w:t> </w:t>
      </w:r>
      <w:r>
        <w:rPr>
          <w:spacing w:val="-94"/>
          <w:w w:val="100"/>
        </w:rPr>
      </w:r>
      <w:r>
        <w:rPr>
          <w:spacing w:val="-4"/>
        </w:rPr>
        <w:t>投资的明确计划，且预计在处置该项投资时，除了有足够的应纳税所得以外，还有足够的投</w:t>
      </w:r>
      <w:r>
        <w:rPr>
          <w:spacing w:val="-46"/>
        </w:rPr>
        <w:t> </w:t>
      </w:r>
      <w:r>
        <w:rPr>
          <w:spacing w:val="-46"/>
        </w:rPr>
      </w:r>
      <w:r>
        <w:rPr/>
        <w:t>资收益用以抵扣可抵扣暂时性差异时，予以确认。</w:t>
      </w:r>
    </w:p>
    <w:p>
      <w:pPr>
        <w:pStyle w:val="BodyText"/>
        <w:spacing w:line="357" w:lineRule="auto" w:before="54"/>
        <w:ind w:right="211" w:firstLine="419"/>
        <w:jc w:val="both"/>
      </w:pPr>
      <w:r>
        <w:rPr>
          <w:spacing w:val="-4"/>
        </w:rPr>
        <w:t>资产负债表日，对递延所得税资产的账面价值进行复核。除企业合并、直接在所有者权</w:t>
      </w:r>
      <w:r>
        <w:rPr>
          <w:w w:val="100"/>
        </w:rPr>
        <w:t> </w:t>
      </w:r>
      <w:r>
        <w:rPr>
          <w:spacing w:val="-4"/>
          <w:w w:val="100"/>
        </w:rPr>
        <w:t>益中确认的交易或者事项产生的所得税外，本公司将当期所得税和递延所得税作为所得税费</w:t>
      </w:r>
      <w:r>
        <w:rPr>
          <w:spacing w:val="-94"/>
          <w:w w:val="100"/>
        </w:rPr>
        <w:t> </w:t>
      </w:r>
      <w:r>
        <w:rPr>
          <w:spacing w:val="-94"/>
          <w:w w:val="100"/>
        </w:rPr>
      </w:r>
      <w:r>
        <w:rPr/>
        <w:t>用或收益计入当期损益。</w:t>
      </w:r>
    </w:p>
    <w:p>
      <w:pPr>
        <w:spacing w:line="427" w:lineRule="auto" w:before="104"/>
        <w:ind w:left="540" w:right="98" w:firstLine="0"/>
        <w:jc w:val="left"/>
        <w:rPr>
          <w:rFonts w:ascii="宋体" w:hAnsi="宋体" w:cs="宋体" w:eastAsia="宋体" w:hint="default"/>
          <w:sz w:val="21"/>
          <w:szCs w:val="21"/>
        </w:rPr>
      </w:pPr>
      <w:r>
        <w:rPr>
          <w:rFonts w:ascii="宋体" w:hAnsi="宋体" w:cs="宋体" w:eastAsia="宋体" w:hint="default"/>
          <w:b/>
          <w:bCs/>
          <w:sz w:val="21"/>
          <w:szCs w:val="21"/>
        </w:rPr>
        <w:t>（二十四）</w:t>
      </w:r>
      <w:r>
        <w:rPr>
          <w:rFonts w:ascii="宋体" w:hAnsi="宋体" w:cs="宋体" w:eastAsia="宋体" w:hint="default"/>
          <w:b/>
          <w:bCs/>
          <w:spacing w:val="-85"/>
          <w:sz w:val="21"/>
          <w:szCs w:val="21"/>
        </w:rPr>
        <w:t> </w:t>
      </w:r>
      <w:r>
        <w:rPr>
          <w:rFonts w:ascii="宋体" w:hAnsi="宋体" w:cs="宋体" w:eastAsia="宋体" w:hint="default"/>
          <w:b/>
          <w:bCs/>
          <w:sz w:val="21"/>
          <w:szCs w:val="21"/>
        </w:rPr>
        <w:t>经营租赁、融资租赁</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4"/>
          <w:w w:val="100"/>
          <w:sz w:val="21"/>
          <w:szCs w:val="21"/>
        </w:rPr>
        <w:t>如果租赁条款在实质上将与租赁资产所有权有关的全部风险和报酬转移给承租人，该租</w:t>
      </w:r>
    </w:p>
    <w:p>
      <w:pPr>
        <w:pStyle w:val="BodyText"/>
        <w:spacing w:line="245" w:lineRule="exact"/>
        <w:ind w:right="0"/>
        <w:jc w:val="both"/>
      </w:pPr>
      <w:r>
        <w:rPr/>
        <w:t>赁为融资租赁，其他租赁则为经营租赁。</w:t>
      </w:r>
    </w:p>
    <w:p>
      <w:pPr>
        <w:spacing w:line="357" w:lineRule="auto" w:before="159"/>
        <w:ind w:left="540"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本公司作为出租人</w:t>
      </w:r>
      <w:r>
        <w:rPr>
          <w:rFonts w:ascii="宋体" w:hAnsi="宋体" w:cs="宋体" w:eastAsia="宋体" w:hint="default"/>
          <w:b/>
          <w:bCs/>
          <w:spacing w:val="-102"/>
          <w:sz w:val="21"/>
          <w:szCs w:val="21"/>
        </w:rPr>
        <w:t> </w:t>
      </w:r>
      <w:r>
        <w:rPr>
          <w:rFonts w:ascii="宋体" w:hAnsi="宋体" w:cs="宋体" w:eastAsia="宋体" w:hint="default"/>
          <w:spacing w:val="-4"/>
          <w:w w:val="100"/>
          <w:sz w:val="21"/>
          <w:szCs w:val="21"/>
        </w:rPr>
        <w:t>融资租赁中，在租赁开始日本公司按最低租赁收款额与初始直接费用之和作为应收融资</w:t>
      </w:r>
    </w:p>
    <w:p>
      <w:pPr>
        <w:pStyle w:val="BodyText"/>
        <w:spacing w:line="355" w:lineRule="auto" w:before="30"/>
        <w:ind w:right="211"/>
        <w:jc w:val="both"/>
      </w:pPr>
      <w:r>
        <w:rPr>
          <w:spacing w:val="-4"/>
        </w:rPr>
        <w:t>租赁款的入账价值，同时记录未担保余值；将最低租赁收款额、初始直接费用及未担保余值</w:t>
      </w:r>
      <w:r>
        <w:rPr>
          <w:spacing w:val="-45"/>
        </w:rPr>
        <w:t> </w:t>
      </w:r>
      <w:r>
        <w:rPr>
          <w:spacing w:val="-45"/>
        </w:rPr>
      </w:r>
      <w:r>
        <w:rPr>
          <w:spacing w:val="-4"/>
          <w:w w:val="100"/>
        </w:rPr>
        <w:t>之和与其现值之和的差额确认为未实现融资收益。未实现融资收益在租赁期内各个期间采用</w:t>
      </w:r>
      <w:r>
        <w:rPr>
          <w:spacing w:val="-94"/>
          <w:w w:val="100"/>
        </w:rPr>
        <w:t> </w:t>
      </w:r>
      <w:r>
        <w:rPr>
          <w:spacing w:val="-94"/>
          <w:w w:val="100"/>
        </w:rPr>
      </w:r>
      <w:r>
        <w:rPr/>
        <w:t>实际利率法计算确认当期的融资收入。</w:t>
      </w:r>
    </w:p>
    <w:p>
      <w:pPr>
        <w:pStyle w:val="BodyText"/>
        <w:spacing w:line="355" w:lineRule="auto" w:before="58"/>
        <w:ind w:right="211" w:firstLine="419"/>
        <w:jc w:val="both"/>
      </w:pPr>
      <w:r>
        <w:rPr>
          <w:spacing w:val="-4"/>
        </w:rPr>
        <w:t>经营租赁中的租金，本公司在租赁期内各个期间按照直线法确认当期损益。发生的初始</w:t>
      </w:r>
      <w:r>
        <w:rPr>
          <w:w w:val="100"/>
        </w:rPr>
        <w:t> </w:t>
      </w:r>
      <w:r>
        <w:rPr/>
        <w:t>直接费用，计入当期损益。</w:t>
      </w:r>
    </w:p>
    <w:p>
      <w:pPr>
        <w:spacing w:line="357" w:lineRule="auto" w:before="58"/>
        <w:ind w:left="540"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本公司作为承租人</w:t>
      </w:r>
      <w:r>
        <w:rPr>
          <w:rFonts w:ascii="宋体" w:hAnsi="宋体" w:cs="宋体" w:eastAsia="宋体" w:hint="default"/>
          <w:b/>
          <w:bCs/>
          <w:spacing w:val="-102"/>
          <w:sz w:val="21"/>
          <w:szCs w:val="21"/>
        </w:rPr>
        <w:t> </w:t>
      </w:r>
      <w:r>
        <w:rPr>
          <w:rFonts w:ascii="宋体" w:hAnsi="宋体" w:cs="宋体" w:eastAsia="宋体" w:hint="default"/>
          <w:spacing w:val="-4"/>
          <w:w w:val="100"/>
          <w:sz w:val="21"/>
          <w:szCs w:val="21"/>
        </w:rPr>
        <w:t>融资租赁中，在租赁开始日本公司将租赁资产公允价值与最低租赁付款额现值两者中较</w:t>
      </w:r>
    </w:p>
    <w:p>
      <w:pPr>
        <w:pStyle w:val="BodyText"/>
        <w:spacing w:line="355" w:lineRule="auto" w:before="32"/>
        <w:ind w:right="211"/>
        <w:jc w:val="both"/>
      </w:pPr>
      <w:r>
        <w:rPr>
          <w:spacing w:val="-4"/>
        </w:rPr>
        <w:t>低者作为租入资产的入账价值，将最低租赁付款额作为长期应付款的入账价值，其差额作为</w:t>
      </w:r>
      <w:r>
        <w:rPr>
          <w:spacing w:val="-44"/>
        </w:rPr>
        <w:t> </w:t>
      </w:r>
      <w:r>
        <w:rPr>
          <w:spacing w:val="-44"/>
        </w:rPr>
      </w:r>
      <w:r>
        <w:rPr>
          <w:spacing w:val="-4"/>
        </w:rPr>
        <w:t>未确认融资费用。初始直接费用计入租入资产价值。未确认融资费用在租赁期内各个期间采</w:t>
      </w:r>
      <w:r>
        <w:rPr>
          <w:spacing w:val="-44"/>
        </w:rPr>
        <w:t> </w:t>
      </w:r>
      <w:r>
        <w:rPr>
          <w:spacing w:val="-44"/>
        </w:rPr>
      </w:r>
      <w:r>
        <w:rPr>
          <w:spacing w:val="-4"/>
          <w:w w:val="100"/>
        </w:rPr>
        <w:t>用实际利率法计算确认当期的融资费用。本公司采用与自有固定资产相一致的折旧政策计提</w:t>
      </w:r>
      <w:r>
        <w:rPr>
          <w:spacing w:val="-94"/>
          <w:w w:val="100"/>
        </w:rPr>
        <w:t> </w:t>
      </w:r>
      <w:r>
        <w:rPr>
          <w:spacing w:val="-94"/>
          <w:w w:val="100"/>
        </w:rPr>
      </w:r>
      <w:r>
        <w:rPr/>
        <w:t>租赁资产折旧。</w:t>
      </w:r>
    </w:p>
    <w:p>
      <w:pPr>
        <w:spacing w:after="0" w:line="355" w:lineRule="auto"/>
        <w:jc w:val="both"/>
        <w:sectPr>
          <w:pgSz w:w="11910" w:h="16840"/>
          <w:pgMar w:header="852" w:footer="1186" w:top="1200" w:bottom="1380" w:left="1680" w:right="1580"/>
        </w:sectPr>
      </w:pPr>
    </w:p>
    <w:p>
      <w:pPr>
        <w:spacing w:line="240" w:lineRule="auto" w:before="3"/>
        <w:rPr>
          <w:rFonts w:ascii="宋体" w:hAnsi="宋体" w:cs="宋体" w:eastAsia="宋体" w:hint="default"/>
          <w:sz w:val="12"/>
          <w:szCs w:val="12"/>
        </w:rPr>
      </w:pPr>
    </w:p>
    <w:p>
      <w:pPr>
        <w:pStyle w:val="BodyText"/>
        <w:spacing w:line="357" w:lineRule="auto" w:before="36"/>
        <w:ind w:left="400" w:right="0" w:firstLine="419"/>
        <w:jc w:val="left"/>
      </w:pPr>
      <w:r>
        <w:rPr>
          <w:spacing w:val="-4"/>
          <w:w w:val="100"/>
        </w:rPr>
        <w:t>经营租赁中的租金，本公司在租赁期内各个期间按照直线法计入相关资产成本或当期损</w:t>
      </w:r>
      <w:r>
        <w:rPr>
          <w:w w:val="100"/>
        </w:rPr>
        <w:t> </w:t>
      </w:r>
      <w:r>
        <w:rPr/>
        <w:t>益；发生的初始直接费用，计入当期损益。</w:t>
      </w:r>
    </w:p>
    <w:p>
      <w:pPr>
        <w:pStyle w:val="Heading5"/>
        <w:spacing w:line="240" w:lineRule="auto" w:before="107"/>
        <w:ind w:right="0"/>
        <w:jc w:val="left"/>
        <w:rPr>
          <w:b w:val="0"/>
          <w:bCs w:val="0"/>
        </w:rPr>
      </w:pPr>
      <w:r>
        <w:rPr/>
        <w:t>（二十五）</w:t>
      </w:r>
      <w:r>
        <w:rPr>
          <w:spacing w:val="-84"/>
        </w:rPr>
        <w:t> </w:t>
      </w:r>
      <w:r>
        <w:rPr/>
        <w:t>主要会计政策、会计估计的变更</w:t>
      </w:r>
      <w:r>
        <w:rPr>
          <w:b w:val="0"/>
          <w:bCs w:val="0"/>
        </w:rPr>
      </w:r>
    </w:p>
    <w:p>
      <w:pPr>
        <w:spacing w:line="240" w:lineRule="auto" w:before="5"/>
        <w:rPr>
          <w:rFonts w:ascii="宋体" w:hAnsi="宋体" w:cs="宋体" w:eastAsia="宋体" w:hint="default"/>
          <w:b/>
          <w:bCs/>
          <w:sz w:val="16"/>
          <w:szCs w:val="16"/>
        </w:rPr>
      </w:pPr>
    </w:p>
    <w:p>
      <w:pPr>
        <w:spacing w:line="364" w:lineRule="auto" w:before="0"/>
        <w:ind w:left="820" w:right="49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会计政策变更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本报告期主要会计政策未发生变更。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会计估计变更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本报告期主要会计估计未发生变更。</w:t>
      </w:r>
    </w:p>
    <w:p>
      <w:pPr>
        <w:tabs>
          <w:tab w:pos="2080" w:val="left" w:leader="none"/>
        </w:tabs>
        <w:spacing w:line="427" w:lineRule="auto" w:before="98"/>
        <w:ind w:left="820" w:right="4918" w:firstLine="0"/>
        <w:jc w:val="left"/>
        <w:rPr>
          <w:rFonts w:ascii="宋体" w:hAnsi="宋体" w:cs="宋体" w:eastAsia="宋体" w:hint="default"/>
          <w:sz w:val="21"/>
          <w:szCs w:val="21"/>
        </w:rPr>
      </w:pPr>
      <w:r>
        <w:rPr>
          <w:rFonts w:ascii="宋体" w:hAnsi="宋体" w:cs="宋体" w:eastAsia="宋体" w:hint="default"/>
          <w:b/>
          <w:bCs/>
          <w:sz w:val="21"/>
          <w:szCs w:val="21"/>
        </w:rPr>
        <w:t>（二十六）</w:t>
        <w:tab/>
        <w:t>前期会计差错更正</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本报告期未发生前期会计差错更正。</w:t>
      </w:r>
    </w:p>
    <w:p>
      <w:pPr>
        <w:pStyle w:val="Heading4"/>
        <w:spacing w:line="304" w:lineRule="exact" w:before="0"/>
        <w:ind w:right="0"/>
        <w:jc w:val="left"/>
      </w:pPr>
      <w:r>
        <w:rPr/>
        <w:t>三、税项</w:t>
      </w:r>
    </w:p>
    <w:p>
      <w:pPr>
        <w:spacing w:line="240" w:lineRule="auto" w:before="12"/>
        <w:rPr>
          <w:rFonts w:ascii="黑体" w:hAnsi="黑体" w:cs="黑体" w:eastAsia="黑体" w:hint="default"/>
          <w:sz w:val="17"/>
          <w:szCs w:val="17"/>
        </w:rPr>
      </w:pPr>
    </w:p>
    <w:p>
      <w:pPr>
        <w:pStyle w:val="Heading5"/>
        <w:spacing w:line="240" w:lineRule="auto"/>
        <w:ind w:left="813" w:right="0"/>
        <w:jc w:val="left"/>
        <w:rPr>
          <w:b w:val="0"/>
          <w:bCs w:val="0"/>
        </w:rPr>
      </w:pPr>
      <w:r>
        <w:rPr/>
        <w:t>主要税种及税率</w:t>
      </w:r>
      <w:r>
        <w:rPr>
          <w:b w:val="0"/>
          <w:bCs w:val="0"/>
        </w:rPr>
      </w:r>
    </w:p>
    <w:p>
      <w:pPr>
        <w:spacing w:line="240" w:lineRule="auto" w:before="3"/>
        <w:rPr>
          <w:rFonts w:ascii="宋体" w:hAnsi="宋体" w:cs="宋体" w:eastAsia="宋体" w:hint="default"/>
          <w:b/>
          <w:bCs/>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0"/>
        </w:rPr>
        <w:t> </w:t>
      </w:r>
      <w:r>
        <w:rPr/>
        <w:t>流转税及附加税费</w:t>
      </w:r>
      <w:r>
        <w:rPr>
          <w:b w:val="0"/>
          <w:bCs w:val="0"/>
        </w:rPr>
      </w:r>
    </w:p>
    <w:p>
      <w:pPr>
        <w:spacing w:line="240" w:lineRule="auto" w:before="8"/>
        <w:rPr>
          <w:rFonts w:ascii="宋体" w:hAnsi="宋体" w:cs="宋体" w:eastAsia="宋体" w:hint="default"/>
          <w:b/>
          <w:bCs/>
          <w:sz w:val="13"/>
          <w:szCs w:val="13"/>
        </w:rPr>
      </w:pPr>
    </w:p>
    <w:tbl>
      <w:tblPr>
        <w:tblW w:w="0" w:type="auto"/>
        <w:jc w:val="left"/>
        <w:tblInd w:w="102" w:type="dxa"/>
        <w:tblLayout w:type="fixed"/>
        <w:tblCellMar>
          <w:top w:w="0" w:type="dxa"/>
          <w:left w:w="0" w:type="dxa"/>
          <w:bottom w:w="0" w:type="dxa"/>
          <w:right w:w="0" w:type="dxa"/>
        </w:tblCellMar>
        <w:tblLook w:val="01E0"/>
      </w:tblPr>
      <w:tblGrid>
        <w:gridCol w:w="1622"/>
        <w:gridCol w:w="3870"/>
        <w:gridCol w:w="1757"/>
        <w:gridCol w:w="1611"/>
      </w:tblGrid>
      <w:tr>
        <w:trPr>
          <w:trHeight w:val="420" w:hRule="exact"/>
        </w:trPr>
        <w:tc>
          <w:tcPr>
            <w:tcW w:w="162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0"/>
              <w:ind w:left="26" w:right="0"/>
              <w:jc w:val="center"/>
              <w:rPr>
                <w:rFonts w:ascii="宋体" w:hAnsi="宋体" w:cs="宋体" w:eastAsia="宋体" w:hint="default"/>
                <w:sz w:val="21"/>
                <w:szCs w:val="21"/>
              </w:rPr>
            </w:pPr>
            <w:r>
              <w:rPr>
                <w:rFonts w:ascii="宋体" w:hAnsi="宋体" w:cs="宋体" w:eastAsia="宋体" w:hint="default"/>
                <w:sz w:val="21"/>
                <w:szCs w:val="21"/>
              </w:rPr>
              <w:t>税目</w:t>
            </w:r>
          </w:p>
        </w:tc>
        <w:tc>
          <w:tcPr>
            <w:tcW w:w="38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left="1191" w:right="0"/>
              <w:jc w:val="left"/>
              <w:rPr>
                <w:rFonts w:ascii="宋体" w:hAnsi="宋体" w:cs="宋体" w:eastAsia="宋体" w:hint="default"/>
                <w:sz w:val="21"/>
                <w:szCs w:val="21"/>
              </w:rPr>
            </w:pPr>
            <w:r>
              <w:rPr>
                <w:rFonts w:ascii="宋体" w:hAnsi="宋体" w:cs="宋体" w:eastAsia="宋体" w:hint="default"/>
                <w:sz w:val="21"/>
                <w:szCs w:val="21"/>
              </w:rPr>
              <w:t>纳税（费）基础</w:t>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16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13"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26"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8"/>
              <w:jc w:val="center"/>
              <w:rPr>
                <w:rFonts w:ascii="宋体" w:hAnsi="宋体" w:cs="宋体" w:eastAsia="宋体" w:hint="default"/>
                <w:sz w:val="21"/>
                <w:szCs w:val="21"/>
              </w:rPr>
            </w:pPr>
            <w:r>
              <w:rPr>
                <w:rFonts w:ascii="宋体" w:hAnsi="宋体" w:cs="宋体" w:eastAsia="宋体" w:hint="default"/>
                <w:sz w:val="21"/>
                <w:szCs w:val="21"/>
              </w:rPr>
              <w:t>技术服务</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5%</w:t>
            </w:r>
          </w:p>
        </w:tc>
        <w:tc>
          <w:tcPr>
            <w:tcW w:w="1611"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1622" w:type="dxa"/>
            <w:vMerge w:val="restart"/>
            <w:tcBorders>
              <w:top w:val="single" w:sz="6"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70" w:right="0"/>
              <w:jc w:val="left"/>
              <w:rPr>
                <w:rFonts w:ascii="宋体" w:hAnsi="宋体" w:cs="宋体" w:eastAsia="宋体" w:hint="default"/>
                <w:sz w:val="21"/>
                <w:szCs w:val="21"/>
              </w:rPr>
            </w:pPr>
            <w:r>
              <w:rPr>
                <w:rFonts w:ascii="宋体" w:hAnsi="宋体" w:cs="宋体" w:eastAsia="宋体" w:hint="default"/>
                <w:sz w:val="21"/>
                <w:szCs w:val="21"/>
              </w:rPr>
              <w:t>销售货物和提供加工、修理修配劳务</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17%</w:t>
            </w:r>
          </w:p>
        </w:tc>
        <w:tc>
          <w:tcPr>
            <w:tcW w:w="1611"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1622" w:type="dxa"/>
            <w:vMerge/>
            <w:tcBorders>
              <w:left w:val="nil" w:sz="6" w:space="0" w:color="auto"/>
              <w:bottom w:val="single" w:sz="6" w:space="0" w:color="000000"/>
              <w:right w:val="single" w:sz="6" w:space="0" w:color="000000"/>
            </w:tcBorders>
          </w:tcPr>
          <w:p>
            <w:pP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8"/>
              <w:jc w:val="center"/>
              <w:rPr>
                <w:rFonts w:ascii="宋体" w:hAnsi="宋体" w:cs="宋体" w:eastAsia="宋体" w:hint="default"/>
                <w:sz w:val="21"/>
                <w:szCs w:val="21"/>
              </w:rPr>
            </w:pPr>
            <w:r>
              <w:rPr>
                <w:rFonts w:ascii="宋体" w:hAnsi="宋体" w:cs="宋体" w:eastAsia="宋体" w:hint="default"/>
                <w:sz w:val="21"/>
                <w:szCs w:val="21"/>
              </w:rPr>
              <w:t>销售材料</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17%</w:t>
            </w:r>
          </w:p>
        </w:tc>
        <w:tc>
          <w:tcPr>
            <w:tcW w:w="1611"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26" w:right="0"/>
              <w:jc w:val="center"/>
              <w:rPr>
                <w:rFonts w:ascii="宋体" w:hAnsi="宋体" w:cs="宋体" w:eastAsia="宋体" w:hint="default"/>
                <w:sz w:val="21"/>
                <w:szCs w:val="21"/>
              </w:rPr>
            </w:pPr>
            <w:r>
              <w:rPr>
                <w:rFonts w:ascii="宋体" w:hAnsi="宋体" w:cs="宋体" w:eastAsia="宋体" w:hint="default"/>
                <w:sz w:val="21"/>
                <w:szCs w:val="21"/>
              </w:rPr>
              <w:t>城建税</w:t>
            </w:r>
          </w:p>
        </w:tc>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5"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7%</w:t>
            </w:r>
          </w:p>
        </w:tc>
        <w:tc>
          <w:tcPr>
            <w:tcW w:w="1611" w:type="dxa"/>
            <w:tcBorders>
              <w:top w:val="single" w:sz="6" w:space="0" w:color="000000"/>
              <w:left w:val="single" w:sz="6" w:space="0" w:color="000000"/>
              <w:bottom w:val="single" w:sz="6" w:space="0" w:color="000000"/>
              <w:right w:val="nil" w:sz="6" w:space="0" w:color="auto"/>
            </w:tcBorders>
          </w:tcPr>
          <w:p>
            <w:pPr/>
          </w:p>
        </w:tc>
      </w:tr>
      <w:tr>
        <w:trPr>
          <w:trHeight w:val="420" w:hRule="exact"/>
        </w:trPr>
        <w:tc>
          <w:tcPr>
            <w:tcW w:w="16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0"/>
              <w:ind w:left="24"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3%</w:t>
            </w:r>
          </w:p>
        </w:tc>
        <w:tc>
          <w:tcPr>
            <w:tcW w:w="1611" w:type="dxa"/>
            <w:tcBorders>
              <w:top w:val="single" w:sz="6" w:space="0" w:color="000000"/>
              <w:left w:val="single" w:sz="6" w:space="0" w:color="000000"/>
              <w:bottom w:val="single" w:sz="12" w:space="0" w:color="000000"/>
              <w:right w:val="nil" w:sz="6" w:space="0" w:color="auto"/>
            </w:tcBorders>
          </w:tcPr>
          <w:p>
            <w:pPr/>
          </w:p>
        </w:tc>
      </w:tr>
    </w:tbl>
    <w:p>
      <w:pPr>
        <w:pStyle w:val="BodyText"/>
        <w:spacing w:line="340" w:lineRule="auto" w:before="42"/>
        <w:ind w:left="400" w:right="391" w:firstLine="407"/>
        <w:jc w:val="both"/>
      </w:pPr>
      <w:r>
        <w:rPr>
          <w:spacing w:val="-4"/>
        </w:rPr>
        <w:t>增值税：按应税销售收入适用</w:t>
      </w:r>
      <w:r>
        <w:rPr>
          <w:spacing w:val="-14"/>
        </w:rPr>
        <w:t> </w:t>
      </w:r>
      <w:r>
        <w:rPr>
          <w:rFonts w:ascii="Times New Roman" w:hAnsi="Times New Roman" w:cs="Times New Roman" w:eastAsia="Times New Roman" w:hint="default"/>
          <w:spacing w:val="-4"/>
        </w:rPr>
        <w:t>17%</w:t>
      </w:r>
      <w:r>
        <w:rPr>
          <w:spacing w:val="-4"/>
        </w:rPr>
        <w:t>的销项税率，扣除可以抵扣的进项税后缴纳。①本公</w:t>
      </w:r>
      <w:r>
        <w:rPr>
          <w:w w:val="100"/>
        </w:rPr>
        <w:t> </w:t>
      </w:r>
      <w:r>
        <w:rPr>
          <w:spacing w:val="-3"/>
        </w:rPr>
        <w:t>司经河南省信息产业厅、河南省国家税务局、河南省地方税务局联合下发的豫信</w:t>
      </w:r>
      <w:r>
        <w:rPr>
          <w:rFonts w:ascii="Times New Roman" w:hAnsi="Times New Roman" w:cs="Times New Roman" w:eastAsia="Times New Roman" w:hint="default"/>
          <w:spacing w:val="-3"/>
        </w:rPr>
        <w:t>[2003]48</w:t>
      </w:r>
      <w:r>
        <w:rPr>
          <w:rFonts w:ascii="Times New Roman" w:hAnsi="Times New Roman" w:cs="Times New Roman" w:eastAsia="Times New Roman" w:hint="default"/>
          <w:spacing w:val="34"/>
        </w:rPr>
        <w:t> </w:t>
      </w:r>
      <w:r>
        <w:rPr/>
        <w:t>号</w:t>
      </w:r>
      <w:r>
        <w:rPr>
          <w:spacing w:val="-92"/>
        </w:rPr>
        <w:t> </w:t>
      </w:r>
      <w:r>
        <w:rPr>
          <w:spacing w:val="-3"/>
        </w:rPr>
        <w:t>文批准为软件企业，根据国务院国发</w:t>
      </w:r>
      <w:r>
        <w:rPr>
          <w:rFonts w:ascii="Times New Roman" w:hAnsi="Times New Roman" w:cs="Times New Roman" w:eastAsia="Times New Roman" w:hint="default"/>
          <w:spacing w:val="-3"/>
        </w:rPr>
        <w:t>[2000]18 </w:t>
      </w:r>
      <w:r>
        <w:rPr>
          <w:spacing w:val="-4"/>
        </w:rPr>
        <w:t>号文《关于印发鼓励软件企业和集成电路产业</w:t>
      </w:r>
      <w:r>
        <w:rPr>
          <w:spacing w:val="-81"/>
        </w:rPr>
        <w:t> </w:t>
      </w:r>
      <w:r>
        <w:rPr>
          <w:spacing w:val="-81"/>
        </w:rPr>
      </w:r>
      <w:r>
        <w:rPr>
          <w:spacing w:val="-4"/>
        </w:rPr>
        <w:t>发展若干政策的通知》的规定，对增值税一般纳税人销售其自行开发生产的软件产品，实际</w:t>
      </w:r>
      <w:r>
        <w:rPr>
          <w:spacing w:val="-47"/>
        </w:rPr>
        <w:t> </w:t>
      </w:r>
      <w:r>
        <w:rPr>
          <w:spacing w:val="-47"/>
        </w:rPr>
      </w:r>
      <w:r>
        <w:rPr>
          <w:spacing w:val="-1"/>
        </w:rPr>
        <w:t>税负超过</w:t>
      </w:r>
      <w:r>
        <w:rPr/>
        <w:t> </w:t>
      </w:r>
      <w:r>
        <w:rPr>
          <w:rFonts w:ascii="Times New Roman" w:hAnsi="Times New Roman" w:cs="Times New Roman" w:eastAsia="Times New Roman" w:hint="default"/>
          <w:spacing w:val="-2"/>
        </w:rPr>
        <w:t>3%</w:t>
      </w:r>
      <w:r>
        <w:rPr>
          <w:spacing w:val="-2"/>
        </w:rPr>
        <w:t>的部分即征即退。②本公司之全资子公司河南辉煌软件有限公司由河南省信息</w:t>
      </w:r>
      <w:r>
        <w:rPr>
          <w:spacing w:val="-94"/>
        </w:rPr>
        <w:t> </w:t>
      </w:r>
      <w:r>
        <w:rPr>
          <w:spacing w:val="-94"/>
        </w:rPr>
      </w:r>
      <w:r>
        <w:rPr>
          <w:spacing w:val="-4"/>
        </w:rPr>
        <w:t>产业厅认定为软件企业，并颁发编号为豫 </w:t>
      </w:r>
      <w:r>
        <w:rPr>
          <w:rFonts w:ascii="Times New Roman" w:hAnsi="Times New Roman" w:cs="Times New Roman" w:eastAsia="Times New Roman" w:hint="default"/>
        </w:rPr>
        <w:t>R-2006-0039 </w:t>
      </w:r>
      <w:r>
        <w:rPr>
          <w:spacing w:val="-4"/>
        </w:rPr>
        <w:t>的软件企业认定证书。根据国务院国</w:t>
      </w:r>
      <w:r>
        <w:rPr>
          <w:spacing w:val="-88"/>
        </w:rPr>
        <w:t> </w:t>
      </w:r>
      <w:r>
        <w:rPr>
          <w:spacing w:val="-88"/>
        </w:rPr>
      </w:r>
      <w:r>
        <w:rPr/>
        <w:t>发</w:t>
      </w:r>
      <w:r>
        <w:rPr>
          <w:rFonts w:ascii="Times New Roman" w:hAnsi="Times New Roman" w:cs="Times New Roman" w:eastAsia="Times New Roman" w:hint="default"/>
        </w:rPr>
        <w:t>[2000]18</w:t>
      </w:r>
      <w:r>
        <w:rPr>
          <w:rFonts w:ascii="Times New Roman" w:hAnsi="Times New Roman" w:cs="Times New Roman" w:eastAsia="Times New Roman" w:hint="default"/>
          <w:spacing w:val="41"/>
        </w:rPr>
        <w:t> </w:t>
      </w:r>
      <w:r>
        <w:rPr>
          <w:spacing w:val="-4"/>
        </w:rPr>
        <w:t>号文《关于印发鼓励软件企业和集成电路产业发展若干政策的通知》的规定，对</w:t>
      </w:r>
      <w:r>
        <w:rPr>
          <w:spacing w:val="-90"/>
        </w:rPr>
        <w:t> </w:t>
      </w:r>
      <w:r>
        <w:rPr>
          <w:spacing w:val="-90"/>
        </w:rPr>
      </w:r>
      <w:r>
        <w:rPr>
          <w:spacing w:val="-2"/>
        </w:rPr>
        <w:t>增值税一般纳税人销售其自行开发生产的软件产品，实际税负超过</w:t>
      </w:r>
      <w:r>
        <w:rPr>
          <w:spacing w:val="12"/>
        </w:rPr>
        <w:t> </w:t>
      </w:r>
      <w:r>
        <w:rPr>
          <w:rFonts w:ascii="Times New Roman" w:hAnsi="Times New Roman" w:cs="Times New Roman" w:eastAsia="Times New Roman" w:hint="default"/>
          <w:spacing w:val="-1"/>
        </w:rPr>
        <w:t>3%</w:t>
      </w:r>
      <w:r>
        <w:rPr>
          <w:spacing w:val="-1"/>
        </w:rPr>
        <w:t>的部分即征即退。</w:t>
      </w:r>
    </w:p>
    <w:p>
      <w:pPr>
        <w:pStyle w:val="Heading5"/>
        <w:spacing w:line="240" w:lineRule="auto" w:before="96"/>
        <w:ind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9"/>
        </w:rPr>
        <w:t> </w:t>
      </w:r>
      <w:r>
        <w:rPr/>
        <w:t>企业所得税</w:t>
      </w:r>
      <w:r>
        <w:rPr>
          <w:b w:val="0"/>
          <w:bCs w:val="0"/>
        </w:rPr>
      </w:r>
    </w:p>
    <w:p>
      <w:pPr>
        <w:spacing w:line="240" w:lineRule="auto" w:before="11"/>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3725"/>
        <w:gridCol w:w="2564"/>
        <w:gridCol w:w="2571"/>
      </w:tblGrid>
      <w:tr>
        <w:trPr>
          <w:trHeight w:val="362" w:hRule="exact"/>
        </w:trPr>
        <w:tc>
          <w:tcPr>
            <w:tcW w:w="37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5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税率</w:t>
            </w:r>
          </w:p>
        </w:tc>
        <w:tc>
          <w:tcPr>
            <w:tcW w:w="257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15%</w:t>
            </w:r>
          </w:p>
        </w:tc>
        <w:tc>
          <w:tcPr>
            <w:tcW w:w="25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65" w:hRule="exact"/>
        </w:trPr>
        <w:tc>
          <w:tcPr>
            <w:tcW w:w="37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河南辉煌软件有限公司</w:t>
            </w:r>
          </w:p>
        </w:tc>
        <w:tc>
          <w:tcPr>
            <w:tcW w:w="25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两免三减</w:t>
            </w:r>
          </w:p>
        </w:tc>
        <w:tc>
          <w:tcPr>
            <w:tcW w:w="25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r>
    </w:tbl>
    <w:p>
      <w:pPr>
        <w:pStyle w:val="BodyText"/>
        <w:spacing w:line="333" w:lineRule="auto" w:before="42"/>
        <w:ind w:left="400" w:right="387" w:firstLine="419"/>
        <w:jc w:val="left"/>
      </w:pPr>
      <w:r>
        <w:rPr/>
        <w:t>根据豫科</w:t>
      </w:r>
      <w:r>
        <w:rPr>
          <w:rFonts w:ascii="Times New Roman" w:hAnsi="Times New Roman" w:cs="Times New Roman" w:eastAsia="Times New Roman" w:hint="default"/>
        </w:rPr>
        <w:t>[2008]175</w:t>
      </w:r>
      <w:r>
        <w:rPr>
          <w:rFonts w:ascii="Times New Roman" w:hAnsi="Times New Roman" w:cs="Times New Roman" w:eastAsia="Times New Roman" w:hint="default"/>
          <w:spacing w:val="23"/>
        </w:rPr>
        <w:t> </w:t>
      </w:r>
      <w:r>
        <w:rPr/>
        <w:t>号文，本公司被认定为河南省第一批高新技术企业，根据《中华人</w:t>
      </w:r>
      <w:r>
        <w:rPr>
          <w:w w:val="100"/>
        </w:rPr>
        <w:t> </w:t>
      </w:r>
      <w:r>
        <w:rPr/>
        <w:t>民共和国企业所得税法》的规定，本公司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年所得税适用税率为</w:t>
      </w:r>
      <w:r>
        <w:rPr>
          <w:spacing w:val="-56"/>
        </w:rPr>
        <w:t> </w:t>
      </w:r>
      <w:r>
        <w:rPr>
          <w:rFonts w:ascii="Times New Roman" w:hAnsi="Times New Roman" w:cs="Times New Roman" w:eastAsia="Times New Roman" w:hint="default"/>
        </w:rPr>
        <w:t>15%</w:t>
      </w:r>
      <w:r>
        <w:rPr/>
        <w:t>。</w:t>
      </w:r>
    </w:p>
    <w:p>
      <w:pPr>
        <w:spacing w:after="0" w:line="333" w:lineRule="auto"/>
        <w:jc w:val="left"/>
        <w:sectPr>
          <w:footerReference w:type="default" r:id="rId51"/>
          <w:pgSz w:w="11910" w:h="16840"/>
          <w:pgMar w:footer="1186" w:header="852" w:top="1200" w:bottom="1380" w:left="1400" w:right="1400"/>
          <w:pgNumType w:start="93"/>
        </w:sectPr>
      </w:pPr>
    </w:p>
    <w:p>
      <w:pPr>
        <w:spacing w:line="240" w:lineRule="auto" w:before="3"/>
        <w:rPr>
          <w:rFonts w:ascii="宋体" w:hAnsi="宋体" w:cs="宋体" w:eastAsia="宋体" w:hint="default"/>
          <w:sz w:val="12"/>
          <w:szCs w:val="12"/>
        </w:rPr>
      </w:pPr>
    </w:p>
    <w:p>
      <w:pPr>
        <w:pStyle w:val="BodyText"/>
        <w:spacing w:line="340" w:lineRule="auto" w:before="36"/>
        <w:ind w:left="460" w:right="451" w:firstLine="419"/>
        <w:jc w:val="both"/>
      </w:pPr>
      <w:r>
        <w:rPr>
          <w:spacing w:val="-4"/>
          <w:w w:val="100"/>
        </w:rPr>
        <w:t>本公司之全资子公司河南辉煌软件有限公司由河南省信息产业厅认定为软件企业，</w:t>
      </w:r>
      <w:r>
        <w:rPr>
          <w:rFonts w:ascii="Times New Roman" w:hAnsi="Times New Roman" w:cs="Times New Roman" w:eastAsia="Times New Roman" w:hint="default"/>
          <w:spacing w:val="-4"/>
          <w:w w:val="100"/>
        </w:rPr>
        <w:t>2007</w:t>
      </w:r>
      <w:r>
        <w:rPr>
          <w:rFonts w:ascii="Times New Roman" w:hAnsi="Times New Roman" w:cs="Times New Roman" w:eastAsia="Times New Roman" w:hint="default"/>
          <w:w w:val="100"/>
        </w:rPr>
        <w:t> </w:t>
      </w:r>
      <w:r>
        <w:rPr>
          <w:spacing w:val="-4"/>
        </w:rPr>
        <w:t>年度开始生产经营并获利，根据《财政部、国家税务总局关于企业所得税若干优惠政策的通</w:t>
      </w:r>
      <w:r>
        <w:rPr>
          <w:spacing w:val="-46"/>
        </w:rPr>
        <w:t> </w:t>
      </w:r>
      <w:r>
        <w:rPr>
          <w:spacing w:val="-46"/>
        </w:rPr>
      </w:r>
      <w:r>
        <w:rPr/>
        <w:t>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(2008)1</w:t>
      </w:r>
      <w:r>
        <w:rPr>
          <w:rFonts w:ascii="Times New Roman" w:hAnsi="Times New Roman" w:cs="Times New Roman" w:eastAsia="Times New Roman" w:hint="default"/>
          <w:spacing w:val="3"/>
        </w:rPr>
        <w:t> </w:t>
      </w:r>
      <w:r>
        <w:rPr/>
        <w:t>号</w:t>
      </w:r>
      <w:r>
        <w:rPr>
          <w:spacing w:val="-54"/>
        </w:rPr>
        <w:t> </w:t>
      </w:r>
      <w:r>
        <w:rPr>
          <w:rFonts w:ascii="Times New Roman" w:hAnsi="Times New Roman" w:cs="Times New Roman" w:eastAsia="Times New Roman" w:hint="default"/>
        </w:rPr>
        <w:t>]</w:t>
      </w:r>
      <w:r>
        <w:rPr/>
        <w:t>文件规定，郑州市国家税务局</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日审批意见，河南辉煌</w:t>
      </w:r>
      <w:r>
        <w:rPr>
          <w:w w:val="100"/>
        </w:rPr>
        <w:t> </w:t>
      </w:r>
      <w:r>
        <w:rPr>
          <w:spacing w:val="-2"/>
          <w:w w:val="100"/>
        </w:rPr>
        <w:t>软件有限公司适用</w:t>
      </w:r>
      <w:r>
        <w:rPr>
          <w:rFonts w:ascii="Times New Roman" w:hAnsi="Times New Roman" w:cs="Times New Roman" w:eastAsia="Times New Roman" w:hint="default"/>
          <w:spacing w:val="-2"/>
          <w:w w:val="100"/>
        </w:rPr>
        <w:t>―</w:t>
      </w:r>
      <w:r>
        <w:rPr>
          <w:spacing w:val="-2"/>
          <w:w w:val="100"/>
        </w:rPr>
        <w:t>两免三减</w:t>
      </w:r>
      <w:r>
        <w:rPr>
          <w:rFonts w:ascii="Times New Roman" w:hAnsi="Times New Roman" w:cs="Times New Roman" w:eastAsia="Times New Roman" w:hint="default"/>
          <w:spacing w:val="-2"/>
          <w:w w:val="100"/>
        </w:rPr>
        <w:t>‖</w:t>
      </w:r>
      <w:r>
        <w:rPr>
          <w:spacing w:val="-2"/>
          <w:w w:val="100"/>
        </w:rPr>
        <w:t>的优惠政策，</w:t>
      </w:r>
      <w:r>
        <w:rPr>
          <w:rFonts w:ascii="Times New Roman" w:hAnsi="Times New Roman" w:cs="Times New Roman" w:eastAsia="Times New Roman" w:hint="default"/>
          <w:spacing w:val="-2"/>
          <w:w w:val="100"/>
        </w:rPr>
        <w:t>2007</w:t>
      </w:r>
      <w:r>
        <w:rPr>
          <w:rFonts w:ascii="Times New Roman" w:hAnsi="Times New Roman" w:cs="Times New Roman" w:eastAsia="Times New Roman" w:hint="default"/>
          <w:w w:val="100"/>
        </w:rPr>
        <w:t> </w:t>
      </w:r>
      <w:r>
        <w:rPr>
          <w:spacing w:val="-1"/>
          <w:w w:val="100"/>
        </w:rPr>
        <w:t>年度、</w:t>
      </w:r>
      <w:r>
        <w:rPr>
          <w:rFonts w:ascii="Times New Roman" w:hAnsi="Times New Roman" w:cs="Times New Roman" w:eastAsia="Times New Roman" w:hint="default"/>
          <w:spacing w:val="-1"/>
          <w:w w:val="100"/>
        </w:rPr>
        <w:t>2008</w:t>
      </w:r>
      <w:r>
        <w:rPr>
          <w:rFonts w:ascii="Times New Roman" w:hAnsi="Times New Roman" w:cs="Times New Roman" w:eastAsia="Times New Roman" w:hint="default"/>
          <w:spacing w:val="-19"/>
          <w:w w:val="100"/>
        </w:rPr>
        <w:t> </w:t>
      </w:r>
      <w:r>
        <w:rPr>
          <w:spacing w:val="-2"/>
          <w:w w:val="100"/>
        </w:rPr>
        <w:t>年度企业所得税全免，</w:t>
      </w:r>
      <w:r>
        <w:rPr>
          <w:rFonts w:ascii="Times New Roman" w:hAnsi="Times New Roman" w:cs="Times New Roman" w:eastAsia="Times New Roman" w:hint="default"/>
          <w:spacing w:val="-2"/>
          <w:w w:val="100"/>
        </w:rPr>
        <w:t>2009</w:t>
      </w:r>
      <w:r>
        <w:rPr>
          <w:spacing w:val="-2"/>
          <w:w w:val="100"/>
        </w:rPr>
        <w:t>－</w:t>
      </w:r>
      <w:r>
        <w:rPr>
          <w:w w:val="100"/>
        </w:rPr>
        <w:t> </w:t>
      </w:r>
      <w:r>
        <w:rPr>
          <w:rFonts w:ascii="Times New Roman" w:hAnsi="Times New Roman" w:cs="Times New Roman" w:eastAsia="Times New Roman" w:hint="default"/>
        </w:rPr>
        <w:t>2011 </w:t>
      </w:r>
      <w:r>
        <w:rPr/>
        <w:t>年度所得税减半征收，适用所得税税率为</w:t>
      </w:r>
      <w:r>
        <w:rPr>
          <w:spacing w:val="-67"/>
        </w:rPr>
        <w:t> </w:t>
      </w:r>
      <w:r>
        <w:rPr>
          <w:rFonts w:ascii="Times New Roman" w:hAnsi="Times New Roman" w:cs="Times New Roman" w:eastAsia="Times New Roman" w:hint="default"/>
        </w:rPr>
        <w:t>12.5%</w:t>
      </w:r>
      <w:r>
        <w:rPr/>
        <w:t>。</w:t>
      </w:r>
    </w:p>
    <w:p>
      <w:pPr>
        <w:pStyle w:val="Heading5"/>
        <w:spacing w:line="240" w:lineRule="auto" w:before="99"/>
        <w:ind w:left="880" w:right="4554"/>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9"/>
        </w:rPr>
        <w:t> </w:t>
      </w:r>
      <w:r>
        <w:rPr/>
        <w:t>房产税</w:t>
      </w:r>
      <w:r>
        <w:rPr>
          <w:b w:val="0"/>
          <w:bCs w:val="0"/>
        </w:rPr>
      </w:r>
    </w:p>
    <w:p>
      <w:pPr>
        <w:pStyle w:val="BodyText"/>
        <w:spacing w:line="336" w:lineRule="auto" w:before="196"/>
        <w:ind w:left="460" w:right="453" w:firstLine="419"/>
        <w:jc w:val="both"/>
      </w:pPr>
      <w:r>
        <w:rPr/>
        <w:t>房产税按照房产原值的 </w:t>
      </w:r>
      <w:r>
        <w:rPr>
          <w:rFonts w:ascii="Times New Roman" w:hAnsi="Times New Roman" w:cs="Times New Roman" w:eastAsia="Times New Roman" w:hint="default"/>
        </w:rPr>
        <w:t>70%</w:t>
      </w:r>
      <w:r>
        <w:rPr/>
        <w:t>为纳税基准，税率为</w:t>
      </w:r>
      <w:r>
        <w:rPr>
          <w:spacing w:val="-84"/>
        </w:rPr>
        <w:t> </w:t>
      </w:r>
      <w:r>
        <w:rPr>
          <w:rFonts w:ascii="Times New Roman" w:hAnsi="Times New Roman" w:cs="Times New Roman" w:eastAsia="Times New Roman" w:hint="default"/>
        </w:rPr>
        <w:t>1.2%</w:t>
      </w:r>
      <w:r>
        <w:rPr/>
        <w:t>，或以租金收入为纳税基准，税</w:t>
      </w:r>
      <w:r>
        <w:rPr>
          <w:w w:val="100"/>
        </w:rPr>
        <w:t> </w:t>
      </w:r>
      <w:r>
        <w:rPr/>
        <w:t>率为</w:t>
      </w:r>
      <w:r>
        <w:rPr>
          <w:spacing w:val="-52"/>
        </w:rPr>
        <w:t> </w:t>
      </w:r>
      <w:r>
        <w:rPr>
          <w:rFonts w:ascii="Times New Roman" w:hAnsi="Times New Roman" w:cs="Times New Roman" w:eastAsia="Times New Roman" w:hint="default"/>
        </w:rPr>
        <w:t>12%</w:t>
      </w:r>
      <w:r>
        <w:rPr/>
        <w:t>。</w:t>
      </w:r>
    </w:p>
    <w:p>
      <w:pPr>
        <w:spacing w:line="403" w:lineRule="auto" w:before="101"/>
        <w:ind w:left="880" w:right="45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个人所得税</w:t>
      </w:r>
      <w:r>
        <w:rPr>
          <w:rFonts w:ascii="宋体" w:hAnsi="宋体" w:cs="宋体" w:eastAsia="宋体" w:hint="default"/>
          <w:b/>
          <w:bCs/>
          <w:spacing w:val="-104"/>
          <w:sz w:val="21"/>
          <w:szCs w:val="21"/>
        </w:rPr>
        <w:t> </w:t>
      </w:r>
      <w:r>
        <w:rPr>
          <w:rFonts w:ascii="宋体" w:hAnsi="宋体" w:cs="宋体" w:eastAsia="宋体" w:hint="default"/>
          <w:spacing w:val="-2"/>
          <w:sz w:val="21"/>
          <w:szCs w:val="21"/>
        </w:rPr>
        <w:t>员工个人所得税由本公司代扣代缴。</w:t>
      </w:r>
    </w:p>
    <w:p>
      <w:pPr>
        <w:pStyle w:val="Heading4"/>
        <w:spacing w:line="240" w:lineRule="auto" w:before="66"/>
        <w:ind w:left="460" w:right="4554"/>
        <w:jc w:val="left"/>
      </w:pPr>
      <w:r>
        <w:rPr/>
        <w:t>四、企业合并及合并财务报表</w:t>
      </w:r>
    </w:p>
    <w:p>
      <w:pPr>
        <w:spacing w:line="240" w:lineRule="auto" w:before="12"/>
        <w:rPr>
          <w:rFonts w:ascii="黑体" w:hAnsi="黑体" w:cs="黑体" w:eastAsia="黑体" w:hint="default"/>
          <w:sz w:val="17"/>
          <w:szCs w:val="17"/>
        </w:rPr>
      </w:pPr>
    </w:p>
    <w:p>
      <w:pPr>
        <w:pStyle w:val="Heading5"/>
        <w:tabs>
          <w:tab w:pos="2140" w:val="left" w:leader="none"/>
        </w:tabs>
        <w:spacing w:line="240" w:lineRule="auto"/>
        <w:ind w:left="880" w:right="1827"/>
        <w:jc w:val="left"/>
        <w:rPr>
          <w:b w:val="0"/>
          <w:bCs w:val="0"/>
        </w:rPr>
      </w:pPr>
      <w:r>
        <w:rPr/>
        <w:t>（二十七）</w:t>
        <w:tab/>
        <w:t>子公司情况：通过投资设立或投资等方式取得的子公司</w:t>
      </w:r>
      <w:r>
        <w:rPr>
          <w:b w:val="0"/>
          <w:bCs w:val="0"/>
        </w:rPr>
      </w:r>
    </w:p>
    <w:p>
      <w:pPr>
        <w:spacing w:line="240" w:lineRule="auto" w:before="11"/>
        <w:rPr>
          <w:rFonts w:ascii="宋体" w:hAnsi="宋体" w:cs="宋体" w:eastAsia="宋体" w:hint="default"/>
          <w:b/>
          <w:bCs/>
          <w:sz w:val="18"/>
          <w:szCs w:val="18"/>
        </w:rPr>
      </w:pPr>
    </w:p>
    <w:tbl>
      <w:tblPr>
        <w:tblW w:w="0" w:type="auto"/>
        <w:jc w:val="left"/>
        <w:tblInd w:w="212" w:type="dxa"/>
        <w:tblLayout w:type="fixed"/>
        <w:tblCellMar>
          <w:top w:w="0" w:type="dxa"/>
          <w:left w:w="0" w:type="dxa"/>
          <w:bottom w:w="0" w:type="dxa"/>
          <w:right w:w="0" w:type="dxa"/>
        </w:tblCellMar>
        <w:tblLook w:val="01E0"/>
      </w:tblPr>
      <w:tblGrid>
        <w:gridCol w:w="2738"/>
        <w:gridCol w:w="890"/>
        <w:gridCol w:w="2278"/>
        <w:gridCol w:w="758"/>
        <w:gridCol w:w="605"/>
        <w:gridCol w:w="579"/>
        <w:gridCol w:w="942"/>
      </w:tblGrid>
      <w:tr>
        <w:trPr>
          <w:trHeight w:val="607" w:hRule="exact"/>
        </w:trPr>
        <w:tc>
          <w:tcPr>
            <w:tcW w:w="273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7"/>
              <w:ind w:left="584"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89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54"/>
              <w:ind w:left="256" w:right="167"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22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7"/>
              <w:ind w:right="3"/>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58"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54"/>
              <w:ind w:left="280" w:right="101"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05"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54"/>
              <w:ind w:left="115" w:right="11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579"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54"/>
              <w:ind w:left="103" w:right="98"/>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942" w:type="dxa"/>
            <w:tcBorders>
              <w:top w:val="single" w:sz="12" w:space="0" w:color="000000"/>
              <w:left w:val="single" w:sz="6" w:space="0" w:color="000000"/>
              <w:bottom w:val="single" w:sz="6" w:space="0" w:color="000000"/>
              <w:right w:val="nil" w:sz="6" w:space="0" w:color="auto"/>
            </w:tcBorders>
          </w:tcPr>
          <w:p>
            <w:pPr>
              <w:pStyle w:val="TableParagraph"/>
              <w:spacing w:line="232" w:lineRule="exact" w:before="54"/>
              <w:ind w:left="179" w:right="212"/>
              <w:jc w:val="left"/>
              <w:rPr>
                <w:rFonts w:ascii="宋体" w:hAnsi="宋体" w:cs="宋体" w:eastAsia="宋体" w:hint="default"/>
                <w:sz w:val="18"/>
                <w:szCs w:val="18"/>
              </w:rPr>
            </w:pPr>
            <w:r>
              <w:rPr>
                <w:rFonts w:ascii="宋体" w:hAnsi="宋体" w:cs="宋体" w:eastAsia="宋体" w:hint="default"/>
                <w:sz w:val="18"/>
                <w:szCs w:val="18"/>
              </w:rPr>
              <w:t>主要经 营范围</w:t>
            </w:r>
          </w:p>
        </w:tc>
      </w:tr>
      <w:tr>
        <w:trPr>
          <w:trHeight w:val="948" w:hRule="exact"/>
        </w:trPr>
        <w:tc>
          <w:tcPr>
            <w:tcW w:w="2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56" w:right="167" w:hanging="89"/>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sz w:val="18"/>
                <w:szCs w:val="18"/>
              </w:rPr>
              <w:t>郑州高新开发区科学大道</w:t>
            </w: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194" w:lineRule="exact"/>
              <w:ind w:right="0"/>
              <w:jc w:val="center"/>
              <w:rPr>
                <w:rFonts w:ascii="Times New Roman" w:hAnsi="Times New Roman" w:cs="Times New Roman" w:eastAsia="Times New Roman" w:hint="default"/>
                <w:sz w:val="18"/>
                <w:szCs w:val="18"/>
              </w:rPr>
            </w:pPr>
            <w:r>
              <w:rPr>
                <w:rFonts w:ascii="Times New Roman"/>
                <w:sz w:val="18"/>
              </w:rPr>
              <w:t>1500</w:t>
            </w:r>
          </w:p>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92" w:right="98" w:hanging="89"/>
              <w:jc w:val="left"/>
              <w:rPr>
                <w:rFonts w:ascii="宋体" w:hAnsi="宋体" w:cs="宋体" w:eastAsia="宋体" w:hint="default"/>
                <w:sz w:val="18"/>
                <w:szCs w:val="18"/>
              </w:rPr>
            </w:pPr>
            <w:r>
              <w:rPr>
                <w:rFonts w:ascii="宋体" w:hAnsi="宋体" w:cs="宋体" w:eastAsia="宋体" w:hint="default"/>
                <w:sz w:val="18"/>
                <w:szCs w:val="18"/>
              </w:rPr>
              <w:t>谢春 生</w:t>
            </w:r>
          </w:p>
        </w:tc>
        <w:tc>
          <w:tcPr>
            <w:tcW w:w="942" w:type="dxa"/>
            <w:tcBorders>
              <w:top w:val="single" w:sz="6" w:space="0" w:color="000000"/>
              <w:left w:val="single" w:sz="6" w:space="0" w:color="000000"/>
              <w:bottom w:val="single" w:sz="6" w:space="0" w:color="000000"/>
              <w:right w:val="nil" w:sz="6" w:space="0" w:color="auto"/>
            </w:tcBorders>
          </w:tcPr>
          <w:p>
            <w:pPr>
              <w:pStyle w:val="TableParagraph"/>
              <w:spacing w:line="204" w:lineRule="exact"/>
              <w:ind w:right="32"/>
              <w:jc w:val="center"/>
              <w:rPr>
                <w:rFonts w:ascii="宋体" w:hAnsi="宋体" w:cs="宋体" w:eastAsia="宋体" w:hint="default"/>
                <w:sz w:val="18"/>
                <w:szCs w:val="18"/>
              </w:rPr>
            </w:pPr>
            <w:r>
              <w:rPr>
                <w:rFonts w:ascii="宋体" w:hAnsi="宋体" w:cs="宋体" w:eastAsia="宋体" w:hint="default"/>
                <w:sz w:val="18"/>
                <w:szCs w:val="18"/>
              </w:rPr>
              <w:t>软件产</w:t>
            </w:r>
          </w:p>
          <w:p>
            <w:pPr>
              <w:pStyle w:val="TableParagraph"/>
              <w:spacing w:line="237" w:lineRule="auto"/>
              <w:ind w:left="179" w:right="212"/>
              <w:jc w:val="center"/>
              <w:rPr>
                <w:rFonts w:ascii="宋体" w:hAnsi="宋体" w:cs="宋体" w:eastAsia="宋体" w:hint="default"/>
                <w:sz w:val="18"/>
                <w:szCs w:val="18"/>
              </w:rPr>
            </w:pPr>
            <w:r>
              <w:rPr>
                <w:rFonts w:ascii="宋体" w:hAnsi="宋体" w:cs="宋体" w:eastAsia="宋体" w:hint="default"/>
                <w:sz w:val="18"/>
                <w:szCs w:val="18"/>
              </w:rPr>
              <w:t>品的开 发及销 售</w:t>
            </w:r>
          </w:p>
        </w:tc>
      </w:tr>
      <w:tr>
        <w:trPr>
          <w:trHeight w:val="948" w:hRule="exact"/>
        </w:trPr>
        <w:tc>
          <w:tcPr>
            <w:tcW w:w="2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256" w:right="167" w:hanging="89"/>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34" w:lineRule="exact"/>
              <w:ind w:left="230" w:right="0"/>
              <w:jc w:val="left"/>
              <w:rPr>
                <w:rFonts w:ascii="宋体" w:hAnsi="宋体" w:cs="宋体" w:eastAsia="宋体" w:hint="default"/>
                <w:sz w:val="18"/>
                <w:szCs w:val="18"/>
              </w:rPr>
            </w:pPr>
            <w:r>
              <w:rPr>
                <w:rFonts w:ascii="宋体" w:hAnsi="宋体" w:cs="宋体" w:eastAsia="宋体" w:hint="default"/>
                <w:sz w:val="18"/>
                <w:szCs w:val="18"/>
              </w:rPr>
              <w:t>北京市丰台区南四环路</w:t>
            </w:r>
          </w:p>
          <w:p>
            <w:pPr>
              <w:pStyle w:val="TableParagraph"/>
              <w:spacing w:line="248" w:lineRule="exact"/>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 </w:t>
            </w:r>
            <w:r>
              <w:rPr>
                <w:rFonts w:ascii="宋体" w:hAnsi="宋体" w:cs="宋体" w:eastAsia="宋体" w:hint="default"/>
                <w:sz w:val="18"/>
                <w:szCs w:val="18"/>
              </w:rPr>
              <w:t>室</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194" w:lineRule="exact"/>
              <w:ind w:right="0"/>
              <w:jc w:val="center"/>
              <w:rPr>
                <w:rFonts w:ascii="Times New Roman" w:hAnsi="Times New Roman" w:cs="Times New Roman" w:eastAsia="Times New Roman" w:hint="default"/>
                <w:sz w:val="18"/>
                <w:szCs w:val="18"/>
              </w:rPr>
            </w:pPr>
            <w:r>
              <w:rPr>
                <w:rFonts w:ascii="Times New Roman"/>
                <w:sz w:val="18"/>
              </w:rPr>
              <w:t>500</w:t>
            </w:r>
          </w:p>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192" w:right="98" w:hanging="89"/>
              <w:jc w:val="left"/>
              <w:rPr>
                <w:rFonts w:ascii="宋体" w:hAnsi="宋体" w:cs="宋体" w:eastAsia="宋体" w:hint="default"/>
                <w:sz w:val="18"/>
                <w:szCs w:val="18"/>
              </w:rPr>
            </w:pPr>
            <w:r>
              <w:rPr>
                <w:rFonts w:ascii="宋体" w:hAnsi="宋体" w:cs="宋体" w:eastAsia="宋体" w:hint="default"/>
                <w:sz w:val="18"/>
                <w:szCs w:val="18"/>
              </w:rPr>
              <w:t>李劲 松</w:t>
            </w:r>
          </w:p>
        </w:tc>
        <w:tc>
          <w:tcPr>
            <w:tcW w:w="942"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179" w:right="0"/>
              <w:jc w:val="both"/>
              <w:rPr>
                <w:rFonts w:ascii="宋体" w:hAnsi="宋体" w:cs="宋体" w:eastAsia="宋体" w:hint="default"/>
                <w:sz w:val="18"/>
                <w:szCs w:val="18"/>
              </w:rPr>
            </w:pPr>
            <w:r>
              <w:rPr>
                <w:rFonts w:ascii="宋体" w:hAnsi="宋体" w:cs="宋体" w:eastAsia="宋体" w:hint="default"/>
                <w:sz w:val="18"/>
                <w:szCs w:val="18"/>
              </w:rPr>
              <w:t>自主选</w:t>
            </w:r>
          </w:p>
          <w:p>
            <w:pPr>
              <w:pStyle w:val="TableParagraph"/>
              <w:spacing w:line="232" w:lineRule="exact" w:before="24"/>
              <w:ind w:left="179" w:right="212"/>
              <w:jc w:val="both"/>
              <w:rPr>
                <w:rFonts w:ascii="宋体" w:hAnsi="宋体" w:cs="宋体" w:eastAsia="宋体" w:hint="default"/>
                <w:sz w:val="18"/>
                <w:szCs w:val="18"/>
              </w:rPr>
            </w:pPr>
            <w:r>
              <w:rPr>
                <w:rFonts w:ascii="宋体" w:hAnsi="宋体" w:cs="宋体" w:eastAsia="宋体" w:hint="default"/>
                <w:sz w:val="18"/>
                <w:szCs w:val="18"/>
              </w:rPr>
              <w:t>择经营 法律许 可的</w:t>
            </w:r>
          </w:p>
        </w:tc>
      </w:tr>
      <w:tr>
        <w:trPr>
          <w:trHeight w:val="950" w:hRule="exact"/>
        </w:trPr>
        <w:tc>
          <w:tcPr>
            <w:tcW w:w="2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100" w:right="84" w:firstLine="67"/>
              <w:jc w:val="left"/>
              <w:rPr>
                <w:rFonts w:ascii="宋体" w:hAnsi="宋体" w:cs="宋体" w:eastAsia="宋体"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01"/>
              <w:jc w:val="center"/>
              <w:rPr>
                <w:rFonts w:ascii="宋体" w:hAnsi="宋体" w:cs="宋体" w:eastAsia="宋体" w:hint="default"/>
                <w:sz w:val="18"/>
                <w:szCs w:val="18"/>
              </w:rPr>
            </w:pPr>
            <w:r>
              <w:rPr>
                <w:rFonts w:ascii="宋体" w:hAnsi="宋体" w:cs="宋体" w:eastAsia="宋体" w:hint="default"/>
                <w:sz w:val="18"/>
                <w:szCs w:val="18"/>
              </w:rPr>
              <w:t>年末实 际出资 额</w:t>
            </w:r>
          </w:p>
        </w:tc>
        <w:tc>
          <w:tcPr>
            <w:tcW w:w="11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4" w:right="0"/>
              <w:jc w:val="both"/>
              <w:rPr>
                <w:rFonts w:ascii="宋体" w:hAnsi="宋体" w:cs="宋体" w:eastAsia="宋体" w:hint="default"/>
                <w:sz w:val="18"/>
                <w:szCs w:val="18"/>
              </w:rPr>
            </w:pPr>
            <w:r>
              <w:rPr>
                <w:rFonts w:ascii="宋体" w:hAnsi="宋体" w:cs="宋体" w:eastAsia="宋体" w:hint="default"/>
                <w:sz w:val="18"/>
                <w:szCs w:val="18"/>
              </w:rPr>
              <w:t>实质上构成</w:t>
            </w:r>
          </w:p>
          <w:p>
            <w:pPr>
              <w:pStyle w:val="TableParagraph"/>
              <w:spacing w:line="232" w:lineRule="exact" w:before="23"/>
              <w:ind w:left="134" w:right="134"/>
              <w:jc w:val="both"/>
              <w:rPr>
                <w:rFonts w:ascii="宋体" w:hAnsi="宋体" w:cs="宋体" w:eastAsia="宋体" w:hint="default"/>
                <w:sz w:val="18"/>
                <w:szCs w:val="18"/>
              </w:rPr>
            </w:pPr>
            <w:r>
              <w:rPr>
                <w:rFonts w:ascii="宋体" w:hAnsi="宋体" w:cs="宋体" w:eastAsia="宋体" w:hint="default"/>
                <w:sz w:val="18"/>
                <w:szCs w:val="18"/>
              </w:rPr>
              <w:t>对子公司净 投资的其他 项目余额</w:t>
            </w:r>
          </w:p>
        </w:tc>
        <w:tc>
          <w:tcPr>
            <w:tcW w:w="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271" w:right="301"/>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298" w:hRule="exact"/>
        </w:trPr>
        <w:tc>
          <w:tcPr>
            <w:tcW w:w="2738"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100.00</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184" w:type="dxa"/>
            <w:gridSpan w:val="2"/>
            <w:tcBorders>
              <w:top w:val="single" w:sz="6" w:space="0" w:color="000000"/>
              <w:left w:val="single" w:sz="6" w:space="0" w:color="000000"/>
              <w:bottom w:val="single" w:sz="6" w:space="0" w:color="000000"/>
              <w:right w:val="single" w:sz="6" w:space="0" w:color="000000"/>
            </w:tcBorders>
          </w:tcPr>
          <w:p>
            <w:pPr/>
          </w:p>
        </w:tc>
        <w:tc>
          <w:tcPr>
            <w:tcW w:w="942"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right="3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0" w:hRule="exact"/>
        </w:trPr>
        <w:tc>
          <w:tcPr>
            <w:tcW w:w="2738"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100.00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100.00</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1184" w:type="dxa"/>
            <w:gridSpan w:val="2"/>
            <w:tcBorders>
              <w:top w:val="single" w:sz="6" w:space="0" w:color="000000"/>
              <w:left w:val="single" w:sz="6" w:space="0" w:color="000000"/>
              <w:bottom w:val="single" w:sz="6" w:space="0" w:color="000000"/>
              <w:right w:val="single" w:sz="6" w:space="0" w:color="000000"/>
            </w:tcBorders>
          </w:tcPr>
          <w:p>
            <w:pPr/>
          </w:p>
        </w:tc>
        <w:tc>
          <w:tcPr>
            <w:tcW w:w="942"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right="3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48" w:hRule="exact"/>
        </w:trPr>
        <w:tc>
          <w:tcPr>
            <w:tcW w:w="2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47" w:right="167"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1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34" w:right="0"/>
              <w:jc w:val="both"/>
              <w:rPr>
                <w:rFonts w:ascii="宋体" w:hAnsi="宋体" w:cs="宋体" w:eastAsia="宋体" w:hint="default"/>
                <w:sz w:val="18"/>
                <w:szCs w:val="18"/>
              </w:rPr>
            </w:pPr>
            <w:r>
              <w:rPr>
                <w:rFonts w:ascii="宋体" w:hAnsi="宋体" w:cs="宋体" w:eastAsia="宋体" w:hint="default"/>
                <w:sz w:val="18"/>
                <w:szCs w:val="18"/>
              </w:rPr>
              <w:t>少数股东权</w:t>
            </w:r>
          </w:p>
          <w:p>
            <w:pPr>
              <w:pStyle w:val="TableParagraph"/>
              <w:spacing w:line="237" w:lineRule="auto"/>
              <w:ind w:left="134" w:right="134"/>
              <w:jc w:val="both"/>
              <w:rPr>
                <w:rFonts w:ascii="宋体" w:hAnsi="宋体" w:cs="宋体" w:eastAsia="宋体" w:hint="default"/>
                <w:sz w:val="18"/>
                <w:szCs w:val="18"/>
              </w:rPr>
            </w:pPr>
            <w:r>
              <w:rPr>
                <w:rFonts w:ascii="宋体" w:hAnsi="宋体" w:cs="宋体" w:eastAsia="宋体" w:hint="default"/>
                <w:sz w:val="18"/>
                <w:szCs w:val="18"/>
              </w:rPr>
              <w:t>益中用于冲 减少数股东 损益的金额</w:t>
            </w:r>
          </w:p>
        </w:tc>
        <w:tc>
          <w:tcPr>
            <w:tcW w:w="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00" w:hRule="exact"/>
        </w:trPr>
        <w:tc>
          <w:tcPr>
            <w:tcW w:w="2738"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78918452</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c>
          <w:tcPr>
            <w:tcW w:w="758" w:type="dxa"/>
            <w:tcBorders>
              <w:top w:val="single" w:sz="6" w:space="0" w:color="000000"/>
              <w:left w:val="single" w:sz="6" w:space="0" w:color="000000"/>
              <w:bottom w:val="single" w:sz="6" w:space="0" w:color="000000"/>
              <w:right w:val="single" w:sz="6" w:space="0" w:color="000000"/>
            </w:tcBorders>
          </w:tcPr>
          <w:p>
            <w:pPr/>
          </w:p>
        </w:tc>
        <w:tc>
          <w:tcPr>
            <w:tcW w:w="1184" w:type="dxa"/>
            <w:gridSpan w:val="2"/>
            <w:tcBorders>
              <w:top w:val="single" w:sz="6" w:space="0" w:color="000000"/>
              <w:left w:val="single" w:sz="6" w:space="0" w:color="000000"/>
              <w:bottom w:val="single" w:sz="6" w:space="0" w:color="000000"/>
              <w:right w:val="single" w:sz="6" w:space="0" w:color="000000"/>
            </w:tcBorders>
          </w:tcPr>
          <w:p>
            <w:pPr/>
          </w:p>
        </w:tc>
        <w:tc>
          <w:tcPr>
            <w:tcW w:w="942"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2738" w:type="dxa"/>
            <w:tcBorders>
              <w:top w:val="single" w:sz="6" w:space="0" w:color="000000"/>
              <w:left w:val="nil" w:sz="6" w:space="0" w:color="auto"/>
              <w:bottom w:val="single" w:sz="12" w:space="0" w:color="000000"/>
              <w:right w:val="single" w:sz="6"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890"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2278" w:type="dxa"/>
            <w:tcBorders>
              <w:top w:val="single" w:sz="6" w:space="0" w:color="000000"/>
              <w:left w:val="single" w:sz="6" w:space="0" w:color="000000"/>
              <w:bottom w:val="single" w:sz="12" w:space="0" w:color="000000"/>
              <w:right w:val="single" w:sz="6" w:space="0" w:color="000000"/>
            </w:tcBorders>
          </w:tcPr>
          <w:p>
            <w:pPr>
              <w:pStyle w:val="TableParagraph"/>
              <w:spacing w:line="245"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56205714</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758" w:type="dxa"/>
            <w:tcBorders>
              <w:top w:val="single" w:sz="6" w:space="0" w:color="000000"/>
              <w:left w:val="single" w:sz="6" w:space="0" w:color="000000"/>
              <w:bottom w:val="single" w:sz="12" w:space="0" w:color="000000"/>
              <w:right w:val="single" w:sz="6" w:space="0" w:color="000000"/>
            </w:tcBorders>
          </w:tcPr>
          <w:p>
            <w:pPr/>
          </w:p>
        </w:tc>
        <w:tc>
          <w:tcPr>
            <w:tcW w:w="1184" w:type="dxa"/>
            <w:gridSpan w:val="2"/>
            <w:tcBorders>
              <w:top w:val="single" w:sz="6" w:space="0" w:color="000000"/>
              <w:left w:val="single" w:sz="6" w:space="0" w:color="000000"/>
              <w:bottom w:val="single" w:sz="12" w:space="0" w:color="000000"/>
              <w:right w:val="single" w:sz="6" w:space="0" w:color="000000"/>
            </w:tcBorders>
          </w:tcPr>
          <w:p>
            <w:pPr/>
          </w:p>
        </w:tc>
        <w:tc>
          <w:tcPr>
            <w:tcW w:w="942" w:type="dxa"/>
            <w:tcBorders>
              <w:top w:val="single" w:sz="6" w:space="0" w:color="000000"/>
              <w:left w:val="single" w:sz="6" w:space="0" w:color="000000"/>
              <w:bottom w:val="single" w:sz="12" w:space="0" w:color="000000"/>
              <w:right w:val="nil" w:sz="6" w:space="0" w:color="auto"/>
            </w:tcBorders>
          </w:tcPr>
          <w:p>
            <w:pPr/>
          </w:p>
        </w:tc>
      </w:tr>
    </w:tbl>
    <w:p>
      <w:pPr>
        <w:tabs>
          <w:tab w:pos="2140" w:val="left" w:leader="none"/>
        </w:tabs>
        <w:spacing w:line="427" w:lineRule="auto" w:before="42"/>
        <w:ind w:left="880" w:right="1827" w:firstLine="0"/>
        <w:jc w:val="left"/>
        <w:rPr>
          <w:rFonts w:ascii="宋体" w:hAnsi="宋体" w:cs="宋体" w:eastAsia="宋体" w:hint="default"/>
          <w:sz w:val="21"/>
          <w:szCs w:val="21"/>
        </w:rPr>
      </w:pPr>
      <w:r>
        <w:rPr>
          <w:rFonts w:ascii="宋体" w:hAnsi="宋体" w:cs="宋体" w:eastAsia="宋体" w:hint="default"/>
          <w:b/>
          <w:bCs/>
          <w:sz w:val="21"/>
          <w:szCs w:val="21"/>
        </w:rPr>
        <w:t>（二十八）</w:t>
        <w:tab/>
        <w:t>合并范围发生变更的说明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本期以现金形式投资设立全资子公司北京全路信通软件科技有限公司。</w:t>
      </w:r>
    </w:p>
    <w:p>
      <w:pPr>
        <w:pStyle w:val="Heading5"/>
        <w:tabs>
          <w:tab w:pos="2140" w:val="left" w:leader="none"/>
        </w:tabs>
        <w:spacing w:line="427" w:lineRule="auto" w:before="46"/>
        <w:ind w:left="873" w:right="4554" w:firstLine="7"/>
        <w:jc w:val="left"/>
        <w:rPr>
          <w:b w:val="0"/>
          <w:bCs w:val="0"/>
        </w:rPr>
      </w:pPr>
      <w:r>
        <w:rPr/>
        <w:t>（二十九）</w:t>
        <w:tab/>
      </w:r>
      <w:r>
        <w:rPr>
          <w:spacing w:val="-1"/>
        </w:rPr>
        <w:t>本期新纳入合并范围的主体</w:t>
      </w:r>
      <w:r>
        <w:rPr>
          <w:spacing w:val="-103"/>
        </w:rPr>
        <w:t> </w:t>
      </w:r>
      <w:r>
        <w:rPr>
          <w:spacing w:val="-103"/>
        </w:rPr>
      </w:r>
      <w:r>
        <w:rPr/>
        <w:t>本年新纳入合并范围的子公司</w:t>
      </w:r>
      <w:r>
        <w:rPr>
          <w:b w:val="0"/>
          <w:bCs w:val="0"/>
        </w:rPr>
      </w:r>
    </w:p>
    <w:tbl>
      <w:tblPr>
        <w:tblW w:w="0" w:type="auto"/>
        <w:jc w:val="left"/>
        <w:tblInd w:w="107" w:type="dxa"/>
        <w:tblLayout w:type="fixed"/>
        <w:tblCellMar>
          <w:top w:w="0" w:type="dxa"/>
          <w:left w:w="0" w:type="dxa"/>
          <w:bottom w:w="0" w:type="dxa"/>
          <w:right w:w="0" w:type="dxa"/>
        </w:tblCellMar>
        <w:tblLook w:val="01E0"/>
      </w:tblPr>
      <w:tblGrid>
        <w:gridCol w:w="3485"/>
        <w:gridCol w:w="2098"/>
        <w:gridCol w:w="1692"/>
        <w:gridCol w:w="1692"/>
      </w:tblGrid>
      <w:tr>
        <w:trPr>
          <w:trHeight w:val="362" w:hRule="exact"/>
        </w:trPr>
        <w:tc>
          <w:tcPr>
            <w:tcW w:w="348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0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16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389" w:right="0"/>
              <w:jc w:val="left"/>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62" w:hRule="exact"/>
        </w:trPr>
        <w:tc>
          <w:tcPr>
            <w:tcW w:w="348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20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本期新投资设立</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628" w:right="0"/>
              <w:jc w:val="left"/>
              <w:rPr>
                <w:rFonts w:ascii="Times New Roman" w:hAnsi="Times New Roman" w:cs="Times New Roman" w:eastAsia="Times New Roman" w:hint="default"/>
                <w:sz w:val="18"/>
                <w:szCs w:val="18"/>
              </w:rPr>
            </w:pPr>
            <w:r>
              <w:rPr>
                <w:rFonts w:ascii="Times New Roman"/>
                <w:sz w:val="18"/>
              </w:rPr>
              <w:t>4,972,367.63</w:t>
            </w:r>
          </w:p>
        </w:tc>
        <w:tc>
          <w:tcPr>
            <w:tcW w:w="16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799" w:right="0"/>
              <w:jc w:val="left"/>
              <w:rPr>
                <w:rFonts w:ascii="Times New Roman" w:hAnsi="Times New Roman" w:cs="Times New Roman" w:eastAsia="Times New Roman" w:hint="default"/>
                <w:sz w:val="18"/>
                <w:szCs w:val="18"/>
              </w:rPr>
            </w:pPr>
            <w:r>
              <w:rPr>
                <w:rFonts w:ascii="Times New Roman"/>
                <w:sz w:val="18"/>
              </w:rPr>
              <w:t>-27,632.37</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1186" w:top="1200" w:bottom="1380" w:left="1340" w:right="1340"/>
        </w:sectPr>
      </w:pPr>
    </w:p>
    <w:p>
      <w:pPr>
        <w:spacing w:line="240" w:lineRule="auto" w:before="7"/>
        <w:rPr>
          <w:rFonts w:ascii="宋体" w:hAnsi="宋体" w:cs="宋体" w:eastAsia="宋体" w:hint="default"/>
          <w:b/>
          <w:bCs/>
          <w:sz w:val="12"/>
          <w:szCs w:val="12"/>
        </w:rPr>
      </w:pPr>
    </w:p>
    <w:p>
      <w:pPr>
        <w:pStyle w:val="Heading4"/>
        <w:spacing w:line="240" w:lineRule="auto" w:before="26"/>
        <w:ind w:right="0"/>
        <w:jc w:val="left"/>
      </w:pPr>
      <w:r>
        <w:rPr/>
        <w:t>五、合并财务报表项目注释</w:t>
      </w:r>
    </w:p>
    <w:p>
      <w:pPr>
        <w:spacing w:line="240" w:lineRule="auto" w:before="0"/>
        <w:rPr>
          <w:rFonts w:ascii="黑体" w:hAnsi="黑体" w:cs="黑体" w:eastAsia="黑体" w:hint="default"/>
          <w:sz w:val="24"/>
          <w:szCs w:val="24"/>
        </w:rPr>
      </w:pPr>
    </w:p>
    <w:p>
      <w:pPr>
        <w:pStyle w:val="Heading5"/>
        <w:tabs>
          <w:tab w:pos="1660" w:val="left" w:leader="none"/>
        </w:tabs>
        <w:spacing w:line="240" w:lineRule="auto"/>
        <w:ind w:right="0"/>
        <w:jc w:val="left"/>
        <w:rPr>
          <w:b w:val="0"/>
          <w:bCs w:val="0"/>
        </w:rPr>
      </w:pPr>
      <w:r>
        <w:rPr/>
        <w:t>（一）</w:t>
        <w:tab/>
        <w:t>货币资金</w:t>
      </w:r>
      <w:r>
        <w:rPr>
          <w:b w:val="0"/>
          <w:bCs w:val="0"/>
        </w:rPr>
      </w:r>
    </w:p>
    <w:p>
      <w:pPr>
        <w:spacing w:line="240" w:lineRule="auto" w:before="11"/>
        <w:rPr>
          <w:rFonts w:ascii="宋体" w:hAnsi="宋体" w:cs="宋体" w:eastAsia="宋体" w:hint="default"/>
          <w:b/>
          <w:bCs/>
          <w:sz w:val="18"/>
          <w:szCs w:val="18"/>
        </w:rPr>
      </w:pPr>
    </w:p>
    <w:tbl>
      <w:tblPr>
        <w:tblW w:w="0" w:type="auto"/>
        <w:jc w:val="left"/>
        <w:tblInd w:w="102" w:type="dxa"/>
        <w:tblLayout w:type="fixed"/>
        <w:tblCellMar>
          <w:top w:w="0" w:type="dxa"/>
          <w:left w:w="0" w:type="dxa"/>
          <w:bottom w:w="0" w:type="dxa"/>
          <w:right w:w="0" w:type="dxa"/>
        </w:tblCellMar>
        <w:tblLook w:val="01E0"/>
      </w:tblPr>
      <w:tblGrid>
        <w:gridCol w:w="3099"/>
        <w:gridCol w:w="2880"/>
        <w:gridCol w:w="2880"/>
      </w:tblGrid>
      <w:tr>
        <w:trPr>
          <w:trHeight w:val="391" w:hRule="exact"/>
        </w:trPr>
        <w:tc>
          <w:tcPr>
            <w:tcW w:w="3099" w:type="dxa"/>
            <w:tcBorders>
              <w:top w:val="single" w:sz="12" w:space="0" w:color="000000"/>
              <w:left w:val="nil" w:sz="6" w:space="0" w:color="auto"/>
              <w:bottom w:val="single" w:sz="6" w:space="0" w:color="000000"/>
              <w:right w:val="single" w:sz="6" w:space="0" w:color="000000"/>
            </w:tcBorders>
          </w:tcPr>
          <w:p>
            <w:pPr>
              <w:pStyle w:val="TableParagraph"/>
              <w:tabs>
                <w:tab w:pos="453" w:val="left" w:leader="none"/>
              </w:tabs>
              <w:spacing w:line="240" w:lineRule="auto" w:before="39"/>
              <w:ind w:right="121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89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88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89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96"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706"/>
              <w:jc w:val="right"/>
              <w:rPr>
                <w:rFonts w:ascii="Times New Roman" w:hAnsi="Times New Roman" w:cs="Times New Roman" w:eastAsia="Times New Roman" w:hint="default"/>
                <w:sz w:val="18"/>
                <w:szCs w:val="18"/>
              </w:rPr>
            </w:pPr>
            <w:r>
              <w:rPr>
                <w:rFonts w:ascii="Times New Roman"/>
                <w:spacing w:val="-1"/>
                <w:sz w:val="18"/>
              </w:rPr>
              <w:t>241,221.83</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710"/>
              <w:jc w:val="right"/>
              <w:rPr>
                <w:rFonts w:ascii="Times New Roman" w:hAnsi="Times New Roman" w:cs="Times New Roman" w:eastAsia="Times New Roman" w:hint="default"/>
                <w:sz w:val="18"/>
                <w:szCs w:val="18"/>
              </w:rPr>
            </w:pPr>
            <w:r>
              <w:rPr>
                <w:rFonts w:ascii="Times New Roman"/>
                <w:spacing w:val="-1"/>
                <w:sz w:val="18"/>
              </w:rPr>
              <w:t>65,693.55</w:t>
            </w:r>
          </w:p>
        </w:tc>
      </w:tr>
      <w:tr>
        <w:trPr>
          <w:trHeight w:val="396"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706"/>
              <w:jc w:val="right"/>
              <w:rPr>
                <w:rFonts w:ascii="Times New Roman" w:hAnsi="Times New Roman" w:cs="Times New Roman" w:eastAsia="Times New Roman" w:hint="default"/>
                <w:sz w:val="18"/>
                <w:szCs w:val="18"/>
              </w:rPr>
            </w:pPr>
            <w:r>
              <w:rPr>
                <w:rFonts w:ascii="Times New Roman"/>
                <w:spacing w:val="-1"/>
                <w:sz w:val="18"/>
              </w:rPr>
              <w:t>374,494,003.94</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713"/>
              <w:jc w:val="right"/>
              <w:rPr>
                <w:rFonts w:ascii="Times New Roman" w:hAnsi="Times New Roman" w:cs="Times New Roman" w:eastAsia="Times New Roman" w:hint="default"/>
                <w:sz w:val="18"/>
                <w:szCs w:val="18"/>
              </w:rPr>
            </w:pPr>
            <w:r>
              <w:rPr>
                <w:rFonts w:ascii="Times New Roman"/>
                <w:spacing w:val="-1"/>
                <w:sz w:val="18"/>
              </w:rPr>
              <w:t>446,279,910.00</w:t>
            </w:r>
          </w:p>
        </w:tc>
      </w:tr>
      <w:tr>
        <w:trPr>
          <w:trHeight w:val="398"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703"/>
              <w:jc w:val="right"/>
              <w:rPr>
                <w:rFonts w:ascii="Times New Roman" w:hAnsi="Times New Roman" w:cs="Times New Roman" w:eastAsia="Times New Roman" w:hint="default"/>
                <w:sz w:val="18"/>
                <w:szCs w:val="18"/>
              </w:rPr>
            </w:pPr>
            <w:r>
              <w:rPr>
                <w:rFonts w:ascii="Times New Roman"/>
                <w:spacing w:val="-1"/>
                <w:sz w:val="18"/>
              </w:rPr>
              <w:t>18,532,382.51</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711"/>
              <w:jc w:val="right"/>
              <w:rPr>
                <w:rFonts w:ascii="Times New Roman" w:hAnsi="Times New Roman" w:cs="Times New Roman" w:eastAsia="Times New Roman" w:hint="default"/>
                <w:sz w:val="18"/>
                <w:szCs w:val="18"/>
              </w:rPr>
            </w:pPr>
            <w:r>
              <w:rPr>
                <w:rFonts w:ascii="Times New Roman"/>
                <w:spacing w:val="-1"/>
                <w:sz w:val="18"/>
              </w:rPr>
              <w:t>12,612,436.18</w:t>
            </w:r>
          </w:p>
        </w:tc>
      </w:tr>
      <w:tr>
        <w:trPr>
          <w:trHeight w:val="406" w:hRule="exact"/>
        </w:trPr>
        <w:tc>
          <w:tcPr>
            <w:tcW w:w="3099" w:type="dxa"/>
            <w:tcBorders>
              <w:top w:val="single" w:sz="6" w:space="0" w:color="000000"/>
              <w:left w:val="nil" w:sz="6" w:space="0" w:color="auto"/>
              <w:bottom w:val="single" w:sz="12" w:space="0" w:color="000000"/>
              <w:right w:val="single" w:sz="6" w:space="0" w:color="000000"/>
            </w:tcBorders>
          </w:tcPr>
          <w:p>
            <w:pPr>
              <w:pStyle w:val="TableParagraph"/>
              <w:tabs>
                <w:tab w:pos="453" w:val="left" w:leader="none"/>
              </w:tabs>
              <w:spacing w:line="240" w:lineRule="auto" w:before="44"/>
              <w:ind w:right="121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706"/>
              <w:jc w:val="right"/>
              <w:rPr>
                <w:rFonts w:ascii="Times New Roman" w:hAnsi="Times New Roman" w:cs="Times New Roman" w:eastAsia="Times New Roman" w:hint="default"/>
                <w:sz w:val="18"/>
                <w:szCs w:val="18"/>
              </w:rPr>
            </w:pPr>
            <w:r>
              <w:rPr>
                <w:rFonts w:ascii="Times New Roman"/>
                <w:spacing w:val="-1"/>
                <w:sz w:val="18"/>
              </w:rPr>
              <w:t>393,267,608.28</w:t>
            </w:r>
          </w:p>
        </w:tc>
        <w:tc>
          <w:tcPr>
            <w:tcW w:w="2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713"/>
              <w:jc w:val="right"/>
              <w:rPr>
                <w:rFonts w:ascii="Times New Roman" w:hAnsi="Times New Roman" w:cs="Times New Roman" w:eastAsia="Times New Roman" w:hint="default"/>
                <w:sz w:val="18"/>
                <w:szCs w:val="18"/>
              </w:rPr>
            </w:pPr>
            <w:r>
              <w:rPr>
                <w:rFonts w:ascii="Times New Roman"/>
                <w:spacing w:val="-1"/>
                <w:sz w:val="18"/>
              </w:rPr>
              <w:t>458,958,039.73</w:t>
            </w:r>
          </w:p>
        </w:tc>
      </w:tr>
    </w:tbl>
    <w:p>
      <w:pPr>
        <w:pStyle w:val="BodyText"/>
        <w:spacing w:line="240" w:lineRule="auto" w:before="42"/>
        <w:ind w:left="820" w:right="0"/>
        <w:jc w:val="left"/>
      </w:pPr>
      <w:r>
        <w:rPr/>
        <w:t>年初其他货币资金中有 </w:t>
      </w:r>
      <w:r>
        <w:rPr>
          <w:rFonts w:ascii="Times New Roman" w:hAnsi="Times New Roman" w:cs="Times New Roman" w:eastAsia="Times New Roman" w:hint="default"/>
        </w:rPr>
        <w:t>6,710,103.13</w:t>
      </w:r>
      <w:r>
        <w:rPr>
          <w:rFonts w:ascii="Times New Roman" w:hAnsi="Times New Roman" w:cs="Times New Roman" w:eastAsia="Times New Roman" w:hint="default"/>
          <w:spacing w:val="-15"/>
        </w:rPr>
        <w:t> </w:t>
      </w:r>
      <w:r>
        <w:rPr>
          <w:spacing w:val="-4"/>
        </w:rPr>
        <w:t>元保函保证金，使用受限制，不包含在现金及现金</w:t>
      </w:r>
    </w:p>
    <w:p>
      <w:pPr>
        <w:pStyle w:val="BodyText"/>
        <w:spacing w:line="336" w:lineRule="auto" w:before="119"/>
        <w:ind w:left="400" w:right="386"/>
        <w:jc w:val="left"/>
      </w:pPr>
      <w:r>
        <w:rPr/>
        <w:t>等价物中；年末其他货币资金中有 </w:t>
      </w:r>
      <w:r>
        <w:rPr>
          <w:rFonts w:ascii="Times New Roman" w:hAnsi="Times New Roman" w:cs="Times New Roman" w:eastAsia="Times New Roman" w:hint="default"/>
        </w:rPr>
        <w:t>13,683,721.98</w:t>
      </w:r>
      <w:r>
        <w:rPr>
          <w:rFonts w:ascii="Times New Roman" w:hAnsi="Times New Roman" w:cs="Times New Roman" w:eastAsia="Times New Roman" w:hint="default"/>
          <w:spacing w:val="5"/>
        </w:rPr>
        <w:t> </w:t>
      </w:r>
      <w:r>
        <w:rPr/>
        <w:t>元保函保证金，使用受限制，不包含在现</w:t>
      </w:r>
      <w:r>
        <w:rPr>
          <w:w w:val="100"/>
        </w:rPr>
        <w:t> </w:t>
      </w:r>
      <w:r>
        <w:rPr/>
        <w:t>金及现金等价物中。</w:t>
      </w:r>
    </w:p>
    <w:p>
      <w:pPr>
        <w:pStyle w:val="Heading5"/>
        <w:tabs>
          <w:tab w:pos="1660" w:val="left" w:leader="none"/>
        </w:tabs>
        <w:spacing w:line="240" w:lineRule="auto" w:before="126"/>
        <w:ind w:right="0"/>
        <w:jc w:val="left"/>
        <w:rPr>
          <w:b w:val="0"/>
          <w:bCs w:val="0"/>
        </w:rPr>
      </w:pPr>
      <w:r>
        <w:rPr/>
        <w:t>（二）</w:t>
        <w:tab/>
        <w:t>应收票据</w:t>
      </w:r>
      <w:r>
        <w:rPr>
          <w:b w:val="0"/>
          <w:bCs w:val="0"/>
        </w:rPr>
      </w:r>
    </w:p>
    <w:p>
      <w:pPr>
        <w:spacing w:line="240" w:lineRule="auto" w:before="3"/>
        <w:rPr>
          <w:rFonts w:ascii="宋体" w:hAnsi="宋体" w:cs="宋体" w:eastAsia="宋体" w:hint="default"/>
          <w:b/>
          <w:bCs/>
          <w:sz w:val="16"/>
          <w:szCs w:val="16"/>
        </w:rPr>
      </w:pPr>
    </w:p>
    <w:p>
      <w:pPr>
        <w:pStyle w:val="BodyText"/>
        <w:spacing w:line="240" w:lineRule="auto"/>
        <w:ind w:left="820" w:right="0"/>
        <w:jc w:val="left"/>
      </w:pPr>
      <w:r>
        <w:rPr/>
        <w:t>（</w:t>
      </w:r>
      <w:r>
        <w:rPr>
          <w:rFonts w:ascii="Times New Roman" w:hAnsi="Times New Roman" w:cs="Times New Roman" w:eastAsia="Times New Roman" w:hint="default"/>
        </w:rPr>
        <w:t>1</w:t>
      </w:r>
      <w:r>
        <w:rPr/>
        <w:t>）应收票据分类</w:t>
      </w:r>
    </w:p>
    <w:p>
      <w:pPr>
        <w:spacing w:line="240" w:lineRule="auto" w:before="11"/>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2962"/>
        <w:gridCol w:w="2950"/>
        <w:gridCol w:w="2948"/>
      </w:tblGrid>
      <w:tr>
        <w:trPr>
          <w:trHeight w:val="362"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1193"/>
              <w:jc w:val="righ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294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4,149,250.00</w:t>
            </w:r>
          </w:p>
        </w:tc>
        <w:tc>
          <w:tcPr>
            <w:tcW w:w="29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2,421,368.70</w:t>
            </w:r>
          </w:p>
        </w:tc>
      </w:tr>
      <w:tr>
        <w:trPr>
          <w:trHeight w:val="355" w:hRule="exact"/>
        </w:trPr>
        <w:tc>
          <w:tcPr>
            <w:tcW w:w="29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50"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1193"/>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4,149,250.00</w:t>
            </w:r>
          </w:p>
        </w:tc>
        <w:tc>
          <w:tcPr>
            <w:tcW w:w="29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2,421,368.70</w:t>
            </w:r>
          </w:p>
        </w:tc>
      </w:tr>
    </w:tbl>
    <w:p>
      <w:pPr>
        <w:spacing w:line="240" w:lineRule="auto" w:before="7"/>
        <w:rPr>
          <w:rFonts w:ascii="宋体" w:hAnsi="宋体" w:cs="宋体" w:eastAsia="宋体" w:hint="default"/>
          <w:sz w:val="6"/>
          <w:szCs w:val="6"/>
        </w:rPr>
      </w:pPr>
    </w:p>
    <w:p>
      <w:pPr>
        <w:pStyle w:val="BodyText"/>
        <w:spacing w:line="240" w:lineRule="auto" w:before="36"/>
        <w:ind w:left="820" w:right="0"/>
        <w:jc w:val="left"/>
      </w:pPr>
      <w:r>
        <w:rPr/>
        <w:t>（</w:t>
      </w:r>
      <w:r>
        <w:rPr>
          <w:rFonts w:ascii="Times New Roman" w:hAnsi="Times New Roman" w:cs="Times New Roman" w:eastAsia="Times New Roman" w:hint="default"/>
        </w:rPr>
        <w:t>2</w:t>
      </w:r>
      <w:r>
        <w:rPr/>
        <w:t>）年末无已质押、已背书未到期的应收票据。</w:t>
      </w:r>
    </w:p>
    <w:p>
      <w:pPr>
        <w:pStyle w:val="Heading5"/>
        <w:tabs>
          <w:tab w:pos="1660" w:val="left" w:leader="none"/>
        </w:tabs>
        <w:spacing w:line="240" w:lineRule="auto" w:before="177"/>
        <w:ind w:right="0"/>
        <w:jc w:val="left"/>
        <w:rPr>
          <w:b w:val="0"/>
          <w:bCs w:val="0"/>
        </w:rPr>
      </w:pPr>
      <w:r>
        <w:rPr/>
        <w:t>（三）</w:t>
        <w:tab/>
        <w:t>应收账款</w:t>
      </w:r>
      <w:r>
        <w:rPr>
          <w:b w:val="0"/>
          <w:bCs w:val="0"/>
        </w:rPr>
      </w:r>
    </w:p>
    <w:p>
      <w:pPr>
        <w:spacing w:line="240" w:lineRule="auto" w:before="3"/>
        <w:rPr>
          <w:rFonts w:ascii="宋体" w:hAnsi="宋体" w:cs="宋体" w:eastAsia="宋体" w:hint="default"/>
          <w:b/>
          <w:bCs/>
          <w:sz w:val="16"/>
          <w:szCs w:val="16"/>
        </w:rPr>
      </w:pPr>
    </w:p>
    <w:p>
      <w:pPr>
        <w:pStyle w:val="BodyText"/>
        <w:spacing w:line="240" w:lineRule="auto"/>
        <w:ind w:left="820" w:right="0"/>
        <w:jc w:val="left"/>
      </w:pPr>
      <w:r>
        <w:rPr/>
        <w:t>（</w:t>
      </w:r>
      <w:r>
        <w:rPr>
          <w:rFonts w:ascii="Times New Roman" w:hAnsi="Times New Roman" w:cs="Times New Roman" w:eastAsia="Times New Roman" w:hint="default"/>
        </w:rPr>
        <w:t>1</w:t>
      </w:r>
      <w:r>
        <w:rPr/>
        <w:t>）应收账款按类别列示如下：</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737"/>
        <w:gridCol w:w="1567"/>
        <w:gridCol w:w="934"/>
        <w:gridCol w:w="1362"/>
        <w:gridCol w:w="794"/>
        <w:gridCol w:w="1466"/>
      </w:tblGrid>
      <w:tr>
        <w:trPr>
          <w:trHeight w:val="365" w:hRule="exact"/>
        </w:trPr>
        <w:tc>
          <w:tcPr>
            <w:tcW w:w="273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23"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737" w:type="dxa"/>
            <w:vMerge/>
            <w:tcBorders>
              <w:left w:val="nil" w:sz="6" w:space="0" w:color="auto"/>
              <w:right w:val="single" w:sz="6" w:space="0" w:color="000000"/>
            </w:tcBorders>
          </w:tcPr>
          <w:p>
            <w:pPr/>
          </w:p>
        </w:tc>
        <w:tc>
          <w:tcPr>
            <w:tcW w:w="2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1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vMerge w:val="restart"/>
            <w:tcBorders>
              <w:top w:val="single" w:sz="6" w:space="0" w:color="000000"/>
              <w:left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0" w:hRule="exact"/>
        </w:trPr>
        <w:tc>
          <w:tcPr>
            <w:tcW w:w="2737" w:type="dxa"/>
            <w:vMerge/>
            <w:tcBorders>
              <w:left w:val="nil" w:sz="6" w:space="0" w:color="auto"/>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例</w:t>
            </w:r>
          </w:p>
        </w:tc>
        <w:tc>
          <w:tcPr>
            <w:tcW w:w="1466" w:type="dxa"/>
            <w:vMerge/>
            <w:tcBorders>
              <w:left w:val="single" w:sz="6" w:space="0" w:color="000000"/>
              <w:bottom w:val="single" w:sz="6" w:space="0" w:color="000000"/>
              <w:right w:val="nil" w:sz="6" w:space="0" w:color="auto"/>
            </w:tcBorders>
          </w:tcPr>
          <w:p>
            <w:pPr/>
          </w:p>
        </w:tc>
      </w:tr>
      <w:tr>
        <w:trPr>
          <w:trHeight w:val="482"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单项金额重大并单项计提坏账</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按组合计提坏账准备的应收账</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169,886,255.00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72" w:right="0"/>
              <w:jc w:val="center"/>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12,104,211.09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7.12%</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157,782,043.91</w:t>
            </w:r>
          </w:p>
        </w:tc>
      </w:tr>
      <w:tr>
        <w:trPr>
          <w:trHeight w:val="482"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单项金额虽不重大但单项计提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169,886,255.00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2" w:right="0"/>
              <w:jc w:val="center"/>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12,104,211.09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7.12%</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157,782,043.91</w:t>
            </w:r>
          </w:p>
        </w:tc>
      </w:tr>
      <w:tr>
        <w:trPr>
          <w:trHeight w:val="356" w:hRule="exact"/>
        </w:trPr>
        <w:tc>
          <w:tcPr>
            <w:tcW w:w="2737"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23"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3" w:hRule="exact"/>
        </w:trPr>
        <w:tc>
          <w:tcPr>
            <w:tcW w:w="2737" w:type="dxa"/>
            <w:vMerge/>
            <w:tcBorders>
              <w:left w:val="nil" w:sz="6" w:space="0" w:color="auto"/>
              <w:right w:val="single" w:sz="6" w:space="0" w:color="000000"/>
            </w:tcBorders>
          </w:tcPr>
          <w:p>
            <w:pPr/>
          </w:p>
        </w:tc>
        <w:tc>
          <w:tcPr>
            <w:tcW w:w="2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1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vMerge w:val="restart"/>
            <w:tcBorders>
              <w:top w:val="single" w:sz="6" w:space="0" w:color="000000"/>
              <w:left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2" w:hRule="exact"/>
        </w:trPr>
        <w:tc>
          <w:tcPr>
            <w:tcW w:w="2737" w:type="dxa"/>
            <w:vMerge/>
            <w:tcBorders>
              <w:left w:val="nil" w:sz="6" w:space="0" w:color="auto"/>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466" w:type="dxa"/>
            <w:vMerge/>
            <w:tcBorders>
              <w:left w:val="single" w:sz="6" w:space="0" w:color="000000"/>
              <w:bottom w:val="single" w:sz="6" w:space="0" w:color="000000"/>
              <w:right w:val="nil" w:sz="6" w:space="0" w:color="auto"/>
            </w:tcBorders>
          </w:tcPr>
          <w:p>
            <w:pPr/>
          </w:p>
        </w:tc>
      </w:tr>
      <w:tr>
        <w:trPr>
          <w:trHeight w:val="482"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单项金额重大并单项计提坏账</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90" w:hRule="exact"/>
        </w:trPr>
        <w:tc>
          <w:tcPr>
            <w:tcW w:w="2737"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按组合计提坏账准备的应收账</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102,228,741.71</w:t>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left="72" w:right="0"/>
              <w:jc w:val="center"/>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pacing w:val="-1"/>
                <w:sz w:val="18"/>
              </w:rPr>
              <w:t>6,893,286.43</w:t>
            </w:r>
          </w:p>
        </w:tc>
        <w:tc>
          <w:tcPr>
            <w:tcW w:w="7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6.74%</w:t>
            </w:r>
          </w:p>
        </w:tc>
        <w:tc>
          <w:tcPr>
            <w:tcW w:w="14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95,335,455.28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1186" w:top="1200" w:bottom="1380" w:left="1400" w:right="1400"/>
        </w:sectPr>
      </w:pPr>
    </w:p>
    <w:p>
      <w:pPr>
        <w:spacing w:line="240" w:lineRule="auto" w:before="7"/>
        <w:rPr>
          <w:rFonts w:ascii="宋体" w:hAnsi="宋体" w:cs="宋体" w:eastAsia="宋体" w:hint="default"/>
          <w:sz w:val="17"/>
          <w:szCs w:val="17"/>
        </w:rPr>
      </w:pPr>
    </w:p>
    <w:tbl>
      <w:tblPr>
        <w:tblW w:w="0" w:type="auto"/>
        <w:jc w:val="left"/>
        <w:tblInd w:w="222" w:type="dxa"/>
        <w:tblLayout w:type="fixed"/>
        <w:tblCellMar>
          <w:top w:w="0" w:type="dxa"/>
          <w:left w:w="0" w:type="dxa"/>
          <w:bottom w:w="0" w:type="dxa"/>
          <w:right w:w="0" w:type="dxa"/>
        </w:tblCellMar>
        <w:tblLook w:val="01E0"/>
      </w:tblPr>
      <w:tblGrid>
        <w:gridCol w:w="2737"/>
        <w:gridCol w:w="1567"/>
        <w:gridCol w:w="934"/>
        <w:gridCol w:w="1366"/>
        <w:gridCol w:w="790"/>
        <w:gridCol w:w="1466"/>
      </w:tblGrid>
      <w:tr>
        <w:trPr>
          <w:trHeight w:val="490" w:hRule="exact"/>
        </w:trPr>
        <w:tc>
          <w:tcPr>
            <w:tcW w:w="2737" w:type="dxa"/>
            <w:tcBorders>
              <w:top w:val="single" w:sz="12"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单项金额虽不重大但单项计提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567" w:type="dxa"/>
            <w:tcBorders>
              <w:top w:val="single" w:sz="12" w:space="0" w:color="000000"/>
              <w:left w:val="single" w:sz="6" w:space="0" w:color="000000"/>
              <w:bottom w:val="single" w:sz="6" w:space="0" w:color="000000"/>
              <w:right w:val="single" w:sz="6" w:space="0" w:color="000000"/>
            </w:tcBorders>
          </w:tcPr>
          <w:p>
            <w:pPr/>
          </w:p>
        </w:tc>
        <w:tc>
          <w:tcPr>
            <w:tcW w:w="934" w:type="dxa"/>
            <w:tcBorders>
              <w:top w:val="single" w:sz="12" w:space="0" w:color="000000"/>
              <w:left w:val="single" w:sz="6" w:space="0" w:color="000000"/>
              <w:bottom w:val="single" w:sz="6" w:space="0" w:color="000000"/>
              <w:right w:val="single" w:sz="6" w:space="0" w:color="000000"/>
            </w:tcBorders>
          </w:tcPr>
          <w:p>
            <w:pPr/>
          </w:p>
        </w:tc>
        <w:tc>
          <w:tcPr>
            <w:tcW w:w="1366" w:type="dxa"/>
            <w:tcBorders>
              <w:top w:val="single" w:sz="12" w:space="0" w:color="000000"/>
              <w:left w:val="single" w:sz="6" w:space="0" w:color="000000"/>
              <w:bottom w:val="single" w:sz="6" w:space="0" w:color="000000"/>
              <w:right w:val="single" w:sz="6" w:space="0" w:color="000000"/>
            </w:tcBorders>
          </w:tcPr>
          <w:p>
            <w:pPr/>
          </w:p>
        </w:tc>
        <w:tc>
          <w:tcPr>
            <w:tcW w:w="790" w:type="dxa"/>
            <w:tcBorders>
              <w:top w:val="single" w:sz="12" w:space="0" w:color="000000"/>
              <w:left w:val="single" w:sz="6" w:space="0" w:color="000000"/>
              <w:bottom w:val="single" w:sz="6" w:space="0" w:color="000000"/>
              <w:right w:val="single" w:sz="6" w:space="0" w:color="000000"/>
            </w:tcBorders>
          </w:tcPr>
          <w:p>
            <w:pPr/>
          </w:p>
        </w:tc>
        <w:tc>
          <w:tcPr>
            <w:tcW w:w="1466" w:type="dxa"/>
            <w:tcBorders>
              <w:top w:val="single" w:sz="12" w:space="0" w:color="000000"/>
              <w:left w:val="single" w:sz="6" w:space="0" w:color="000000"/>
              <w:bottom w:val="single" w:sz="6" w:space="0" w:color="000000"/>
              <w:right w:val="nil" w:sz="6" w:space="0" w:color="auto"/>
            </w:tcBorders>
          </w:tcPr>
          <w:p>
            <w:pPr/>
          </w:p>
        </w:tc>
      </w:tr>
      <w:tr>
        <w:trPr>
          <w:trHeight w:val="362" w:hRule="exact"/>
        </w:trPr>
        <w:tc>
          <w:tcPr>
            <w:tcW w:w="273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26" w:right="0"/>
              <w:jc w:val="left"/>
              <w:rPr>
                <w:rFonts w:ascii="Times New Roman" w:hAnsi="Times New Roman" w:cs="Times New Roman" w:eastAsia="Times New Roman" w:hint="default"/>
                <w:sz w:val="18"/>
                <w:szCs w:val="18"/>
              </w:rPr>
            </w:pPr>
            <w:r>
              <w:rPr>
                <w:rFonts w:ascii="Times New Roman"/>
                <w:sz w:val="18"/>
              </w:rPr>
              <w:t>102,228,741.71</w:t>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72"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04" w:right="0"/>
              <w:jc w:val="left"/>
              <w:rPr>
                <w:rFonts w:ascii="Times New Roman" w:hAnsi="Times New Roman" w:cs="Times New Roman" w:eastAsia="Times New Roman" w:hint="default"/>
                <w:sz w:val="18"/>
                <w:szCs w:val="18"/>
              </w:rPr>
            </w:pPr>
            <w:r>
              <w:rPr>
                <w:rFonts w:ascii="Times New Roman"/>
                <w:sz w:val="18"/>
              </w:rPr>
              <w:t>6,893,286.43</w:t>
            </w:r>
          </w:p>
        </w:tc>
        <w:tc>
          <w:tcPr>
            <w:tcW w:w="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08" w:right="0"/>
              <w:jc w:val="left"/>
              <w:rPr>
                <w:rFonts w:ascii="Times New Roman" w:hAnsi="Times New Roman" w:cs="Times New Roman" w:eastAsia="Times New Roman" w:hint="default"/>
                <w:sz w:val="18"/>
                <w:szCs w:val="18"/>
              </w:rPr>
            </w:pPr>
            <w:r>
              <w:rPr>
                <w:rFonts w:ascii="Times New Roman"/>
                <w:sz w:val="18"/>
              </w:rPr>
              <w:t>6.74%</w:t>
            </w:r>
          </w:p>
        </w:tc>
        <w:tc>
          <w:tcPr>
            <w:tcW w:w="14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95,335,455.28</w:t>
            </w:r>
          </w:p>
        </w:tc>
      </w:tr>
    </w:tbl>
    <w:p>
      <w:pPr>
        <w:pStyle w:val="BodyText"/>
        <w:spacing w:line="257" w:lineRule="exact"/>
        <w:ind w:left="520" w:right="0"/>
        <w:jc w:val="left"/>
      </w:pPr>
      <w:r>
        <w:rPr/>
        <w:t>注：单项金额超过</w:t>
      </w:r>
      <w:r>
        <w:rPr>
          <w:spacing w:val="-5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4"/>
        </w:rPr>
        <w:t> </w:t>
      </w:r>
      <w:r>
        <w:rPr/>
        <w:t>万元的应收账款确认为单项金额重大的应收账款。</w:t>
      </w:r>
    </w:p>
    <w:p>
      <w:pPr>
        <w:pStyle w:val="BodyText"/>
        <w:spacing w:line="240" w:lineRule="auto" w:before="119"/>
        <w:ind w:left="940" w:right="0"/>
        <w:jc w:val="left"/>
      </w:pPr>
      <w:r>
        <w:rPr/>
        <w:t>（</w:t>
      </w:r>
      <w:r>
        <w:rPr>
          <w:rFonts w:ascii="Times New Roman" w:hAnsi="Times New Roman" w:cs="Times New Roman" w:eastAsia="Times New Roman" w:hint="default"/>
        </w:rPr>
        <w:t>2</w:t>
      </w:r>
      <w:r>
        <w:rPr/>
        <w:t>）组合中，按账龄分析法计提坏账准备的应收账款：</w:t>
      </w:r>
    </w:p>
    <w:p>
      <w:pPr>
        <w:spacing w:line="240" w:lineRule="auto" w:before="7"/>
        <w:rPr>
          <w:rFonts w:ascii="宋体" w:hAnsi="宋体" w:cs="宋体" w:eastAsia="宋体" w:hint="default"/>
          <w:sz w:val="11"/>
          <w:szCs w:val="11"/>
        </w:rPr>
      </w:pPr>
    </w:p>
    <w:tbl>
      <w:tblPr>
        <w:tblW w:w="0" w:type="auto"/>
        <w:jc w:val="left"/>
        <w:tblInd w:w="22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89"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98"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129,922,986.10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z w:val="18"/>
              </w:rPr>
              <w:t>76.48%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6,496,149.31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123,426,836.79</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33,057,413.94</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19.46%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3,305,741.39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29,751,672.55</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6,461,453.96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3.80%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1,938,436.19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4,523,017.77</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139,292.00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0.08%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83,575.20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55,716.80</w:t>
            </w:r>
          </w:p>
        </w:tc>
      </w:tr>
      <w:tr>
        <w:trPr>
          <w:trHeight w:val="3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124,000.00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0.07%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99,200.00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24,800.00</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181,109.00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2"/>
                <w:sz w:val="18"/>
              </w:rPr>
              <w:t>0.11%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181,109.00</w:t>
            </w: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tabs>
                <w:tab w:pos="419" w:val="left" w:leader="none"/>
              </w:tabs>
              <w:spacing w:line="240" w:lineRule="auto" w:before="28"/>
              <w:ind w:left="19"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169,886,255.00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12,104,211.09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18"/>
                <w:szCs w:val="18"/>
              </w:rPr>
            </w:pPr>
            <w:r>
              <w:rPr>
                <w:rFonts w:ascii="Times New Roman"/>
                <w:spacing w:val="-1"/>
                <w:sz w:val="18"/>
              </w:rPr>
              <w:t>157,782,043.91</w:t>
            </w:r>
          </w:p>
        </w:tc>
      </w:tr>
      <w:tr>
        <w:trPr>
          <w:trHeight w:val="396"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96"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74,672,646.78</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73.04%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3,733,632.34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70,939,014.44</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26,690,753.42</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Times New Roman" w:hAnsi="Times New Roman" w:cs="Times New Roman" w:eastAsia="Times New Roman" w:hint="default"/>
                <w:sz w:val="18"/>
                <w:szCs w:val="18"/>
              </w:rPr>
            </w:pPr>
            <w:r>
              <w:rPr>
                <w:rFonts w:ascii="Times New Roman"/>
                <w:spacing w:val="-1"/>
                <w:sz w:val="18"/>
              </w:rPr>
              <w:t>26.11%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2,669,075.34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24,021,678.08</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430,232.51</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0.42%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129,069.75</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301,162.76</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184,000.00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0.18%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2"/>
                <w:sz w:val="18"/>
              </w:rPr>
              <w:t>110,400.00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73,600.00</w:t>
            </w:r>
          </w:p>
        </w:tc>
      </w:tr>
      <w:tr>
        <w:trPr>
          <w:trHeight w:val="3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251,109.00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0.25%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251,109.00</w:t>
            </w: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19"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102,228,741.71</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6,893,286.43</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95,335,455.28</w:t>
            </w:r>
          </w:p>
        </w:tc>
      </w:tr>
    </w:tbl>
    <w:p>
      <w:pPr>
        <w:spacing w:line="240" w:lineRule="auto" w:before="7"/>
        <w:rPr>
          <w:rFonts w:ascii="宋体" w:hAnsi="宋体" w:cs="宋体" w:eastAsia="宋体" w:hint="default"/>
          <w:sz w:val="6"/>
          <w:szCs w:val="6"/>
        </w:rPr>
      </w:pPr>
    </w:p>
    <w:p>
      <w:pPr>
        <w:pStyle w:val="BodyText"/>
        <w:spacing w:line="240" w:lineRule="auto" w:before="36"/>
        <w:ind w:left="940" w:right="0"/>
        <w:jc w:val="left"/>
      </w:pPr>
      <w:r>
        <w:rPr/>
        <w:t>（</w:t>
      </w:r>
      <w:r>
        <w:rPr>
          <w:rFonts w:ascii="Times New Roman" w:hAnsi="Times New Roman" w:cs="Times New Roman" w:eastAsia="Times New Roman" w:hint="default"/>
        </w:rPr>
        <w:t>3</w:t>
      </w:r>
      <w:r>
        <w:rPr/>
        <w:t>）本年度无核销的应收账款。</w:t>
      </w:r>
    </w:p>
    <w:p>
      <w:pPr>
        <w:spacing w:line="240" w:lineRule="auto" w:before="12"/>
        <w:rPr>
          <w:rFonts w:ascii="宋体" w:hAnsi="宋体" w:cs="宋体" w:eastAsia="宋体" w:hint="default"/>
          <w:sz w:val="20"/>
          <w:szCs w:val="20"/>
        </w:rPr>
      </w:pPr>
    </w:p>
    <w:p>
      <w:pPr>
        <w:pStyle w:val="BodyText"/>
        <w:spacing w:line="240" w:lineRule="auto"/>
        <w:ind w:left="940" w:right="0"/>
        <w:jc w:val="left"/>
      </w:pPr>
      <w:r>
        <w:rPr/>
        <w:t>（</w:t>
      </w:r>
      <w:r>
        <w:rPr>
          <w:rFonts w:ascii="Times New Roman" w:hAnsi="Times New Roman" w:cs="Times New Roman" w:eastAsia="Times New Roman" w:hint="default"/>
        </w:rPr>
        <w:t>4</w:t>
      </w:r>
      <w:r>
        <w:rPr/>
        <w:t>）年末应收账款前五名单位列示如下：</w:t>
      </w:r>
    </w:p>
    <w:p>
      <w:pPr>
        <w:spacing w:line="240" w:lineRule="auto" w:before="7"/>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3512"/>
        <w:gridCol w:w="1200"/>
        <w:gridCol w:w="1532"/>
        <w:gridCol w:w="1080"/>
        <w:gridCol w:w="1752"/>
      </w:tblGrid>
      <w:tr>
        <w:trPr>
          <w:trHeight w:val="490" w:hRule="exact"/>
        </w:trPr>
        <w:tc>
          <w:tcPr>
            <w:tcW w:w="35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00"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15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5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52" w:type="dxa"/>
            <w:tcBorders>
              <w:top w:val="single" w:sz="12" w:space="0" w:color="000000"/>
              <w:left w:val="single" w:sz="6" w:space="0" w:color="000000"/>
              <w:bottom w:val="single" w:sz="6" w:space="0" w:color="000000"/>
              <w:right w:val="nil" w:sz="6" w:space="0" w:color="auto"/>
            </w:tcBorders>
          </w:tcPr>
          <w:p>
            <w:pPr>
              <w:pStyle w:val="TableParagraph"/>
              <w:spacing w:line="206" w:lineRule="exact"/>
              <w:ind w:right="4"/>
              <w:jc w:val="center"/>
              <w:rPr>
                <w:rFonts w:ascii="宋体" w:hAnsi="宋体" w:cs="宋体" w:eastAsia="宋体" w:hint="default"/>
                <w:sz w:val="18"/>
                <w:szCs w:val="18"/>
              </w:rPr>
            </w:pPr>
            <w:r>
              <w:rPr>
                <w:rFonts w:ascii="宋体" w:hAnsi="宋体" w:cs="宋体" w:eastAsia="宋体" w:hint="default"/>
                <w:sz w:val="18"/>
                <w:szCs w:val="18"/>
              </w:rPr>
              <w:t>占应收账款总额的</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13"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中铁建电气化局集团有限公司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19,610,118.00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55"/>
              <w:jc w:val="right"/>
              <w:rPr>
                <w:rFonts w:ascii="Times New Roman" w:hAnsi="Times New Roman" w:cs="Times New Roman" w:eastAsia="Times New Roman" w:hint="default"/>
                <w:sz w:val="18"/>
                <w:szCs w:val="18"/>
              </w:rPr>
            </w:pPr>
            <w:r>
              <w:rPr>
                <w:rFonts w:ascii="Times New Roman"/>
                <w:spacing w:val="-1"/>
                <w:sz w:val="18"/>
              </w:rPr>
              <w:t>11.54%</w:t>
            </w:r>
          </w:p>
        </w:tc>
      </w:tr>
      <w:tr>
        <w:trPr>
          <w:trHeight w:val="413"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中国铁路通信信号集团公司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10,964,724.00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58"/>
              <w:jc w:val="right"/>
              <w:rPr>
                <w:rFonts w:ascii="Times New Roman" w:hAnsi="Times New Roman" w:cs="Times New Roman" w:eastAsia="Times New Roman" w:hint="default"/>
                <w:sz w:val="18"/>
                <w:szCs w:val="18"/>
              </w:rPr>
            </w:pPr>
            <w:r>
              <w:rPr>
                <w:rFonts w:ascii="Times New Roman"/>
                <w:sz w:val="18"/>
              </w:rPr>
              <w:t>6.45%</w:t>
            </w:r>
          </w:p>
        </w:tc>
      </w:tr>
      <w:tr>
        <w:trPr>
          <w:trHeight w:val="410"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广州铁路（集团）公司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8,368,120.77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58"/>
              <w:jc w:val="right"/>
              <w:rPr>
                <w:rFonts w:ascii="Times New Roman" w:hAnsi="Times New Roman" w:cs="Times New Roman" w:eastAsia="Times New Roman" w:hint="default"/>
                <w:sz w:val="18"/>
                <w:szCs w:val="18"/>
              </w:rPr>
            </w:pPr>
            <w:r>
              <w:rPr>
                <w:rFonts w:ascii="Times New Roman"/>
                <w:sz w:val="18"/>
              </w:rPr>
              <w:t>4.93%</w:t>
            </w:r>
          </w:p>
        </w:tc>
      </w:tr>
      <w:tr>
        <w:trPr>
          <w:trHeight w:val="413"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中国铁路通信信号济南工程分公司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8,008,060.00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58"/>
              <w:jc w:val="right"/>
              <w:rPr>
                <w:rFonts w:ascii="Times New Roman" w:hAnsi="Times New Roman" w:cs="Times New Roman" w:eastAsia="Times New Roman" w:hint="default"/>
                <w:sz w:val="18"/>
                <w:szCs w:val="18"/>
              </w:rPr>
            </w:pPr>
            <w:r>
              <w:rPr>
                <w:rFonts w:ascii="Times New Roman"/>
                <w:sz w:val="18"/>
              </w:rPr>
              <w:t>4.71%</w:t>
            </w:r>
          </w:p>
        </w:tc>
      </w:tr>
      <w:tr>
        <w:trPr>
          <w:trHeight w:val="413"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徐州电务段</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7,797,098.67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58"/>
              <w:jc w:val="right"/>
              <w:rPr>
                <w:rFonts w:ascii="Times New Roman" w:hAnsi="Times New Roman" w:cs="Times New Roman" w:eastAsia="Times New Roman" w:hint="default"/>
                <w:sz w:val="18"/>
                <w:szCs w:val="18"/>
              </w:rPr>
            </w:pPr>
            <w:r>
              <w:rPr>
                <w:rFonts w:ascii="Times New Roman"/>
                <w:sz w:val="18"/>
              </w:rPr>
              <w:t>4.59%</w:t>
            </w:r>
          </w:p>
        </w:tc>
      </w:tr>
      <w:tr>
        <w:trPr>
          <w:trHeight w:val="420" w:hRule="exact"/>
        </w:trPr>
        <w:tc>
          <w:tcPr>
            <w:tcW w:w="351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00" w:type="dxa"/>
            <w:tcBorders>
              <w:top w:val="single" w:sz="6" w:space="0" w:color="000000"/>
              <w:left w:val="single" w:sz="6" w:space="0" w:color="000000"/>
              <w:bottom w:val="single" w:sz="12" w:space="0" w:color="000000"/>
              <w:right w:val="single" w:sz="6" w:space="0" w:color="000000"/>
            </w:tcBorders>
          </w:tcPr>
          <w:p>
            <w:pPr/>
          </w:p>
        </w:tc>
        <w:tc>
          <w:tcPr>
            <w:tcW w:w="15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54,748,121.44</w:t>
            </w:r>
          </w:p>
        </w:tc>
        <w:tc>
          <w:tcPr>
            <w:tcW w:w="1080" w:type="dxa"/>
            <w:tcBorders>
              <w:top w:val="single" w:sz="6" w:space="0" w:color="000000"/>
              <w:left w:val="single" w:sz="6" w:space="0" w:color="000000"/>
              <w:bottom w:val="single" w:sz="12" w:space="0" w:color="000000"/>
              <w:right w:val="single" w:sz="6" w:space="0" w:color="000000"/>
            </w:tcBorders>
          </w:tcPr>
          <w:p>
            <w:pPr/>
          </w:p>
        </w:tc>
        <w:tc>
          <w:tcPr>
            <w:tcW w:w="17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455"/>
              <w:jc w:val="right"/>
              <w:rPr>
                <w:rFonts w:ascii="Times New Roman" w:hAnsi="Times New Roman" w:cs="Times New Roman" w:eastAsia="Times New Roman" w:hint="default"/>
                <w:sz w:val="18"/>
                <w:szCs w:val="18"/>
              </w:rPr>
            </w:pPr>
            <w:r>
              <w:rPr>
                <w:rFonts w:ascii="Times New Roman"/>
                <w:sz w:val="18"/>
              </w:rPr>
              <w:t>32.23%</w:t>
            </w:r>
          </w:p>
        </w:tc>
      </w:tr>
    </w:tbl>
    <w:p>
      <w:pPr>
        <w:pStyle w:val="BodyText"/>
        <w:spacing w:line="257" w:lineRule="exact"/>
        <w:ind w:left="940" w:right="0"/>
        <w:jc w:val="left"/>
      </w:pPr>
      <w:r>
        <w:rPr/>
        <w:t>（</w:t>
      </w:r>
      <w:r>
        <w:rPr>
          <w:rFonts w:ascii="Times New Roman" w:hAnsi="Times New Roman" w:cs="Times New Roman" w:eastAsia="Times New Roman" w:hint="default"/>
        </w:rPr>
        <w:t>5</w:t>
      </w:r>
      <w:r>
        <w:rPr/>
        <w:t>）截至</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日止，应收账款余额中无持有本公司</w:t>
      </w:r>
      <w:r>
        <w:rPr>
          <w:spacing w:val="-43"/>
        </w:rPr>
        <w:t> </w:t>
      </w:r>
      <w:r>
        <w:rPr>
          <w:rFonts w:ascii="Times New Roman" w:hAnsi="Times New Roman" w:cs="Times New Roman" w:eastAsia="Times New Roman" w:hint="default"/>
        </w:rPr>
        <w:t>5%</w:t>
      </w:r>
      <w:r>
        <w:rPr/>
        <w:t>（含</w:t>
      </w:r>
      <w:r>
        <w:rPr>
          <w:spacing w:val="-42"/>
        </w:rPr>
        <w:t> </w:t>
      </w:r>
      <w:r>
        <w:rPr>
          <w:rFonts w:ascii="Times New Roman" w:hAnsi="Times New Roman" w:cs="Times New Roman" w:eastAsia="Times New Roman" w:hint="default"/>
        </w:rPr>
        <w:t>5%</w:t>
      </w:r>
      <w:r>
        <w:rPr/>
        <w:t>）以上表</w:t>
      </w:r>
    </w:p>
    <w:p>
      <w:pPr>
        <w:pStyle w:val="BodyText"/>
        <w:spacing w:line="240" w:lineRule="auto" w:before="117"/>
        <w:ind w:left="520" w:right="0"/>
        <w:jc w:val="left"/>
      </w:pPr>
      <w:r>
        <w:rPr/>
        <w:t>决权股份的股东单位的欠款，无关联方欠款。</w:t>
      </w:r>
    </w:p>
    <w:p>
      <w:pPr>
        <w:spacing w:after="0" w:line="240" w:lineRule="auto"/>
        <w:jc w:val="left"/>
        <w:sectPr>
          <w:pgSz w:w="11910" w:h="16840"/>
          <w:pgMar w:header="852" w:footer="1186" w:top="1200" w:bottom="1380" w:left="1280" w:right="1280"/>
        </w:sectPr>
      </w:pPr>
    </w:p>
    <w:p>
      <w:pPr>
        <w:spacing w:line="240" w:lineRule="auto" w:before="3"/>
        <w:rPr>
          <w:rFonts w:ascii="宋体" w:hAnsi="宋体" w:cs="宋体" w:eastAsia="宋体" w:hint="default"/>
          <w:sz w:val="12"/>
          <w:szCs w:val="12"/>
        </w:rPr>
      </w:pPr>
    </w:p>
    <w:p>
      <w:pPr>
        <w:pStyle w:val="BodyText"/>
        <w:spacing w:line="336" w:lineRule="auto" w:before="36"/>
        <w:ind w:left="680" w:right="673" w:firstLine="419"/>
        <w:jc w:val="both"/>
      </w:pPr>
      <w:r>
        <w:rPr/>
        <w:t>（</w:t>
      </w:r>
      <w:r>
        <w:rPr>
          <w:rFonts w:ascii="Times New Roman" w:hAnsi="Times New Roman" w:cs="Times New Roman" w:eastAsia="Times New Roman" w:hint="default"/>
        </w:rPr>
        <w:t>6</w:t>
      </w:r>
      <w:r>
        <w:rPr/>
        <w:t>）应收账款年末比年初增加 </w:t>
      </w:r>
      <w:r>
        <w:rPr>
          <w:rFonts w:ascii="Times New Roman" w:hAnsi="Times New Roman" w:cs="Times New Roman" w:eastAsia="Times New Roman" w:hint="default"/>
        </w:rPr>
        <w:t>67,657,513.29 </w:t>
      </w:r>
      <w:r>
        <w:rPr/>
        <w:t>元，增长了</w:t>
      </w:r>
      <w:r>
        <w:rPr>
          <w:spacing w:val="-67"/>
        </w:rPr>
        <w:t> </w:t>
      </w:r>
      <w:r>
        <w:rPr>
          <w:rFonts w:ascii="Times New Roman" w:hAnsi="Times New Roman" w:cs="Times New Roman" w:eastAsia="Times New Roman" w:hint="default"/>
        </w:rPr>
        <w:t>66.18%</w:t>
      </w:r>
      <w:r>
        <w:rPr/>
        <w:t>，主要系本年第四季</w:t>
      </w:r>
      <w:r>
        <w:rPr>
          <w:w w:val="100"/>
        </w:rPr>
        <w:t> </w:t>
      </w:r>
      <w:r>
        <w:rPr/>
        <w:t>度销售收入增加所致。</w:t>
      </w:r>
    </w:p>
    <w:p>
      <w:pPr>
        <w:pStyle w:val="BodyText"/>
        <w:spacing w:line="345" w:lineRule="auto" w:before="49"/>
        <w:ind w:left="680" w:right="671" w:firstLine="419"/>
        <w:jc w:val="both"/>
      </w:pPr>
      <w:r>
        <w:rPr/>
        <w:t>（</w:t>
      </w:r>
      <w:r>
        <w:rPr>
          <w:rFonts w:ascii="Times New Roman" w:hAnsi="Times New Roman" w:cs="Times New Roman" w:eastAsia="Times New Roman" w:hint="default"/>
        </w:rPr>
        <w:t>7</w:t>
      </w:r>
      <w:r>
        <w:rPr/>
        <w:t>）报表截止日应收账款余额较大，主要原因为：</w:t>
      </w:r>
      <w:r>
        <w:rPr>
          <w:rFonts w:ascii="Times New Roman" w:hAnsi="Times New Roman" w:cs="Times New Roman" w:eastAsia="Times New Roman" w:hint="default"/>
        </w:rPr>
        <w:t>a.</w:t>
      </w:r>
      <w:r>
        <w:rPr/>
        <w:t>公司业务季节性较强，即一般在</w:t>
      </w:r>
      <w:r>
        <w:rPr>
          <w:w w:val="100"/>
        </w:rPr>
        <w:t> </w:t>
      </w:r>
      <w:r>
        <w:rPr>
          <w:spacing w:val="-4"/>
        </w:rPr>
        <w:t>上半年与铁路部门（委托方）商订项目合同，上半年后期及下半年进入生产供货阶段，年末</w:t>
      </w:r>
      <w:r>
        <w:rPr>
          <w:spacing w:val="-46"/>
        </w:rPr>
        <w:t> </w:t>
      </w:r>
      <w:r>
        <w:rPr>
          <w:spacing w:val="-46"/>
        </w:rPr>
      </w:r>
      <w:r>
        <w:rPr>
          <w:spacing w:val="-4"/>
        </w:rPr>
        <w:t>项目完成验收并满足收入确认条件结转销售，除预收部分货款外，大部分货款委托方需申请</w:t>
      </w:r>
      <w:r>
        <w:rPr>
          <w:spacing w:val="-44"/>
        </w:rPr>
        <w:t> </w:t>
      </w:r>
      <w:r>
        <w:rPr>
          <w:spacing w:val="-44"/>
        </w:rPr>
      </w:r>
      <w:r>
        <w:rPr>
          <w:spacing w:val="-3"/>
        </w:rPr>
        <w:t>报送付款计划并安排付款，货款收回需要一定时间，存在跨年度的情况；</w:t>
      </w:r>
      <w:r>
        <w:rPr>
          <w:rFonts w:ascii="Times New Roman" w:hAnsi="Times New Roman" w:cs="Times New Roman" w:eastAsia="Times New Roman" w:hint="default"/>
          <w:spacing w:val="-3"/>
        </w:rPr>
        <w:t>b.</w:t>
      </w:r>
      <w:r>
        <w:rPr>
          <w:spacing w:val="-3"/>
        </w:rPr>
        <w:t>已结算项目一般</w:t>
      </w:r>
      <w:r>
        <w:rPr>
          <w:spacing w:val="-30"/>
        </w:rPr>
        <w:t> </w:t>
      </w:r>
      <w:r>
        <w:rPr>
          <w:spacing w:val="-30"/>
        </w:rPr>
      </w:r>
      <w:r>
        <w:rPr/>
        <w:t>委托方将业务款项的</w:t>
      </w:r>
      <w:r>
        <w:rPr>
          <w:spacing w:val="-18"/>
        </w:rPr>
        <w:t> </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10</w:t>
      </w:r>
      <w:r>
        <w:rPr>
          <w:spacing w:val="-3"/>
        </w:rPr>
        <w:t>％留做质保金，在质保期满之后，设备运行正常的情况下向公</w:t>
      </w:r>
      <w:r>
        <w:rPr>
          <w:spacing w:val="-92"/>
        </w:rPr>
        <w:t> </w:t>
      </w:r>
      <w:r>
        <w:rPr>
          <w:spacing w:val="-92"/>
        </w:rPr>
      </w:r>
      <w:r>
        <w:rPr/>
        <w:t>司支付上述质保金，付款期较长。</w:t>
      </w:r>
    </w:p>
    <w:p>
      <w:pPr>
        <w:pStyle w:val="Heading5"/>
        <w:tabs>
          <w:tab w:pos="1940" w:val="left" w:leader="none"/>
        </w:tabs>
        <w:spacing w:line="240" w:lineRule="auto" w:before="98"/>
        <w:ind w:left="1100" w:right="0"/>
        <w:jc w:val="left"/>
        <w:rPr>
          <w:b w:val="0"/>
          <w:bCs w:val="0"/>
        </w:rPr>
      </w:pPr>
      <w:r>
        <w:rPr/>
        <w:t>（四）</w:t>
        <w:tab/>
        <w:t>预付款项</w:t>
      </w:r>
      <w:r>
        <w:rPr>
          <w:b w:val="0"/>
          <w:bCs w:val="0"/>
        </w:rPr>
      </w:r>
    </w:p>
    <w:p>
      <w:pPr>
        <w:spacing w:line="240" w:lineRule="auto" w:before="3"/>
        <w:rPr>
          <w:rFonts w:ascii="宋体" w:hAnsi="宋体" w:cs="宋体" w:eastAsia="宋体" w:hint="default"/>
          <w:b/>
          <w:bCs/>
          <w:sz w:val="16"/>
          <w:szCs w:val="16"/>
        </w:rPr>
      </w:pPr>
    </w:p>
    <w:p>
      <w:pPr>
        <w:pStyle w:val="BodyText"/>
        <w:spacing w:line="240" w:lineRule="auto"/>
        <w:ind w:left="1100" w:right="0"/>
        <w:jc w:val="left"/>
      </w:pPr>
      <w:r>
        <w:rPr/>
        <w:t>（</w:t>
      </w:r>
      <w:r>
        <w:rPr>
          <w:rFonts w:ascii="Times New Roman" w:hAnsi="Times New Roman" w:cs="Times New Roman" w:eastAsia="Times New Roman" w:hint="default"/>
        </w:rPr>
        <w:t>1</w:t>
      </w:r>
      <w:r>
        <w:rPr/>
        <w:t>）预付款项按账龄分析列示如下</w:t>
      </w:r>
    </w:p>
    <w:p>
      <w:pPr>
        <w:spacing w:line="240" w:lineRule="auto" w:before="10"/>
        <w:rPr>
          <w:rFonts w:ascii="宋体" w:hAnsi="宋体" w:cs="宋体" w:eastAsia="宋体" w:hint="default"/>
          <w:sz w:val="11"/>
          <w:szCs w:val="11"/>
        </w:rPr>
      </w:pPr>
    </w:p>
    <w:tbl>
      <w:tblPr>
        <w:tblW w:w="0" w:type="auto"/>
        <w:jc w:val="left"/>
        <w:tblInd w:w="382" w:type="dxa"/>
        <w:tblLayout w:type="fixed"/>
        <w:tblCellMar>
          <w:top w:w="0" w:type="dxa"/>
          <w:left w:w="0" w:type="dxa"/>
          <w:bottom w:w="0" w:type="dxa"/>
          <w:right w:w="0" w:type="dxa"/>
        </w:tblCellMar>
        <w:tblLook w:val="01E0"/>
      </w:tblPr>
      <w:tblGrid>
        <w:gridCol w:w="1673"/>
        <w:gridCol w:w="1796"/>
        <w:gridCol w:w="1798"/>
        <w:gridCol w:w="1795"/>
        <w:gridCol w:w="1798"/>
      </w:tblGrid>
      <w:tr>
        <w:trPr>
          <w:trHeight w:val="389" w:hRule="exact"/>
        </w:trPr>
        <w:tc>
          <w:tcPr>
            <w:tcW w:w="1673"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359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59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8"/>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96" w:hRule="exact"/>
        </w:trPr>
        <w:tc>
          <w:tcPr>
            <w:tcW w:w="1673" w:type="dxa"/>
            <w:vMerge/>
            <w:tcBorders>
              <w:left w:val="nil" w:sz="6" w:space="0" w:color="auto"/>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98"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8,911,959.06</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70.79%</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9,201,255.69</w:t>
            </w:r>
          </w:p>
        </w:tc>
        <w:tc>
          <w:tcPr>
            <w:tcW w:w="17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2"/>
              <w:jc w:val="right"/>
              <w:rPr>
                <w:rFonts w:ascii="Times New Roman" w:hAnsi="Times New Roman" w:cs="Times New Roman" w:eastAsia="Times New Roman" w:hint="default"/>
                <w:sz w:val="18"/>
                <w:szCs w:val="18"/>
              </w:rPr>
            </w:pPr>
            <w:r>
              <w:rPr>
                <w:rFonts w:ascii="Times New Roman"/>
                <w:sz w:val="18"/>
              </w:rPr>
              <w:t>92.08%</w:t>
            </w:r>
          </w:p>
        </w:tc>
      </w:tr>
      <w:tr>
        <w:trPr>
          <w:trHeight w:val="396"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3,315,270.72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26.33%</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213,530.00</w:t>
            </w:r>
          </w:p>
        </w:tc>
        <w:tc>
          <w:tcPr>
            <w:tcW w:w="17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z w:val="18"/>
              </w:rPr>
              <w:t>2.14%</w:t>
            </w:r>
          </w:p>
        </w:tc>
      </w:tr>
      <w:tr>
        <w:trPr>
          <w:trHeight w:val="398"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168,630.00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1.34%</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377,199.00</w:t>
            </w:r>
          </w:p>
        </w:tc>
        <w:tc>
          <w:tcPr>
            <w:tcW w:w="17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z w:val="18"/>
              </w:rPr>
              <w:t>3.78%</w:t>
            </w:r>
          </w:p>
        </w:tc>
      </w:tr>
      <w:tr>
        <w:trPr>
          <w:trHeight w:val="396"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193,149.00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1.54%</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200,950.00</w:t>
            </w:r>
          </w:p>
        </w:tc>
        <w:tc>
          <w:tcPr>
            <w:tcW w:w="17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2.00%</w:t>
            </w:r>
          </w:p>
        </w:tc>
      </w:tr>
      <w:tr>
        <w:trPr>
          <w:trHeight w:val="406" w:hRule="exact"/>
        </w:trPr>
        <w:tc>
          <w:tcPr>
            <w:tcW w:w="167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57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12,589,008.78</w:t>
            </w:r>
          </w:p>
        </w:tc>
        <w:tc>
          <w:tcPr>
            <w:tcW w:w="17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9,992,934.69</w:t>
            </w:r>
          </w:p>
        </w:tc>
        <w:tc>
          <w:tcPr>
            <w:tcW w:w="17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7"/>
        <w:rPr>
          <w:rFonts w:ascii="宋体" w:hAnsi="宋体" w:cs="宋体" w:eastAsia="宋体" w:hint="default"/>
          <w:sz w:val="6"/>
          <w:szCs w:val="6"/>
        </w:rPr>
      </w:pPr>
    </w:p>
    <w:p>
      <w:pPr>
        <w:pStyle w:val="BodyText"/>
        <w:spacing w:line="240" w:lineRule="auto" w:before="36"/>
        <w:ind w:left="1100" w:right="0"/>
        <w:jc w:val="left"/>
      </w:pPr>
      <w:r>
        <w:rPr/>
        <w:t>（</w:t>
      </w:r>
      <w:r>
        <w:rPr>
          <w:rFonts w:ascii="Times New Roman" w:hAnsi="Times New Roman" w:cs="Times New Roman" w:eastAsia="Times New Roman" w:hint="default"/>
        </w:rPr>
        <w:t>2</w:t>
      </w:r>
      <w:r>
        <w:rPr/>
        <w:t>）年末预付款项前五名单位列示如下：</w:t>
      </w: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764"/>
        <w:gridCol w:w="924"/>
        <w:gridCol w:w="1349"/>
        <w:gridCol w:w="1250"/>
        <w:gridCol w:w="901"/>
        <w:gridCol w:w="1200"/>
      </w:tblGrid>
      <w:tr>
        <w:trPr>
          <w:trHeight w:val="490" w:hRule="exact"/>
        </w:trPr>
        <w:tc>
          <w:tcPr>
            <w:tcW w:w="376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24"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left="184" w:right="0"/>
              <w:jc w:val="left"/>
              <w:rPr>
                <w:rFonts w:ascii="宋体" w:hAnsi="宋体" w:cs="宋体" w:eastAsia="宋体" w:hint="default"/>
                <w:sz w:val="18"/>
                <w:szCs w:val="18"/>
              </w:rPr>
            </w:pPr>
            <w:r>
              <w:rPr>
                <w:rFonts w:ascii="宋体" w:hAnsi="宋体" w:cs="宋体" w:eastAsia="宋体" w:hint="default"/>
                <w:sz w:val="18"/>
                <w:szCs w:val="18"/>
              </w:rPr>
              <w:t>与本公</w:t>
            </w:r>
          </w:p>
          <w:p>
            <w:pPr>
              <w:pStyle w:val="TableParagraph"/>
              <w:spacing w:line="234" w:lineRule="exact"/>
              <w:ind w:left="184" w:right="0"/>
              <w:jc w:val="left"/>
              <w:rPr>
                <w:rFonts w:ascii="宋体" w:hAnsi="宋体" w:cs="宋体" w:eastAsia="宋体" w:hint="default"/>
                <w:sz w:val="18"/>
                <w:szCs w:val="18"/>
              </w:rPr>
            </w:pPr>
            <w:r>
              <w:rPr>
                <w:rFonts w:ascii="宋体" w:hAnsi="宋体" w:cs="宋体" w:eastAsia="宋体" w:hint="default"/>
                <w:sz w:val="18"/>
                <w:szCs w:val="18"/>
              </w:rPr>
              <w:t>司关系</w:t>
            </w:r>
          </w:p>
        </w:tc>
        <w:tc>
          <w:tcPr>
            <w:tcW w:w="13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年末账面余额</w:t>
            </w:r>
          </w:p>
        </w:tc>
        <w:tc>
          <w:tcPr>
            <w:tcW w:w="1250"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left="167" w:right="0"/>
              <w:jc w:val="left"/>
              <w:rPr>
                <w:rFonts w:ascii="宋体" w:hAnsi="宋体" w:cs="宋体" w:eastAsia="宋体" w:hint="default"/>
                <w:sz w:val="18"/>
                <w:szCs w:val="18"/>
              </w:rPr>
            </w:pPr>
            <w:r>
              <w:rPr>
                <w:rFonts w:ascii="宋体" w:hAnsi="宋体" w:cs="宋体" w:eastAsia="宋体" w:hint="default"/>
                <w:sz w:val="18"/>
                <w:szCs w:val="18"/>
              </w:rPr>
              <w:t>占预付账款</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总额的比例</w:t>
            </w:r>
          </w:p>
        </w:tc>
        <w:tc>
          <w:tcPr>
            <w:tcW w:w="901"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预付时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间</w:t>
            </w:r>
          </w:p>
        </w:tc>
        <w:tc>
          <w:tcPr>
            <w:tcW w:w="120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13" w:hRule="exact"/>
        </w:trPr>
        <w:tc>
          <w:tcPr>
            <w:tcW w:w="3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通用电气运输系统</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3,148,798.00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35"/>
              <w:jc w:val="right"/>
              <w:rPr>
                <w:rFonts w:ascii="Times New Roman" w:hAnsi="Times New Roman" w:cs="Times New Roman" w:eastAsia="Times New Roman" w:hint="default"/>
                <w:sz w:val="18"/>
                <w:szCs w:val="18"/>
              </w:rPr>
            </w:pPr>
            <w:r>
              <w:rPr>
                <w:rFonts w:ascii="Times New Roman"/>
                <w:sz w:val="18"/>
              </w:rPr>
              <w:t>25.01%</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72" w:right="0"/>
              <w:jc w:val="center"/>
              <w:rPr>
                <w:rFonts w:ascii="宋体" w:hAnsi="宋体" w:cs="宋体" w:eastAsia="宋体" w:hint="default"/>
                <w:sz w:val="18"/>
                <w:szCs w:val="18"/>
              </w:rPr>
            </w:pPr>
            <w:r>
              <w:rPr>
                <w:rFonts w:ascii="宋体" w:hAnsi="宋体" w:cs="宋体" w:eastAsia="宋体" w:hint="default"/>
                <w:sz w:val="18"/>
                <w:szCs w:val="18"/>
              </w:rPr>
              <w:t>正常结算期</w:t>
            </w:r>
          </w:p>
        </w:tc>
      </w:tr>
      <w:tr>
        <w:trPr>
          <w:trHeight w:val="413" w:hRule="exact"/>
        </w:trPr>
        <w:tc>
          <w:tcPr>
            <w:tcW w:w="3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北京元大兴业科技有限公司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1,506,430.00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40"/>
              <w:jc w:val="right"/>
              <w:rPr>
                <w:rFonts w:ascii="Times New Roman" w:hAnsi="Times New Roman" w:cs="Times New Roman" w:eastAsia="Times New Roman" w:hint="default"/>
                <w:sz w:val="18"/>
                <w:szCs w:val="18"/>
              </w:rPr>
            </w:pPr>
            <w:r>
              <w:rPr>
                <w:rFonts w:ascii="Times New Roman"/>
                <w:spacing w:val="-1"/>
                <w:sz w:val="18"/>
              </w:rPr>
              <w:t>11.97%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72" w:right="0"/>
              <w:jc w:val="center"/>
              <w:rPr>
                <w:rFonts w:ascii="宋体" w:hAnsi="宋体" w:cs="宋体" w:eastAsia="宋体" w:hint="default"/>
                <w:sz w:val="18"/>
                <w:szCs w:val="18"/>
              </w:rPr>
            </w:pPr>
            <w:r>
              <w:rPr>
                <w:rFonts w:ascii="宋体" w:hAnsi="宋体" w:cs="宋体" w:eastAsia="宋体" w:hint="default"/>
                <w:sz w:val="18"/>
                <w:szCs w:val="18"/>
              </w:rPr>
              <w:t>正常结算期</w:t>
            </w:r>
          </w:p>
        </w:tc>
      </w:tr>
      <w:tr>
        <w:trPr>
          <w:trHeight w:val="410" w:hRule="exact"/>
        </w:trPr>
        <w:tc>
          <w:tcPr>
            <w:tcW w:w="3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南京铁路通信信号工程有限责任公司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83"/>
              <w:jc w:val="right"/>
              <w:rPr>
                <w:rFonts w:ascii="Times New Roman" w:hAnsi="Times New Roman" w:cs="Times New Roman" w:eastAsia="Times New Roman" w:hint="default"/>
                <w:sz w:val="18"/>
                <w:szCs w:val="18"/>
              </w:rPr>
            </w:pPr>
            <w:r>
              <w:rPr>
                <w:rFonts w:ascii="Times New Roman"/>
                <w:sz w:val="18"/>
              </w:rPr>
              <w:t>7.94%</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72" w:right="0"/>
              <w:jc w:val="center"/>
              <w:rPr>
                <w:rFonts w:ascii="宋体" w:hAnsi="宋体" w:cs="宋体" w:eastAsia="宋体" w:hint="default"/>
                <w:sz w:val="18"/>
                <w:szCs w:val="18"/>
              </w:rPr>
            </w:pPr>
            <w:r>
              <w:rPr>
                <w:rFonts w:ascii="宋体" w:hAnsi="宋体" w:cs="宋体" w:eastAsia="宋体" w:hint="default"/>
                <w:sz w:val="18"/>
                <w:szCs w:val="18"/>
              </w:rPr>
              <w:t>正常结算期</w:t>
            </w:r>
          </w:p>
        </w:tc>
      </w:tr>
      <w:tr>
        <w:trPr>
          <w:trHeight w:val="413" w:hRule="exact"/>
        </w:trPr>
        <w:tc>
          <w:tcPr>
            <w:tcW w:w="3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铁道部工程交易中心上海分中心</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830,000.00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83"/>
              <w:jc w:val="right"/>
              <w:rPr>
                <w:rFonts w:ascii="Times New Roman" w:hAnsi="Times New Roman" w:cs="Times New Roman" w:eastAsia="Times New Roman" w:hint="default"/>
                <w:sz w:val="18"/>
                <w:szCs w:val="18"/>
              </w:rPr>
            </w:pPr>
            <w:r>
              <w:rPr>
                <w:rFonts w:ascii="Times New Roman"/>
                <w:sz w:val="18"/>
              </w:rPr>
              <w:t>6.59%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72" w:right="0"/>
              <w:jc w:val="center"/>
              <w:rPr>
                <w:rFonts w:ascii="宋体" w:hAnsi="宋体" w:cs="宋体" w:eastAsia="宋体" w:hint="default"/>
                <w:sz w:val="18"/>
                <w:szCs w:val="18"/>
              </w:rPr>
            </w:pPr>
            <w:r>
              <w:rPr>
                <w:rFonts w:ascii="宋体" w:hAnsi="宋体" w:cs="宋体" w:eastAsia="宋体" w:hint="default"/>
                <w:sz w:val="18"/>
                <w:szCs w:val="18"/>
              </w:rPr>
              <w:t>正常结算期</w:t>
            </w:r>
          </w:p>
        </w:tc>
      </w:tr>
      <w:tr>
        <w:trPr>
          <w:trHeight w:val="413" w:hRule="exact"/>
        </w:trPr>
        <w:tc>
          <w:tcPr>
            <w:tcW w:w="37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北京东方宇业技术有限公司</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414,800.00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83"/>
              <w:jc w:val="right"/>
              <w:rPr>
                <w:rFonts w:ascii="Times New Roman" w:hAnsi="Times New Roman" w:cs="Times New Roman" w:eastAsia="Times New Roman" w:hint="default"/>
                <w:sz w:val="18"/>
                <w:szCs w:val="18"/>
              </w:rPr>
            </w:pPr>
            <w:r>
              <w:rPr>
                <w:rFonts w:ascii="Times New Roman"/>
                <w:sz w:val="18"/>
              </w:rPr>
              <w:t>3.29%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72" w:right="0"/>
              <w:jc w:val="center"/>
              <w:rPr>
                <w:rFonts w:ascii="宋体" w:hAnsi="宋体" w:cs="宋体" w:eastAsia="宋体" w:hint="default"/>
                <w:sz w:val="18"/>
                <w:szCs w:val="18"/>
              </w:rPr>
            </w:pPr>
            <w:r>
              <w:rPr>
                <w:rFonts w:ascii="宋体" w:hAnsi="宋体" w:cs="宋体" w:eastAsia="宋体" w:hint="default"/>
                <w:sz w:val="18"/>
                <w:szCs w:val="18"/>
              </w:rPr>
              <w:t>正常结算期</w:t>
            </w:r>
          </w:p>
        </w:tc>
      </w:tr>
      <w:tr>
        <w:trPr>
          <w:trHeight w:val="420" w:hRule="exact"/>
        </w:trPr>
        <w:tc>
          <w:tcPr>
            <w:tcW w:w="376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24" w:type="dxa"/>
            <w:tcBorders>
              <w:top w:val="single" w:sz="6" w:space="0" w:color="000000"/>
              <w:left w:val="single" w:sz="6" w:space="0" w:color="000000"/>
              <w:bottom w:val="single" w:sz="12" w:space="0" w:color="000000"/>
              <w:right w:val="single" w:sz="6" w:space="0" w:color="000000"/>
            </w:tcBorders>
          </w:tcPr>
          <w:p>
            <w:pP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6,900,028.00</w:t>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335"/>
              <w:jc w:val="right"/>
              <w:rPr>
                <w:rFonts w:ascii="Times New Roman" w:hAnsi="Times New Roman" w:cs="Times New Roman" w:eastAsia="Times New Roman" w:hint="default"/>
                <w:sz w:val="18"/>
                <w:szCs w:val="18"/>
              </w:rPr>
            </w:pPr>
            <w:r>
              <w:rPr>
                <w:rFonts w:ascii="Times New Roman"/>
                <w:sz w:val="18"/>
              </w:rPr>
              <w:t>54.80%</w:t>
            </w:r>
          </w:p>
        </w:tc>
        <w:tc>
          <w:tcPr>
            <w:tcW w:w="901" w:type="dxa"/>
            <w:tcBorders>
              <w:top w:val="single" w:sz="6" w:space="0" w:color="000000"/>
              <w:left w:val="single" w:sz="6" w:space="0" w:color="000000"/>
              <w:bottom w:val="single" w:sz="12" w:space="0" w:color="000000"/>
              <w:right w:val="single" w:sz="6" w:space="0" w:color="000000"/>
            </w:tcBorders>
          </w:tcPr>
          <w:p>
            <w:pPr/>
          </w:p>
        </w:tc>
        <w:tc>
          <w:tcPr>
            <w:tcW w:w="120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pStyle w:val="BodyText"/>
        <w:spacing w:line="240" w:lineRule="auto" w:before="36"/>
        <w:ind w:left="1100" w:right="0"/>
        <w:jc w:val="left"/>
      </w:pPr>
      <w:r>
        <w:rPr/>
        <w:t>（</w:t>
      </w:r>
      <w:r>
        <w:rPr>
          <w:rFonts w:ascii="Times New Roman" w:hAnsi="Times New Roman" w:cs="Times New Roman" w:eastAsia="Times New Roman" w:hint="default"/>
        </w:rPr>
        <w:t>3</w:t>
      </w:r>
      <w:r>
        <w:rPr/>
        <w:t>）账龄超过一年、金额较大的预付款项明细如下：</w:t>
      </w:r>
    </w:p>
    <w:p>
      <w:pPr>
        <w:spacing w:line="240" w:lineRule="auto" w:before="7"/>
        <w:rPr>
          <w:rFonts w:ascii="宋体" w:hAnsi="宋体" w:cs="宋体" w:eastAsia="宋体" w:hint="default"/>
          <w:sz w:val="11"/>
          <w:szCs w:val="11"/>
        </w:rPr>
      </w:pPr>
    </w:p>
    <w:tbl>
      <w:tblPr>
        <w:tblW w:w="0" w:type="auto"/>
        <w:jc w:val="left"/>
        <w:tblInd w:w="274" w:type="dxa"/>
        <w:tblLayout w:type="fixed"/>
        <w:tblCellMar>
          <w:top w:w="0" w:type="dxa"/>
          <w:left w:w="0" w:type="dxa"/>
          <w:bottom w:w="0" w:type="dxa"/>
          <w:right w:w="0" w:type="dxa"/>
        </w:tblCellMar>
        <w:tblLook w:val="01E0"/>
      </w:tblPr>
      <w:tblGrid>
        <w:gridCol w:w="4167"/>
        <w:gridCol w:w="2108"/>
        <w:gridCol w:w="845"/>
        <w:gridCol w:w="1956"/>
      </w:tblGrid>
      <w:tr>
        <w:trPr>
          <w:trHeight w:val="362" w:hRule="exact"/>
        </w:trPr>
        <w:tc>
          <w:tcPr>
            <w:tcW w:w="41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50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8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3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9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340" w:right="0"/>
              <w:jc w:val="left"/>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56" w:hRule="exact"/>
        </w:trPr>
        <w:tc>
          <w:tcPr>
            <w:tcW w:w="4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南京铁路通信信号工程有限责任公司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5" w:hRule="exact"/>
        </w:trPr>
        <w:tc>
          <w:tcPr>
            <w:tcW w:w="4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河南众驰皓天科技有限公司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721,185.00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5" w:hRule="exact"/>
        </w:trPr>
        <w:tc>
          <w:tcPr>
            <w:tcW w:w="4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北京元大兴业科技有限公司</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501,000.00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62" w:hRule="exact"/>
        </w:trPr>
        <w:tc>
          <w:tcPr>
            <w:tcW w:w="416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2,222,185.00</w:t>
            </w:r>
          </w:p>
        </w:tc>
        <w:tc>
          <w:tcPr>
            <w:tcW w:w="845" w:type="dxa"/>
            <w:tcBorders>
              <w:top w:val="single" w:sz="6" w:space="0" w:color="000000"/>
              <w:left w:val="single" w:sz="6" w:space="0" w:color="000000"/>
              <w:bottom w:val="single" w:sz="12" w:space="0" w:color="000000"/>
              <w:right w:val="single" w:sz="6" w:space="0" w:color="000000"/>
            </w:tcBorders>
          </w:tcPr>
          <w:p>
            <w:pPr/>
          </w:p>
        </w:tc>
        <w:tc>
          <w:tcPr>
            <w:tcW w:w="195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pStyle w:val="BodyText"/>
        <w:spacing w:line="240" w:lineRule="auto" w:before="36"/>
        <w:ind w:left="1100" w:right="0"/>
        <w:jc w:val="left"/>
      </w:pPr>
      <w:r>
        <w:rPr/>
        <w:t>（</w:t>
      </w:r>
      <w:r>
        <w:rPr>
          <w:rFonts w:ascii="Times New Roman" w:hAnsi="Times New Roman" w:cs="Times New Roman" w:eastAsia="Times New Roman" w:hint="default"/>
        </w:rPr>
        <w:t>4</w:t>
      </w:r>
      <w:r>
        <w:rPr/>
        <w:t>）年末预付款项余额中无持有本公司</w:t>
      </w:r>
      <w:r>
        <w:rPr>
          <w:spacing w:val="-57"/>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）以上表决权股份股东的款项。</w:t>
      </w:r>
    </w:p>
    <w:p>
      <w:pPr>
        <w:spacing w:after="0" w:line="240" w:lineRule="auto"/>
        <w:jc w:val="left"/>
        <w:sectPr>
          <w:pgSz w:w="11910" w:h="16840"/>
          <w:pgMar w:header="852" w:footer="1186" w:top="1200" w:bottom="1380" w:left="1120" w:right="1120"/>
        </w:sectPr>
      </w:pPr>
    </w:p>
    <w:p>
      <w:pPr>
        <w:spacing w:line="240" w:lineRule="auto" w:before="0"/>
        <w:rPr>
          <w:rFonts w:ascii="宋体" w:hAnsi="宋体" w:cs="宋体" w:eastAsia="宋体" w:hint="default"/>
          <w:sz w:val="12"/>
          <w:szCs w:val="12"/>
        </w:rPr>
      </w:pPr>
    </w:p>
    <w:p>
      <w:pPr>
        <w:pStyle w:val="Heading5"/>
        <w:tabs>
          <w:tab w:pos="1660" w:val="left" w:leader="none"/>
        </w:tabs>
        <w:spacing w:line="240" w:lineRule="auto" w:before="36"/>
        <w:ind w:right="0"/>
        <w:jc w:val="left"/>
        <w:rPr>
          <w:b w:val="0"/>
          <w:bCs w:val="0"/>
        </w:rPr>
      </w:pPr>
      <w:r>
        <w:rPr/>
        <w:t>（五）</w:t>
        <w:tab/>
        <w:t>其他应收款</w:t>
      </w:r>
      <w:r>
        <w:rPr>
          <w:b w:val="0"/>
          <w:bCs w:val="0"/>
        </w:rPr>
      </w:r>
    </w:p>
    <w:p>
      <w:pPr>
        <w:spacing w:line="240" w:lineRule="auto" w:before="6"/>
        <w:rPr>
          <w:rFonts w:ascii="宋体" w:hAnsi="宋体" w:cs="宋体" w:eastAsia="宋体" w:hint="default"/>
          <w:b/>
          <w:bCs/>
          <w:sz w:val="16"/>
          <w:szCs w:val="16"/>
        </w:rPr>
      </w:pPr>
    </w:p>
    <w:p>
      <w:pPr>
        <w:pStyle w:val="BodyText"/>
        <w:spacing w:line="240" w:lineRule="auto"/>
        <w:ind w:left="820" w:right="0"/>
        <w:jc w:val="left"/>
      </w:pPr>
      <w:r>
        <w:rPr/>
        <w:t>（</w:t>
      </w:r>
      <w:r>
        <w:rPr>
          <w:rFonts w:ascii="Times New Roman" w:hAnsi="Times New Roman" w:cs="Times New Roman" w:eastAsia="Times New Roman" w:hint="default"/>
        </w:rPr>
        <w:t>1</w:t>
      </w:r>
      <w:r>
        <w:rPr/>
        <w:t>）其他应收款按类别分析列示如下：</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087"/>
        <w:gridCol w:w="1577"/>
        <w:gridCol w:w="896"/>
        <w:gridCol w:w="1106"/>
        <w:gridCol w:w="800"/>
        <w:gridCol w:w="1394"/>
      </w:tblGrid>
      <w:tr>
        <w:trPr>
          <w:trHeight w:val="362" w:hRule="exact"/>
        </w:trPr>
        <w:tc>
          <w:tcPr>
            <w:tcW w:w="308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73"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3087" w:type="dxa"/>
            <w:vMerge/>
            <w:tcBorders>
              <w:left w:val="nil" w:sz="6" w:space="0" w:color="auto"/>
              <w:right w:val="single" w:sz="6" w:space="0" w:color="000000"/>
            </w:tcBorders>
          </w:tcPr>
          <w:p>
            <w:pPr/>
          </w:p>
        </w:tc>
        <w:tc>
          <w:tcPr>
            <w:tcW w:w="2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9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4"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2" w:hRule="exact"/>
        </w:trPr>
        <w:tc>
          <w:tcPr>
            <w:tcW w:w="3087" w:type="dxa"/>
            <w:vMerge/>
            <w:tcBorders>
              <w:left w:val="nil" w:sz="6" w:space="0" w:color="auto"/>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94" w:type="dxa"/>
            <w:vMerge/>
            <w:tcBorders>
              <w:left w:val="single" w:sz="6" w:space="0" w:color="000000"/>
              <w:bottom w:val="single" w:sz="6" w:space="0" w:color="000000"/>
              <w:right w:val="nil" w:sz="6" w:space="0" w:color="auto"/>
            </w:tcBorders>
          </w:tcPr>
          <w:p>
            <w:pPr/>
          </w:p>
        </w:tc>
      </w:tr>
      <w:tr>
        <w:trPr>
          <w:trHeight w:val="482"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单项金额重大并单项计提坏账准备</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1577"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3,928,496.05</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406,127.48</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10.34%</w:t>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3,522,368.57</w:t>
            </w:r>
          </w:p>
        </w:tc>
      </w:tr>
      <w:tr>
        <w:trPr>
          <w:trHeight w:val="482"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单项金额虽不重大但单项计提坏账</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准备的其他应收款</w:t>
            </w:r>
          </w:p>
        </w:tc>
        <w:tc>
          <w:tcPr>
            <w:tcW w:w="1577"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3,928,496.05</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406,127.48</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10.34%</w:t>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3,522,368.57</w:t>
            </w:r>
          </w:p>
        </w:tc>
      </w:tr>
      <w:tr>
        <w:trPr>
          <w:trHeight w:val="355" w:hRule="exact"/>
        </w:trPr>
        <w:tc>
          <w:tcPr>
            <w:tcW w:w="3087"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73"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6" w:hRule="exact"/>
        </w:trPr>
        <w:tc>
          <w:tcPr>
            <w:tcW w:w="3087" w:type="dxa"/>
            <w:vMerge/>
            <w:tcBorders>
              <w:left w:val="nil" w:sz="6" w:space="0" w:color="auto"/>
              <w:right w:val="single" w:sz="6" w:space="0" w:color="000000"/>
            </w:tcBorders>
          </w:tcPr>
          <w:p>
            <w:pPr/>
          </w:p>
        </w:tc>
        <w:tc>
          <w:tcPr>
            <w:tcW w:w="2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9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4" w:type="dxa"/>
            <w:vMerge w:val="restart"/>
            <w:tcBorders>
              <w:top w:val="single" w:sz="6"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2" w:hRule="exact"/>
        </w:trPr>
        <w:tc>
          <w:tcPr>
            <w:tcW w:w="3087" w:type="dxa"/>
            <w:vMerge/>
            <w:tcBorders>
              <w:left w:val="nil" w:sz="6" w:space="0" w:color="auto"/>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94" w:type="dxa"/>
            <w:vMerge/>
            <w:tcBorders>
              <w:left w:val="single" w:sz="6" w:space="0" w:color="000000"/>
              <w:bottom w:val="single" w:sz="6" w:space="0" w:color="000000"/>
              <w:right w:val="nil" w:sz="6" w:space="0" w:color="auto"/>
            </w:tcBorders>
          </w:tcPr>
          <w:p>
            <w:pPr/>
          </w:p>
        </w:tc>
      </w:tr>
      <w:tr>
        <w:trPr>
          <w:trHeight w:val="482"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单项金额重大并单项计提坏账准备</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1577"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3,456,732.00</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251,183.32</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7.27%</w:t>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3,205,548.68</w:t>
            </w:r>
          </w:p>
        </w:tc>
      </w:tr>
      <w:tr>
        <w:trPr>
          <w:trHeight w:val="480"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单项金额虽不重大但单项计提坏账</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准备的其他应收款</w:t>
            </w:r>
          </w:p>
        </w:tc>
        <w:tc>
          <w:tcPr>
            <w:tcW w:w="1577"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308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3,456,732.00</w:t>
            </w:r>
          </w:p>
        </w:tc>
        <w:tc>
          <w:tcPr>
            <w:tcW w:w="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251,183.32</w:t>
            </w:r>
          </w:p>
        </w:tc>
        <w:tc>
          <w:tcPr>
            <w:tcW w:w="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7.27%</w:t>
            </w:r>
          </w:p>
        </w:tc>
        <w:tc>
          <w:tcPr>
            <w:tcW w:w="13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3,205,548.68</w:t>
            </w:r>
          </w:p>
        </w:tc>
      </w:tr>
    </w:tbl>
    <w:p>
      <w:pPr>
        <w:spacing w:line="240" w:lineRule="auto" w:before="7"/>
        <w:rPr>
          <w:rFonts w:ascii="宋体" w:hAnsi="宋体" w:cs="宋体" w:eastAsia="宋体" w:hint="default"/>
          <w:sz w:val="6"/>
          <w:szCs w:val="6"/>
        </w:rPr>
      </w:pPr>
    </w:p>
    <w:p>
      <w:pPr>
        <w:pStyle w:val="BodyText"/>
        <w:spacing w:line="240" w:lineRule="auto" w:before="36"/>
        <w:ind w:left="611" w:right="0"/>
        <w:jc w:val="left"/>
      </w:pPr>
      <w:r>
        <w:rPr/>
        <w:t>注：单项金额超过</w:t>
      </w:r>
      <w:r>
        <w:rPr>
          <w:spacing w:val="-56"/>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5"/>
        </w:rPr>
        <w:t> </w:t>
      </w:r>
      <w:r>
        <w:rPr/>
        <w:t>元的其他应收款确认为单项金额重大的其他应收款。</w:t>
      </w:r>
    </w:p>
    <w:p>
      <w:pPr>
        <w:pStyle w:val="BodyText"/>
        <w:spacing w:line="240" w:lineRule="auto" w:before="117"/>
        <w:ind w:left="1031" w:right="0"/>
        <w:jc w:val="left"/>
      </w:pPr>
      <w:r>
        <w:rPr/>
        <w:t>（</w:t>
      </w:r>
      <w:r>
        <w:rPr>
          <w:rFonts w:ascii="Times New Roman" w:hAnsi="Times New Roman" w:cs="Times New Roman" w:eastAsia="Times New Roman" w:hint="default"/>
        </w:rPr>
        <w:t>2</w:t>
      </w:r>
      <w:r>
        <w:rPr/>
        <w:t>）组合中，按账龄分析法计提坏账准备的其他应收款：</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92"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96"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792"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2,965,007.05</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75.47%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148,539.00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2,816,468.05</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153,389.60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3.91%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14,863.16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138,526.44</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810,099.40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20.62%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242,725.32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567,374.08</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3,928,496.05</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406,127.48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3,522,368.57</w:t>
            </w:r>
          </w:p>
        </w:tc>
      </w:tr>
      <w:tr>
        <w:trPr>
          <w:trHeight w:val="396"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99"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7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7"/>
              <w:ind w:left="792"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1,899,797.60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z w:val="18"/>
              </w:rPr>
              <w:t>54.96%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94,489.88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1,805,307.72</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1,556,934.40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45.04%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156,693.44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1,400,240.96</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12" w:space="0" w:color="000000"/>
              <w:right w:val="single" w:sz="6" w:space="0" w:color="000000"/>
            </w:tcBorders>
          </w:tcPr>
          <w:p>
            <w:pPr/>
          </w:p>
        </w:tc>
        <w:tc>
          <w:tcPr>
            <w:tcW w:w="1071" w:type="dxa"/>
            <w:tcBorders>
              <w:top w:val="single" w:sz="6" w:space="0" w:color="000000"/>
              <w:left w:val="single" w:sz="6" w:space="0" w:color="000000"/>
              <w:bottom w:val="single" w:sz="12" w:space="0" w:color="000000"/>
              <w:right w:val="single" w:sz="6" w:space="0" w:color="000000"/>
            </w:tcBorders>
          </w:tcPr>
          <w:p>
            <w:pPr/>
          </w:p>
        </w:tc>
        <w:tc>
          <w:tcPr>
            <w:tcW w:w="1781" w:type="dxa"/>
            <w:tcBorders>
              <w:top w:val="single" w:sz="6" w:space="0" w:color="000000"/>
              <w:left w:val="single" w:sz="6" w:space="0" w:color="000000"/>
              <w:bottom w:val="single" w:sz="12" w:space="0" w:color="000000"/>
              <w:right w:val="single" w:sz="6" w:space="0" w:color="000000"/>
            </w:tcBorders>
          </w:tcPr>
          <w:p>
            <w:pPr/>
          </w:p>
        </w:tc>
        <w:tc>
          <w:tcPr>
            <w:tcW w:w="1961"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52" w:footer="1186" w:top="1200" w:bottom="1380" w:left="1400" w:right="1400"/>
        </w:sectPr>
      </w:pPr>
    </w:p>
    <w:p>
      <w:pPr>
        <w:spacing w:line="240" w:lineRule="auto" w:before="7"/>
        <w:rPr>
          <w:rFonts w:ascii="宋体" w:hAnsi="宋体" w:cs="宋体" w:eastAsia="宋体" w:hint="default"/>
          <w:sz w:val="17"/>
          <w:szCs w:val="17"/>
        </w:rPr>
      </w:pPr>
    </w:p>
    <w:tbl>
      <w:tblPr>
        <w:tblW w:w="0" w:type="auto"/>
        <w:jc w:val="left"/>
        <w:tblInd w:w="32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406" w:hRule="exact"/>
        </w:trPr>
        <w:tc>
          <w:tcPr>
            <w:tcW w:w="20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12" w:space="0" w:color="000000"/>
              <w:left w:val="single" w:sz="6" w:space="0" w:color="000000"/>
              <w:bottom w:val="single" w:sz="6" w:space="0" w:color="000000"/>
              <w:right w:val="single" w:sz="6" w:space="0" w:color="000000"/>
            </w:tcBorders>
          </w:tcPr>
          <w:p>
            <w:pPr/>
          </w:p>
        </w:tc>
        <w:tc>
          <w:tcPr>
            <w:tcW w:w="1071" w:type="dxa"/>
            <w:tcBorders>
              <w:top w:val="single" w:sz="12" w:space="0" w:color="000000"/>
              <w:left w:val="single" w:sz="6" w:space="0" w:color="000000"/>
              <w:bottom w:val="single" w:sz="6" w:space="0" w:color="000000"/>
              <w:right w:val="single" w:sz="6" w:space="0" w:color="000000"/>
            </w:tcBorders>
          </w:tcPr>
          <w:p>
            <w:pPr/>
          </w:p>
        </w:tc>
        <w:tc>
          <w:tcPr>
            <w:tcW w:w="1781" w:type="dxa"/>
            <w:tcBorders>
              <w:top w:val="single" w:sz="12" w:space="0" w:color="000000"/>
              <w:left w:val="single" w:sz="6" w:space="0" w:color="000000"/>
              <w:bottom w:val="single" w:sz="6" w:space="0" w:color="000000"/>
              <w:right w:val="single" w:sz="6" w:space="0" w:color="000000"/>
            </w:tcBorders>
          </w:tcPr>
          <w:p>
            <w:pPr/>
          </w:p>
        </w:tc>
        <w:tc>
          <w:tcPr>
            <w:tcW w:w="1961" w:type="dxa"/>
            <w:tcBorders>
              <w:top w:val="single" w:sz="12" w:space="0" w:color="000000"/>
              <w:left w:val="single" w:sz="6" w:space="0" w:color="000000"/>
              <w:bottom w:val="single" w:sz="6" w:space="0" w:color="000000"/>
              <w:right w:val="nil" w:sz="6" w:space="0" w:color="auto"/>
            </w:tcBorders>
          </w:tcPr>
          <w:p>
            <w:pP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left="900" w:right="0"/>
              <w:jc w:val="left"/>
              <w:rPr>
                <w:rFonts w:ascii="Times New Roman" w:hAnsi="Times New Roman" w:cs="Times New Roman" w:eastAsia="Times New Roman" w:hint="default"/>
                <w:sz w:val="18"/>
                <w:szCs w:val="18"/>
              </w:rPr>
            </w:pPr>
            <w:r>
              <w:rPr>
                <w:rFonts w:ascii="Times New Roman"/>
                <w:sz w:val="18"/>
              </w:rPr>
              <w:t>3,456,732.00</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left="309" w:right="0"/>
              <w:jc w:val="left"/>
              <w:rPr>
                <w:rFonts w:ascii="Times New Roman" w:hAnsi="Times New Roman" w:cs="Times New Roman" w:eastAsia="Times New Roman" w:hint="default"/>
                <w:sz w:val="18"/>
                <w:szCs w:val="18"/>
              </w:rPr>
            </w:pPr>
            <w:r>
              <w:rPr>
                <w:rFonts w:ascii="Times New Roman"/>
                <w:sz w:val="18"/>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left="856" w:right="0"/>
              <w:jc w:val="left"/>
              <w:rPr>
                <w:rFonts w:ascii="Times New Roman" w:hAnsi="Times New Roman" w:cs="Times New Roman" w:eastAsia="Times New Roman" w:hint="default"/>
                <w:sz w:val="18"/>
                <w:szCs w:val="18"/>
              </w:rPr>
            </w:pPr>
            <w:r>
              <w:rPr>
                <w:rFonts w:ascii="Times New Roman"/>
                <w:sz w:val="18"/>
              </w:rPr>
              <w:t>251,183.32</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left="900" w:right="0"/>
              <w:jc w:val="left"/>
              <w:rPr>
                <w:rFonts w:ascii="Times New Roman" w:hAnsi="Times New Roman" w:cs="Times New Roman" w:eastAsia="Times New Roman" w:hint="default"/>
                <w:sz w:val="18"/>
                <w:szCs w:val="18"/>
              </w:rPr>
            </w:pPr>
            <w:r>
              <w:rPr>
                <w:rFonts w:ascii="Times New Roman"/>
                <w:sz w:val="18"/>
              </w:rPr>
              <w:t>3,205,548.68</w:t>
            </w:r>
          </w:p>
        </w:tc>
      </w:tr>
    </w:tbl>
    <w:p>
      <w:pPr>
        <w:spacing w:line="240" w:lineRule="auto" w:before="7"/>
        <w:rPr>
          <w:rFonts w:ascii="宋体" w:hAnsi="宋体" w:cs="宋体" w:eastAsia="宋体" w:hint="default"/>
          <w:sz w:val="6"/>
          <w:szCs w:val="6"/>
        </w:rPr>
      </w:pPr>
    </w:p>
    <w:p>
      <w:pPr>
        <w:pStyle w:val="BodyText"/>
        <w:spacing w:line="240" w:lineRule="auto" w:before="36"/>
        <w:ind w:left="1040" w:right="612"/>
        <w:jc w:val="left"/>
      </w:pPr>
      <w:r>
        <w:rPr/>
        <w:t>（</w:t>
      </w:r>
      <w:r>
        <w:rPr>
          <w:rFonts w:ascii="Times New Roman" w:hAnsi="Times New Roman" w:cs="Times New Roman" w:eastAsia="Times New Roman" w:hint="default"/>
        </w:rPr>
        <w:t>3</w:t>
      </w:r>
      <w:r>
        <w:rPr/>
        <w:t>）本年度无核销的其他应收款。</w:t>
      </w:r>
    </w:p>
    <w:p>
      <w:pPr>
        <w:spacing w:line="240" w:lineRule="auto" w:before="12"/>
        <w:rPr>
          <w:rFonts w:ascii="宋体" w:hAnsi="宋体" w:cs="宋体" w:eastAsia="宋体" w:hint="default"/>
          <w:sz w:val="20"/>
          <w:szCs w:val="20"/>
        </w:rPr>
      </w:pPr>
    </w:p>
    <w:p>
      <w:pPr>
        <w:pStyle w:val="BodyText"/>
        <w:spacing w:line="240" w:lineRule="auto"/>
        <w:ind w:left="1040" w:right="612"/>
        <w:jc w:val="left"/>
      </w:pPr>
      <w:r>
        <w:rPr/>
        <w:t>（</w:t>
      </w:r>
      <w:r>
        <w:rPr>
          <w:rFonts w:ascii="Times New Roman" w:hAnsi="Times New Roman" w:cs="Times New Roman" w:eastAsia="Times New Roman" w:hint="default"/>
        </w:rPr>
        <w:t>4</w:t>
      </w:r>
      <w:r>
        <w:rPr/>
        <w:t>）年末其他应收款前五名单位列示如下：</w:t>
      </w: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931"/>
        <w:gridCol w:w="1452"/>
        <w:gridCol w:w="1164"/>
        <w:gridCol w:w="1272"/>
        <w:gridCol w:w="1013"/>
        <w:gridCol w:w="1435"/>
      </w:tblGrid>
      <w:tr>
        <w:trPr>
          <w:trHeight w:val="490" w:hRule="exact"/>
        </w:trPr>
        <w:tc>
          <w:tcPr>
            <w:tcW w:w="29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9"/>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164"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12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10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35" w:type="dxa"/>
            <w:tcBorders>
              <w:top w:val="single" w:sz="12" w:space="0" w:color="000000"/>
              <w:left w:val="single" w:sz="6" w:space="0" w:color="000000"/>
              <w:bottom w:val="single" w:sz="6" w:space="0" w:color="000000"/>
              <w:right w:val="nil" w:sz="6" w:space="0" w:color="auto"/>
            </w:tcBorders>
          </w:tcPr>
          <w:p>
            <w:pPr>
              <w:pStyle w:val="TableParagraph"/>
              <w:spacing w:line="206" w:lineRule="exact"/>
              <w:ind w:left="259" w:right="0" w:hanging="89"/>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上海中土实业有限公司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750,000.00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19.09%</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河南省人民医院</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住院费</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150,000.00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3.82%</w:t>
            </w:r>
          </w:p>
        </w:tc>
      </w:tr>
      <w:tr>
        <w:trPr>
          <w:trHeight w:val="410"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陈晴晴</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员工借款</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2.55%</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郑州市中医院</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住院费</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87,984.40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2.24%</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梅建军</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员工借款</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87,117.00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2.22%</w:t>
            </w:r>
          </w:p>
        </w:tc>
      </w:tr>
      <w:tr>
        <w:trPr>
          <w:trHeight w:val="420" w:hRule="exact"/>
        </w:trPr>
        <w:tc>
          <w:tcPr>
            <w:tcW w:w="29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52" w:type="dxa"/>
            <w:tcBorders>
              <w:top w:val="single" w:sz="6" w:space="0" w:color="000000"/>
              <w:left w:val="single" w:sz="6" w:space="0" w:color="000000"/>
              <w:bottom w:val="single" w:sz="12" w:space="0" w:color="000000"/>
              <w:right w:val="single" w:sz="6" w:space="0" w:color="000000"/>
            </w:tcBorders>
          </w:tcPr>
          <w:p>
            <w:pPr/>
          </w:p>
        </w:tc>
        <w:tc>
          <w:tcPr>
            <w:tcW w:w="1164" w:type="dxa"/>
            <w:tcBorders>
              <w:top w:val="single" w:sz="6" w:space="0" w:color="000000"/>
              <w:left w:val="single" w:sz="6" w:space="0" w:color="000000"/>
              <w:bottom w:val="single" w:sz="12" w:space="0" w:color="000000"/>
              <w:right w:val="single" w:sz="6" w:space="0" w:color="000000"/>
            </w:tcBorders>
          </w:tcPr>
          <w:p>
            <w:pP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1,175,101.40</w:t>
            </w:r>
          </w:p>
        </w:tc>
        <w:tc>
          <w:tcPr>
            <w:tcW w:w="1013" w:type="dxa"/>
            <w:tcBorders>
              <w:top w:val="single" w:sz="6" w:space="0" w:color="000000"/>
              <w:left w:val="single" w:sz="6" w:space="0" w:color="000000"/>
              <w:bottom w:val="single" w:sz="12" w:space="0" w:color="000000"/>
              <w:right w:val="single" w:sz="6" w:space="0" w:color="000000"/>
            </w:tcBorders>
          </w:tcPr>
          <w:p>
            <w:pPr/>
          </w:p>
        </w:tc>
        <w:tc>
          <w:tcPr>
            <w:tcW w:w="14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29.92%</w:t>
            </w:r>
          </w:p>
        </w:tc>
      </w:tr>
    </w:tbl>
    <w:p>
      <w:pPr>
        <w:pStyle w:val="BodyText"/>
        <w:spacing w:line="257" w:lineRule="exact"/>
        <w:ind w:left="1040" w:right="612"/>
        <w:jc w:val="left"/>
      </w:pPr>
      <w:r>
        <w:rPr/>
        <w:t>（</w:t>
      </w:r>
      <w:r>
        <w:rPr>
          <w:rFonts w:ascii="Times New Roman" w:hAnsi="Times New Roman" w:cs="Times New Roman" w:eastAsia="Times New Roman" w:hint="default"/>
        </w:rPr>
        <w:t>5</w:t>
      </w:r>
      <w:r>
        <w:rPr/>
        <w:t>）年末无其他金额较大的其他应收款。</w:t>
      </w:r>
    </w:p>
    <w:p>
      <w:pPr>
        <w:pStyle w:val="BodyText"/>
        <w:spacing w:line="336" w:lineRule="auto" w:before="117"/>
        <w:ind w:left="620" w:right="612" w:firstLine="419"/>
        <w:jc w:val="left"/>
      </w:pPr>
      <w:r>
        <w:rPr/>
        <w:t>（</w:t>
      </w:r>
      <w:r>
        <w:rPr>
          <w:rFonts w:ascii="Times New Roman" w:hAnsi="Times New Roman" w:cs="Times New Roman" w:eastAsia="Times New Roman" w:hint="default"/>
        </w:rPr>
        <w:t>6</w:t>
      </w:r>
      <w:r>
        <w:rPr/>
        <w:t>）截至</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日止，其他应收款余额中无持有本公司</w:t>
      </w:r>
      <w:r>
        <w:rPr>
          <w:spacing w:val="-46"/>
        </w:rPr>
        <w:t> </w:t>
      </w:r>
      <w:r>
        <w:rPr>
          <w:rFonts w:ascii="Times New Roman" w:hAnsi="Times New Roman" w:cs="Times New Roman" w:eastAsia="Times New Roman" w:hint="default"/>
        </w:rPr>
        <w:t>5%</w:t>
      </w:r>
      <w:r>
        <w:rPr/>
        <w:t>（含</w:t>
      </w:r>
      <w:r>
        <w:rPr>
          <w:spacing w:val="-42"/>
        </w:rPr>
        <w:t> </w:t>
      </w:r>
      <w:r>
        <w:rPr>
          <w:rFonts w:ascii="Times New Roman" w:hAnsi="Times New Roman" w:cs="Times New Roman" w:eastAsia="Times New Roman" w:hint="default"/>
        </w:rPr>
        <w:t>5%</w:t>
      </w:r>
      <w:r>
        <w:rPr/>
        <w:t>）以上</w:t>
      </w:r>
      <w:r>
        <w:rPr>
          <w:w w:val="100"/>
        </w:rPr>
        <w:t> </w:t>
      </w:r>
      <w:r>
        <w:rPr/>
        <w:t>表决权股份的股东单位欠款，无关联单位欠款。</w:t>
      </w:r>
    </w:p>
    <w:p>
      <w:pPr>
        <w:pStyle w:val="Heading5"/>
        <w:tabs>
          <w:tab w:pos="1880" w:val="left" w:leader="none"/>
        </w:tabs>
        <w:spacing w:line="240" w:lineRule="auto" w:before="109"/>
        <w:ind w:left="1040" w:right="612"/>
        <w:jc w:val="left"/>
        <w:rPr>
          <w:b w:val="0"/>
          <w:bCs w:val="0"/>
        </w:rPr>
      </w:pPr>
      <w:r>
        <w:rPr/>
        <w:t>（六）</w:t>
        <w:tab/>
        <w:t>存货</w:t>
      </w:r>
      <w:r>
        <w:rPr>
          <w:b w:val="0"/>
          <w:bCs w:val="0"/>
        </w:rPr>
      </w:r>
    </w:p>
    <w:p>
      <w:pPr>
        <w:spacing w:line="240" w:lineRule="auto" w:before="3"/>
        <w:rPr>
          <w:rFonts w:ascii="宋体" w:hAnsi="宋体" w:cs="宋体" w:eastAsia="宋体" w:hint="default"/>
          <w:b/>
          <w:bCs/>
          <w:sz w:val="16"/>
          <w:szCs w:val="16"/>
        </w:rPr>
      </w:pPr>
    </w:p>
    <w:p>
      <w:pPr>
        <w:pStyle w:val="BodyText"/>
        <w:spacing w:line="240" w:lineRule="auto"/>
        <w:ind w:left="1040" w:right="612"/>
        <w:jc w:val="left"/>
      </w:pPr>
      <w:r>
        <w:rPr/>
        <w:t>（</w:t>
      </w:r>
      <w:r>
        <w:rPr>
          <w:rFonts w:ascii="Times New Roman" w:hAnsi="Times New Roman" w:cs="Times New Roman" w:eastAsia="Times New Roman" w:hint="default"/>
        </w:rPr>
        <w:t>1</w:t>
      </w:r>
      <w:r>
        <w:rPr/>
        <w:t>）存货分类列示如下：</w:t>
      </w:r>
    </w:p>
    <w:p>
      <w:pPr>
        <w:spacing w:line="240" w:lineRule="auto" w:before="10"/>
        <w:rPr>
          <w:rFonts w:ascii="宋体" w:hAnsi="宋体" w:cs="宋体" w:eastAsia="宋体"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1814"/>
        <w:gridCol w:w="1441"/>
        <w:gridCol w:w="871"/>
        <w:gridCol w:w="1296"/>
        <w:gridCol w:w="1457"/>
        <w:gridCol w:w="893"/>
        <w:gridCol w:w="1370"/>
      </w:tblGrid>
      <w:tr>
        <w:trPr>
          <w:trHeight w:val="418" w:hRule="exact"/>
        </w:trPr>
        <w:tc>
          <w:tcPr>
            <w:tcW w:w="1814"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tabs>
                <w:tab w:pos="1051" w:val="left" w:leader="none"/>
              </w:tabs>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60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721"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13" w:hRule="exact"/>
        </w:trPr>
        <w:tc>
          <w:tcPr>
            <w:tcW w:w="1814" w:type="dxa"/>
            <w:vMerge/>
            <w:tcBorders>
              <w:left w:val="nil" w:sz="6" w:space="0" w:color="auto"/>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8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3"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27,687,449.86</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27,687,449.86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15,692,723.21</w:t>
            </w:r>
          </w:p>
        </w:tc>
        <w:tc>
          <w:tcPr>
            <w:tcW w:w="893"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15,692,723.21</w:t>
            </w:r>
          </w:p>
        </w:tc>
      </w:tr>
      <w:tr>
        <w:trPr>
          <w:trHeight w:val="410"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33,726,165.32</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33,726,165.32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24,712,892.53</w:t>
            </w:r>
          </w:p>
        </w:tc>
        <w:tc>
          <w:tcPr>
            <w:tcW w:w="893"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24,712,892.53</w:t>
            </w:r>
          </w:p>
        </w:tc>
      </w:tr>
      <w:tr>
        <w:trPr>
          <w:trHeight w:val="413"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6,789,783.21</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6,789,783.21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6,093,887.74</w:t>
            </w:r>
          </w:p>
        </w:tc>
        <w:tc>
          <w:tcPr>
            <w:tcW w:w="893"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6,093,887.74</w:t>
            </w:r>
          </w:p>
        </w:tc>
      </w:tr>
      <w:tr>
        <w:trPr>
          <w:trHeight w:val="413"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3,894,430.95</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3,894,430.95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14,268,368.46</w:t>
            </w:r>
          </w:p>
        </w:tc>
        <w:tc>
          <w:tcPr>
            <w:tcW w:w="893"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14,268,368.46</w:t>
            </w:r>
          </w:p>
        </w:tc>
      </w:tr>
      <w:tr>
        <w:trPr>
          <w:trHeight w:val="410"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57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72,097,829.34</w:t>
            </w: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72,097,829.34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60,767,871.94</w:t>
            </w:r>
          </w:p>
        </w:tc>
        <w:tc>
          <w:tcPr>
            <w:tcW w:w="893"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60,767,871.94</w:t>
            </w:r>
          </w:p>
        </w:tc>
      </w:tr>
      <w:tr>
        <w:trPr>
          <w:trHeight w:val="413"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减：存货跌价准备</w:t>
            </w:r>
          </w:p>
        </w:tc>
        <w:tc>
          <w:tcPr>
            <w:tcW w:w="144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
        </w:tc>
      </w:tr>
      <w:tr>
        <w:trPr>
          <w:trHeight w:val="420" w:hRule="exact"/>
        </w:trPr>
        <w:tc>
          <w:tcPr>
            <w:tcW w:w="1814" w:type="dxa"/>
            <w:tcBorders>
              <w:top w:val="single" w:sz="6" w:space="0" w:color="000000"/>
              <w:left w:val="nil" w:sz="6" w:space="0" w:color="auto"/>
              <w:bottom w:val="single" w:sz="12" w:space="0" w:color="000000"/>
              <w:right w:val="single" w:sz="6" w:space="0" w:color="000000"/>
            </w:tcBorders>
          </w:tcPr>
          <w:p>
            <w:pPr>
              <w:pStyle w:val="TableParagraph"/>
              <w:tabs>
                <w:tab w:pos="1051" w:val="left" w:leader="none"/>
              </w:tabs>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72,097,829.34</w:t>
            </w:r>
          </w:p>
        </w:tc>
        <w:tc>
          <w:tcPr>
            <w:tcW w:w="871" w:type="dxa"/>
            <w:tcBorders>
              <w:top w:val="single" w:sz="6" w:space="0" w:color="000000"/>
              <w:left w:val="single" w:sz="6" w:space="0" w:color="000000"/>
              <w:bottom w:val="single" w:sz="12" w:space="0" w:color="000000"/>
              <w:right w:val="single" w:sz="6" w:space="0" w:color="000000"/>
            </w:tcBorders>
          </w:tcPr>
          <w:p>
            <w:pP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72,097,829.34</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60,767,871.94</w:t>
            </w:r>
          </w:p>
        </w:tc>
        <w:tc>
          <w:tcPr>
            <w:tcW w:w="893" w:type="dxa"/>
            <w:tcBorders>
              <w:top w:val="single" w:sz="6" w:space="0" w:color="000000"/>
              <w:left w:val="single" w:sz="6" w:space="0" w:color="000000"/>
              <w:bottom w:val="single" w:sz="12" w:space="0" w:color="000000"/>
              <w:right w:val="single" w:sz="6" w:space="0" w:color="000000"/>
            </w:tcBorders>
          </w:tcPr>
          <w:p>
            <w:pPr/>
          </w:p>
        </w:tc>
        <w:tc>
          <w:tcPr>
            <w:tcW w:w="13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60,767,871.94</w:t>
            </w:r>
          </w:p>
        </w:tc>
      </w:tr>
    </w:tbl>
    <w:p>
      <w:pPr>
        <w:pStyle w:val="BodyText"/>
        <w:spacing w:line="240" w:lineRule="auto" w:before="42"/>
        <w:ind w:left="1040" w:right="612"/>
        <w:jc w:val="left"/>
      </w:pPr>
      <w:r>
        <w:rPr/>
        <w:t>（</w:t>
      </w:r>
      <w:r>
        <w:rPr>
          <w:rFonts w:ascii="Times New Roman" w:hAnsi="Times New Roman" w:cs="Times New Roman" w:eastAsia="Times New Roman" w:hint="default"/>
        </w:rPr>
        <w:t>2</w:t>
      </w:r>
      <w:r>
        <w:rPr/>
        <w:t>）存货年末余额中无借款费用资本化金额。</w:t>
      </w:r>
    </w:p>
    <w:p>
      <w:pPr>
        <w:pStyle w:val="BodyText"/>
        <w:spacing w:line="240" w:lineRule="auto" w:before="197"/>
        <w:ind w:left="1040" w:right="612"/>
        <w:jc w:val="left"/>
      </w:pPr>
      <w:r>
        <w:rPr/>
        <w:t>（</w:t>
      </w:r>
      <w:r>
        <w:rPr>
          <w:rFonts w:ascii="Times New Roman" w:hAnsi="Times New Roman" w:cs="Times New Roman" w:eastAsia="Times New Roman" w:hint="default"/>
        </w:rPr>
        <w:t>3</w:t>
      </w:r>
      <w:r>
        <w:rPr/>
        <w:t>）年末存货可收回净值高于账面价值，无需计提跌价准备。</w:t>
      </w:r>
    </w:p>
    <w:p>
      <w:pPr>
        <w:pStyle w:val="Heading5"/>
        <w:tabs>
          <w:tab w:pos="1880" w:val="left" w:leader="none"/>
        </w:tabs>
        <w:spacing w:line="240" w:lineRule="auto" w:before="194"/>
        <w:ind w:left="1040" w:right="612"/>
        <w:jc w:val="left"/>
        <w:rPr>
          <w:b w:val="0"/>
          <w:bCs w:val="0"/>
        </w:rPr>
      </w:pPr>
      <w:r>
        <w:rPr/>
        <w:t>（七）</w:t>
        <w:tab/>
        <w:t>固定资产</w:t>
      </w:r>
      <w:r>
        <w:rPr>
          <w:b w:val="0"/>
          <w:bCs w:val="0"/>
        </w:rPr>
      </w:r>
    </w:p>
    <w:p>
      <w:pPr>
        <w:spacing w:line="240" w:lineRule="auto" w:before="5"/>
        <w:rPr>
          <w:rFonts w:ascii="宋体" w:hAnsi="宋体" w:cs="宋体" w:eastAsia="宋体" w:hint="default"/>
          <w:b/>
          <w:bCs/>
          <w:sz w:val="16"/>
          <w:szCs w:val="16"/>
        </w:rPr>
      </w:pPr>
    </w:p>
    <w:p>
      <w:pPr>
        <w:pStyle w:val="BodyText"/>
        <w:spacing w:line="240" w:lineRule="auto"/>
        <w:ind w:left="1040" w:right="612"/>
        <w:jc w:val="left"/>
      </w:pPr>
      <w:r>
        <w:rPr/>
        <w:t>（</w:t>
      </w:r>
      <w:r>
        <w:rPr>
          <w:rFonts w:ascii="Times New Roman" w:hAnsi="Times New Roman" w:cs="Times New Roman" w:eastAsia="Times New Roman" w:hint="default"/>
        </w:rPr>
        <w:t>1</w:t>
      </w:r>
      <w:r>
        <w:rPr/>
        <w:t>）固定资产及其累计折旧明细项目和增减变动如下：</w:t>
      </w:r>
    </w:p>
    <w:p>
      <w:pPr>
        <w:spacing w:line="240" w:lineRule="auto" w:before="7"/>
        <w:rPr>
          <w:rFonts w:ascii="宋体" w:hAnsi="宋体" w:cs="宋体" w:eastAsia="宋体" w:hint="default"/>
          <w:sz w:val="11"/>
          <w:szCs w:val="11"/>
        </w:rPr>
      </w:pPr>
    </w:p>
    <w:tbl>
      <w:tblPr>
        <w:tblW w:w="0" w:type="auto"/>
        <w:jc w:val="left"/>
        <w:tblInd w:w="409" w:type="dxa"/>
        <w:tblLayout w:type="fixed"/>
        <w:tblCellMar>
          <w:top w:w="0" w:type="dxa"/>
          <w:left w:w="0" w:type="dxa"/>
          <w:bottom w:w="0" w:type="dxa"/>
          <w:right w:w="0" w:type="dxa"/>
        </w:tblCellMar>
        <w:tblLook w:val="01E0"/>
      </w:tblPr>
      <w:tblGrid>
        <w:gridCol w:w="3003"/>
        <w:gridCol w:w="1392"/>
        <w:gridCol w:w="1702"/>
        <w:gridCol w:w="1174"/>
        <w:gridCol w:w="1445"/>
      </w:tblGrid>
      <w:tr>
        <w:trPr>
          <w:trHeight w:val="430" w:hRule="exact"/>
        </w:trPr>
        <w:tc>
          <w:tcPr>
            <w:tcW w:w="3003"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bl>
    <w:p>
      <w:pPr>
        <w:spacing w:after="0" w:line="240" w:lineRule="auto"/>
        <w:jc w:val="left"/>
        <w:rPr>
          <w:rFonts w:ascii="宋体" w:hAnsi="宋体" w:cs="宋体" w:eastAsia="宋体" w:hint="default"/>
          <w:sz w:val="18"/>
          <w:szCs w:val="18"/>
        </w:rPr>
        <w:sectPr>
          <w:pgSz w:w="11910" w:h="16840"/>
          <w:pgMar w:header="852" w:footer="1186" w:top="1200" w:bottom="1380" w:left="1180" w:right="1180"/>
        </w:sectPr>
      </w:pPr>
    </w:p>
    <w:p>
      <w:pPr>
        <w:spacing w:line="240" w:lineRule="auto" w:before="7"/>
        <w:rPr>
          <w:rFonts w:ascii="宋体" w:hAnsi="宋体" w:cs="宋体" w:eastAsia="宋体" w:hint="default"/>
          <w:sz w:val="17"/>
          <w:szCs w:val="17"/>
        </w:rPr>
      </w:pPr>
    </w:p>
    <w:tbl>
      <w:tblPr>
        <w:tblW w:w="0" w:type="auto"/>
        <w:jc w:val="left"/>
        <w:tblInd w:w="514" w:type="dxa"/>
        <w:tblLayout w:type="fixed"/>
        <w:tblCellMar>
          <w:top w:w="0" w:type="dxa"/>
          <w:left w:w="0" w:type="dxa"/>
          <w:bottom w:w="0" w:type="dxa"/>
          <w:right w:w="0" w:type="dxa"/>
        </w:tblCellMar>
        <w:tblLook w:val="01E0"/>
      </w:tblPr>
      <w:tblGrid>
        <w:gridCol w:w="3003"/>
        <w:gridCol w:w="1392"/>
        <w:gridCol w:w="540"/>
        <w:gridCol w:w="1162"/>
        <w:gridCol w:w="1174"/>
        <w:gridCol w:w="1445"/>
      </w:tblGrid>
      <w:tr>
        <w:trPr>
          <w:trHeight w:val="420" w:hRule="exact"/>
        </w:trPr>
        <w:tc>
          <w:tcPr>
            <w:tcW w:w="300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146"/>
              <w:jc w:val="right"/>
              <w:rPr>
                <w:rFonts w:ascii="宋体" w:hAnsi="宋体" w:cs="宋体" w:eastAsia="宋体" w:hint="default"/>
                <w:sz w:val="18"/>
                <w:szCs w:val="18"/>
              </w:rPr>
            </w:pPr>
            <w:r>
              <w:rPr>
                <w:rFonts w:ascii="宋体" w:hAnsi="宋体" w:cs="宋体" w:eastAsia="宋体" w:hint="default"/>
                <w:sz w:val="18"/>
                <w:szCs w:val="18"/>
              </w:rPr>
              <w:t>年初账面余额</w:t>
            </w:r>
          </w:p>
        </w:tc>
        <w:tc>
          <w:tcPr>
            <w:tcW w:w="170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1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127"/>
              <w:jc w:val="right"/>
              <w:rPr>
                <w:rFonts w:ascii="宋体" w:hAnsi="宋体" w:cs="宋体" w:eastAsia="宋体" w:hint="default"/>
                <w:sz w:val="18"/>
                <w:szCs w:val="18"/>
              </w:rPr>
            </w:pPr>
            <w:r>
              <w:rPr>
                <w:rFonts w:ascii="宋体" w:hAnsi="宋体" w:cs="宋体" w:eastAsia="宋体" w:hint="default"/>
                <w:sz w:val="18"/>
                <w:szCs w:val="18"/>
              </w:rPr>
              <w:t>本年减少额</w:t>
            </w:r>
          </w:p>
        </w:tc>
        <w:tc>
          <w:tcPr>
            <w:tcW w:w="14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3"/>
              <w:ind w:right="180"/>
              <w:jc w:val="righ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一、固定资产原价合计</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39,289,958.34</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552" w:right="0"/>
              <w:jc w:val="left"/>
              <w:rPr>
                <w:rFonts w:ascii="Times New Roman" w:hAnsi="Times New Roman" w:cs="Times New Roman" w:eastAsia="Times New Roman" w:hint="default"/>
                <w:sz w:val="18"/>
                <w:szCs w:val="18"/>
              </w:rPr>
            </w:pPr>
            <w:r>
              <w:rPr>
                <w:rFonts w:ascii="Times New Roman"/>
                <w:sz w:val="18"/>
              </w:rPr>
              <w:t>23,624,678.09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344,173.00</w:t>
            </w: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62,570,463.43</w:t>
            </w:r>
          </w:p>
        </w:tc>
      </w:tr>
      <w:tr>
        <w:trPr>
          <w:trHeight w:val="410"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24,054,003.89</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552" w:right="0"/>
              <w:jc w:val="left"/>
              <w:rPr>
                <w:rFonts w:ascii="Times New Roman" w:hAnsi="Times New Roman" w:cs="Times New Roman" w:eastAsia="Times New Roman" w:hint="default"/>
                <w:sz w:val="18"/>
                <w:szCs w:val="18"/>
              </w:rPr>
            </w:pPr>
            <w:r>
              <w:rPr>
                <w:rFonts w:ascii="Times New Roman"/>
                <w:sz w:val="18"/>
              </w:rPr>
              <w:t>21,896,537.45</w:t>
            </w: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45,950,541.34</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、运输设备</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4,888,034.00</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641" w:right="0"/>
              <w:jc w:val="left"/>
              <w:rPr>
                <w:rFonts w:ascii="Times New Roman" w:hAnsi="Times New Roman" w:cs="Times New Roman" w:eastAsia="Times New Roman" w:hint="default"/>
                <w:sz w:val="18"/>
                <w:szCs w:val="18"/>
              </w:rPr>
            </w:pPr>
            <w:r>
              <w:rPr>
                <w:rFonts w:ascii="Times New Roman"/>
                <w:sz w:val="18"/>
              </w:rPr>
              <w:t>1,389,388.00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201,023.00</w:t>
            </w: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6,076,399.00</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、机器设备</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8,308,178.41</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104,709.40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109,380.00</w:t>
            </w: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8,303,507.81</w:t>
            </w:r>
          </w:p>
        </w:tc>
      </w:tr>
      <w:tr>
        <w:trPr>
          <w:trHeight w:val="410"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2,039,742.04</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775" w:right="0"/>
              <w:jc w:val="left"/>
              <w:rPr>
                <w:rFonts w:ascii="Times New Roman" w:hAnsi="Times New Roman" w:cs="Times New Roman" w:eastAsia="Times New Roman" w:hint="default"/>
                <w:sz w:val="18"/>
                <w:szCs w:val="18"/>
              </w:rPr>
            </w:pPr>
            <w:r>
              <w:rPr>
                <w:rFonts w:ascii="Times New Roman"/>
                <w:sz w:val="18"/>
              </w:rPr>
              <w:t>234,043.24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33,770.00</w:t>
            </w: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2,240,015.28</w:t>
            </w:r>
          </w:p>
        </w:tc>
      </w:tr>
      <w:tr>
        <w:trPr>
          <w:trHeight w:val="482" w:hRule="exact"/>
        </w:trPr>
        <w:tc>
          <w:tcPr>
            <w:tcW w:w="3003" w:type="dxa"/>
            <w:tcBorders>
              <w:top w:val="single" w:sz="6" w:space="0" w:color="000000"/>
              <w:left w:val="nil" w:sz="6" w:space="0" w:color="auto"/>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71"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4" w:lineRule="exact"/>
              <w:ind w:left="71" w:right="0"/>
              <w:jc w:val="left"/>
              <w:rPr>
                <w:rFonts w:ascii="宋体" w:hAnsi="宋体" w:cs="宋体" w:eastAsia="宋体" w:hint="default"/>
                <w:sz w:val="18"/>
                <w:szCs w:val="18"/>
              </w:rPr>
            </w:pPr>
            <w:r>
              <w:rPr>
                <w:rFonts w:ascii="宋体" w:hAnsi="宋体" w:cs="宋体" w:eastAsia="宋体" w:hint="default"/>
                <w:sz w:val="18"/>
                <w:szCs w:val="18"/>
              </w:rPr>
              <w:t>新增</w:t>
            </w:r>
          </w:p>
        </w:tc>
        <w:tc>
          <w:tcPr>
            <w:tcW w:w="11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21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13,390,315.51</w:t>
            </w: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3,190,533.14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325,526.62</w:t>
            </w: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16,255,322.03</w:t>
            </w:r>
          </w:p>
        </w:tc>
      </w:tr>
      <w:tr>
        <w:trPr>
          <w:trHeight w:val="410"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4,594,795.44</w:t>
            </w: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978,757.74</w:t>
            </w: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5,573,553.18</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、运输设备</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2,759,904.83</w:t>
            </w: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579,457.84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188,097.19</w:t>
            </w: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3,151,265.48</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、机器设备</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4,688,337.15</w:t>
            </w: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1,422,272.21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106,098.60</w:t>
            </w: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6,004,510.76</w:t>
            </w:r>
          </w:p>
        </w:tc>
      </w:tr>
      <w:tr>
        <w:trPr>
          <w:trHeight w:val="410"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1,347,278.09</w:t>
            </w: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6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210,045.35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31,330.83</w:t>
            </w: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1,525,992.61</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三、固定资产净值合计</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25,899,642.83</w:t>
            </w: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46,315,141.40</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19,459,208.45</w:t>
            </w: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40,376,988.16</w:t>
            </w:r>
          </w:p>
        </w:tc>
      </w:tr>
      <w:tr>
        <w:trPr>
          <w:trHeight w:val="410"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、运输设备</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2,128,129.17</w:t>
            </w: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2,925,133.52</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、机器设备</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3,619,841.26</w:t>
            </w: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2,298,997.05</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692,463.95</w:t>
            </w: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714,022.67</w:t>
            </w:r>
          </w:p>
        </w:tc>
      </w:tr>
      <w:tr>
        <w:trPr>
          <w:trHeight w:val="480"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四、固定资产减值准备累计金额合</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392" w:type="dxa"/>
            <w:tcBorders>
              <w:top w:val="single" w:sz="6" w:space="0" w:color="000000"/>
              <w:left w:val="single" w:sz="6" w:space="0" w:color="000000"/>
              <w:bottom w:val="single" w:sz="6" w:space="0" w:color="000000"/>
              <w:right w:val="single" w:sz="6" w:space="0" w:color="000000"/>
            </w:tcBorders>
          </w:tcPr>
          <w:p>
            <w:pP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392" w:type="dxa"/>
            <w:tcBorders>
              <w:top w:val="single" w:sz="6" w:space="0" w:color="000000"/>
              <w:left w:val="single" w:sz="6" w:space="0" w:color="000000"/>
              <w:bottom w:val="single" w:sz="6" w:space="0" w:color="000000"/>
              <w:right w:val="single" w:sz="6" w:space="0" w:color="000000"/>
            </w:tcBorders>
          </w:tcPr>
          <w:p>
            <w:pP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、运输设备</w:t>
            </w:r>
          </w:p>
        </w:tc>
        <w:tc>
          <w:tcPr>
            <w:tcW w:w="1392" w:type="dxa"/>
            <w:tcBorders>
              <w:top w:val="single" w:sz="6" w:space="0" w:color="000000"/>
              <w:left w:val="single" w:sz="6" w:space="0" w:color="000000"/>
              <w:bottom w:val="single" w:sz="6" w:space="0" w:color="000000"/>
              <w:right w:val="single" w:sz="6" w:space="0" w:color="000000"/>
            </w:tcBorders>
          </w:tcPr>
          <w:p>
            <w:pP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、机器设备</w:t>
            </w:r>
          </w:p>
        </w:tc>
        <w:tc>
          <w:tcPr>
            <w:tcW w:w="1392" w:type="dxa"/>
            <w:tcBorders>
              <w:top w:val="single" w:sz="6" w:space="0" w:color="000000"/>
              <w:left w:val="single" w:sz="6" w:space="0" w:color="000000"/>
              <w:bottom w:val="single" w:sz="6" w:space="0" w:color="000000"/>
              <w:right w:val="single" w:sz="6" w:space="0" w:color="000000"/>
            </w:tcBorders>
          </w:tcPr>
          <w:p>
            <w:pP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392" w:type="dxa"/>
            <w:tcBorders>
              <w:top w:val="single" w:sz="6" w:space="0" w:color="000000"/>
              <w:left w:val="single" w:sz="6" w:space="0" w:color="000000"/>
              <w:bottom w:val="single" w:sz="6" w:space="0" w:color="000000"/>
              <w:right w:val="single" w:sz="6" w:space="0" w:color="000000"/>
            </w:tcBorders>
          </w:tcPr>
          <w:p>
            <w:pP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25,899,642.83</w:t>
            </w: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46,315,141.40</w:t>
            </w:r>
          </w:p>
        </w:tc>
      </w:tr>
      <w:tr>
        <w:trPr>
          <w:trHeight w:val="410"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19,459,208.45</w:t>
            </w: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40,376,988.16</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、运输设备</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2,128,129.17</w:t>
            </w: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2,925,133.52</w:t>
            </w:r>
          </w:p>
        </w:tc>
      </w:tr>
      <w:tr>
        <w:trPr>
          <w:trHeight w:val="413"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、机器设备</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3,619,841.26</w:t>
            </w:r>
          </w:p>
        </w:tc>
        <w:tc>
          <w:tcPr>
            <w:tcW w:w="1702" w:type="dxa"/>
            <w:gridSpan w:val="2"/>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2,298,997.05</w:t>
            </w:r>
          </w:p>
        </w:tc>
      </w:tr>
      <w:tr>
        <w:trPr>
          <w:trHeight w:val="420" w:hRule="exact"/>
        </w:trPr>
        <w:tc>
          <w:tcPr>
            <w:tcW w:w="300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、其他设备</w:t>
            </w:r>
          </w:p>
        </w:tc>
        <w:tc>
          <w:tcPr>
            <w:tcW w:w="1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692,463.95</w:t>
            </w:r>
          </w:p>
        </w:tc>
        <w:tc>
          <w:tcPr>
            <w:tcW w:w="1702" w:type="dxa"/>
            <w:gridSpan w:val="2"/>
            <w:tcBorders>
              <w:top w:val="single" w:sz="6" w:space="0" w:color="000000"/>
              <w:left w:val="single" w:sz="6" w:space="0" w:color="000000"/>
              <w:bottom w:val="single" w:sz="12" w:space="0" w:color="000000"/>
              <w:right w:val="single" w:sz="6" w:space="0" w:color="000000"/>
            </w:tcBorders>
          </w:tcPr>
          <w:p>
            <w:pPr/>
          </w:p>
        </w:tc>
        <w:tc>
          <w:tcPr>
            <w:tcW w:w="1174" w:type="dxa"/>
            <w:tcBorders>
              <w:top w:val="single" w:sz="6" w:space="0" w:color="000000"/>
              <w:left w:val="single" w:sz="6" w:space="0" w:color="000000"/>
              <w:bottom w:val="single" w:sz="12" w:space="0" w:color="000000"/>
              <w:right w:val="single" w:sz="6" w:space="0" w:color="000000"/>
            </w:tcBorders>
          </w:tcPr>
          <w:p>
            <w:pPr/>
          </w:p>
        </w:tc>
        <w:tc>
          <w:tcPr>
            <w:tcW w:w="14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714,022.67</w:t>
            </w:r>
          </w:p>
        </w:tc>
      </w:tr>
    </w:tbl>
    <w:p>
      <w:pPr>
        <w:pStyle w:val="BodyText"/>
        <w:spacing w:line="257" w:lineRule="exact"/>
        <w:ind w:left="1160" w:right="0"/>
        <w:jc w:val="left"/>
      </w:pPr>
      <w:r>
        <w:rPr/>
        <w:t>（</w:t>
      </w:r>
      <w:r>
        <w:rPr>
          <w:rFonts w:ascii="Times New Roman" w:hAnsi="Times New Roman" w:cs="Times New Roman" w:eastAsia="Times New Roman" w:hint="default"/>
        </w:rPr>
        <w:t>2</w:t>
      </w:r>
      <w:r>
        <w:rPr/>
        <w:t>）本年计提的折旧额为</w:t>
      </w:r>
      <w:r>
        <w:rPr>
          <w:spacing w:val="-52"/>
        </w:rPr>
        <w:t> </w:t>
      </w:r>
      <w:r>
        <w:rPr>
          <w:rFonts w:ascii="Times New Roman" w:hAnsi="Times New Roman" w:cs="Times New Roman" w:eastAsia="Times New Roman" w:hint="default"/>
        </w:rPr>
        <w:t>3,190,533.14</w:t>
      </w:r>
      <w:r>
        <w:rPr>
          <w:rFonts w:ascii="Times New Roman" w:hAnsi="Times New Roman" w:cs="Times New Roman" w:eastAsia="Times New Roman" w:hint="default"/>
          <w:spacing w:val="-3"/>
        </w:rPr>
        <w:t> </w:t>
      </w:r>
      <w:r>
        <w:rPr/>
        <w:t>元。</w:t>
      </w:r>
    </w:p>
    <w:p>
      <w:pPr>
        <w:pStyle w:val="BodyText"/>
        <w:spacing w:line="240" w:lineRule="auto" w:before="118"/>
        <w:ind w:left="1160" w:right="0"/>
        <w:jc w:val="left"/>
      </w:pPr>
      <w:r>
        <w:rPr/>
        <w:t>（</w:t>
      </w:r>
      <w:r>
        <w:rPr>
          <w:rFonts w:ascii="Times New Roman" w:hAnsi="Times New Roman" w:cs="Times New Roman" w:eastAsia="Times New Roman" w:hint="default"/>
        </w:rPr>
        <w:t>3</w:t>
      </w:r>
      <w:r>
        <w:rPr/>
        <w:t>）本年由在建工程完工转入金额为</w:t>
      </w:r>
      <w:r>
        <w:rPr>
          <w:spacing w:val="-56"/>
        </w:rPr>
        <w:t> </w:t>
      </w:r>
      <w:r>
        <w:rPr>
          <w:rFonts w:ascii="Times New Roman" w:hAnsi="Times New Roman" w:cs="Times New Roman" w:eastAsia="Times New Roman" w:hint="default"/>
        </w:rPr>
        <w:t>22,029,278.45</w:t>
      </w:r>
      <w:r>
        <w:rPr>
          <w:rFonts w:ascii="Times New Roman" w:hAnsi="Times New Roman" w:cs="Times New Roman" w:eastAsia="Times New Roman" w:hint="default"/>
          <w:spacing w:val="-5"/>
        </w:rPr>
        <w:t> </w:t>
      </w:r>
      <w:r>
        <w:rPr/>
        <w:t>元</w:t>
      </w:r>
    </w:p>
    <w:p>
      <w:pPr>
        <w:pStyle w:val="BodyText"/>
        <w:spacing w:line="240" w:lineRule="auto" w:before="117"/>
        <w:ind w:left="1160" w:right="0"/>
        <w:jc w:val="left"/>
      </w:pPr>
      <w:r>
        <w:rPr/>
        <w:t>（</w:t>
      </w:r>
      <w:r>
        <w:rPr>
          <w:rFonts w:ascii="Times New Roman" w:hAnsi="Times New Roman" w:cs="Times New Roman" w:eastAsia="Times New Roman" w:hint="default"/>
        </w:rPr>
        <w:t>4</w:t>
      </w:r>
      <w:r>
        <w:rPr/>
        <w:t>）年末固定资产不存在抵押、减值、未办妥产权证书的情况。</w:t>
      </w:r>
    </w:p>
    <w:p>
      <w:pPr>
        <w:pStyle w:val="Heading5"/>
        <w:tabs>
          <w:tab w:pos="2000" w:val="left" w:leader="none"/>
        </w:tabs>
        <w:spacing w:line="240" w:lineRule="auto" w:before="177"/>
        <w:ind w:left="1160" w:right="0"/>
        <w:jc w:val="left"/>
        <w:rPr>
          <w:b w:val="0"/>
          <w:bCs w:val="0"/>
        </w:rPr>
      </w:pPr>
      <w:r>
        <w:rPr/>
        <w:t>（八）</w:t>
        <w:tab/>
        <w:t>在建工程</w:t>
      </w:r>
      <w:r>
        <w:rPr>
          <w:b w:val="0"/>
          <w:bCs w:val="0"/>
        </w:rPr>
      </w:r>
    </w:p>
    <w:p>
      <w:pPr>
        <w:spacing w:line="240" w:lineRule="auto" w:before="3"/>
        <w:rPr>
          <w:rFonts w:ascii="宋体" w:hAnsi="宋体" w:cs="宋体" w:eastAsia="宋体" w:hint="default"/>
          <w:b/>
          <w:bCs/>
          <w:sz w:val="16"/>
          <w:szCs w:val="16"/>
        </w:rPr>
      </w:pPr>
    </w:p>
    <w:p>
      <w:pPr>
        <w:pStyle w:val="BodyText"/>
        <w:spacing w:line="240" w:lineRule="auto"/>
        <w:ind w:left="1160" w:right="0"/>
        <w:jc w:val="left"/>
      </w:pPr>
      <w:r>
        <w:rPr/>
        <w:t>（</w:t>
      </w:r>
      <w:r>
        <w:rPr>
          <w:rFonts w:ascii="Times New Roman" w:hAnsi="Times New Roman" w:cs="Times New Roman" w:eastAsia="Times New Roman" w:hint="default"/>
        </w:rPr>
        <w:t>1</w:t>
      </w:r>
      <w:r>
        <w:rPr/>
        <w:t>）在建工程分项列示如下：</w:t>
      </w:r>
    </w:p>
    <w:p>
      <w:pPr>
        <w:spacing w:line="240" w:lineRule="auto" w:before="10"/>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061"/>
        <w:gridCol w:w="3250"/>
        <w:gridCol w:w="3250"/>
      </w:tblGrid>
      <w:tr>
        <w:trPr>
          <w:trHeight w:val="370" w:hRule="exact"/>
        </w:trPr>
        <w:tc>
          <w:tcPr>
            <w:tcW w:w="3061"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07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32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07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bl>
    <w:p>
      <w:pPr>
        <w:spacing w:after="0" w:line="240" w:lineRule="auto"/>
        <w:jc w:val="left"/>
        <w:rPr>
          <w:rFonts w:ascii="宋体" w:hAnsi="宋体" w:cs="宋体" w:eastAsia="宋体" w:hint="default"/>
          <w:sz w:val="18"/>
          <w:szCs w:val="18"/>
        </w:rPr>
        <w:sectPr>
          <w:footerReference w:type="default" r:id="rId52"/>
          <w:pgSz w:w="11910" w:h="16840"/>
          <w:pgMar w:footer="1186" w:header="852" w:top="1200" w:bottom="1380" w:left="1060" w:right="1060"/>
        </w:sectPr>
      </w:pPr>
    </w:p>
    <w:p>
      <w:pPr>
        <w:spacing w:line="240" w:lineRule="auto" w:before="7"/>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075"/>
        <w:gridCol w:w="1253"/>
        <w:gridCol w:w="742"/>
        <w:gridCol w:w="1256"/>
        <w:gridCol w:w="1253"/>
        <w:gridCol w:w="745"/>
        <w:gridCol w:w="1253"/>
      </w:tblGrid>
      <w:tr>
        <w:trPr>
          <w:trHeight w:val="490" w:hRule="exact"/>
        </w:trPr>
        <w:tc>
          <w:tcPr>
            <w:tcW w:w="3075" w:type="dxa"/>
            <w:tcBorders>
              <w:top w:val="single" w:sz="12" w:space="0" w:color="000000"/>
              <w:left w:val="nil" w:sz="6" w:space="0" w:color="auto"/>
              <w:bottom w:val="single" w:sz="6" w:space="0" w:color="000000"/>
              <w:right w:val="single" w:sz="6" w:space="0" w:color="000000"/>
            </w:tcBorders>
          </w:tcPr>
          <w:p>
            <w:pPr/>
          </w:p>
        </w:tc>
        <w:tc>
          <w:tcPr>
            <w:tcW w:w="12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2"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sz w:val="18"/>
                <w:szCs w:val="18"/>
              </w:rPr>
              <w:t>账面净额</w:t>
            </w:r>
          </w:p>
        </w:tc>
        <w:tc>
          <w:tcPr>
            <w:tcW w:w="12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5"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5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sz w:val="18"/>
                <w:szCs w:val="18"/>
              </w:rPr>
              <w:t>账面净额</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购置商品房</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3,612,132.64</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3,612,132.64</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3,612,132.64</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3,612,132.64</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分散自律调度集中系统（</w:t>
            </w:r>
            <w:r>
              <w:rPr>
                <w:rFonts w:ascii="Times New Roman" w:hAnsi="Times New Roman" w:cs="Times New Roman" w:eastAsia="Times New Roman" w:hint="default"/>
                <w:sz w:val="18"/>
                <w:szCs w:val="18"/>
              </w:rPr>
              <w:t>CTC</w:t>
            </w:r>
            <w:r>
              <w:rPr>
                <w:rFonts w:ascii="宋体" w:hAnsi="宋体" w:cs="宋体" w:eastAsia="宋体" w:hint="default"/>
                <w:sz w:val="18"/>
                <w:szCs w:val="18"/>
              </w:rPr>
              <w:t>）</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944,197.49</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944,197.49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944,197.49</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944,197.49</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铁路计算机连锁系统</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1,166,685.79</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1,166,685.79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1,166,685.79</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1,166,685.79</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无线调车机车信号和监控系统</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6,618,026.88</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6,618,026.88</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8,154,076.49</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8,154,076.49</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铁路信号集中监测系统的产业化</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12,777,543.02</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12,777,543.02</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11,389,438.46</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11,389,438.46</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新产品技术研发中心</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11,090,745.05</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11,090,745.05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12,355,328.62</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12,355,328.62</w:t>
            </w:r>
          </w:p>
        </w:tc>
      </w:tr>
      <w:tr>
        <w:trPr>
          <w:trHeight w:val="480"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年开通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个车站的新铁路信号集中</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监测系统</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4,243,922.56</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4,243,922.56</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1,620,043.05</w:t>
            </w: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1,620,043.05</w:t>
            </w:r>
          </w:p>
        </w:tc>
      </w:tr>
      <w:tr>
        <w:trPr>
          <w:trHeight w:val="355" w:hRule="exact"/>
        </w:trPr>
        <w:tc>
          <w:tcPr>
            <w:tcW w:w="30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铁路防灾安全监控系统</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1,116,931.64</w:t>
            </w:r>
          </w:p>
        </w:tc>
        <w:tc>
          <w:tcPr>
            <w:tcW w:w="742"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1,116,931.64</w:t>
            </w:r>
          </w:p>
        </w:tc>
        <w:tc>
          <w:tcPr>
            <w:tcW w:w="1253"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307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41,570,185.07</w:t>
            </w:r>
          </w:p>
        </w:tc>
        <w:tc>
          <w:tcPr>
            <w:tcW w:w="742" w:type="dxa"/>
            <w:tcBorders>
              <w:top w:val="single" w:sz="6" w:space="0" w:color="000000"/>
              <w:left w:val="single" w:sz="6" w:space="0" w:color="000000"/>
              <w:bottom w:val="single" w:sz="12" w:space="0" w:color="000000"/>
              <w:right w:val="single" w:sz="6" w:space="0" w:color="000000"/>
            </w:tcBorders>
          </w:tcPr>
          <w:p>
            <w:pPr/>
          </w:p>
        </w:tc>
        <w:tc>
          <w:tcPr>
            <w:tcW w:w="12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41,570,185.07</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39,241,902.54</w:t>
            </w:r>
          </w:p>
        </w:tc>
        <w:tc>
          <w:tcPr>
            <w:tcW w:w="745" w:type="dxa"/>
            <w:tcBorders>
              <w:top w:val="single" w:sz="6" w:space="0" w:color="000000"/>
              <w:left w:val="single" w:sz="6" w:space="0" w:color="000000"/>
              <w:bottom w:val="single" w:sz="12" w:space="0" w:color="000000"/>
              <w:right w:val="single" w:sz="6" w:space="0" w:color="000000"/>
            </w:tcBorders>
          </w:tcPr>
          <w:p>
            <w:pPr/>
          </w:p>
        </w:tc>
        <w:tc>
          <w:tcPr>
            <w:tcW w:w="1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39,241,902.54</w:t>
            </w:r>
          </w:p>
        </w:tc>
      </w:tr>
    </w:tbl>
    <w:p>
      <w:pPr>
        <w:spacing w:line="240" w:lineRule="auto" w:before="7"/>
        <w:rPr>
          <w:rFonts w:ascii="宋体" w:hAnsi="宋体" w:cs="宋体" w:eastAsia="宋体" w:hint="default"/>
          <w:sz w:val="6"/>
          <w:szCs w:val="6"/>
        </w:rPr>
      </w:pPr>
    </w:p>
    <w:p>
      <w:pPr>
        <w:pStyle w:val="BodyText"/>
        <w:spacing w:line="240" w:lineRule="auto" w:before="36"/>
        <w:ind w:left="1180" w:right="0"/>
        <w:jc w:val="left"/>
      </w:pPr>
      <w:r>
        <w:rPr/>
        <w:t>（</w:t>
      </w:r>
      <w:r>
        <w:rPr>
          <w:rFonts w:ascii="Times New Roman" w:hAnsi="Times New Roman" w:cs="Times New Roman" w:eastAsia="Times New Roman" w:hint="default"/>
        </w:rPr>
        <w:t>2</w:t>
      </w:r>
      <w:r>
        <w:rPr/>
        <w:t>）重大在建工程项目基本情况及增减变动如下：</w:t>
      </w:r>
    </w:p>
    <w:p>
      <w:pPr>
        <w:spacing w:line="240" w:lineRule="auto" w:before="8"/>
        <w:rPr>
          <w:rFonts w:ascii="宋体" w:hAnsi="宋体" w:cs="宋体" w:eastAsia="宋体" w:hint="default"/>
          <w:sz w:val="11"/>
          <w:szCs w:val="11"/>
        </w:rPr>
      </w:pPr>
    </w:p>
    <w:tbl>
      <w:tblPr>
        <w:tblW w:w="0" w:type="auto"/>
        <w:jc w:val="left"/>
        <w:tblInd w:w="321" w:type="dxa"/>
        <w:tblLayout w:type="fixed"/>
        <w:tblCellMar>
          <w:top w:w="0" w:type="dxa"/>
          <w:left w:w="0" w:type="dxa"/>
          <w:bottom w:w="0" w:type="dxa"/>
          <w:right w:w="0" w:type="dxa"/>
        </w:tblCellMar>
        <w:tblLook w:val="01E0"/>
      </w:tblPr>
      <w:tblGrid>
        <w:gridCol w:w="3481"/>
        <w:gridCol w:w="948"/>
        <w:gridCol w:w="1416"/>
        <w:gridCol w:w="1003"/>
        <w:gridCol w:w="1292"/>
        <w:gridCol w:w="1003"/>
      </w:tblGrid>
      <w:tr>
        <w:trPr>
          <w:trHeight w:val="362" w:hRule="exact"/>
        </w:trPr>
        <w:tc>
          <w:tcPr>
            <w:tcW w:w="3481"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工程名称</w:t>
            </w:r>
          </w:p>
        </w:tc>
        <w:tc>
          <w:tcPr>
            <w:tcW w:w="948"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242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年初金额</w:t>
            </w:r>
          </w:p>
        </w:tc>
        <w:tc>
          <w:tcPr>
            <w:tcW w:w="229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689" w:right="0"/>
              <w:jc w:val="left"/>
              <w:rPr>
                <w:rFonts w:ascii="宋体" w:hAnsi="宋体" w:cs="宋体" w:eastAsia="宋体" w:hint="default"/>
                <w:sz w:val="18"/>
                <w:szCs w:val="18"/>
              </w:rPr>
            </w:pPr>
            <w:r>
              <w:rPr>
                <w:rFonts w:ascii="宋体" w:hAnsi="宋体" w:cs="宋体" w:eastAsia="宋体" w:hint="default"/>
                <w:sz w:val="18"/>
                <w:szCs w:val="18"/>
              </w:rPr>
              <w:t>本年增加额</w:t>
            </w:r>
          </w:p>
        </w:tc>
      </w:tr>
      <w:tr>
        <w:trPr>
          <w:trHeight w:val="482" w:hRule="exact"/>
        </w:trPr>
        <w:tc>
          <w:tcPr>
            <w:tcW w:w="3481" w:type="dxa"/>
            <w:vMerge/>
            <w:tcBorders>
              <w:left w:val="nil" w:sz="6" w:space="0" w:color="auto"/>
              <w:bottom w:val="single" w:sz="6" w:space="0" w:color="000000"/>
              <w:right w:val="single" w:sz="6" w:space="0" w:color="000000"/>
            </w:tcBorders>
          </w:tcPr>
          <w:p>
            <w:pPr/>
          </w:p>
        </w:tc>
        <w:tc>
          <w:tcPr>
            <w:tcW w:w="948"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其中：利</w:t>
            </w: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息资本化</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其中：利</w:t>
            </w: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息资本化</w:t>
            </w: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购置商品房</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0"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3,612,132.64</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分散自律调度集中系统（</w:t>
            </w:r>
            <w:r>
              <w:rPr>
                <w:rFonts w:ascii="Times New Roman" w:hAnsi="Times New Roman" w:cs="Times New Roman" w:eastAsia="Times New Roman" w:hint="default"/>
                <w:sz w:val="18"/>
                <w:szCs w:val="18"/>
              </w:rPr>
              <w:t>CTC</w:t>
            </w:r>
            <w:r>
              <w:rPr>
                <w:rFonts w:ascii="宋体" w:hAnsi="宋体" w:cs="宋体" w:eastAsia="宋体" w:hint="default"/>
                <w:sz w:val="18"/>
                <w:szCs w:val="18"/>
              </w:rPr>
              <w:t>）</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0"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944,197.49</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铁路计算机连锁系统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0"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1,166,685.79</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无线调车机车信号和监控系统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0" w:right="0"/>
              <w:jc w:val="center"/>
              <w:rPr>
                <w:rFonts w:ascii="宋体" w:hAnsi="宋体" w:cs="宋体" w:eastAsia="宋体" w:hint="default"/>
                <w:sz w:val="18"/>
                <w:szCs w:val="18"/>
              </w:rPr>
            </w:pPr>
            <w:r>
              <w:rPr>
                <w:rFonts w:ascii="宋体" w:hAnsi="宋体" w:cs="宋体" w:eastAsia="宋体" w:hint="default"/>
                <w:sz w:val="18"/>
                <w:szCs w:val="18"/>
              </w:rPr>
              <w:t>募股资金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8,154,076.49</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2,894,501.48</w:t>
            </w: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铁路信号集中监测系统的产业化</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0" w:right="0"/>
              <w:jc w:val="center"/>
              <w:rPr>
                <w:rFonts w:ascii="宋体" w:hAnsi="宋体" w:cs="宋体" w:eastAsia="宋体" w:hint="default"/>
                <w:sz w:val="18"/>
                <w:szCs w:val="18"/>
              </w:rPr>
            </w:pPr>
            <w:r>
              <w:rPr>
                <w:rFonts w:ascii="宋体" w:hAnsi="宋体" w:cs="宋体" w:eastAsia="宋体" w:hint="default"/>
                <w:sz w:val="18"/>
                <w:szCs w:val="18"/>
              </w:rPr>
              <w:t>募股资金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11,389,438.46</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9,947,446.74</w:t>
            </w: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新产品技术研发中心</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0" w:right="0"/>
              <w:jc w:val="center"/>
              <w:rPr>
                <w:rFonts w:ascii="宋体" w:hAnsi="宋体" w:cs="宋体" w:eastAsia="宋体" w:hint="default"/>
                <w:sz w:val="18"/>
                <w:szCs w:val="18"/>
              </w:rPr>
            </w:pPr>
            <w:r>
              <w:rPr>
                <w:rFonts w:ascii="宋体" w:hAnsi="宋体" w:cs="宋体" w:eastAsia="宋体" w:hint="default"/>
                <w:sz w:val="18"/>
                <w:szCs w:val="18"/>
              </w:rPr>
              <w:t>募股资金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12,355,328.62</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7,294,758.61</w:t>
            </w: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年开通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个车站的新铁路信号集中监测</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center"/>
              <w:rPr>
                <w:rFonts w:ascii="宋体" w:hAnsi="宋体" w:cs="宋体" w:eastAsia="宋体" w:hint="default"/>
                <w:sz w:val="18"/>
                <w:szCs w:val="18"/>
              </w:rPr>
            </w:pPr>
            <w:r>
              <w:rPr>
                <w:rFonts w:ascii="宋体" w:hAnsi="宋体" w:cs="宋体" w:eastAsia="宋体" w:hint="default"/>
                <w:sz w:val="18"/>
                <w:szCs w:val="18"/>
              </w:rPr>
              <w:t>国债资金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1,620,043.05</w:t>
            </w: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2,623,879.51</w:t>
            </w: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铁路防灾安全监控系统</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超募资金</w:t>
            </w:r>
          </w:p>
        </w:tc>
        <w:tc>
          <w:tcPr>
            <w:tcW w:w="1416"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1,116,931.64</w:t>
            </w: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车棚</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16"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480,043.00</w:t>
            </w:r>
          </w:p>
        </w:tc>
        <w:tc>
          <w:tcPr>
            <w:tcW w:w="1003"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4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48"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39,241,902.54</w:t>
            </w:r>
          </w:p>
        </w:tc>
        <w:tc>
          <w:tcPr>
            <w:tcW w:w="1003" w:type="dxa"/>
            <w:tcBorders>
              <w:top w:val="single" w:sz="6" w:space="0" w:color="000000"/>
              <w:left w:val="single" w:sz="6" w:space="0" w:color="000000"/>
              <w:bottom w:val="single" w:sz="12" w:space="0" w:color="000000"/>
              <w:right w:val="single" w:sz="6" w:space="0" w:color="000000"/>
            </w:tcBorders>
          </w:tcPr>
          <w:p>
            <w:pP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24,357,560.98</w:t>
            </w:r>
          </w:p>
        </w:tc>
        <w:tc>
          <w:tcPr>
            <w:tcW w:w="1003" w:type="dxa"/>
            <w:tcBorders>
              <w:top w:val="single" w:sz="6" w:space="0" w:color="000000"/>
              <w:left w:val="single" w:sz="6" w:space="0" w:color="000000"/>
              <w:bottom w:val="single" w:sz="12" w:space="0" w:color="000000"/>
              <w:right w:val="nil" w:sz="6" w:space="0" w:color="auto"/>
            </w:tcBorders>
          </w:tcPr>
          <w:p>
            <w:pPr/>
          </w:p>
        </w:tc>
      </w:tr>
    </w:tbl>
    <w:p>
      <w:pPr>
        <w:pStyle w:val="BodyText"/>
        <w:spacing w:line="241" w:lineRule="exact"/>
        <w:ind w:left="1180" w:right="0"/>
        <w:jc w:val="left"/>
      </w:pPr>
      <w:r>
        <w:rPr/>
        <w:t>（续上表）</w:t>
      </w:r>
    </w:p>
    <w:p>
      <w:pPr>
        <w:spacing w:line="240" w:lineRule="auto" w:before="7"/>
        <w:rPr>
          <w:rFonts w:ascii="宋体" w:hAnsi="宋体" w:cs="宋体" w:eastAsia="宋体" w:hint="default"/>
          <w:sz w:val="2"/>
          <w:szCs w:val="2"/>
        </w:rPr>
      </w:pPr>
    </w:p>
    <w:tbl>
      <w:tblPr>
        <w:tblW w:w="0" w:type="auto"/>
        <w:jc w:val="left"/>
        <w:tblInd w:w="431" w:type="dxa"/>
        <w:tblLayout w:type="fixed"/>
        <w:tblCellMar>
          <w:top w:w="0" w:type="dxa"/>
          <w:left w:w="0" w:type="dxa"/>
          <w:bottom w:w="0" w:type="dxa"/>
          <w:right w:w="0" w:type="dxa"/>
        </w:tblCellMar>
        <w:tblLook w:val="01E0"/>
      </w:tblPr>
      <w:tblGrid>
        <w:gridCol w:w="3536"/>
        <w:gridCol w:w="1436"/>
        <w:gridCol w:w="1366"/>
        <w:gridCol w:w="1371"/>
        <w:gridCol w:w="1214"/>
      </w:tblGrid>
      <w:tr>
        <w:trPr>
          <w:trHeight w:val="362" w:hRule="exact"/>
        </w:trPr>
        <w:tc>
          <w:tcPr>
            <w:tcW w:w="3536"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工程名称</w:t>
            </w:r>
          </w:p>
        </w:tc>
        <w:tc>
          <w:tcPr>
            <w:tcW w:w="280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本年减少额</w:t>
            </w:r>
          </w:p>
        </w:tc>
        <w:tc>
          <w:tcPr>
            <w:tcW w:w="258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年末金额</w:t>
            </w:r>
          </w:p>
        </w:tc>
      </w:tr>
      <w:tr>
        <w:trPr>
          <w:trHeight w:val="482" w:hRule="exact"/>
        </w:trPr>
        <w:tc>
          <w:tcPr>
            <w:tcW w:w="3536" w:type="dxa"/>
            <w:vMerge/>
            <w:tcBorders>
              <w:left w:val="nil" w:sz="6" w:space="0" w:color="auto"/>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其中：本年转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固</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14" w:type="dxa"/>
            <w:tcBorders>
              <w:top w:val="single" w:sz="6" w:space="0" w:color="000000"/>
              <w:left w:val="single" w:sz="6" w:space="0" w:color="000000"/>
              <w:bottom w:val="single" w:sz="6" w:space="0" w:color="000000"/>
              <w:right w:val="nil" w:sz="6" w:space="0" w:color="auto"/>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利息资</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本化</w:t>
            </w:r>
          </w:p>
        </w:tc>
      </w:tr>
      <w:tr>
        <w:trPr>
          <w:trHeight w:val="355"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购置商品房</w:t>
            </w:r>
          </w:p>
        </w:tc>
        <w:tc>
          <w:tcPr>
            <w:tcW w:w="143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3,612,132.64</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分散自律调度集中系统（</w:t>
            </w:r>
            <w:r>
              <w:rPr>
                <w:rFonts w:ascii="Times New Roman" w:hAnsi="Times New Roman" w:cs="Times New Roman" w:eastAsia="Times New Roman" w:hint="default"/>
                <w:sz w:val="18"/>
                <w:szCs w:val="18"/>
              </w:rPr>
              <w:t>CTC</w:t>
            </w:r>
            <w:r>
              <w:rPr>
                <w:rFonts w:ascii="宋体" w:hAnsi="宋体" w:cs="宋体" w:eastAsia="宋体" w:hint="default"/>
                <w:sz w:val="18"/>
                <w:szCs w:val="18"/>
              </w:rPr>
              <w:t>）</w:t>
            </w:r>
          </w:p>
        </w:tc>
        <w:tc>
          <w:tcPr>
            <w:tcW w:w="143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944,197.49</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铁路计算机连锁系统</w:t>
            </w:r>
          </w:p>
        </w:tc>
        <w:tc>
          <w:tcPr>
            <w:tcW w:w="143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1,166,685.79</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无线调车机车信号和监控系统</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4,430,551.09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4,430,551.09</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6,618,026.88</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铁路信号集中监测系统的产业化</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8,559,342.18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8,559,342.18</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12,777,543.02</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新产品技术研发中心</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8,559,342.18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8,559,342.18</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11,090,745.05</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年开通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个车站的新铁路信号集中监测</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43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4,243,922.56</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铁路防灾安全监控系统</w:t>
            </w:r>
          </w:p>
        </w:tc>
        <w:tc>
          <w:tcPr>
            <w:tcW w:w="1436"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1,116,931.64</w:t>
            </w: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车棚</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480,043.00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480,043.00</w:t>
            </w:r>
          </w:p>
        </w:tc>
        <w:tc>
          <w:tcPr>
            <w:tcW w:w="1371"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53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22,029,278.45</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22,029,278.45</w:t>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41,570,185.07</w:t>
            </w:r>
          </w:p>
        </w:tc>
        <w:tc>
          <w:tcPr>
            <w:tcW w:w="1214" w:type="dxa"/>
            <w:tcBorders>
              <w:top w:val="single" w:sz="6" w:space="0" w:color="000000"/>
              <w:left w:val="single" w:sz="6" w:space="0" w:color="000000"/>
              <w:bottom w:val="single" w:sz="12" w:space="0" w:color="000000"/>
              <w:right w:val="nil" w:sz="6" w:space="0" w:color="auto"/>
            </w:tcBorders>
          </w:tcPr>
          <w:p>
            <w:pPr/>
          </w:p>
        </w:tc>
      </w:tr>
    </w:tbl>
    <w:p>
      <w:pPr>
        <w:spacing w:after="0"/>
        <w:sectPr>
          <w:footerReference w:type="default" r:id="rId53"/>
          <w:pgSz w:w="11910" w:h="16840"/>
          <w:pgMar w:footer="1186" w:header="852" w:top="1200" w:bottom="1380" w:left="1040" w:right="1040"/>
          <w:pgNumType w:start="101"/>
        </w:sectPr>
      </w:pPr>
    </w:p>
    <w:p>
      <w:pPr>
        <w:spacing w:line="240" w:lineRule="auto" w:before="3"/>
        <w:rPr>
          <w:rFonts w:ascii="宋体" w:hAnsi="宋体" w:cs="宋体" w:eastAsia="宋体" w:hint="default"/>
          <w:sz w:val="12"/>
          <w:szCs w:val="12"/>
        </w:rPr>
      </w:pPr>
    </w:p>
    <w:p>
      <w:pPr>
        <w:pStyle w:val="BodyText"/>
        <w:spacing w:line="240" w:lineRule="auto" w:before="36"/>
        <w:ind w:left="820" w:right="0"/>
        <w:jc w:val="left"/>
      </w:pPr>
      <w:r>
        <w:rPr/>
        <w:t>（</w:t>
      </w:r>
      <w:r>
        <w:rPr>
          <w:rFonts w:ascii="Times New Roman" w:hAnsi="Times New Roman" w:cs="Times New Roman" w:eastAsia="Times New Roman" w:hint="default"/>
        </w:rPr>
        <w:t>3</w:t>
      </w:r>
      <w:r>
        <w:rPr/>
        <w:t>）本年在建工程转入固定资产</w:t>
      </w:r>
      <w:r>
        <w:rPr>
          <w:spacing w:val="-55"/>
        </w:rPr>
        <w:t> </w:t>
      </w:r>
      <w:r>
        <w:rPr>
          <w:rFonts w:ascii="Times New Roman" w:hAnsi="Times New Roman" w:cs="Times New Roman" w:eastAsia="Times New Roman" w:hint="default"/>
        </w:rPr>
        <w:t>22,029,278.45</w:t>
      </w:r>
      <w:r>
        <w:rPr>
          <w:rFonts w:ascii="Times New Roman" w:hAnsi="Times New Roman" w:cs="Times New Roman" w:eastAsia="Times New Roman" w:hint="default"/>
          <w:spacing w:val="-2"/>
        </w:rPr>
        <w:t> </w:t>
      </w:r>
      <w:r>
        <w:rPr>
          <w:spacing w:val="-3"/>
        </w:rPr>
        <w:t>元。</w:t>
      </w:r>
      <w:r>
        <w:rPr/>
      </w:r>
    </w:p>
    <w:p>
      <w:pPr>
        <w:pStyle w:val="BodyText"/>
        <w:spacing w:line="240" w:lineRule="auto" w:before="117"/>
        <w:ind w:left="820" w:right="0"/>
        <w:jc w:val="left"/>
      </w:pPr>
      <w:r>
        <w:rPr>
          <w:spacing w:val="-15"/>
        </w:rPr>
        <w:t>（</w:t>
      </w:r>
      <w:r>
        <w:rPr>
          <w:rFonts w:ascii="Times New Roman" w:hAnsi="Times New Roman" w:cs="Times New Roman" w:eastAsia="Times New Roman" w:hint="default"/>
          <w:spacing w:val="-15"/>
        </w:rPr>
        <w:t>4</w:t>
      </w:r>
      <w:r>
        <w:rPr>
          <w:spacing w:val="-15"/>
        </w:rPr>
        <w:t>）截止</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7"/>
        </w:rPr>
        <w:t>日，在建工程不存在减值情况，无需计提在建工程减值准备。</w:t>
      </w:r>
    </w:p>
    <w:p>
      <w:pPr>
        <w:pStyle w:val="Heading5"/>
        <w:tabs>
          <w:tab w:pos="1660" w:val="left" w:leader="none"/>
        </w:tabs>
        <w:spacing w:line="240" w:lineRule="auto" w:before="175"/>
        <w:ind w:right="0"/>
        <w:jc w:val="left"/>
        <w:rPr>
          <w:b w:val="0"/>
          <w:bCs w:val="0"/>
        </w:rPr>
      </w:pPr>
      <w:r>
        <w:rPr/>
        <w:t>（九）</w:t>
        <w:tab/>
        <w:t>工程物资</w:t>
      </w:r>
      <w:r>
        <w:rPr>
          <w:b w:val="0"/>
          <w:bCs w:val="0"/>
        </w:rPr>
      </w:r>
    </w:p>
    <w:p>
      <w:pPr>
        <w:spacing w:line="240" w:lineRule="auto" w:before="0"/>
        <w:rPr>
          <w:rFonts w:ascii="宋体" w:hAnsi="宋体" w:cs="宋体" w:eastAsia="宋体" w:hint="default"/>
          <w:b/>
          <w:bCs/>
          <w:sz w:val="19"/>
          <w:szCs w:val="19"/>
        </w:rPr>
      </w:pPr>
    </w:p>
    <w:tbl>
      <w:tblPr>
        <w:tblW w:w="0" w:type="auto"/>
        <w:jc w:val="left"/>
        <w:tblInd w:w="117" w:type="dxa"/>
        <w:tblLayout w:type="fixed"/>
        <w:tblCellMar>
          <w:top w:w="0" w:type="dxa"/>
          <w:left w:w="0" w:type="dxa"/>
          <w:bottom w:w="0" w:type="dxa"/>
          <w:right w:w="0" w:type="dxa"/>
        </w:tblCellMar>
        <w:tblLook w:val="01E0"/>
      </w:tblPr>
      <w:tblGrid>
        <w:gridCol w:w="2174"/>
        <w:gridCol w:w="1546"/>
        <w:gridCol w:w="1805"/>
        <w:gridCol w:w="1750"/>
        <w:gridCol w:w="1556"/>
      </w:tblGrid>
      <w:tr>
        <w:trPr>
          <w:trHeight w:val="420" w:hRule="exact"/>
        </w:trPr>
        <w:tc>
          <w:tcPr>
            <w:tcW w:w="217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right="890"/>
              <w:jc w:val="right"/>
              <w:rPr>
                <w:rFonts w:ascii="宋体" w:hAnsi="宋体" w:cs="宋体" w:eastAsia="宋体" w:hint="default"/>
                <w:sz w:val="18"/>
                <w:szCs w:val="18"/>
              </w:rPr>
            </w:pPr>
            <w:r>
              <w:rPr>
                <w:rFonts w:ascii="宋体" w:hAnsi="宋体" w:cs="宋体" w:eastAsia="宋体" w:hint="default"/>
                <w:sz w:val="18"/>
                <w:szCs w:val="18"/>
              </w:rPr>
              <w:t>项目</w:t>
            </w:r>
          </w:p>
        </w:tc>
        <w:tc>
          <w:tcPr>
            <w:tcW w:w="15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22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7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13"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工程用材料</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1,602,006.01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4,140,471.87</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5,011,821.93</w:t>
            </w:r>
          </w:p>
        </w:tc>
        <w:tc>
          <w:tcPr>
            <w:tcW w:w="1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730,655.95</w:t>
            </w:r>
          </w:p>
        </w:tc>
      </w:tr>
      <w:tr>
        <w:trPr>
          <w:trHeight w:val="420" w:hRule="exact"/>
        </w:trPr>
        <w:tc>
          <w:tcPr>
            <w:tcW w:w="21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right="890"/>
              <w:jc w:val="right"/>
              <w:rPr>
                <w:rFonts w:ascii="宋体" w:hAnsi="宋体" w:cs="宋体" w:eastAsia="宋体" w:hint="default"/>
                <w:sz w:val="18"/>
                <w:szCs w:val="18"/>
              </w:rPr>
            </w:pPr>
            <w:r>
              <w:rPr>
                <w:rFonts w:ascii="宋体" w:hAnsi="宋体" w:cs="宋体" w:eastAsia="宋体" w:hint="default"/>
                <w:sz w:val="18"/>
                <w:szCs w:val="18"/>
              </w:rPr>
              <w:t>合计</w:t>
            </w:r>
          </w:p>
        </w:tc>
        <w:tc>
          <w:tcPr>
            <w:tcW w:w="1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1,602,006.01</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4,140,471.87</w:t>
            </w:r>
          </w:p>
        </w:tc>
        <w:tc>
          <w:tcPr>
            <w:tcW w:w="17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5,011,821.93</w:t>
            </w:r>
          </w:p>
        </w:tc>
        <w:tc>
          <w:tcPr>
            <w:tcW w:w="15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730,655.95</w:t>
            </w:r>
          </w:p>
        </w:tc>
      </w:tr>
    </w:tbl>
    <w:p>
      <w:pPr>
        <w:pStyle w:val="Heading5"/>
        <w:tabs>
          <w:tab w:pos="1660" w:val="left" w:leader="none"/>
        </w:tabs>
        <w:spacing w:line="240" w:lineRule="auto" w:before="23"/>
        <w:ind w:right="0"/>
        <w:jc w:val="left"/>
        <w:rPr>
          <w:b w:val="0"/>
          <w:bCs w:val="0"/>
        </w:rPr>
      </w:pPr>
      <w:r>
        <w:rPr/>
        <w:t>（十）</w:t>
        <w:tab/>
        <w:t>无形资产与开发支出</w:t>
      </w:r>
      <w:r>
        <w:rPr>
          <w:b w:val="0"/>
          <w:bCs w:val="0"/>
        </w:rPr>
      </w:r>
    </w:p>
    <w:p>
      <w:pPr>
        <w:spacing w:line="240" w:lineRule="auto" w:before="5"/>
        <w:rPr>
          <w:rFonts w:ascii="宋体" w:hAnsi="宋体" w:cs="宋体" w:eastAsia="宋体" w:hint="default"/>
          <w:b/>
          <w:bCs/>
          <w:sz w:val="16"/>
          <w:szCs w:val="16"/>
        </w:rPr>
      </w:pPr>
    </w:p>
    <w:p>
      <w:pPr>
        <w:pStyle w:val="BodyText"/>
        <w:spacing w:line="240" w:lineRule="auto"/>
        <w:ind w:left="820" w:right="0"/>
        <w:jc w:val="left"/>
      </w:pPr>
      <w:r>
        <w:rPr/>
        <w:t>（</w:t>
      </w:r>
      <w:r>
        <w:rPr>
          <w:rFonts w:ascii="Times New Roman" w:hAnsi="Times New Roman" w:cs="Times New Roman" w:eastAsia="Times New Roman" w:hint="default"/>
        </w:rPr>
        <w:t>1</w:t>
      </w:r>
      <w:r>
        <w:rPr/>
        <w:t>）无形资产明细项目和增减变动如下</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080"/>
        <w:gridCol w:w="1507"/>
        <w:gridCol w:w="1419"/>
        <w:gridCol w:w="1354"/>
        <w:gridCol w:w="1500"/>
      </w:tblGrid>
      <w:tr>
        <w:trPr>
          <w:trHeight w:val="389" w:hRule="exact"/>
        </w:trPr>
        <w:tc>
          <w:tcPr>
            <w:tcW w:w="308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20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252"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218"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0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201"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99"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一、无形资产原价合计</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7,068,818.45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27,000.00</w:t>
            </w: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7,095,818.45</w:t>
            </w: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3,062,430.45</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3,062,430.45</w:t>
            </w: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2,166,088.00</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2,166,088.00</w:t>
            </w:r>
          </w:p>
        </w:tc>
      </w:tr>
      <w:tr>
        <w:trPr>
          <w:trHeight w:val="398"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240,300.00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27,000.00</w:t>
            </w: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267,300.00</w:t>
            </w: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1,600,000.00</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398"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二、无形资产累计摊销额合计</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7"/>
              <w:jc w:val="right"/>
              <w:rPr>
                <w:rFonts w:ascii="Times New Roman" w:hAnsi="Times New Roman" w:cs="Times New Roman" w:eastAsia="Times New Roman" w:hint="default"/>
                <w:sz w:val="18"/>
                <w:szCs w:val="18"/>
              </w:rPr>
            </w:pPr>
            <w:r>
              <w:rPr>
                <w:rFonts w:ascii="Times New Roman"/>
                <w:spacing w:val="-1"/>
                <w:sz w:val="18"/>
              </w:rPr>
              <w:t>1,368,366.96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346,104.84</w:t>
            </w: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1,714,471.80</w:t>
            </w: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521,034.48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65,158.08</w:t>
            </w: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586,192.56</w:t>
            </w:r>
          </w:p>
        </w:tc>
      </w:tr>
      <w:tr>
        <w:trPr>
          <w:trHeight w:val="398"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347,532.57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43,321.80</w:t>
            </w: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390,854.37</w:t>
            </w: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139,800.00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77,625.00</w:t>
            </w: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217,425.00</w:t>
            </w: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359,999.91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159,999.96</w:t>
            </w: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519,999.87</w:t>
            </w:r>
          </w:p>
        </w:tc>
      </w:tr>
      <w:tr>
        <w:trPr>
          <w:trHeight w:val="399"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三、无形资产净值合计</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5,700,451.49</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5,381,346.65</w:t>
            </w: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2,541,395.97</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2,476,237.89</w:t>
            </w:r>
          </w:p>
        </w:tc>
      </w:tr>
      <w:tr>
        <w:trPr>
          <w:trHeight w:val="398"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1,818,555.43</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1,775,233.63</w:t>
            </w: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100,500.00</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49,875.00</w:t>
            </w:r>
          </w:p>
        </w:tc>
      </w:tr>
      <w:tr>
        <w:trPr>
          <w:trHeight w:val="398"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1,240,000.09</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1,080,000.13</w:t>
            </w: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四、无形资产减值合计</w:t>
            </w:r>
          </w:p>
        </w:tc>
        <w:tc>
          <w:tcPr>
            <w:tcW w:w="150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0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0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0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
        </w:tc>
      </w:tr>
      <w:tr>
        <w:trPr>
          <w:trHeight w:val="399"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07"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5,700,451.49</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5,381,346.65</w:t>
            </w: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2,541,395.97</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2,476,237.89</w:t>
            </w:r>
          </w:p>
        </w:tc>
      </w:tr>
      <w:tr>
        <w:trPr>
          <w:trHeight w:val="398"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1,818,555.43</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1,775,233.63</w:t>
            </w:r>
          </w:p>
        </w:tc>
      </w:tr>
      <w:tr>
        <w:trPr>
          <w:trHeight w:val="396" w:hRule="exact"/>
        </w:trPr>
        <w:tc>
          <w:tcPr>
            <w:tcW w:w="30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100,500.00</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49,875.00</w:t>
            </w:r>
          </w:p>
        </w:tc>
      </w:tr>
      <w:tr>
        <w:trPr>
          <w:trHeight w:val="406" w:hRule="exact"/>
        </w:trPr>
        <w:tc>
          <w:tcPr>
            <w:tcW w:w="308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1,240,000.09</w:t>
            </w:r>
          </w:p>
        </w:tc>
        <w:tc>
          <w:tcPr>
            <w:tcW w:w="1419" w:type="dxa"/>
            <w:tcBorders>
              <w:top w:val="single" w:sz="6" w:space="0" w:color="000000"/>
              <w:left w:val="single" w:sz="6" w:space="0" w:color="000000"/>
              <w:bottom w:val="single" w:sz="12" w:space="0" w:color="000000"/>
              <w:right w:val="single" w:sz="6" w:space="0" w:color="000000"/>
            </w:tcBorders>
          </w:tcPr>
          <w:p>
            <w:pPr/>
          </w:p>
        </w:tc>
        <w:tc>
          <w:tcPr>
            <w:tcW w:w="1354" w:type="dxa"/>
            <w:tcBorders>
              <w:top w:val="single" w:sz="6" w:space="0" w:color="000000"/>
              <w:left w:val="single" w:sz="6" w:space="0" w:color="000000"/>
              <w:bottom w:val="single" w:sz="12" w:space="0" w:color="000000"/>
              <w:right w:val="single" w:sz="6" w:space="0" w:color="000000"/>
            </w:tcBorders>
          </w:tcPr>
          <w:p>
            <w:pPr/>
          </w:p>
        </w:tc>
        <w:tc>
          <w:tcPr>
            <w:tcW w:w="15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1,080,000.13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1186" w:top="1200" w:bottom="1380" w:left="1400" w:right="1400"/>
        </w:sectPr>
      </w:pPr>
    </w:p>
    <w:p>
      <w:pPr>
        <w:spacing w:line="240" w:lineRule="auto" w:before="3"/>
        <w:rPr>
          <w:rFonts w:ascii="宋体" w:hAnsi="宋体" w:cs="宋体" w:eastAsia="宋体" w:hint="default"/>
          <w:sz w:val="12"/>
          <w:szCs w:val="12"/>
        </w:rPr>
      </w:pPr>
    </w:p>
    <w:p>
      <w:pPr>
        <w:pStyle w:val="BodyText"/>
        <w:spacing w:line="240" w:lineRule="auto" w:before="36"/>
        <w:ind w:left="820" w:right="0"/>
        <w:jc w:val="left"/>
      </w:pPr>
      <w:r>
        <w:rPr/>
        <w:t>本年摊销额为</w:t>
      </w:r>
      <w:r>
        <w:rPr>
          <w:spacing w:val="-52"/>
        </w:rPr>
        <w:t> </w:t>
      </w:r>
      <w:r>
        <w:rPr>
          <w:rFonts w:ascii="Times New Roman" w:hAnsi="Times New Roman" w:cs="Times New Roman" w:eastAsia="Times New Roman" w:hint="default"/>
        </w:rPr>
        <w:t>346,104.84</w:t>
      </w:r>
      <w:r>
        <w:rPr>
          <w:rFonts w:ascii="Times New Roman" w:hAnsi="Times New Roman" w:cs="Times New Roman" w:eastAsia="Times New Roman" w:hint="default"/>
          <w:spacing w:val="-1"/>
        </w:rPr>
        <w:t> </w:t>
      </w:r>
      <w:r>
        <w:rPr/>
        <w:t>元。</w:t>
      </w:r>
    </w:p>
    <w:p>
      <w:pPr>
        <w:pStyle w:val="BodyText"/>
        <w:spacing w:line="240" w:lineRule="auto" w:before="197"/>
        <w:ind w:left="820" w:right="0"/>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2</w:t>
      </w:r>
      <w:r>
        <w:rPr>
          <w:spacing w:val="-3"/>
        </w:rPr>
        <w:t>）土地使用权</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指国有土地使用权证号郑国用（</w:t>
      </w:r>
      <w:r>
        <w:rPr>
          <w:rFonts w:ascii="Times New Roman" w:hAnsi="Times New Roman" w:cs="Times New Roman" w:eastAsia="Times New Roman" w:hint="default"/>
          <w:spacing w:val="-3"/>
        </w:rPr>
        <w:t>2003</w:t>
      </w:r>
      <w:r>
        <w:rPr>
          <w:spacing w:val="-3"/>
        </w:rPr>
        <w:t>）字第</w:t>
      </w:r>
      <w:r>
        <w:rPr>
          <w:spacing w:val="-41"/>
        </w:rPr>
        <w:t> </w:t>
      </w:r>
      <w:r>
        <w:rPr>
          <w:rFonts w:ascii="Times New Roman" w:hAnsi="Times New Roman" w:cs="Times New Roman" w:eastAsia="Times New Roman" w:hint="default"/>
        </w:rPr>
        <w:t>0240</w:t>
      </w:r>
      <w:r>
        <w:rPr>
          <w:rFonts w:ascii="Times New Roman" w:hAnsi="Times New Roman" w:cs="Times New Roman" w:eastAsia="Times New Roman" w:hint="default"/>
          <w:spacing w:val="12"/>
        </w:rPr>
        <w:t> </w:t>
      </w:r>
      <w:r>
        <w:rPr>
          <w:spacing w:val="-4"/>
        </w:rPr>
        <w:t>号；土地使用权</w:t>
      </w:r>
      <w:r>
        <w:rPr>
          <w:spacing w:val="-39"/>
        </w:rPr>
        <w:t> </w:t>
      </w:r>
      <w:r>
        <w:rPr>
          <w:rFonts w:ascii="Times New Roman" w:hAnsi="Times New Roman" w:cs="Times New Roman" w:eastAsia="Times New Roman" w:hint="default"/>
        </w:rPr>
        <w:t>2</w:t>
      </w:r>
    </w:p>
    <w:p>
      <w:pPr>
        <w:pStyle w:val="BodyText"/>
        <w:spacing w:line="240" w:lineRule="auto" w:before="115"/>
        <w:ind w:left="400" w:right="0"/>
        <w:jc w:val="left"/>
      </w:pPr>
      <w:r>
        <w:rPr/>
        <w:t>指国有土地使用权证号郑国用（</w:t>
      </w:r>
      <w:r>
        <w:rPr>
          <w:rFonts w:ascii="Times New Roman" w:hAnsi="Times New Roman" w:cs="Times New Roman" w:eastAsia="Times New Roman" w:hint="default"/>
        </w:rPr>
        <w:t>2004</w:t>
      </w:r>
      <w:r>
        <w:rPr/>
        <w:t>）字第</w:t>
      </w:r>
      <w:r>
        <w:rPr>
          <w:spacing w:val="-53"/>
        </w:rPr>
        <w:t> </w:t>
      </w:r>
      <w:r>
        <w:rPr>
          <w:rFonts w:ascii="Times New Roman" w:hAnsi="Times New Roman" w:cs="Times New Roman" w:eastAsia="Times New Roman" w:hint="default"/>
        </w:rPr>
        <w:t>0916</w:t>
      </w:r>
      <w:r>
        <w:rPr>
          <w:rFonts w:ascii="Times New Roman" w:hAnsi="Times New Roman" w:cs="Times New Roman" w:eastAsia="Times New Roman" w:hint="default"/>
          <w:spacing w:val="-3"/>
        </w:rPr>
        <w:t> </w:t>
      </w:r>
      <w:r>
        <w:rPr>
          <w:spacing w:val="-3"/>
        </w:rPr>
        <w:t>号。</w:t>
      </w:r>
      <w:r>
        <w:rPr/>
      </w:r>
    </w:p>
    <w:p>
      <w:pPr>
        <w:pStyle w:val="BodyText"/>
        <w:spacing w:line="240" w:lineRule="auto" w:before="196"/>
        <w:ind w:left="820" w:right="0"/>
        <w:jc w:val="left"/>
      </w:pPr>
      <w:r>
        <w:rPr/>
        <w:t>（</w:t>
      </w:r>
      <w:r>
        <w:rPr>
          <w:rFonts w:ascii="Times New Roman" w:hAnsi="Times New Roman" w:cs="Times New Roman" w:eastAsia="Times New Roman" w:hint="default"/>
        </w:rPr>
        <w:t>3</w:t>
      </w:r>
      <w:r>
        <w:rPr/>
        <w:t>）年末无形资产不存在抵押情况。</w:t>
      </w:r>
    </w:p>
    <w:p>
      <w:pPr>
        <w:pStyle w:val="BodyText"/>
        <w:spacing w:line="240" w:lineRule="auto" w:before="194"/>
        <w:ind w:left="820" w:right="0"/>
        <w:jc w:val="left"/>
      </w:pPr>
      <w:r>
        <w:rPr/>
        <w:t>（</w:t>
      </w:r>
      <w:r>
        <w:rPr>
          <w:rFonts w:ascii="Times New Roman" w:hAnsi="Times New Roman" w:cs="Times New Roman" w:eastAsia="Times New Roman" w:hint="default"/>
        </w:rPr>
        <w:t>4</w:t>
      </w:r>
      <w:r>
        <w:rPr/>
        <w:t>）年末本公司无形资产可收回金额高于账面价值，不需计提减值准备。</w:t>
      </w:r>
    </w:p>
    <w:p>
      <w:pPr>
        <w:tabs>
          <w:tab w:pos="2080" w:val="left" w:leader="none"/>
        </w:tabs>
        <w:spacing w:line="424" w:lineRule="auto" w:before="196"/>
        <w:ind w:left="820" w:right="2818" w:firstLine="0"/>
        <w:jc w:val="left"/>
        <w:rPr>
          <w:rFonts w:ascii="宋体" w:hAnsi="宋体" w:cs="宋体" w:eastAsia="宋体" w:hint="default"/>
          <w:sz w:val="21"/>
          <w:szCs w:val="21"/>
        </w:rPr>
      </w:pPr>
      <w:r>
        <w:rPr>
          <w:rFonts w:ascii="宋体" w:hAnsi="宋体" w:cs="宋体" w:eastAsia="宋体" w:hint="default"/>
          <w:b/>
          <w:bCs/>
          <w:sz w:val="21"/>
          <w:szCs w:val="21"/>
        </w:rPr>
        <w:t>（十一）</w:t>
        <w:tab/>
        <w:t>递延所得税资产与递延所得税负债</w:t>
      </w:r>
      <w:r>
        <w:rPr>
          <w:rFonts w:ascii="宋体" w:hAnsi="宋体" w:cs="宋体" w:eastAsia="宋体" w:hint="default"/>
          <w:b/>
          <w:bCs/>
          <w:w w:val="100"/>
          <w:sz w:val="21"/>
          <w:szCs w:val="21"/>
        </w:rPr>
        <w:t> </w:t>
      </w:r>
      <w:r>
        <w:rPr>
          <w:rFonts w:ascii="宋体" w:hAnsi="宋体" w:cs="宋体" w:eastAsia="宋体" w:hint="default"/>
          <w:sz w:val="21"/>
          <w:szCs w:val="21"/>
        </w:rPr>
        <w:t>已确认的递延所得税资产和递延所得税负债</w:t>
      </w:r>
      <w:r>
        <w:rPr>
          <w:rFonts w:ascii="宋体" w:hAnsi="宋体" w:cs="宋体" w:eastAsia="宋体" w:hint="default"/>
          <w:w w:val="100"/>
          <w:sz w:val="21"/>
          <w:szCs w:val="21"/>
        </w:rPr>
        <w:t> </w:t>
      </w:r>
      <w:r>
        <w:rPr>
          <w:rFonts w:ascii="宋体" w:hAnsi="宋体" w:cs="宋体" w:eastAsia="宋体" w:hint="default"/>
          <w:spacing w:val="-2"/>
          <w:sz w:val="21"/>
          <w:szCs w:val="21"/>
        </w:rPr>
        <w:t>未互抵的递延所得税资产和递延所得税负债明细列示如下：</w:t>
      </w:r>
    </w:p>
    <w:p>
      <w:pPr>
        <w:spacing w:line="240" w:lineRule="auto" w:before="9"/>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1994"/>
        <w:gridCol w:w="1618"/>
        <w:gridCol w:w="1803"/>
        <w:gridCol w:w="1620"/>
        <w:gridCol w:w="1824"/>
      </w:tblGrid>
      <w:tr>
        <w:trPr>
          <w:trHeight w:val="421" w:hRule="exact"/>
        </w:trPr>
        <w:tc>
          <w:tcPr>
            <w:tcW w:w="1994"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2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44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82" w:hRule="exact"/>
        </w:trPr>
        <w:tc>
          <w:tcPr>
            <w:tcW w:w="1994" w:type="dxa"/>
            <w:vMerge/>
            <w:tcBorders>
              <w:left w:val="nil" w:sz="6" w:space="0" w:color="auto"/>
              <w:bottom w:val="single" w:sz="6" w:space="0" w:color="000000"/>
              <w:right w:val="single" w:sz="6" w:space="0" w:color="000000"/>
            </w:tcBorders>
          </w:tcPr>
          <w:p>
            <w:pP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可抵扣暂时性差</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异</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可抵扣暂时性差</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异</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13" w:hRule="exact"/>
        </w:trPr>
        <w:tc>
          <w:tcPr>
            <w:tcW w:w="19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53" w:right="0"/>
              <w:jc w:val="left"/>
              <w:rPr>
                <w:rFonts w:ascii="Times New Roman" w:hAnsi="Times New Roman" w:cs="Times New Roman" w:eastAsia="Times New Roman" w:hint="default"/>
                <w:sz w:val="18"/>
                <w:szCs w:val="18"/>
              </w:rPr>
            </w:pPr>
            <w:r>
              <w:rPr>
                <w:rFonts w:ascii="Times New Roman"/>
                <w:sz w:val="18"/>
              </w:rPr>
              <w:t>47,359,099.43</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27" w:right="0"/>
              <w:jc w:val="left"/>
              <w:rPr>
                <w:rFonts w:ascii="Times New Roman" w:hAnsi="Times New Roman" w:cs="Times New Roman" w:eastAsia="Times New Roman" w:hint="default"/>
                <w:sz w:val="18"/>
                <w:szCs w:val="18"/>
              </w:rPr>
            </w:pPr>
            <w:r>
              <w:rPr>
                <w:rFonts w:ascii="Times New Roman"/>
                <w:sz w:val="18"/>
              </w:rPr>
              <w:t>7,103,864.91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32,658,830.27</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left="449" w:right="0"/>
              <w:jc w:val="left"/>
              <w:rPr>
                <w:rFonts w:ascii="Times New Roman" w:hAnsi="Times New Roman" w:cs="Times New Roman" w:eastAsia="Times New Roman" w:hint="default"/>
                <w:sz w:val="18"/>
                <w:szCs w:val="18"/>
              </w:rPr>
            </w:pPr>
            <w:r>
              <w:rPr>
                <w:rFonts w:ascii="Times New Roman"/>
                <w:sz w:val="18"/>
              </w:rPr>
              <w:t>4,898,824.54</w:t>
            </w:r>
          </w:p>
        </w:tc>
      </w:tr>
      <w:tr>
        <w:trPr>
          <w:trHeight w:val="410" w:hRule="exact"/>
        </w:trPr>
        <w:tc>
          <w:tcPr>
            <w:tcW w:w="19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377" w:right="0"/>
              <w:jc w:val="left"/>
              <w:rPr>
                <w:rFonts w:ascii="Times New Roman" w:hAnsi="Times New Roman" w:cs="Times New Roman" w:eastAsia="Times New Roman" w:hint="default"/>
                <w:sz w:val="18"/>
                <w:szCs w:val="18"/>
              </w:rPr>
            </w:pPr>
            <w:r>
              <w:rPr>
                <w:rFonts w:ascii="Times New Roman"/>
                <w:sz w:val="18"/>
              </w:rPr>
              <w:t>406,127.48</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660" w:right="0"/>
              <w:jc w:val="left"/>
              <w:rPr>
                <w:rFonts w:ascii="Times New Roman" w:hAnsi="Times New Roman" w:cs="Times New Roman" w:eastAsia="Times New Roman" w:hint="default"/>
                <w:sz w:val="18"/>
                <w:szCs w:val="18"/>
              </w:rPr>
            </w:pPr>
            <w:r>
              <w:rPr>
                <w:rFonts w:ascii="Times New Roman"/>
                <w:sz w:val="18"/>
              </w:rPr>
              <w:t>60,893.11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379" w:right="0"/>
              <w:jc w:val="left"/>
              <w:rPr>
                <w:rFonts w:ascii="Times New Roman" w:hAnsi="Times New Roman" w:cs="Times New Roman" w:eastAsia="Times New Roman" w:hint="default"/>
                <w:sz w:val="18"/>
                <w:szCs w:val="18"/>
              </w:rPr>
            </w:pPr>
            <w:r>
              <w:rPr>
                <w:rFonts w:ascii="Times New Roman"/>
                <w:sz w:val="18"/>
              </w:rPr>
              <w:t>251,183.32</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left="675" w:right="0"/>
              <w:jc w:val="left"/>
              <w:rPr>
                <w:rFonts w:ascii="Times New Roman" w:hAnsi="Times New Roman" w:cs="Times New Roman" w:eastAsia="Times New Roman" w:hint="default"/>
                <w:sz w:val="18"/>
                <w:szCs w:val="18"/>
              </w:rPr>
            </w:pPr>
            <w:r>
              <w:rPr>
                <w:rFonts w:ascii="Times New Roman"/>
                <w:sz w:val="18"/>
              </w:rPr>
              <w:t>37,665.58</w:t>
            </w:r>
          </w:p>
        </w:tc>
      </w:tr>
      <w:tr>
        <w:trPr>
          <w:trHeight w:val="413" w:hRule="exact"/>
        </w:trPr>
        <w:tc>
          <w:tcPr>
            <w:tcW w:w="19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42" w:right="0"/>
              <w:jc w:val="left"/>
              <w:rPr>
                <w:rFonts w:ascii="Times New Roman" w:hAnsi="Times New Roman" w:cs="Times New Roman" w:eastAsia="Times New Roman" w:hint="default"/>
                <w:sz w:val="18"/>
                <w:szCs w:val="18"/>
              </w:rPr>
            </w:pPr>
            <w:r>
              <w:rPr>
                <w:rFonts w:ascii="Times New Roman"/>
                <w:sz w:val="18"/>
              </w:rPr>
              <w:t>9,059,439.50</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27" w:right="0"/>
              <w:jc w:val="left"/>
              <w:rPr>
                <w:rFonts w:ascii="Times New Roman" w:hAnsi="Times New Roman" w:cs="Times New Roman" w:eastAsia="Times New Roman" w:hint="default"/>
                <w:sz w:val="18"/>
                <w:szCs w:val="18"/>
              </w:rPr>
            </w:pPr>
            <w:r>
              <w:rPr>
                <w:rFonts w:ascii="Times New Roman"/>
                <w:sz w:val="18"/>
              </w:rPr>
              <w:t>1,358,915.93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44" w:right="0"/>
              <w:jc w:val="left"/>
              <w:rPr>
                <w:rFonts w:ascii="Times New Roman" w:hAnsi="Times New Roman" w:cs="Times New Roman" w:eastAsia="Times New Roman" w:hint="default"/>
                <w:sz w:val="18"/>
                <w:szCs w:val="18"/>
              </w:rPr>
            </w:pPr>
            <w:r>
              <w:rPr>
                <w:rFonts w:ascii="Times New Roman"/>
                <w:sz w:val="18"/>
              </w:rPr>
              <w:t>5,458,483.54</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left="583" w:right="0"/>
              <w:jc w:val="left"/>
              <w:rPr>
                <w:rFonts w:ascii="Times New Roman" w:hAnsi="Times New Roman" w:cs="Times New Roman" w:eastAsia="Times New Roman" w:hint="default"/>
                <w:sz w:val="18"/>
                <w:szCs w:val="18"/>
              </w:rPr>
            </w:pPr>
            <w:r>
              <w:rPr>
                <w:rFonts w:ascii="Times New Roman"/>
                <w:sz w:val="18"/>
              </w:rPr>
              <w:t>818,772.53</w:t>
            </w:r>
          </w:p>
        </w:tc>
      </w:tr>
      <w:tr>
        <w:trPr>
          <w:trHeight w:val="413" w:hRule="exact"/>
        </w:trPr>
        <w:tc>
          <w:tcPr>
            <w:tcW w:w="19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42" w:right="0"/>
              <w:jc w:val="left"/>
              <w:rPr>
                <w:rFonts w:ascii="Times New Roman" w:hAnsi="Times New Roman" w:cs="Times New Roman" w:eastAsia="Times New Roman" w:hint="default"/>
                <w:sz w:val="18"/>
                <w:szCs w:val="18"/>
              </w:rPr>
            </w:pPr>
            <w:r>
              <w:rPr>
                <w:rFonts w:ascii="Times New Roman"/>
                <w:sz w:val="18"/>
              </w:rPr>
              <w:t>2,788,660.44</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561" w:right="0"/>
              <w:jc w:val="left"/>
              <w:rPr>
                <w:rFonts w:ascii="Times New Roman" w:hAnsi="Times New Roman" w:cs="Times New Roman" w:eastAsia="Times New Roman" w:hint="default"/>
                <w:sz w:val="18"/>
                <w:szCs w:val="18"/>
              </w:rPr>
            </w:pPr>
            <w:r>
              <w:rPr>
                <w:rFonts w:ascii="Times New Roman"/>
                <w:sz w:val="18"/>
              </w:rPr>
              <w:t>418,299.07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44" w:right="0"/>
              <w:jc w:val="left"/>
              <w:rPr>
                <w:rFonts w:ascii="Times New Roman" w:hAnsi="Times New Roman" w:cs="Times New Roman" w:eastAsia="Times New Roman" w:hint="default"/>
                <w:sz w:val="18"/>
                <w:szCs w:val="18"/>
              </w:rPr>
            </w:pPr>
            <w:r>
              <w:rPr>
                <w:rFonts w:ascii="Times New Roman"/>
                <w:sz w:val="18"/>
              </w:rPr>
              <w:t>1,742,527.32</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left="583" w:right="0"/>
              <w:jc w:val="left"/>
              <w:rPr>
                <w:rFonts w:ascii="Times New Roman" w:hAnsi="Times New Roman" w:cs="Times New Roman" w:eastAsia="Times New Roman" w:hint="default"/>
                <w:sz w:val="18"/>
                <w:szCs w:val="18"/>
              </w:rPr>
            </w:pPr>
            <w:r>
              <w:rPr>
                <w:rFonts w:ascii="Times New Roman"/>
                <w:sz w:val="18"/>
              </w:rPr>
              <w:t>261,379.10</w:t>
            </w:r>
          </w:p>
        </w:tc>
      </w:tr>
      <w:tr>
        <w:trPr>
          <w:trHeight w:val="480" w:hRule="exact"/>
        </w:trPr>
        <w:tc>
          <w:tcPr>
            <w:tcW w:w="1994"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存货（内部销售未实现</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242" w:right="0"/>
              <w:jc w:val="left"/>
              <w:rPr>
                <w:rFonts w:ascii="Times New Roman" w:hAnsi="Times New Roman" w:cs="Times New Roman" w:eastAsia="Times New Roman" w:hint="default"/>
                <w:sz w:val="18"/>
                <w:szCs w:val="18"/>
              </w:rPr>
            </w:pPr>
            <w:r>
              <w:rPr>
                <w:rFonts w:ascii="Times New Roman"/>
                <w:sz w:val="18"/>
              </w:rPr>
              <w:t>2,282,383.53</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561" w:right="0"/>
              <w:jc w:val="left"/>
              <w:rPr>
                <w:rFonts w:ascii="Times New Roman" w:hAnsi="Times New Roman" w:cs="Times New Roman" w:eastAsia="Times New Roman" w:hint="default"/>
                <w:sz w:val="18"/>
                <w:szCs w:val="18"/>
              </w:rPr>
            </w:pPr>
            <w:r>
              <w:rPr>
                <w:rFonts w:ascii="Times New Roman"/>
                <w:sz w:val="18"/>
              </w:rPr>
              <w:t>342,357.53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244" w:right="0"/>
              <w:jc w:val="left"/>
              <w:rPr>
                <w:rFonts w:ascii="Times New Roman" w:hAnsi="Times New Roman" w:cs="Times New Roman" w:eastAsia="Times New Roman" w:hint="default"/>
                <w:sz w:val="18"/>
                <w:szCs w:val="18"/>
              </w:rPr>
            </w:pPr>
            <w:r>
              <w:rPr>
                <w:rFonts w:ascii="Times New Roman"/>
                <w:sz w:val="18"/>
              </w:rPr>
              <w:t>3,355,286.47</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7"/>
              <w:ind w:left="583" w:right="0"/>
              <w:jc w:val="left"/>
              <w:rPr>
                <w:rFonts w:ascii="Times New Roman" w:hAnsi="Times New Roman" w:cs="Times New Roman" w:eastAsia="Times New Roman" w:hint="default"/>
                <w:sz w:val="18"/>
                <w:szCs w:val="18"/>
              </w:rPr>
            </w:pPr>
            <w:r>
              <w:rPr>
                <w:rFonts w:ascii="Times New Roman"/>
                <w:sz w:val="18"/>
              </w:rPr>
              <w:t>503,292.97</w:t>
            </w:r>
          </w:p>
        </w:tc>
      </w:tr>
      <w:tr>
        <w:trPr>
          <w:trHeight w:val="413" w:hRule="exact"/>
        </w:trPr>
        <w:tc>
          <w:tcPr>
            <w:tcW w:w="19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right="803"/>
              <w:jc w:val="right"/>
              <w:rPr>
                <w:rFonts w:ascii="宋体" w:hAnsi="宋体" w:cs="宋体" w:eastAsia="宋体" w:hint="default"/>
                <w:sz w:val="18"/>
                <w:szCs w:val="18"/>
              </w:rPr>
            </w:pPr>
            <w:r>
              <w:rPr>
                <w:rFonts w:ascii="宋体" w:hAnsi="宋体" w:cs="宋体" w:eastAsia="宋体" w:hint="default"/>
                <w:sz w:val="18"/>
                <w:szCs w:val="18"/>
              </w:rPr>
              <w:t>合计</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53" w:right="0"/>
              <w:jc w:val="left"/>
              <w:rPr>
                <w:rFonts w:ascii="Times New Roman" w:hAnsi="Times New Roman" w:cs="Times New Roman" w:eastAsia="Times New Roman" w:hint="default"/>
                <w:sz w:val="18"/>
                <w:szCs w:val="18"/>
              </w:rPr>
            </w:pPr>
            <w:r>
              <w:rPr>
                <w:rFonts w:ascii="Times New Roman"/>
                <w:sz w:val="18"/>
              </w:rPr>
              <w:t>61,895,710.38</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27" w:right="0"/>
              <w:jc w:val="left"/>
              <w:rPr>
                <w:rFonts w:ascii="Times New Roman" w:hAnsi="Times New Roman" w:cs="Times New Roman" w:eastAsia="Times New Roman" w:hint="default"/>
                <w:sz w:val="18"/>
                <w:szCs w:val="18"/>
              </w:rPr>
            </w:pPr>
            <w:r>
              <w:rPr>
                <w:rFonts w:ascii="Times New Roman"/>
                <w:sz w:val="18"/>
              </w:rPr>
              <w:t>9,284,330.55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43,466,310.92</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left="449" w:right="0"/>
              <w:jc w:val="left"/>
              <w:rPr>
                <w:rFonts w:ascii="Times New Roman" w:hAnsi="Times New Roman" w:cs="Times New Roman" w:eastAsia="Times New Roman" w:hint="default"/>
                <w:sz w:val="18"/>
                <w:szCs w:val="18"/>
              </w:rPr>
            </w:pPr>
            <w:r>
              <w:rPr>
                <w:rFonts w:ascii="Times New Roman"/>
                <w:sz w:val="18"/>
              </w:rPr>
              <w:t>6,519,934.72</w:t>
            </w:r>
          </w:p>
        </w:tc>
      </w:tr>
      <w:tr>
        <w:trPr>
          <w:trHeight w:val="413" w:hRule="exact"/>
        </w:trPr>
        <w:tc>
          <w:tcPr>
            <w:tcW w:w="1994"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44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80" w:hRule="exact"/>
        </w:trPr>
        <w:tc>
          <w:tcPr>
            <w:tcW w:w="1994" w:type="dxa"/>
            <w:vMerge/>
            <w:tcBorders>
              <w:left w:val="nil" w:sz="6" w:space="0" w:color="auto"/>
              <w:bottom w:val="single" w:sz="6" w:space="0" w:color="000000"/>
              <w:right w:val="single" w:sz="6" w:space="0" w:color="000000"/>
            </w:tcBorders>
          </w:tcPr>
          <w:p>
            <w:pP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应纳税暂时性差</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异</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应纳税暂时性差</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异</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13" w:hRule="exact"/>
        </w:trPr>
        <w:tc>
          <w:tcPr>
            <w:tcW w:w="19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53" w:right="0"/>
              <w:jc w:val="left"/>
              <w:rPr>
                <w:rFonts w:ascii="Times New Roman" w:hAnsi="Times New Roman" w:cs="Times New Roman" w:eastAsia="Times New Roman" w:hint="default"/>
                <w:sz w:val="18"/>
                <w:szCs w:val="18"/>
              </w:rPr>
            </w:pPr>
            <w:r>
              <w:rPr>
                <w:rFonts w:ascii="Times New Roman"/>
                <w:sz w:val="18"/>
              </w:rPr>
              <w:t>29,830,682.95</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27" w:right="0"/>
              <w:jc w:val="left"/>
              <w:rPr>
                <w:rFonts w:ascii="Times New Roman" w:hAnsi="Times New Roman" w:cs="Times New Roman" w:eastAsia="Times New Roman" w:hint="default"/>
                <w:sz w:val="18"/>
                <w:szCs w:val="18"/>
              </w:rPr>
            </w:pPr>
            <w:r>
              <w:rPr>
                <w:rFonts w:ascii="Times New Roman"/>
                <w:sz w:val="18"/>
              </w:rPr>
              <w:t>4,474,602.44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26,255,481.51</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left="449" w:right="0"/>
              <w:jc w:val="left"/>
              <w:rPr>
                <w:rFonts w:ascii="Times New Roman" w:hAnsi="Times New Roman" w:cs="Times New Roman" w:eastAsia="Times New Roman" w:hint="default"/>
                <w:sz w:val="18"/>
                <w:szCs w:val="18"/>
              </w:rPr>
            </w:pPr>
            <w:r>
              <w:rPr>
                <w:rFonts w:ascii="Times New Roman"/>
                <w:sz w:val="18"/>
              </w:rPr>
              <w:t>3,938,322.23</w:t>
            </w:r>
          </w:p>
        </w:tc>
      </w:tr>
      <w:tr>
        <w:trPr>
          <w:trHeight w:val="420" w:hRule="exact"/>
        </w:trPr>
        <w:tc>
          <w:tcPr>
            <w:tcW w:w="19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right="803"/>
              <w:jc w:val="right"/>
              <w:rPr>
                <w:rFonts w:ascii="宋体" w:hAnsi="宋体" w:cs="宋体" w:eastAsia="宋体" w:hint="default"/>
                <w:sz w:val="18"/>
                <w:szCs w:val="18"/>
              </w:rPr>
            </w:pPr>
            <w:r>
              <w:rPr>
                <w:rFonts w:ascii="宋体" w:hAnsi="宋体" w:cs="宋体" w:eastAsia="宋体" w:hint="default"/>
                <w:sz w:val="18"/>
                <w:szCs w:val="18"/>
              </w:rPr>
              <w:t>合计</w:t>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left="283" w:right="0"/>
              <w:jc w:val="left"/>
              <w:rPr>
                <w:rFonts w:ascii="Times New Roman" w:hAnsi="Times New Roman" w:cs="Times New Roman" w:eastAsia="Times New Roman" w:hint="default"/>
                <w:sz w:val="18"/>
                <w:szCs w:val="18"/>
              </w:rPr>
            </w:pPr>
            <w:r>
              <w:rPr>
                <w:rFonts w:ascii="Times New Roman"/>
                <w:sz w:val="18"/>
              </w:rPr>
              <w:t>29,830,682.95</w:t>
            </w:r>
          </w:p>
        </w:tc>
        <w:tc>
          <w:tcPr>
            <w:tcW w:w="18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left="420" w:right="0"/>
              <w:jc w:val="left"/>
              <w:rPr>
                <w:rFonts w:ascii="Times New Roman" w:hAnsi="Times New Roman" w:cs="Times New Roman" w:eastAsia="Times New Roman" w:hint="default"/>
                <w:sz w:val="18"/>
                <w:szCs w:val="18"/>
              </w:rPr>
            </w:pPr>
            <w:r>
              <w:rPr>
                <w:rFonts w:ascii="Times New Roman"/>
                <w:sz w:val="18"/>
              </w:rPr>
              <w:t>4,474,602.44</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26,255,481.51</w:t>
            </w:r>
          </w:p>
        </w:tc>
        <w:tc>
          <w:tcPr>
            <w:tcW w:w="18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3,938,322.23</w:t>
            </w:r>
          </w:p>
        </w:tc>
      </w:tr>
    </w:tbl>
    <w:p>
      <w:pPr>
        <w:spacing w:line="240" w:lineRule="auto" w:before="3"/>
        <w:rPr>
          <w:rFonts w:ascii="宋体" w:hAnsi="宋体" w:cs="宋体" w:eastAsia="宋体" w:hint="default"/>
          <w:sz w:val="8"/>
          <w:szCs w:val="8"/>
        </w:rPr>
      </w:pPr>
    </w:p>
    <w:p>
      <w:pPr>
        <w:pStyle w:val="Heading5"/>
        <w:tabs>
          <w:tab w:pos="2080" w:val="left" w:leader="none"/>
        </w:tabs>
        <w:spacing w:line="240" w:lineRule="auto" w:before="36"/>
        <w:ind w:right="0"/>
        <w:jc w:val="left"/>
        <w:rPr>
          <w:b w:val="0"/>
          <w:bCs w:val="0"/>
        </w:rPr>
      </w:pPr>
      <w:r>
        <w:rPr/>
        <w:t>（十二）</w:t>
        <w:tab/>
        <w:t>资产减值准备</w:t>
      </w:r>
      <w:r>
        <w:rPr>
          <w:b w:val="0"/>
          <w:bCs w:val="0"/>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234"/>
        <w:gridCol w:w="1532"/>
        <w:gridCol w:w="1424"/>
        <w:gridCol w:w="1034"/>
        <w:gridCol w:w="1143"/>
        <w:gridCol w:w="1493"/>
      </w:tblGrid>
      <w:tr>
        <w:trPr>
          <w:trHeight w:val="389" w:hRule="exact"/>
        </w:trPr>
        <w:tc>
          <w:tcPr>
            <w:tcW w:w="2234"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tabs>
                <w:tab w:pos="477" w:val="left" w:leader="none"/>
              </w:tabs>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32" w:type="dxa"/>
            <w:vMerge w:val="restart"/>
            <w:tcBorders>
              <w:top w:val="single" w:sz="12"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24" w:type="dxa"/>
            <w:vMerge w:val="restart"/>
            <w:tcBorders>
              <w:top w:val="single" w:sz="12"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217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631"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93" w:type="dxa"/>
            <w:vMerge w:val="restart"/>
            <w:tcBorders>
              <w:top w:val="single" w:sz="12" w:space="0" w:color="000000"/>
              <w:left w:val="single" w:sz="6"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98" w:hRule="exact"/>
        </w:trPr>
        <w:tc>
          <w:tcPr>
            <w:tcW w:w="2234" w:type="dxa"/>
            <w:vMerge/>
            <w:tcBorders>
              <w:left w:val="nil" w:sz="6" w:space="0" w:color="auto"/>
              <w:bottom w:val="single" w:sz="6" w:space="0" w:color="000000"/>
              <w:right w:val="single" w:sz="6" w:space="0" w:color="000000"/>
            </w:tcBorders>
          </w:tcPr>
          <w:p>
            <w:pPr/>
          </w:p>
        </w:tc>
        <w:tc>
          <w:tcPr>
            <w:tcW w:w="1532"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8"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转销</w:t>
            </w:r>
          </w:p>
        </w:tc>
        <w:tc>
          <w:tcPr>
            <w:tcW w:w="1493" w:type="dxa"/>
            <w:vMerge/>
            <w:tcBorders>
              <w:left w:val="single" w:sz="6" w:space="0" w:color="000000"/>
              <w:bottom w:val="single" w:sz="6" w:space="0" w:color="000000"/>
              <w:right w:val="nil" w:sz="6" w:space="0" w:color="auto"/>
            </w:tcBorders>
          </w:tcPr>
          <w:p>
            <w:pPr/>
          </w:p>
        </w:tc>
      </w:tr>
      <w:tr>
        <w:trPr>
          <w:trHeight w:val="396" w:hRule="exact"/>
        </w:trPr>
        <w:tc>
          <w:tcPr>
            <w:tcW w:w="22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6,893,286.43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5,210,924.66</w:t>
            </w:r>
          </w:p>
        </w:tc>
        <w:tc>
          <w:tcPr>
            <w:tcW w:w="1034"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pacing w:val="-1"/>
                <w:sz w:val="18"/>
              </w:rPr>
              <w:t>12,104,211.09</w:t>
            </w:r>
          </w:p>
        </w:tc>
      </w:tr>
      <w:tr>
        <w:trPr>
          <w:trHeight w:val="398" w:hRule="exact"/>
        </w:trPr>
        <w:tc>
          <w:tcPr>
            <w:tcW w:w="22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251,183.32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154,944.16</w:t>
            </w:r>
          </w:p>
        </w:tc>
        <w:tc>
          <w:tcPr>
            <w:tcW w:w="1034"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406,127.48</w:t>
            </w:r>
          </w:p>
        </w:tc>
      </w:tr>
      <w:tr>
        <w:trPr>
          <w:trHeight w:val="406" w:hRule="exact"/>
        </w:trPr>
        <w:tc>
          <w:tcPr>
            <w:tcW w:w="2234" w:type="dxa"/>
            <w:tcBorders>
              <w:top w:val="single" w:sz="6" w:space="0" w:color="000000"/>
              <w:left w:val="nil" w:sz="6" w:space="0" w:color="auto"/>
              <w:bottom w:val="single" w:sz="12" w:space="0" w:color="000000"/>
              <w:right w:val="single" w:sz="6" w:space="0" w:color="000000"/>
            </w:tcBorders>
          </w:tcPr>
          <w:p>
            <w:pPr>
              <w:pStyle w:val="TableParagraph"/>
              <w:tabs>
                <w:tab w:pos="439" w:val="left" w:leader="none"/>
              </w:tabs>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7,144,469.75</w:t>
            </w:r>
          </w:p>
        </w:tc>
        <w:tc>
          <w:tcPr>
            <w:tcW w:w="1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5,365,868.82</w:t>
            </w:r>
          </w:p>
        </w:tc>
        <w:tc>
          <w:tcPr>
            <w:tcW w:w="1034" w:type="dxa"/>
            <w:tcBorders>
              <w:top w:val="single" w:sz="6" w:space="0" w:color="000000"/>
              <w:left w:val="single" w:sz="6" w:space="0" w:color="000000"/>
              <w:bottom w:val="single" w:sz="12" w:space="0" w:color="000000"/>
              <w:right w:val="single" w:sz="6" w:space="0" w:color="000000"/>
            </w:tcBorders>
          </w:tcPr>
          <w:p>
            <w:pPr/>
          </w:p>
        </w:tc>
        <w:tc>
          <w:tcPr>
            <w:tcW w:w="1143" w:type="dxa"/>
            <w:tcBorders>
              <w:top w:val="single" w:sz="6" w:space="0" w:color="000000"/>
              <w:left w:val="single" w:sz="6" w:space="0" w:color="000000"/>
              <w:bottom w:val="single" w:sz="12" w:space="0" w:color="000000"/>
              <w:right w:val="single" w:sz="6" w:space="0" w:color="000000"/>
            </w:tcBorders>
          </w:tcPr>
          <w:p>
            <w:pPr/>
          </w:p>
        </w:tc>
        <w:tc>
          <w:tcPr>
            <w:tcW w:w="14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6"/>
              <w:ind w:right="108"/>
              <w:jc w:val="right"/>
              <w:rPr>
                <w:rFonts w:ascii="Times New Roman" w:hAnsi="Times New Roman" w:cs="Times New Roman" w:eastAsia="Times New Roman" w:hint="default"/>
                <w:sz w:val="18"/>
                <w:szCs w:val="18"/>
              </w:rPr>
            </w:pPr>
            <w:r>
              <w:rPr>
                <w:rFonts w:ascii="Times New Roman"/>
                <w:spacing w:val="-1"/>
                <w:sz w:val="18"/>
              </w:rPr>
              <w:t>12,510,338.57</w:t>
            </w:r>
          </w:p>
        </w:tc>
      </w:tr>
    </w:tbl>
    <w:p>
      <w:pPr>
        <w:spacing w:line="240" w:lineRule="auto" w:before="11"/>
        <w:rPr>
          <w:rFonts w:ascii="宋体" w:hAnsi="宋体" w:cs="宋体" w:eastAsia="宋体" w:hint="default"/>
          <w:b/>
          <w:bCs/>
          <w:sz w:val="12"/>
          <w:szCs w:val="12"/>
        </w:rPr>
      </w:pPr>
    </w:p>
    <w:p>
      <w:pPr>
        <w:pStyle w:val="Heading5"/>
        <w:tabs>
          <w:tab w:pos="2080" w:val="left" w:leader="none"/>
        </w:tabs>
        <w:spacing w:line="240" w:lineRule="auto" w:before="36"/>
        <w:ind w:right="0"/>
        <w:jc w:val="left"/>
        <w:rPr>
          <w:b w:val="0"/>
          <w:bCs w:val="0"/>
        </w:rPr>
      </w:pPr>
      <w:r>
        <w:rPr/>
        <w:t>（十三）</w:t>
        <w:tab/>
        <w:t>所有权受到限制的资产</w:t>
      </w:r>
      <w:r>
        <w:rPr>
          <w:b w:val="0"/>
          <w:bCs w:val="0"/>
        </w:rPr>
      </w:r>
    </w:p>
    <w:p>
      <w:pPr>
        <w:spacing w:line="240" w:lineRule="auto" w:before="3"/>
        <w:rPr>
          <w:rFonts w:ascii="宋体" w:hAnsi="宋体" w:cs="宋体" w:eastAsia="宋体" w:hint="default"/>
          <w:b/>
          <w:bCs/>
          <w:sz w:val="16"/>
          <w:szCs w:val="16"/>
        </w:rPr>
      </w:pPr>
    </w:p>
    <w:p>
      <w:pPr>
        <w:pStyle w:val="BodyText"/>
        <w:spacing w:line="240" w:lineRule="auto"/>
        <w:ind w:left="820" w:right="0"/>
        <w:jc w:val="left"/>
      </w:pPr>
      <w:r>
        <w:rPr/>
        <w:t>截止</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 </w:t>
      </w:r>
      <w:r>
        <w:rPr/>
        <w:t>日止，公司无所有权受到限制的资产。</w:t>
      </w:r>
    </w:p>
    <w:p>
      <w:pPr>
        <w:spacing w:line="240" w:lineRule="auto" w:before="9"/>
        <w:rPr>
          <w:rFonts w:ascii="宋体" w:hAnsi="宋体" w:cs="宋体" w:eastAsia="宋体" w:hint="default"/>
          <w:sz w:val="22"/>
          <w:szCs w:val="22"/>
        </w:rPr>
      </w:pPr>
    </w:p>
    <w:p>
      <w:pPr>
        <w:pStyle w:val="Heading5"/>
        <w:tabs>
          <w:tab w:pos="2080" w:val="left" w:leader="none"/>
        </w:tabs>
        <w:spacing w:line="240" w:lineRule="auto"/>
        <w:ind w:right="0"/>
        <w:jc w:val="left"/>
        <w:rPr>
          <w:b w:val="0"/>
          <w:bCs w:val="0"/>
        </w:rPr>
      </w:pPr>
      <w:r>
        <w:rPr/>
        <w:t>（十四）</w:t>
        <w:tab/>
        <w:t>短期借款</w:t>
      </w:r>
      <w:r>
        <w:rPr>
          <w:b w:val="0"/>
          <w:bCs w:val="0"/>
        </w:rPr>
      </w:r>
    </w:p>
    <w:p>
      <w:pPr>
        <w:spacing w:line="240" w:lineRule="auto" w:before="11"/>
        <w:rPr>
          <w:rFonts w:ascii="宋体" w:hAnsi="宋体" w:cs="宋体" w:eastAsia="宋体" w:hint="default"/>
          <w:b/>
          <w:bCs/>
          <w:sz w:val="18"/>
          <w:szCs w:val="18"/>
        </w:rPr>
      </w:pPr>
    </w:p>
    <w:tbl>
      <w:tblPr>
        <w:tblW w:w="0" w:type="auto"/>
        <w:jc w:val="left"/>
        <w:tblInd w:w="117" w:type="dxa"/>
        <w:tblLayout w:type="fixed"/>
        <w:tblCellMar>
          <w:top w:w="0" w:type="dxa"/>
          <w:left w:w="0" w:type="dxa"/>
          <w:bottom w:w="0" w:type="dxa"/>
          <w:right w:w="0" w:type="dxa"/>
        </w:tblCellMar>
        <w:tblLook w:val="01E0"/>
      </w:tblPr>
      <w:tblGrid>
        <w:gridCol w:w="2225"/>
        <w:gridCol w:w="2213"/>
        <w:gridCol w:w="2213"/>
        <w:gridCol w:w="2208"/>
      </w:tblGrid>
      <w:tr>
        <w:trPr>
          <w:trHeight w:val="398" w:hRule="exact"/>
        </w:trPr>
        <w:tc>
          <w:tcPr>
            <w:tcW w:w="2225"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借款类别</w:t>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55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2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55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2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52" w:footer="1186" w:top="1200" w:bottom="1380" w:left="1400" w:right="1400"/>
        </w:sectPr>
      </w:pPr>
    </w:p>
    <w:p>
      <w:pPr>
        <w:spacing w:line="240" w:lineRule="auto" w:before="7"/>
        <w:rPr>
          <w:rFonts w:ascii="宋体" w:hAnsi="宋体" w:cs="宋体" w:eastAsia="宋体" w:hint="default"/>
          <w:b/>
          <w:bCs/>
          <w:sz w:val="17"/>
          <w:szCs w:val="17"/>
        </w:rPr>
      </w:pPr>
    </w:p>
    <w:tbl>
      <w:tblPr>
        <w:tblW w:w="0" w:type="auto"/>
        <w:jc w:val="left"/>
        <w:tblInd w:w="122" w:type="dxa"/>
        <w:tblLayout w:type="fixed"/>
        <w:tblCellMar>
          <w:top w:w="0" w:type="dxa"/>
          <w:left w:w="0" w:type="dxa"/>
          <w:bottom w:w="0" w:type="dxa"/>
          <w:right w:w="0" w:type="dxa"/>
        </w:tblCellMar>
        <w:tblLook w:val="01E0"/>
      </w:tblPr>
      <w:tblGrid>
        <w:gridCol w:w="2225"/>
        <w:gridCol w:w="2213"/>
        <w:gridCol w:w="2213"/>
        <w:gridCol w:w="2208"/>
      </w:tblGrid>
      <w:tr>
        <w:trPr>
          <w:trHeight w:val="406" w:hRule="exact"/>
        </w:trPr>
        <w:tc>
          <w:tcPr>
            <w:tcW w:w="22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21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213" w:type="dxa"/>
            <w:tcBorders>
              <w:top w:val="single" w:sz="12" w:space="0" w:color="000000"/>
              <w:left w:val="single" w:sz="6" w:space="0" w:color="000000"/>
              <w:bottom w:val="single" w:sz="6" w:space="0" w:color="000000"/>
              <w:right w:val="single" w:sz="6" w:space="0" w:color="000000"/>
            </w:tcBorders>
          </w:tcPr>
          <w:p>
            <w:pPr/>
          </w:p>
        </w:tc>
        <w:tc>
          <w:tcPr>
            <w:tcW w:w="2213" w:type="dxa"/>
            <w:tcBorders>
              <w:top w:val="single" w:sz="12" w:space="0" w:color="000000"/>
              <w:left w:val="single" w:sz="6" w:space="0" w:color="000000"/>
              <w:bottom w:val="single" w:sz="6" w:space="0" w:color="000000"/>
              <w:right w:val="single" w:sz="6" w:space="0" w:color="000000"/>
            </w:tcBorders>
          </w:tcPr>
          <w:p>
            <w:pPr/>
          </w:p>
        </w:tc>
        <w:tc>
          <w:tcPr>
            <w:tcW w:w="2208" w:type="dxa"/>
            <w:tcBorders>
              <w:top w:val="single" w:sz="12" w:space="0" w:color="000000"/>
              <w:left w:val="single" w:sz="6" w:space="0" w:color="000000"/>
              <w:bottom w:val="single" w:sz="6" w:space="0" w:color="000000"/>
              <w:right w:val="nil" w:sz="6" w:space="0" w:color="auto"/>
            </w:tcBorders>
          </w:tcPr>
          <w:p>
            <w:pPr/>
          </w:p>
        </w:tc>
      </w:tr>
      <w:tr>
        <w:trPr>
          <w:trHeight w:val="396" w:hRule="exact"/>
        </w:trPr>
        <w:tc>
          <w:tcPr>
            <w:tcW w:w="22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213" w:type="dxa"/>
            <w:tcBorders>
              <w:top w:val="single" w:sz="6" w:space="0" w:color="000000"/>
              <w:left w:val="single" w:sz="6" w:space="0" w:color="000000"/>
              <w:bottom w:val="single" w:sz="6" w:space="0" w:color="000000"/>
              <w:right w:val="single" w:sz="6" w:space="0" w:color="000000"/>
            </w:tcBorders>
          </w:tcPr>
          <w:p>
            <w:pP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581"/>
              <w:jc w:val="right"/>
              <w:rPr>
                <w:rFonts w:ascii="Times New Roman" w:hAnsi="Times New Roman" w:cs="Times New Roman" w:eastAsia="Times New Roman" w:hint="default"/>
                <w:sz w:val="18"/>
                <w:szCs w:val="18"/>
              </w:rPr>
            </w:pPr>
            <w:r>
              <w:rPr>
                <w:rFonts w:ascii="Times New Roman"/>
                <w:spacing w:val="-1"/>
                <w:sz w:val="18"/>
              </w:rPr>
              <w:t>30,000,000.00</w:t>
            </w:r>
          </w:p>
        </w:tc>
        <w:tc>
          <w:tcPr>
            <w:tcW w:w="2208"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2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13" w:type="dxa"/>
            <w:tcBorders>
              <w:top w:val="single" w:sz="6" w:space="0" w:color="000000"/>
              <w:left w:val="single" w:sz="6" w:space="0" w:color="000000"/>
              <w:bottom w:val="single" w:sz="12" w:space="0" w:color="000000"/>
              <w:right w:val="single" w:sz="6" w:space="0" w:color="000000"/>
            </w:tcBorders>
          </w:tcPr>
          <w:p>
            <w:pP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581"/>
              <w:jc w:val="right"/>
              <w:rPr>
                <w:rFonts w:ascii="Times New Roman" w:hAnsi="Times New Roman" w:cs="Times New Roman" w:eastAsia="Times New Roman" w:hint="default"/>
                <w:sz w:val="18"/>
                <w:szCs w:val="18"/>
              </w:rPr>
            </w:pPr>
            <w:r>
              <w:rPr>
                <w:rFonts w:ascii="Times New Roman"/>
                <w:spacing w:val="-1"/>
                <w:sz w:val="18"/>
              </w:rPr>
              <w:t>30,000,000.00</w:t>
            </w:r>
          </w:p>
        </w:tc>
        <w:tc>
          <w:tcPr>
            <w:tcW w:w="220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b/>
          <w:bCs/>
          <w:sz w:val="8"/>
          <w:szCs w:val="8"/>
        </w:rPr>
      </w:pPr>
    </w:p>
    <w:p>
      <w:pPr>
        <w:pStyle w:val="Heading5"/>
        <w:tabs>
          <w:tab w:pos="2100" w:val="left" w:leader="none"/>
        </w:tabs>
        <w:spacing w:line="240" w:lineRule="auto" w:before="36"/>
        <w:ind w:left="840" w:right="409"/>
        <w:jc w:val="left"/>
        <w:rPr>
          <w:b w:val="0"/>
          <w:bCs w:val="0"/>
        </w:rPr>
      </w:pPr>
      <w:r>
        <w:rPr/>
        <w:t>（十五）</w:t>
        <w:tab/>
        <w:t>应付票据</w:t>
      </w:r>
      <w:r>
        <w:rPr>
          <w:b w:val="0"/>
          <w:bCs w:val="0"/>
        </w:rPr>
      </w:r>
    </w:p>
    <w:p>
      <w:pPr>
        <w:spacing w:line="240" w:lineRule="auto" w:before="0"/>
        <w:rPr>
          <w:rFonts w:ascii="宋体" w:hAnsi="宋体" w:cs="宋体" w:eastAsia="宋体" w:hint="default"/>
          <w:b/>
          <w:bCs/>
          <w:sz w:val="19"/>
          <w:szCs w:val="19"/>
        </w:rPr>
      </w:pPr>
    </w:p>
    <w:tbl>
      <w:tblPr>
        <w:tblW w:w="0" w:type="auto"/>
        <w:jc w:val="left"/>
        <w:tblInd w:w="122" w:type="dxa"/>
        <w:tblLayout w:type="fixed"/>
        <w:tblCellMar>
          <w:top w:w="0" w:type="dxa"/>
          <w:left w:w="0" w:type="dxa"/>
          <w:bottom w:w="0" w:type="dxa"/>
          <w:right w:w="0" w:type="dxa"/>
        </w:tblCellMar>
        <w:tblLook w:val="01E0"/>
      </w:tblPr>
      <w:tblGrid>
        <w:gridCol w:w="2225"/>
        <w:gridCol w:w="2213"/>
        <w:gridCol w:w="2213"/>
        <w:gridCol w:w="2208"/>
      </w:tblGrid>
      <w:tr>
        <w:trPr>
          <w:trHeight w:val="389" w:hRule="exact"/>
        </w:trPr>
        <w:tc>
          <w:tcPr>
            <w:tcW w:w="22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right="917"/>
              <w:jc w:val="right"/>
              <w:rPr>
                <w:rFonts w:ascii="宋体" w:hAnsi="宋体" w:cs="宋体" w:eastAsia="宋体" w:hint="default"/>
                <w:sz w:val="18"/>
                <w:szCs w:val="18"/>
              </w:rPr>
            </w:pPr>
            <w:r>
              <w:rPr>
                <w:rFonts w:ascii="宋体" w:hAnsi="宋体" w:cs="宋体" w:eastAsia="宋体" w:hint="default"/>
                <w:sz w:val="18"/>
                <w:szCs w:val="18"/>
              </w:rPr>
              <w:t>种类</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55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55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2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8" w:hRule="exact"/>
        </w:trPr>
        <w:tc>
          <w:tcPr>
            <w:tcW w:w="22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73"/>
              <w:jc w:val="right"/>
              <w:rPr>
                <w:rFonts w:ascii="Times New Roman" w:hAnsi="Times New Roman" w:cs="Times New Roman" w:eastAsia="Times New Roman" w:hint="default"/>
                <w:sz w:val="18"/>
                <w:szCs w:val="18"/>
              </w:rPr>
            </w:pPr>
            <w:r>
              <w:rPr>
                <w:rFonts w:ascii="Times New Roman"/>
                <w:spacing w:val="-1"/>
                <w:sz w:val="18"/>
              </w:rPr>
              <w:t>12,081,178.24</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76"/>
              <w:jc w:val="right"/>
              <w:rPr>
                <w:rFonts w:ascii="Times New Roman" w:hAnsi="Times New Roman" w:cs="Times New Roman" w:eastAsia="Times New Roman" w:hint="default"/>
                <w:sz w:val="18"/>
                <w:szCs w:val="18"/>
              </w:rPr>
            </w:pPr>
            <w:r>
              <w:rPr>
                <w:rFonts w:ascii="Times New Roman"/>
                <w:spacing w:val="-1"/>
                <w:sz w:val="18"/>
              </w:rPr>
              <w:t>14,710,034.96</w:t>
            </w:r>
          </w:p>
        </w:tc>
        <w:tc>
          <w:tcPr>
            <w:tcW w:w="2208"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2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213" w:type="dxa"/>
            <w:tcBorders>
              <w:top w:val="single" w:sz="6" w:space="0" w:color="000000"/>
              <w:left w:val="single" w:sz="6" w:space="0" w:color="000000"/>
              <w:bottom w:val="single" w:sz="6" w:space="0" w:color="000000"/>
              <w:right w:val="single" w:sz="6" w:space="0" w:color="000000"/>
            </w:tcBorders>
          </w:tcPr>
          <w:p>
            <w:pPr/>
          </w:p>
        </w:tc>
        <w:tc>
          <w:tcPr>
            <w:tcW w:w="221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2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right="917"/>
              <w:jc w:val="right"/>
              <w:rPr>
                <w:rFonts w:ascii="宋体" w:hAnsi="宋体" w:cs="宋体" w:eastAsia="宋体" w:hint="default"/>
                <w:sz w:val="18"/>
                <w:szCs w:val="18"/>
              </w:rPr>
            </w:pPr>
            <w:r>
              <w:rPr>
                <w:rFonts w:ascii="宋体" w:hAnsi="宋体" w:cs="宋体" w:eastAsia="宋体" w:hint="default"/>
                <w:sz w:val="18"/>
                <w:szCs w:val="18"/>
              </w:rPr>
              <w:t>合计</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274"/>
              <w:jc w:val="right"/>
              <w:rPr>
                <w:rFonts w:ascii="Times New Roman" w:hAnsi="Times New Roman" w:cs="Times New Roman" w:eastAsia="Times New Roman" w:hint="default"/>
                <w:sz w:val="18"/>
                <w:szCs w:val="18"/>
              </w:rPr>
            </w:pPr>
            <w:r>
              <w:rPr>
                <w:rFonts w:ascii="Times New Roman"/>
                <w:spacing w:val="-1"/>
                <w:sz w:val="18"/>
              </w:rPr>
              <w:t>12,081,178.24</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276"/>
              <w:jc w:val="right"/>
              <w:rPr>
                <w:rFonts w:ascii="Times New Roman" w:hAnsi="Times New Roman" w:cs="Times New Roman" w:eastAsia="Times New Roman" w:hint="default"/>
                <w:sz w:val="18"/>
                <w:szCs w:val="18"/>
              </w:rPr>
            </w:pPr>
            <w:r>
              <w:rPr>
                <w:rFonts w:ascii="Times New Roman"/>
                <w:spacing w:val="-1"/>
                <w:sz w:val="18"/>
              </w:rPr>
              <w:t>14,710,034.96</w:t>
            </w:r>
          </w:p>
        </w:tc>
        <w:tc>
          <w:tcPr>
            <w:tcW w:w="2208" w:type="dxa"/>
            <w:tcBorders>
              <w:top w:val="single" w:sz="6" w:space="0" w:color="000000"/>
              <w:left w:val="single" w:sz="6" w:space="0" w:color="000000"/>
              <w:bottom w:val="single" w:sz="12" w:space="0" w:color="000000"/>
              <w:right w:val="nil" w:sz="6" w:space="0" w:color="auto"/>
            </w:tcBorders>
          </w:tcPr>
          <w:p>
            <w:pPr/>
          </w:p>
        </w:tc>
      </w:tr>
    </w:tbl>
    <w:p>
      <w:pPr>
        <w:pStyle w:val="BodyText"/>
        <w:spacing w:line="257" w:lineRule="exact"/>
        <w:ind w:left="840" w:right="409"/>
        <w:jc w:val="left"/>
      </w:pPr>
      <w:r>
        <w:rPr>
          <w:w w:val="100"/>
        </w:rPr>
        <w:t>下一</w:t>
      </w:r>
      <w:r>
        <w:rPr>
          <w:spacing w:val="-3"/>
          <w:w w:val="100"/>
        </w:rPr>
        <w:t>会</w:t>
      </w:r>
      <w:r>
        <w:rPr>
          <w:w w:val="100"/>
        </w:rPr>
        <w:t>计</w:t>
      </w:r>
      <w:r>
        <w:rPr>
          <w:spacing w:val="-3"/>
          <w:w w:val="100"/>
        </w:rPr>
        <w:t>期</w:t>
      </w:r>
      <w:r>
        <w:rPr>
          <w:w w:val="100"/>
        </w:rPr>
        <w:t>间</w:t>
      </w:r>
      <w:r>
        <w:rPr>
          <w:spacing w:val="-3"/>
          <w:w w:val="100"/>
        </w:rPr>
        <w:t>将</w:t>
      </w:r>
      <w:r>
        <w:rPr>
          <w:w w:val="100"/>
        </w:rPr>
        <w:t>到</w:t>
      </w:r>
      <w:r>
        <w:rPr>
          <w:spacing w:val="-3"/>
          <w:w w:val="100"/>
        </w:rPr>
        <w:t>期</w:t>
      </w:r>
      <w:r>
        <w:rPr>
          <w:w w:val="100"/>
        </w:rPr>
        <w:t>的</w:t>
      </w:r>
      <w:r>
        <w:rPr>
          <w:spacing w:val="-3"/>
          <w:w w:val="100"/>
        </w:rPr>
        <w:t>金</w:t>
      </w:r>
      <w:r>
        <w:rPr>
          <w:w w:val="100"/>
        </w:rPr>
        <w:t>额</w:t>
      </w:r>
      <w:r>
        <w:rPr>
          <w:spacing w:val="-5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81,</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78.</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元</w:t>
      </w:r>
      <w:r>
        <w:rPr>
          <w:spacing w:val="-108"/>
          <w:w w:val="100"/>
        </w:rPr>
        <w:t>。</w:t>
      </w:r>
      <w:r>
        <w:rPr>
          <w:w w:val="100"/>
        </w:rPr>
        <w:t>。</w:t>
      </w:r>
    </w:p>
    <w:p>
      <w:pPr>
        <w:spacing w:line="240" w:lineRule="auto" w:before="8"/>
        <w:rPr>
          <w:rFonts w:ascii="宋体" w:hAnsi="宋体" w:cs="宋体" w:eastAsia="宋体" w:hint="default"/>
          <w:sz w:val="22"/>
          <w:szCs w:val="22"/>
        </w:rPr>
      </w:pPr>
    </w:p>
    <w:p>
      <w:pPr>
        <w:pStyle w:val="Heading5"/>
        <w:tabs>
          <w:tab w:pos="2100" w:val="left" w:leader="none"/>
        </w:tabs>
        <w:spacing w:line="240" w:lineRule="auto"/>
        <w:ind w:left="840" w:right="409"/>
        <w:jc w:val="left"/>
        <w:rPr>
          <w:b w:val="0"/>
          <w:bCs w:val="0"/>
        </w:rPr>
      </w:pPr>
      <w:r>
        <w:rPr/>
        <w:t>（十六）</w:t>
        <w:tab/>
        <w:t>应付账款</w:t>
      </w:r>
      <w:r>
        <w:rPr>
          <w:b w:val="0"/>
          <w:bCs w:val="0"/>
        </w:rPr>
      </w:r>
    </w:p>
    <w:p>
      <w:pPr>
        <w:spacing w:line="240" w:lineRule="auto" w:before="5"/>
        <w:rPr>
          <w:rFonts w:ascii="宋体" w:hAnsi="宋体" w:cs="宋体" w:eastAsia="宋体" w:hint="default"/>
          <w:b/>
          <w:bCs/>
          <w:sz w:val="16"/>
          <w:szCs w:val="16"/>
        </w:rPr>
      </w:pPr>
    </w:p>
    <w:p>
      <w:pPr>
        <w:pStyle w:val="BodyText"/>
        <w:spacing w:line="240" w:lineRule="auto"/>
        <w:ind w:left="840" w:right="409"/>
        <w:jc w:val="left"/>
      </w:pPr>
      <w:r>
        <w:rPr/>
        <w:t>（</w:t>
      </w:r>
      <w:r>
        <w:rPr>
          <w:rFonts w:ascii="Times New Roman" w:hAnsi="Times New Roman" w:cs="Times New Roman" w:eastAsia="Times New Roman" w:hint="default"/>
        </w:rPr>
        <w:t>1</w:t>
      </w:r>
      <w:r>
        <w:rPr/>
        <w:t>）应付账款年末余额列示如下：</w:t>
      </w:r>
    </w:p>
    <w:p>
      <w:pPr>
        <w:spacing w:line="240" w:lineRule="auto" w:before="4"/>
        <w:rPr>
          <w:rFonts w:ascii="宋体" w:hAnsi="宋体" w:cs="宋体" w:eastAsia="宋体" w:hint="default"/>
          <w:sz w:val="12"/>
          <w:szCs w:val="12"/>
        </w:rPr>
      </w:pPr>
    </w:p>
    <w:tbl>
      <w:tblPr>
        <w:tblW w:w="0" w:type="auto"/>
        <w:jc w:val="left"/>
        <w:tblInd w:w="122" w:type="dxa"/>
        <w:tblLayout w:type="fixed"/>
        <w:tblCellMar>
          <w:top w:w="0" w:type="dxa"/>
          <w:left w:w="0" w:type="dxa"/>
          <w:bottom w:w="0" w:type="dxa"/>
          <w:right w:w="0" w:type="dxa"/>
        </w:tblCellMar>
        <w:tblLook w:val="01E0"/>
      </w:tblPr>
      <w:tblGrid>
        <w:gridCol w:w="2225"/>
        <w:gridCol w:w="2213"/>
        <w:gridCol w:w="2213"/>
        <w:gridCol w:w="2208"/>
      </w:tblGrid>
      <w:tr>
        <w:trPr>
          <w:trHeight w:val="391" w:hRule="exact"/>
        </w:trPr>
        <w:tc>
          <w:tcPr>
            <w:tcW w:w="22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年初账面余额</w:t>
            </w:r>
          </w:p>
        </w:tc>
        <w:tc>
          <w:tcPr>
            <w:tcW w:w="22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2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46,351,797.17</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4"/>
              <w:jc w:val="center"/>
              <w:rPr>
                <w:rFonts w:ascii="Times New Roman" w:hAnsi="Times New Roman" w:cs="Times New Roman" w:eastAsia="Times New Roman" w:hint="default"/>
                <w:sz w:val="18"/>
                <w:szCs w:val="18"/>
              </w:rPr>
            </w:pPr>
            <w:r>
              <w:rPr>
                <w:rFonts w:ascii="Times New Roman"/>
                <w:sz w:val="18"/>
              </w:rPr>
              <w:t>37,389,401.87</w:t>
            </w:r>
          </w:p>
        </w:tc>
        <w:tc>
          <w:tcPr>
            <w:tcW w:w="2208" w:type="dxa"/>
            <w:tcBorders>
              <w:top w:val="single" w:sz="6" w:space="0" w:color="000000"/>
              <w:left w:val="single" w:sz="6" w:space="0" w:color="000000"/>
              <w:bottom w:val="single" w:sz="12" w:space="0" w:color="000000"/>
              <w:right w:val="nil" w:sz="6" w:space="0" w:color="auto"/>
            </w:tcBorders>
          </w:tcPr>
          <w:p>
            <w:pPr/>
          </w:p>
        </w:tc>
      </w:tr>
    </w:tbl>
    <w:p>
      <w:pPr>
        <w:pStyle w:val="BodyText"/>
        <w:spacing w:line="280" w:lineRule="auto" w:before="45"/>
        <w:ind w:left="420" w:right="409" w:firstLine="419"/>
        <w:jc w:val="left"/>
      </w:pPr>
      <w:r>
        <w:rPr/>
        <w:t>（</w:t>
      </w:r>
      <w:r>
        <w:rPr>
          <w:rFonts w:ascii="Times New Roman" w:hAnsi="Times New Roman" w:cs="Times New Roman" w:eastAsia="Times New Roman" w:hint="default"/>
        </w:rPr>
        <w:t>2</w:t>
      </w:r>
      <w:r>
        <w:rPr/>
        <w:t>）截至</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日止，应付账款余额中无持有本公司</w:t>
      </w:r>
      <w:r>
        <w:rPr>
          <w:spacing w:val="-43"/>
        </w:rPr>
        <w:t> </w:t>
      </w:r>
      <w:r>
        <w:rPr>
          <w:rFonts w:ascii="Times New Roman" w:hAnsi="Times New Roman" w:cs="Times New Roman" w:eastAsia="Times New Roman" w:hint="default"/>
        </w:rPr>
        <w:t>5%</w:t>
      </w:r>
      <w:r>
        <w:rPr/>
        <w:t>（含</w:t>
      </w:r>
      <w:r>
        <w:rPr>
          <w:spacing w:val="-42"/>
        </w:rPr>
        <w:t> </w:t>
      </w:r>
      <w:r>
        <w:rPr>
          <w:rFonts w:ascii="Times New Roman" w:hAnsi="Times New Roman" w:cs="Times New Roman" w:eastAsia="Times New Roman" w:hint="default"/>
        </w:rPr>
        <w:t>5%</w:t>
      </w:r>
      <w:r>
        <w:rPr/>
        <w:t>）以上表</w:t>
      </w:r>
      <w:r>
        <w:rPr>
          <w:w w:val="100"/>
        </w:rPr>
        <w:t> </w:t>
      </w:r>
      <w:r>
        <w:rPr/>
        <w:t>决权股份的股东单位款项，无应付关联方款项。</w:t>
      </w:r>
    </w:p>
    <w:p>
      <w:pPr>
        <w:pStyle w:val="BodyText"/>
        <w:spacing w:line="240" w:lineRule="auto" w:before="107"/>
        <w:ind w:left="840" w:right="409"/>
        <w:jc w:val="left"/>
      </w:pPr>
      <w:r>
        <w:rPr/>
        <w:t>（</w:t>
      </w:r>
      <w:r>
        <w:rPr>
          <w:rFonts w:ascii="Times New Roman" w:hAnsi="Times New Roman" w:cs="Times New Roman" w:eastAsia="Times New Roman" w:hint="default"/>
        </w:rPr>
        <w:t>3</w:t>
      </w:r>
      <w:r>
        <w:rPr/>
        <w:t>）截至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日止，账龄超过一年的大额应付账款的明细如下：</w:t>
      </w:r>
    </w:p>
    <w:p>
      <w:pPr>
        <w:spacing w:line="240" w:lineRule="auto" w:before="6"/>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982"/>
        <w:gridCol w:w="1440"/>
        <w:gridCol w:w="1620"/>
        <w:gridCol w:w="1832"/>
      </w:tblGrid>
      <w:tr>
        <w:trPr>
          <w:trHeight w:val="389" w:hRule="exact"/>
        </w:trPr>
        <w:tc>
          <w:tcPr>
            <w:tcW w:w="398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20"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8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6"/>
              <w:jc w:val="center"/>
              <w:rPr>
                <w:rFonts w:ascii="宋体" w:hAnsi="宋体" w:cs="宋体" w:eastAsia="宋体" w:hint="default"/>
                <w:sz w:val="18"/>
                <w:szCs w:val="18"/>
              </w:rPr>
            </w:pPr>
            <w:r>
              <w:rPr>
                <w:rFonts w:ascii="宋体" w:hAnsi="宋体" w:cs="宋体" w:eastAsia="宋体" w:hint="default"/>
                <w:sz w:val="18"/>
                <w:szCs w:val="18"/>
              </w:rPr>
              <w:t>未偿还的原因</w:t>
            </w:r>
          </w:p>
        </w:tc>
      </w:tr>
      <w:tr>
        <w:trPr>
          <w:trHeight w:val="396" w:hRule="exact"/>
        </w:trPr>
        <w:tc>
          <w:tcPr>
            <w:tcW w:w="39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河南思维信息技术有限公司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1,160,685.00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9"/>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99" w:hRule="exact"/>
        </w:trPr>
        <w:tc>
          <w:tcPr>
            <w:tcW w:w="39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济南铁路天龙高新技术开发有限公司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792,820.00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7"/>
              <w:ind w:right="9"/>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96" w:hRule="exact"/>
        </w:trPr>
        <w:tc>
          <w:tcPr>
            <w:tcW w:w="39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湖南铁路联创技术发展中心长沙电务服务部</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600,000.00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9"/>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98" w:hRule="exact"/>
        </w:trPr>
        <w:tc>
          <w:tcPr>
            <w:tcW w:w="39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上海新干通通信设备有限公司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419,075.00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9"/>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96" w:hRule="exact"/>
        </w:trPr>
        <w:tc>
          <w:tcPr>
            <w:tcW w:w="39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中铁一局集团电务工程有限公司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307,160.00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9"/>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6" w:hRule="exact"/>
        </w:trPr>
        <w:tc>
          <w:tcPr>
            <w:tcW w:w="398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3,279,740.00</w:t>
            </w:r>
          </w:p>
        </w:tc>
        <w:tc>
          <w:tcPr>
            <w:tcW w:w="1620" w:type="dxa"/>
            <w:tcBorders>
              <w:top w:val="single" w:sz="6" w:space="0" w:color="000000"/>
              <w:left w:val="single" w:sz="6" w:space="0" w:color="000000"/>
              <w:bottom w:val="single" w:sz="12" w:space="0" w:color="000000"/>
              <w:right w:val="single" w:sz="6" w:space="0" w:color="000000"/>
            </w:tcBorders>
          </w:tcPr>
          <w:p>
            <w:pPr/>
          </w:p>
        </w:tc>
        <w:tc>
          <w:tcPr>
            <w:tcW w:w="183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8"/>
          <w:szCs w:val="8"/>
        </w:rPr>
      </w:pPr>
    </w:p>
    <w:p>
      <w:pPr>
        <w:pStyle w:val="Heading5"/>
        <w:tabs>
          <w:tab w:pos="2100" w:val="left" w:leader="none"/>
        </w:tabs>
        <w:spacing w:line="240" w:lineRule="auto" w:before="36"/>
        <w:ind w:left="840" w:right="409"/>
        <w:jc w:val="left"/>
        <w:rPr>
          <w:b w:val="0"/>
          <w:bCs w:val="0"/>
        </w:rPr>
      </w:pPr>
      <w:r>
        <w:rPr/>
        <w:t>（十七）</w:t>
        <w:tab/>
        <w:t>预收款项</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840" w:right="409"/>
        <w:jc w:val="left"/>
      </w:pPr>
      <w:r>
        <w:rPr/>
        <w:t>（</w:t>
      </w:r>
      <w:r>
        <w:rPr>
          <w:rFonts w:ascii="Times New Roman" w:hAnsi="Times New Roman" w:cs="Times New Roman" w:eastAsia="Times New Roman" w:hint="default"/>
        </w:rPr>
        <w:t>1</w:t>
      </w:r>
      <w:r>
        <w:rPr/>
        <w:t>）预收款项年末余额列示如下：</w:t>
      </w:r>
    </w:p>
    <w:p>
      <w:pPr>
        <w:spacing w:line="240" w:lineRule="auto" w:before="10"/>
        <w:rPr>
          <w:rFonts w:ascii="宋体" w:hAnsi="宋体" w:cs="宋体" w:eastAsia="宋体" w:hint="default"/>
          <w:sz w:val="11"/>
          <w:szCs w:val="11"/>
        </w:rPr>
      </w:pPr>
    </w:p>
    <w:tbl>
      <w:tblPr>
        <w:tblW w:w="0" w:type="auto"/>
        <w:jc w:val="left"/>
        <w:tblInd w:w="122" w:type="dxa"/>
        <w:tblLayout w:type="fixed"/>
        <w:tblCellMar>
          <w:top w:w="0" w:type="dxa"/>
          <w:left w:w="0" w:type="dxa"/>
          <w:bottom w:w="0" w:type="dxa"/>
          <w:right w:w="0" w:type="dxa"/>
        </w:tblCellMar>
        <w:tblLook w:val="01E0"/>
      </w:tblPr>
      <w:tblGrid>
        <w:gridCol w:w="2225"/>
        <w:gridCol w:w="2213"/>
        <w:gridCol w:w="2213"/>
        <w:gridCol w:w="2208"/>
      </w:tblGrid>
      <w:tr>
        <w:trPr>
          <w:trHeight w:val="391" w:hRule="exact"/>
        </w:trPr>
        <w:tc>
          <w:tcPr>
            <w:tcW w:w="22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55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55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2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6" w:hRule="exact"/>
        </w:trPr>
        <w:tc>
          <w:tcPr>
            <w:tcW w:w="22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left="1063" w:right="0"/>
              <w:jc w:val="left"/>
              <w:rPr>
                <w:rFonts w:ascii="Times New Roman" w:hAnsi="Times New Roman" w:cs="Times New Roman" w:eastAsia="Times New Roman" w:hint="default"/>
                <w:sz w:val="18"/>
                <w:szCs w:val="18"/>
              </w:rPr>
            </w:pPr>
            <w:r>
              <w:rPr>
                <w:rFonts w:ascii="Times New Roman"/>
                <w:sz w:val="18"/>
              </w:rPr>
              <w:t>10,861,592.20</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left="1061" w:right="0"/>
              <w:jc w:val="left"/>
              <w:rPr>
                <w:rFonts w:ascii="Times New Roman" w:hAnsi="Times New Roman" w:cs="Times New Roman" w:eastAsia="Times New Roman" w:hint="default"/>
                <w:sz w:val="18"/>
                <w:szCs w:val="18"/>
              </w:rPr>
            </w:pPr>
            <w:r>
              <w:rPr>
                <w:rFonts w:ascii="Times New Roman"/>
                <w:sz w:val="18"/>
              </w:rPr>
              <w:t>12,019,335.08</w:t>
            </w:r>
          </w:p>
        </w:tc>
        <w:tc>
          <w:tcPr>
            <w:tcW w:w="2208" w:type="dxa"/>
            <w:tcBorders>
              <w:top w:val="single" w:sz="6" w:space="0" w:color="000000"/>
              <w:left w:val="single" w:sz="6" w:space="0" w:color="000000"/>
              <w:bottom w:val="single" w:sz="12" w:space="0" w:color="000000"/>
              <w:right w:val="nil" w:sz="6" w:space="0" w:color="auto"/>
            </w:tcBorders>
          </w:tcPr>
          <w:p>
            <w:pPr/>
          </w:p>
        </w:tc>
      </w:tr>
    </w:tbl>
    <w:p>
      <w:pPr>
        <w:pStyle w:val="BodyText"/>
        <w:spacing w:line="278" w:lineRule="auto" w:before="45"/>
        <w:ind w:left="420" w:right="409" w:firstLine="419"/>
        <w:jc w:val="left"/>
      </w:pPr>
      <w:r>
        <w:rPr/>
        <w:t>（</w:t>
      </w:r>
      <w:r>
        <w:rPr>
          <w:rFonts w:ascii="Times New Roman" w:hAnsi="Times New Roman" w:cs="Times New Roman" w:eastAsia="Times New Roman" w:hint="default"/>
        </w:rPr>
        <w:t>2</w:t>
      </w:r>
      <w:r>
        <w:rPr/>
        <w:t>）截至</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日止，预收款项余额中无持有本公司</w:t>
      </w:r>
      <w:r>
        <w:rPr>
          <w:spacing w:val="-43"/>
        </w:rPr>
        <w:t> </w:t>
      </w:r>
      <w:r>
        <w:rPr>
          <w:rFonts w:ascii="Times New Roman" w:hAnsi="Times New Roman" w:cs="Times New Roman" w:eastAsia="Times New Roman" w:hint="default"/>
        </w:rPr>
        <w:t>5%</w:t>
      </w:r>
      <w:r>
        <w:rPr/>
        <w:t>（含</w:t>
      </w:r>
      <w:r>
        <w:rPr>
          <w:spacing w:val="-42"/>
        </w:rPr>
        <w:t> </w:t>
      </w:r>
      <w:r>
        <w:rPr>
          <w:rFonts w:ascii="Times New Roman" w:hAnsi="Times New Roman" w:cs="Times New Roman" w:eastAsia="Times New Roman" w:hint="default"/>
        </w:rPr>
        <w:t>5%</w:t>
      </w:r>
      <w:r>
        <w:rPr/>
        <w:t>）以上表</w:t>
      </w:r>
      <w:r>
        <w:rPr>
          <w:w w:val="100"/>
        </w:rPr>
        <w:t> </w:t>
      </w:r>
      <w:r>
        <w:rPr/>
        <w:t>决权股份的股东单位款项，无预收关联方款项。</w:t>
      </w:r>
    </w:p>
    <w:p>
      <w:pPr>
        <w:pStyle w:val="BodyText"/>
        <w:spacing w:line="240" w:lineRule="auto" w:before="109"/>
        <w:ind w:left="840" w:right="409"/>
        <w:jc w:val="left"/>
      </w:pPr>
      <w:r>
        <w:rPr/>
        <w:t>（</w:t>
      </w:r>
      <w:r>
        <w:rPr>
          <w:rFonts w:ascii="Times New Roman" w:hAnsi="Times New Roman" w:cs="Times New Roman" w:eastAsia="Times New Roman" w:hint="default"/>
        </w:rPr>
        <w:t>3</w:t>
      </w:r>
      <w:r>
        <w:rPr/>
        <w:t>）截至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日止，无账龄超过一年的大额预收款项。</w:t>
      </w:r>
    </w:p>
    <w:p>
      <w:pPr>
        <w:spacing w:after="0" w:line="240" w:lineRule="auto"/>
        <w:jc w:val="left"/>
        <w:sectPr>
          <w:pgSz w:w="11910" w:h="16840"/>
          <w:pgMar w:header="852" w:footer="1186" w:top="1200" w:bottom="1380" w:left="1380" w:right="1380"/>
        </w:sectPr>
      </w:pPr>
    </w:p>
    <w:p>
      <w:pPr>
        <w:spacing w:line="240" w:lineRule="auto" w:before="0"/>
        <w:rPr>
          <w:rFonts w:ascii="宋体" w:hAnsi="宋体" w:cs="宋体" w:eastAsia="宋体" w:hint="default"/>
          <w:sz w:val="12"/>
          <w:szCs w:val="12"/>
        </w:rPr>
      </w:pPr>
    </w:p>
    <w:p>
      <w:pPr>
        <w:tabs>
          <w:tab w:pos="2080" w:val="left" w:leader="none"/>
        </w:tabs>
        <w:spacing w:line="427" w:lineRule="auto" w:before="36"/>
        <w:ind w:left="820" w:right="5776" w:firstLine="0"/>
        <w:jc w:val="left"/>
        <w:rPr>
          <w:rFonts w:ascii="宋体" w:hAnsi="宋体" w:cs="宋体" w:eastAsia="宋体" w:hint="default"/>
          <w:sz w:val="21"/>
          <w:szCs w:val="21"/>
        </w:rPr>
      </w:pPr>
      <w:r>
        <w:rPr>
          <w:rFonts w:ascii="宋体" w:hAnsi="宋体" w:cs="宋体" w:eastAsia="宋体" w:hint="default"/>
          <w:b/>
          <w:bCs/>
          <w:sz w:val="21"/>
          <w:szCs w:val="21"/>
        </w:rPr>
        <w:t>（十八）</w:t>
        <w:tab/>
        <w:t>应付职工薪酬</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应付职工薪酬明细如下：</w:t>
      </w:r>
    </w:p>
    <w:tbl>
      <w:tblPr>
        <w:tblW w:w="0" w:type="auto"/>
        <w:jc w:val="left"/>
        <w:tblInd w:w="102" w:type="dxa"/>
        <w:tblLayout w:type="fixed"/>
        <w:tblCellMar>
          <w:top w:w="0" w:type="dxa"/>
          <w:left w:w="0" w:type="dxa"/>
          <w:bottom w:w="0" w:type="dxa"/>
          <w:right w:w="0" w:type="dxa"/>
        </w:tblCellMar>
        <w:tblLook w:val="01E0"/>
      </w:tblPr>
      <w:tblGrid>
        <w:gridCol w:w="2895"/>
        <w:gridCol w:w="1620"/>
        <w:gridCol w:w="1440"/>
        <w:gridCol w:w="1441"/>
        <w:gridCol w:w="1464"/>
      </w:tblGrid>
      <w:tr>
        <w:trPr>
          <w:trHeight w:val="420" w:hRule="exact"/>
        </w:trPr>
        <w:tc>
          <w:tcPr>
            <w:tcW w:w="289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26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261"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4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261"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3"/>
              <w:ind w:left="18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13"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1,881,647.32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19,417,404.38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18,334,391.26</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2,964,660.44</w:t>
            </w:r>
          </w:p>
        </w:tc>
      </w:tr>
      <w:tr>
        <w:trPr>
          <w:trHeight w:val="410"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2,525,390.26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2,525,390.26</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3,626,731.07</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3,626,731.07</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908,581.52</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908,581.52</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66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2,381,811.86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2,381,811.86</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66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119,409.10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119,409.10</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66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110,319.03</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110,319.03</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411"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66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106,609.56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106,609.56</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584,224.00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584,224.00</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1,322,258.35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860,366.76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371,908.07</w:t>
            </w:r>
          </w:p>
        </w:tc>
        <w:tc>
          <w:tcPr>
            <w:tcW w:w="14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1,810,717.04</w:t>
            </w:r>
          </w:p>
        </w:tc>
      </w:tr>
      <w:tr>
        <w:trPr>
          <w:trHeight w:val="480" w:hRule="exact"/>
        </w:trPr>
        <w:tc>
          <w:tcPr>
            <w:tcW w:w="2895"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除辞退福利外其他因解除劳动关</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系给予的补偿</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w w:val="95"/>
                <w:sz w:val="18"/>
              </w:rPr>
              <w:t>11,162.76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w w:val="95"/>
                <w:sz w:val="18"/>
              </w:rPr>
              <w:t>11,162.76</w:t>
            </w:r>
          </w:p>
        </w:tc>
        <w:tc>
          <w:tcPr>
            <w:tcW w:w="1464" w:type="dxa"/>
            <w:tcBorders>
              <w:top w:val="single" w:sz="6" w:space="0" w:color="000000"/>
              <w:left w:val="single" w:sz="6" w:space="0" w:color="000000"/>
              <w:bottom w:val="single" w:sz="6" w:space="0" w:color="000000"/>
              <w:right w:val="nil" w:sz="6" w:space="0" w:color="auto"/>
            </w:tcBorders>
          </w:tcPr>
          <w:p>
            <w:pPr/>
          </w:p>
        </w:tc>
      </w:tr>
      <w:tr>
        <w:trPr>
          <w:trHeight w:val="420" w:hRule="exact"/>
        </w:trPr>
        <w:tc>
          <w:tcPr>
            <w:tcW w:w="289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3"/>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3,203,905.67</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27,025,279.23</w:t>
            </w:r>
          </w:p>
        </w:tc>
        <w:tc>
          <w:tcPr>
            <w:tcW w:w="14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25,453,807.42</w:t>
            </w:r>
          </w:p>
        </w:tc>
        <w:tc>
          <w:tcPr>
            <w:tcW w:w="14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4,775,377.48</w:t>
            </w:r>
          </w:p>
        </w:tc>
      </w:tr>
    </w:tbl>
    <w:p>
      <w:pPr>
        <w:spacing w:line="240" w:lineRule="auto" w:before="1"/>
        <w:rPr>
          <w:rFonts w:ascii="宋体" w:hAnsi="宋体" w:cs="宋体" w:eastAsia="宋体" w:hint="default"/>
          <w:sz w:val="13"/>
          <w:szCs w:val="13"/>
        </w:rPr>
      </w:pPr>
    </w:p>
    <w:p>
      <w:pPr>
        <w:pStyle w:val="Heading5"/>
        <w:tabs>
          <w:tab w:pos="2080" w:val="left" w:leader="none"/>
        </w:tabs>
        <w:spacing w:line="240" w:lineRule="auto" w:before="36"/>
        <w:ind w:right="5776"/>
        <w:jc w:val="left"/>
        <w:rPr>
          <w:b w:val="0"/>
          <w:bCs w:val="0"/>
        </w:rPr>
      </w:pPr>
      <w:r>
        <w:rPr/>
        <w:t>（十九）</w:t>
        <w:tab/>
        <w:t>应交税费</w:t>
      </w:r>
      <w:r>
        <w:rPr>
          <w:b w:val="0"/>
          <w:bCs w:val="0"/>
        </w:rPr>
      </w:r>
    </w:p>
    <w:p>
      <w:pPr>
        <w:spacing w:line="240" w:lineRule="auto" w:before="0"/>
        <w:rPr>
          <w:rFonts w:ascii="宋体" w:hAnsi="宋体" w:cs="宋体" w:eastAsia="宋体" w:hint="default"/>
          <w:b/>
          <w:bCs/>
          <w:sz w:val="19"/>
          <w:szCs w:val="19"/>
        </w:rPr>
      </w:pPr>
    </w:p>
    <w:tbl>
      <w:tblPr>
        <w:tblW w:w="0" w:type="auto"/>
        <w:jc w:val="left"/>
        <w:tblInd w:w="100" w:type="dxa"/>
        <w:tblLayout w:type="fixed"/>
        <w:tblCellMar>
          <w:top w:w="0" w:type="dxa"/>
          <w:left w:w="0" w:type="dxa"/>
          <w:bottom w:w="0" w:type="dxa"/>
          <w:right w:w="0" w:type="dxa"/>
        </w:tblCellMar>
        <w:tblLook w:val="01E0"/>
      </w:tblPr>
      <w:tblGrid>
        <w:gridCol w:w="2302"/>
        <w:gridCol w:w="3353"/>
        <w:gridCol w:w="3209"/>
      </w:tblGrid>
      <w:tr>
        <w:trPr>
          <w:trHeight w:val="420" w:hRule="exact"/>
        </w:trPr>
        <w:tc>
          <w:tcPr>
            <w:tcW w:w="230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right="953"/>
              <w:jc w:val="right"/>
              <w:rPr>
                <w:rFonts w:ascii="宋体" w:hAnsi="宋体" w:cs="宋体" w:eastAsia="宋体" w:hint="default"/>
                <w:sz w:val="18"/>
                <w:szCs w:val="18"/>
              </w:rPr>
            </w:pPr>
            <w:r>
              <w:rPr>
                <w:rFonts w:ascii="宋体" w:hAnsi="宋体" w:cs="宋体" w:eastAsia="宋体" w:hint="default"/>
                <w:sz w:val="18"/>
                <w:szCs w:val="18"/>
              </w:rPr>
              <w:t>项目</w:t>
            </w:r>
          </w:p>
        </w:tc>
        <w:tc>
          <w:tcPr>
            <w:tcW w:w="33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20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3"/>
              <w:ind w:left="105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13"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4"/>
              <w:jc w:val="right"/>
              <w:rPr>
                <w:rFonts w:ascii="Times New Roman" w:hAnsi="Times New Roman" w:cs="Times New Roman" w:eastAsia="Times New Roman" w:hint="default"/>
                <w:sz w:val="18"/>
                <w:szCs w:val="18"/>
              </w:rPr>
            </w:pPr>
            <w:r>
              <w:rPr>
                <w:rFonts w:ascii="Times New Roman"/>
                <w:spacing w:val="-1"/>
                <w:sz w:val="18"/>
              </w:rPr>
              <w:t>8,939,636.17</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39"/>
              <w:jc w:val="right"/>
              <w:rPr>
                <w:rFonts w:ascii="Times New Roman" w:hAnsi="Times New Roman" w:cs="Times New Roman" w:eastAsia="Times New Roman" w:hint="default"/>
                <w:sz w:val="18"/>
                <w:szCs w:val="18"/>
              </w:rPr>
            </w:pPr>
            <w:r>
              <w:rPr>
                <w:rFonts w:ascii="Times New Roman"/>
                <w:spacing w:val="-1"/>
                <w:sz w:val="18"/>
              </w:rPr>
              <w:t>2,571,795.94</w:t>
            </w:r>
          </w:p>
        </w:tc>
      </w:tr>
      <w:tr>
        <w:trPr>
          <w:trHeight w:val="411"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4"/>
              <w:jc w:val="right"/>
              <w:rPr>
                <w:rFonts w:ascii="Times New Roman" w:hAnsi="Times New Roman" w:cs="Times New Roman" w:eastAsia="Times New Roman" w:hint="default"/>
                <w:sz w:val="18"/>
                <w:szCs w:val="18"/>
              </w:rPr>
            </w:pPr>
            <w:r>
              <w:rPr>
                <w:rFonts w:ascii="Times New Roman"/>
                <w:spacing w:val="-1"/>
                <w:sz w:val="18"/>
              </w:rPr>
              <w:t>9,149,303.14</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39"/>
              <w:jc w:val="right"/>
              <w:rPr>
                <w:rFonts w:ascii="Times New Roman" w:hAnsi="Times New Roman" w:cs="Times New Roman" w:eastAsia="Times New Roman" w:hint="default"/>
                <w:sz w:val="18"/>
                <w:szCs w:val="18"/>
              </w:rPr>
            </w:pPr>
            <w:r>
              <w:rPr>
                <w:rFonts w:ascii="Times New Roman"/>
                <w:spacing w:val="-1"/>
                <w:sz w:val="18"/>
              </w:rPr>
              <w:t>3,478,884.54</w:t>
            </w:r>
          </w:p>
        </w:tc>
      </w:tr>
      <w:tr>
        <w:trPr>
          <w:trHeight w:val="413"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4"/>
              <w:jc w:val="right"/>
              <w:rPr>
                <w:rFonts w:ascii="Times New Roman" w:hAnsi="Times New Roman" w:cs="Times New Roman" w:eastAsia="Times New Roman" w:hint="default"/>
                <w:sz w:val="18"/>
                <w:szCs w:val="18"/>
              </w:rPr>
            </w:pPr>
            <w:r>
              <w:rPr>
                <w:rFonts w:ascii="Times New Roman"/>
                <w:spacing w:val="-1"/>
                <w:sz w:val="18"/>
              </w:rPr>
              <w:t>14,000.00</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38"/>
              <w:jc w:val="right"/>
              <w:rPr>
                <w:rFonts w:ascii="Times New Roman" w:hAnsi="Times New Roman" w:cs="Times New Roman" w:eastAsia="Times New Roman" w:hint="default"/>
                <w:sz w:val="18"/>
                <w:szCs w:val="18"/>
              </w:rPr>
            </w:pPr>
            <w:r>
              <w:rPr>
                <w:rFonts w:ascii="Times New Roman"/>
                <w:w w:val="95"/>
                <w:sz w:val="18"/>
              </w:rPr>
              <w:t>1,350.00</w:t>
            </w:r>
          </w:p>
        </w:tc>
      </w:tr>
      <w:tr>
        <w:trPr>
          <w:trHeight w:val="413"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4"/>
              <w:jc w:val="right"/>
              <w:rPr>
                <w:rFonts w:ascii="Times New Roman" w:hAnsi="Times New Roman" w:cs="Times New Roman" w:eastAsia="Times New Roman" w:hint="default"/>
                <w:sz w:val="18"/>
                <w:szCs w:val="18"/>
              </w:rPr>
            </w:pPr>
            <w:r>
              <w:rPr>
                <w:rFonts w:ascii="Times New Roman"/>
                <w:spacing w:val="-1"/>
                <w:sz w:val="18"/>
              </w:rPr>
              <w:t>34,812.50</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38"/>
              <w:jc w:val="right"/>
              <w:rPr>
                <w:rFonts w:ascii="Times New Roman" w:hAnsi="Times New Roman" w:cs="Times New Roman" w:eastAsia="Times New Roman" w:hint="default"/>
                <w:sz w:val="18"/>
                <w:szCs w:val="18"/>
              </w:rPr>
            </w:pPr>
            <w:r>
              <w:rPr>
                <w:rFonts w:ascii="Times New Roman"/>
                <w:spacing w:val="-1"/>
                <w:sz w:val="18"/>
              </w:rPr>
              <w:t>34,812.50</w:t>
            </w:r>
          </w:p>
        </w:tc>
      </w:tr>
      <w:tr>
        <w:trPr>
          <w:trHeight w:val="410"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4"/>
              <w:jc w:val="right"/>
              <w:rPr>
                <w:rFonts w:ascii="Times New Roman" w:hAnsi="Times New Roman" w:cs="Times New Roman" w:eastAsia="Times New Roman" w:hint="default"/>
                <w:sz w:val="18"/>
                <w:szCs w:val="18"/>
              </w:rPr>
            </w:pPr>
            <w:r>
              <w:rPr>
                <w:rFonts w:ascii="Times New Roman"/>
                <w:spacing w:val="-1"/>
                <w:sz w:val="18"/>
              </w:rPr>
              <w:t>63,274.20</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38"/>
              <w:jc w:val="right"/>
              <w:rPr>
                <w:rFonts w:ascii="Times New Roman" w:hAnsi="Times New Roman" w:cs="Times New Roman" w:eastAsia="Times New Roman" w:hint="default"/>
                <w:sz w:val="18"/>
                <w:szCs w:val="18"/>
              </w:rPr>
            </w:pPr>
            <w:r>
              <w:rPr>
                <w:rFonts w:ascii="Times New Roman"/>
                <w:spacing w:val="-1"/>
                <w:sz w:val="18"/>
              </w:rPr>
              <w:t>18,337.66</w:t>
            </w:r>
          </w:p>
        </w:tc>
      </w:tr>
      <w:tr>
        <w:trPr>
          <w:trHeight w:val="413"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4"/>
              <w:jc w:val="right"/>
              <w:rPr>
                <w:rFonts w:ascii="Times New Roman" w:hAnsi="Times New Roman" w:cs="Times New Roman" w:eastAsia="Times New Roman" w:hint="default"/>
                <w:sz w:val="18"/>
                <w:szCs w:val="18"/>
              </w:rPr>
            </w:pPr>
            <w:r>
              <w:rPr>
                <w:rFonts w:ascii="Times New Roman"/>
                <w:spacing w:val="-1"/>
                <w:sz w:val="18"/>
              </w:rPr>
              <w:t>641,398.92</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38"/>
              <w:jc w:val="right"/>
              <w:rPr>
                <w:rFonts w:ascii="Times New Roman" w:hAnsi="Times New Roman" w:cs="Times New Roman" w:eastAsia="Times New Roman" w:hint="default"/>
                <w:sz w:val="18"/>
                <w:szCs w:val="18"/>
              </w:rPr>
            </w:pPr>
            <w:r>
              <w:rPr>
                <w:rFonts w:ascii="Times New Roman"/>
                <w:spacing w:val="-1"/>
                <w:sz w:val="18"/>
              </w:rPr>
              <w:t>243,616.42</w:t>
            </w:r>
          </w:p>
        </w:tc>
      </w:tr>
      <w:tr>
        <w:trPr>
          <w:trHeight w:val="413"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4"/>
              <w:jc w:val="right"/>
              <w:rPr>
                <w:rFonts w:ascii="Times New Roman" w:hAnsi="Times New Roman" w:cs="Times New Roman" w:eastAsia="Times New Roman" w:hint="default"/>
                <w:sz w:val="18"/>
                <w:szCs w:val="18"/>
              </w:rPr>
            </w:pPr>
            <w:r>
              <w:rPr>
                <w:rFonts w:ascii="Times New Roman"/>
                <w:spacing w:val="-1"/>
                <w:sz w:val="18"/>
              </w:rPr>
              <w:t>274,885.25</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38"/>
              <w:jc w:val="right"/>
              <w:rPr>
                <w:rFonts w:ascii="Times New Roman" w:hAnsi="Times New Roman" w:cs="Times New Roman" w:eastAsia="Times New Roman" w:hint="default"/>
                <w:sz w:val="18"/>
                <w:szCs w:val="18"/>
              </w:rPr>
            </w:pPr>
            <w:r>
              <w:rPr>
                <w:rFonts w:ascii="Times New Roman"/>
                <w:spacing w:val="-1"/>
                <w:sz w:val="18"/>
              </w:rPr>
              <w:t>104,407.04</w:t>
            </w:r>
          </w:p>
        </w:tc>
      </w:tr>
      <w:tr>
        <w:trPr>
          <w:trHeight w:val="410"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4"/>
              <w:jc w:val="right"/>
              <w:rPr>
                <w:rFonts w:ascii="Times New Roman" w:hAnsi="Times New Roman" w:cs="Times New Roman" w:eastAsia="Times New Roman" w:hint="default"/>
                <w:sz w:val="18"/>
                <w:szCs w:val="18"/>
              </w:rPr>
            </w:pPr>
            <w:r>
              <w:rPr>
                <w:rFonts w:ascii="Times New Roman"/>
                <w:spacing w:val="-1"/>
                <w:sz w:val="18"/>
              </w:rPr>
              <w:t>91,182.78</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938"/>
              <w:jc w:val="right"/>
              <w:rPr>
                <w:rFonts w:ascii="Times New Roman" w:hAnsi="Times New Roman" w:cs="Times New Roman" w:eastAsia="Times New Roman" w:hint="default"/>
                <w:sz w:val="18"/>
                <w:szCs w:val="18"/>
              </w:rPr>
            </w:pPr>
            <w:r>
              <w:rPr>
                <w:rFonts w:ascii="Times New Roman"/>
                <w:spacing w:val="-1"/>
                <w:sz w:val="18"/>
              </w:rPr>
              <w:t>30,879.67</w:t>
            </w:r>
          </w:p>
        </w:tc>
      </w:tr>
      <w:tr>
        <w:trPr>
          <w:trHeight w:val="422" w:hRule="exact"/>
        </w:trPr>
        <w:tc>
          <w:tcPr>
            <w:tcW w:w="230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3"/>
              <w:ind w:right="953"/>
              <w:jc w:val="right"/>
              <w:rPr>
                <w:rFonts w:ascii="宋体" w:hAnsi="宋体" w:cs="宋体" w:eastAsia="宋体" w:hint="default"/>
                <w:sz w:val="18"/>
                <w:szCs w:val="18"/>
              </w:rPr>
            </w:pPr>
            <w:r>
              <w:rPr>
                <w:rFonts w:ascii="宋体" w:hAnsi="宋体" w:cs="宋体" w:eastAsia="宋体" w:hint="default"/>
                <w:sz w:val="18"/>
                <w:szCs w:val="18"/>
              </w:rPr>
              <w:t>合计</w:t>
            </w:r>
          </w:p>
        </w:tc>
        <w:tc>
          <w:tcPr>
            <w:tcW w:w="33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34"/>
              <w:jc w:val="right"/>
              <w:rPr>
                <w:rFonts w:ascii="Times New Roman" w:hAnsi="Times New Roman" w:cs="Times New Roman" w:eastAsia="Times New Roman" w:hint="default"/>
                <w:sz w:val="18"/>
                <w:szCs w:val="18"/>
              </w:rPr>
            </w:pPr>
            <w:r>
              <w:rPr>
                <w:rFonts w:ascii="Times New Roman"/>
                <w:spacing w:val="-1"/>
                <w:sz w:val="18"/>
              </w:rPr>
              <w:t>19,208,492.96</w:t>
            </w:r>
          </w:p>
        </w:tc>
        <w:tc>
          <w:tcPr>
            <w:tcW w:w="32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939"/>
              <w:jc w:val="right"/>
              <w:rPr>
                <w:rFonts w:ascii="Times New Roman" w:hAnsi="Times New Roman" w:cs="Times New Roman" w:eastAsia="Times New Roman" w:hint="default"/>
                <w:sz w:val="18"/>
                <w:szCs w:val="18"/>
              </w:rPr>
            </w:pPr>
            <w:r>
              <w:rPr>
                <w:rFonts w:ascii="Times New Roman"/>
                <w:spacing w:val="-1"/>
                <w:sz w:val="18"/>
              </w:rPr>
              <w:t>6,484,083.77</w:t>
            </w:r>
          </w:p>
        </w:tc>
      </w:tr>
    </w:tbl>
    <w:p>
      <w:pPr>
        <w:pStyle w:val="Heading5"/>
        <w:tabs>
          <w:tab w:pos="2080" w:val="left" w:leader="none"/>
        </w:tabs>
        <w:spacing w:line="240" w:lineRule="auto" w:before="23"/>
        <w:ind w:right="5776"/>
        <w:jc w:val="left"/>
        <w:rPr>
          <w:b w:val="0"/>
          <w:bCs w:val="0"/>
        </w:rPr>
      </w:pPr>
      <w:r>
        <w:rPr/>
        <w:t>（二十）</w:t>
        <w:tab/>
        <w:t>应付利息</w:t>
      </w:r>
      <w:r>
        <w:rPr>
          <w:b w:val="0"/>
          <w:bCs w:val="0"/>
        </w:rPr>
      </w:r>
    </w:p>
    <w:p>
      <w:pPr>
        <w:spacing w:line="240" w:lineRule="auto" w:before="12"/>
        <w:rPr>
          <w:rFonts w:ascii="宋体" w:hAnsi="宋体" w:cs="宋体" w:eastAsia="宋体" w:hint="default"/>
          <w:b/>
          <w:bCs/>
          <w:sz w:val="18"/>
          <w:szCs w:val="18"/>
        </w:rPr>
      </w:pPr>
    </w:p>
    <w:tbl>
      <w:tblPr>
        <w:tblW w:w="0" w:type="auto"/>
        <w:jc w:val="left"/>
        <w:tblInd w:w="100" w:type="dxa"/>
        <w:tblLayout w:type="fixed"/>
        <w:tblCellMar>
          <w:top w:w="0" w:type="dxa"/>
          <w:left w:w="0" w:type="dxa"/>
          <w:bottom w:w="0" w:type="dxa"/>
          <w:right w:w="0" w:type="dxa"/>
        </w:tblCellMar>
        <w:tblLook w:val="01E0"/>
      </w:tblPr>
      <w:tblGrid>
        <w:gridCol w:w="2302"/>
        <w:gridCol w:w="3353"/>
        <w:gridCol w:w="3209"/>
      </w:tblGrid>
      <w:tr>
        <w:trPr>
          <w:trHeight w:val="391" w:hRule="exact"/>
        </w:trPr>
        <w:tc>
          <w:tcPr>
            <w:tcW w:w="230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20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9"/>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96"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353"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7"/>
              <w:jc w:val="center"/>
              <w:rPr>
                <w:rFonts w:ascii="Times New Roman" w:hAnsi="Times New Roman" w:cs="Times New Roman" w:eastAsia="Times New Roman" w:hint="default"/>
                <w:sz w:val="18"/>
                <w:szCs w:val="18"/>
              </w:rPr>
            </w:pPr>
            <w:r>
              <w:rPr>
                <w:rFonts w:ascii="Times New Roman"/>
                <w:sz w:val="18"/>
              </w:rPr>
              <w:t>39,825.00</w:t>
            </w:r>
          </w:p>
        </w:tc>
      </w:tr>
      <w:tr>
        <w:trPr>
          <w:trHeight w:val="406" w:hRule="exact"/>
        </w:trPr>
        <w:tc>
          <w:tcPr>
            <w:tcW w:w="230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53" w:type="dxa"/>
            <w:tcBorders>
              <w:top w:val="single" w:sz="6" w:space="0" w:color="000000"/>
              <w:left w:val="single" w:sz="6" w:space="0" w:color="000000"/>
              <w:bottom w:val="single" w:sz="12" w:space="0" w:color="000000"/>
              <w:right w:val="single" w:sz="6" w:space="0" w:color="000000"/>
            </w:tcBorders>
          </w:tcPr>
          <w:p>
            <w:pPr/>
          </w:p>
        </w:tc>
        <w:tc>
          <w:tcPr>
            <w:tcW w:w="32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7"/>
              <w:jc w:val="center"/>
              <w:rPr>
                <w:rFonts w:ascii="Times New Roman" w:hAnsi="Times New Roman" w:cs="Times New Roman" w:eastAsia="Times New Roman" w:hint="default"/>
                <w:sz w:val="18"/>
                <w:szCs w:val="18"/>
              </w:rPr>
            </w:pPr>
            <w:r>
              <w:rPr>
                <w:rFonts w:ascii="Times New Roman"/>
                <w:sz w:val="18"/>
              </w:rPr>
              <w:t>39,825.00</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1186" w:top="1200" w:bottom="1380" w:left="1400" w:right="1380"/>
        </w:sectPr>
      </w:pPr>
    </w:p>
    <w:p>
      <w:pPr>
        <w:spacing w:line="240" w:lineRule="auto" w:before="0"/>
        <w:rPr>
          <w:rFonts w:ascii="宋体" w:hAnsi="宋体" w:cs="宋体" w:eastAsia="宋体" w:hint="default"/>
          <w:b/>
          <w:bCs/>
          <w:sz w:val="12"/>
          <w:szCs w:val="12"/>
        </w:rPr>
      </w:pPr>
    </w:p>
    <w:p>
      <w:pPr>
        <w:pStyle w:val="Heading5"/>
        <w:tabs>
          <w:tab w:pos="2120" w:val="left" w:leader="none"/>
        </w:tabs>
        <w:spacing w:line="240" w:lineRule="auto" w:before="36"/>
        <w:ind w:left="860" w:right="906"/>
        <w:jc w:val="left"/>
        <w:rPr>
          <w:b w:val="0"/>
          <w:bCs w:val="0"/>
        </w:rPr>
      </w:pPr>
      <w:r>
        <w:rPr/>
        <w:t>（二十一）</w:t>
        <w:tab/>
        <w:t>其他应付款</w:t>
      </w:r>
      <w:r>
        <w:rPr>
          <w:b w:val="0"/>
          <w:bCs w:val="0"/>
        </w:rPr>
      </w:r>
    </w:p>
    <w:p>
      <w:pPr>
        <w:spacing w:line="240" w:lineRule="auto" w:before="6"/>
        <w:rPr>
          <w:rFonts w:ascii="宋体" w:hAnsi="宋体" w:cs="宋体" w:eastAsia="宋体" w:hint="default"/>
          <w:b/>
          <w:bCs/>
          <w:sz w:val="16"/>
          <w:szCs w:val="16"/>
        </w:rPr>
      </w:pPr>
    </w:p>
    <w:p>
      <w:pPr>
        <w:pStyle w:val="BodyText"/>
        <w:spacing w:line="240" w:lineRule="auto"/>
        <w:ind w:left="860" w:right="906"/>
        <w:jc w:val="left"/>
      </w:pPr>
      <w:r>
        <w:rPr/>
        <w:t>（</w:t>
      </w:r>
      <w:r>
        <w:rPr>
          <w:rFonts w:ascii="Times New Roman" w:hAnsi="Times New Roman" w:cs="Times New Roman" w:eastAsia="Times New Roman" w:hint="default"/>
        </w:rPr>
        <w:t>1</w:t>
      </w:r>
      <w:r>
        <w:rPr/>
        <w:t>）其他应付款年末余额列示如下：</w:t>
      </w:r>
    </w:p>
    <w:p>
      <w:pPr>
        <w:spacing w:line="240" w:lineRule="auto" w:before="7"/>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596"/>
        <w:gridCol w:w="2744"/>
        <w:gridCol w:w="2568"/>
      </w:tblGrid>
      <w:tr>
        <w:trPr>
          <w:trHeight w:val="389" w:hRule="exact"/>
        </w:trPr>
        <w:tc>
          <w:tcPr>
            <w:tcW w:w="359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825"/>
              <w:jc w:val="right"/>
              <w:rPr>
                <w:rFonts w:ascii="宋体" w:hAnsi="宋体" w:cs="宋体" w:eastAsia="宋体" w:hint="default"/>
                <w:sz w:val="18"/>
                <w:szCs w:val="18"/>
              </w:rPr>
            </w:pPr>
            <w:r>
              <w:rPr>
                <w:rFonts w:ascii="宋体" w:hAnsi="宋体" w:cs="宋体" w:eastAsia="宋体" w:hint="default"/>
                <w:sz w:val="18"/>
                <w:szCs w:val="18"/>
              </w:rPr>
              <w:t>年末账面余额</w:t>
            </w:r>
          </w:p>
        </w:tc>
        <w:tc>
          <w:tcPr>
            <w:tcW w:w="256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06" w:hRule="exact"/>
        </w:trPr>
        <w:tc>
          <w:tcPr>
            <w:tcW w:w="359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7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891"/>
              <w:jc w:val="right"/>
              <w:rPr>
                <w:rFonts w:ascii="Times New Roman" w:hAnsi="Times New Roman" w:cs="Times New Roman" w:eastAsia="Times New Roman" w:hint="default"/>
                <w:sz w:val="18"/>
                <w:szCs w:val="18"/>
              </w:rPr>
            </w:pPr>
            <w:r>
              <w:rPr>
                <w:rFonts w:ascii="Times New Roman"/>
                <w:spacing w:val="-1"/>
                <w:sz w:val="18"/>
              </w:rPr>
              <w:t>2,574,984.47</w:t>
            </w:r>
          </w:p>
        </w:tc>
        <w:tc>
          <w:tcPr>
            <w:tcW w:w="25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5"/>
              <w:jc w:val="center"/>
              <w:rPr>
                <w:rFonts w:ascii="Times New Roman" w:hAnsi="Times New Roman" w:cs="Times New Roman" w:eastAsia="Times New Roman" w:hint="default"/>
                <w:sz w:val="18"/>
                <w:szCs w:val="18"/>
              </w:rPr>
            </w:pPr>
            <w:r>
              <w:rPr>
                <w:rFonts w:ascii="Times New Roman"/>
                <w:sz w:val="18"/>
              </w:rPr>
              <w:t>2,566,786.94</w:t>
            </w:r>
          </w:p>
        </w:tc>
      </w:tr>
    </w:tbl>
    <w:p>
      <w:pPr>
        <w:pStyle w:val="BodyText"/>
        <w:spacing w:line="257" w:lineRule="exact"/>
        <w:ind w:left="860" w:right="906"/>
        <w:jc w:val="left"/>
      </w:pPr>
      <w:r>
        <w:rPr/>
        <w:t>（</w:t>
      </w:r>
      <w:r>
        <w:rPr>
          <w:rFonts w:ascii="Times New Roman" w:hAnsi="Times New Roman" w:cs="Times New Roman" w:eastAsia="Times New Roman" w:hint="default"/>
        </w:rPr>
        <w:t>2</w:t>
      </w:r>
      <w:r>
        <w:rPr/>
        <w:t>）金额较大的其他应付款明细列示如下：</w:t>
      </w:r>
    </w:p>
    <w:p>
      <w:pPr>
        <w:spacing w:line="240" w:lineRule="auto" w:before="7"/>
        <w:rPr>
          <w:rFonts w:ascii="宋体" w:hAnsi="宋体" w:cs="宋体" w:eastAsia="宋体" w:hint="default"/>
          <w:sz w:val="11"/>
          <w:szCs w:val="11"/>
        </w:rPr>
      </w:pPr>
    </w:p>
    <w:tbl>
      <w:tblPr>
        <w:tblW w:w="0" w:type="auto"/>
        <w:jc w:val="left"/>
        <w:tblInd w:w="142" w:type="dxa"/>
        <w:tblLayout w:type="fixed"/>
        <w:tblCellMar>
          <w:top w:w="0" w:type="dxa"/>
          <w:left w:w="0" w:type="dxa"/>
          <w:bottom w:w="0" w:type="dxa"/>
          <w:right w:w="0" w:type="dxa"/>
        </w:tblCellMar>
        <w:tblLook w:val="01E0"/>
      </w:tblPr>
      <w:tblGrid>
        <w:gridCol w:w="3265"/>
        <w:gridCol w:w="2804"/>
        <w:gridCol w:w="2792"/>
      </w:tblGrid>
      <w:tr>
        <w:trPr>
          <w:trHeight w:val="391" w:hRule="exact"/>
        </w:trPr>
        <w:tc>
          <w:tcPr>
            <w:tcW w:w="326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right="1436"/>
              <w:jc w:val="right"/>
              <w:rPr>
                <w:rFonts w:ascii="宋体" w:hAnsi="宋体" w:cs="宋体" w:eastAsia="宋体" w:hint="default"/>
                <w:sz w:val="18"/>
                <w:szCs w:val="18"/>
              </w:rPr>
            </w:pPr>
            <w:r>
              <w:rPr>
                <w:rFonts w:ascii="宋体" w:hAnsi="宋体" w:cs="宋体" w:eastAsia="宋体" w:hint="default"/>
                <w:sz w:val="18"/>
                <w:szCs w:val="18"/>
              </w:rPr>
              <w:t>项目</w:t>
            </w:r>
          </w:p>
        </w:tc>
        <w:tc>
          <w:tcPr>
            <w:tcW w:w="28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852"/>
              <w:jc w:val="right"/>
              <w:rPr>
                <w:rFonts w:ascii="宋体" w:hAnsi="宋体" w:cs="宋体" w:eastAsia="宋体" w:hint="default"/>
                <w:sz w:val="18"/>
                <w:szCs w:val="18"/>
              </w:rPr>
            </w:pPr>
            <w:r>
              <w:rPr>
                <w:rFonts w:ascii="宋体" w:hAnsi="宋体" w:cs="宋体" w:eastAsia="宋体" w:hint="default"/>
                <w:sz w:val="18"/>
                <w:szCs w:val="18"/>
              </w:rPr>
              <w:t>年末账面余额</w:t>
            </w:r>
          </w:p>
        </w:tc>
        <w:tc>
          <w:tcPr>
            <w:tcW w:w="27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96" w:hRule="exact"/>
        </w:trPr>
        <w:tc>
          <w:tcPr>
            <w:tcW w:w="3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雷晓红</w:t>
            </w:r>
          </w:p>
        </w:tc>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821"/>
              <w:jc w:val="right"/>
              <w:rPr>
                <w:rFonts w:ascii="Times New Roman" w:hAnsi="Times New Roman" w:cs="Times New Roman" w:eastAsia="Times New Roman" w:hint="default"/>
                <w:sz w:val="18"/>
                <w:szCs w:val="18"/>
              </w:rPr>
            </w:pPr>
            <w:r>
              <w:rPr>
                <w:rFonts w:ascii="Times New Roman"/>
                <w:spacing w:val="-1"/>
                <w:sz w:val="18"/>
              </w:rPr>
              <w:t>565,085.40</w:t>
            </w:r>
          </w:p>
        </w:tc>
        <w:tc>
          <w:tcPr>
            <w:tcW w:w="27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应付办公费</w:t>
            </w:r>
          </w:p>
        </w:tc>
      </w:tr>
      <w:tr>
        <w:trPr>
          <w:trHeight w:val="396" w:hRule="exact"/>
        </w:trPr>
        <w:tc>
          <w:tcPr>
            <w:tcW w:w="32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工伤保险金赔付款</w:t>
            </w:r>
          </w:p>
        </w:tc>
        <w:tc>
          <w:tcPr>
            <w:tcW w:w="2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21"/>
              <w:jc w:val="right"/>
              <w:rPr>
                <w:rFonts w:ascii="Times New Roman" w:hAnsi="Times New Roman" w:cs="Times New Roman" w:eastAsia="Times New Roman" w:hint="default"/>
                <w:sz w:val="18"/>
                <w:szCs w:val="18"/>
              </w:rPr>
            </w:pPr>
            <w:r>
              <w:rPr>
                <w:rFonts w:ascii="Times New Roman"/>
                <w:spacing w:val="-1"/>
                <w:sz w:val="18"/>
              </w:rPr>
              <w:t>184,117.58</w:t>
            </w:r>
          </w:p>
        </w:tc>
        <w:tc>
          <w:tcPr>
            <w:tcW w:w="27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9"/>
              <w:jc w:val="center"/>
              <w:rPr>
                <w:rFonts w:ascii="宋体" w:hAnsi="宋体" w:cs="宋体" w:eastAsia="宋体" w:hint="default"/>
                <w:sz w:val="18"/>
                <w:szCs w:val="18"/>
              </w:rPr>
            </w:pPr>
            <w:r>
              <w:rPr>
                <w:rFonts w:ascii="宋体" w:hAnsi="宋体" w:cs="宋体" w:eastAsia="宋体" w:hint="default"/>
                <w:sz w:val="18"/>
                <w:szCs w:val="18"/>
              </w:rPr>
              <w:t>工伤赔款</w:t>
            </w:r>
          </w:p>
        </w:tc>
      </w:tr>
      <w:tr>
        <w:trPr>
          <w:trHeight w:val="406" w:hRule="exact"/>
        </w:trPr>
        <w:tc>
          <w:tcPr>
            <w:tcW w:w="326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right="1436"/>
              <w:jc w:val="right"/>
              <w:rPr>
                <w:rFonts w:ascii="宋体" w:hAnsi="宋体" w:cs="宋体" w:eastAsia="宋体" w:hint="default"/>
                <w:sz w:val="18"/>
                <w:szCs w:val="18"/>
              </w:rPr>
            </w:pPr>
            <w:r>
              <w:rPr>
                <w:rFonts w:ascii="宋体" w:hAnsi="宋体" w:cs="宋体" w:eastAsia="宋体" w:hint="default"/>
                <w:sz w:val="18"/>
                <w:szCs w:val="18"/>
              </w:rPr>
              <w:t>合计</w:t>
            </w:r>
          </w:p>
        </w:tc>
        <w:tc>
          <w:tcPr>
            <w:tcW w:w="2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821"/>
              <w:jc w:val="right"/>
              <w:rPr>
                <w:rFonts w:ascii="Times New Roman" w:hAnsi="Times New Roman" w:cs="Times New Roman" w:eastAsia="Times New Roman" w:hint="default"/>
                <w:sz w:val="18"/>
                <w:szCs w:val="18"/>
              </w:rPr>
            </w:pPr>
            <w:r>
              <w:rPr>
                <w:rFonts w:ascii="Times New Roman"/>
                <w:spacing w:val="-1"/>
                <w:sz w:val="18"/>
              </w:rPr>
              <w:t>749,202.98</w:t>
            </w:r>
          </w:p>
        </w:tc>
        <w:tc>
          <w:tcPr>
            <w:tcW w:w="279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pStyle w:val="BodyText"/>
        <w:spacing w:line="240" w:lineRule="auto" w:before="36"/>
        <w:ind w:left="860" w:right="906"/>
        <w:jc w:val="left"/>
      </w:pPr>
      <w:r>
        <w:rPr/>
        <w:t>（</w:t>
      </w:r>
      <w:r>
        <w:rPr>
          <w:rFonts w:ascii="Times New Roman" w:hAnsi="Times New Roman" w:cs="Times New Roman" w:eastAsia="Times New Roman" w:hint="default"/>
        </w:rPr>
        <w:t>3</w:t>
      </w:r>
      <w:r>
        <w:rPr/>
        <w:t>）账龄超过一年的大额其他应付款的明细如下：</w:t>
      </w:r>
    </w:p>
    <w:p>
      <w:pPr>
        <w:spacing w:line="240" w:lineRule="auto" w:before="1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008"/>
        <w:gridCol w:w="1817"/>
        <w:gridCol w:w="2144"/>
        <w:gridCol w:w="1973"/>
      </w:tblGrid>
      <w:tr>
        <w:trPr>
          <w:trHeight w:val="418" w:hRule="exact"/>
        </w:trPr>
        <w:tc>
          <w:tcPr>
            <w:tcW w:w="30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1"/>
              <w:ind w:right="1310"/>
              <w:jc w:val="right"/>
              <w:rPr>
                <w:rFonts w:ascii="宋体" w:hAnsi="宋体" w:cs="宋体" w:eastAsia="宋体" w:hint="default"/>
                <w:sz w:val="18"/>
                <w:szCs w:val="18"/>
              </w:rPr>
            </w:pPr>
            <w:r>
              <w:rPr>
                <w:rFonts w:ascii="宋体" w:hAnsi="宋体" w:cs="宋体" w:eastAsia="宋体" w:hint="default"/>
                <w:sz w:val="18"/>
                <w:szCs w:val="18"/>
              </w:rPr>
              <w:t>项目</w:t>
            </w:r>
          </w:p>
        </w:tc>
        <w:tc>
          <w:tcPr>
            <w:tcW w:w="18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1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97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未偿还的原因</w:t>
            </w:r>
          </w:p>
        </w:tc>
      </w:tr>
      <w:tr>
        <w:trPr>
          <w:trHeight w:val="413" w:hRule="exact"/>
        </w:trPr>
        <w:tc>
          <w:tcPr>
            <w:tcW w:w="3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雷晓红</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445,065.40</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应付办公费</w:t>
            </w:r>
          </w:p>
        </w:tc>
        <w:tc>
          <w:tcPr>
            <w:tcW w:w="19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20" w:hRule="exact"/>
        </w:trPr>
        <w:tc>
          <w:tcPr>
            <w:tcW w:w="300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right="1310"/>
              <w:jc w:val="right"/>
              <w:rPr>
                <w:rFonts w:ascii="宋体" w:hAnsi="宋体" w:cs="宋体" w:eastAsia="宋体" w:hint="default"/>
                <w:sz w:val="18"/>
                <w:szCs w:val="18"/>
              </w:rPr>
            </w:pPr>
            <w:r>
              <w:rPr>
                <w:rFonts w:ascii="宋体" w:hAnsi="宋体" w:cs="宋体" w:eastAsia="宋体" w:hint="default"/>
                <w:sz w:val="18"/>
                <w:szCs w:val="18"/>
              </w:rPr>
              <w:t>合计</w:t>
            </w:r>
          </w:p>
        </w:tc>
        <w:tc>
          <w:tcPr>
            <w:tcW w:w="18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445,065.40</w:t>
            </w:r>
          </w:p>
        </w:tc>
        <w:tc>
          <w:tcPr>
            <w:tcW w:w="2144" w:type="dxa"/>
            <w:tcBorders>
              <w:top w:val="single" w:sz="6" w:space="0" w:color="000000"/>
              <w:left w:val="single" w:sz="6" w:space="0" w:color="000000"/>
              <w:bottom w:val="single" w:sz="12" w:space="0" w:color="000000"/>
              <w:right w:val="single" w:sz="6" w:space="0" w:color="000000"/>
            </w:tcBorders>
          </w:tcPr>
          <w:p>
            <w:pPr/>
          </w:p>
        </w:tc>
        <w:tc>
          <w:tcPr>
            <w:tcW w:w="197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pStyle w:val="BodyText"/>
        <w:spacing w:line="336" w:lineRule="auto" w:before="36"/>
        <w:ind w:left="440" w:right="906" w:firstLine="419"/>
        <w:jc w:val="left"/>
      </w:pPr>
      <w:r>
        <w:rPr/>
        <w:t>（</w:t>
      </w:r>
      <w:r>
        <w:rPr>
          <w:rFonts w:ascii="Times New Roman" w:hAnsi="Times New Roman" w:cs="Times New Roman" w:eastAsia="Times New Roman" w:hint="default"/>
        </w:rPr>
        <w:t>4</w:t>
      </w:r>
      <w:r>
        <w:rPr/>
        <w:t>）年末其他应付款余额中无持有本公司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）以上表决权股份股东的款项。</w:t>
      </w:r>
      <w:r>
        <w:rPr>
          <w:w w:val="100"/>
        </w:rPr>
        <w:t> </w:t>
      </w:r>
      <w:r>
        <w:rPr/>
        <w:t>无应付关联方款项。</w:t>
      </w:r>
    </w:p>
    <w:p>
      <w:pPr>
        <w:spacing w:line="240" w:lineRule="auto" w:before="1"/>
        <w:rPr>
          <w:rFonts w:ascii="宋体" w:hAnsi="宋体" w:cs="宋体" w:eastAsia="宋体" w:hint="default"/>
          <w:sz w:val="22"/>
          <w:szCs w:val="22"/>
        </w:rPr>
      </w:pPr>
    </w:p>
    <w:p>
      <w:pPr>
        <w:pStyle w:val="Heading5"/>
        <w:tabs>
          <w:tab w:pos="2120" w:val="left" w:leader="none"/>
        </w:tabs>
        <w:spacing w:line="240" w:lineRule="auto"/>
        <w:ind w:left="860" w:right="906"/>
        <w:jc w:val="left"/>
        <w:rPr>
          <w:b w:val="0"/>
          <w:bCs w:val="0"/>
        </w:rPr>
      </w:pPr>
      <w:r>
        <w:rPr/>
        <w:t>（二十二）</w:t>
        <w:tab/>
        <w:t>其他非流动负债</w:t>
      </w:r>
      <w:r>
        <w:rPr>
          <w:b w:val="0"/>
          <w:bCs w:val="0"/>
        </w:rPr>
      </w:r>
    </w:p>
    <w:p>
      <w:pPr>
        <w:spacing w:line="240" w:lineRule="auto" w:before="11"/>
        <w:rPr>
          <w:rFonts w:ascii="宋体" w:hAnsi="宋体" w:cs="宋体" w:eastAsia="宋体" w:hint="default"/>
          <w:b/>
          <w:bCs/>
          <w:sz w:val="18"/>
          <w:szCs w:val="18"/>
        </w:rPr>
      </w:pPr>
    </w:p>
    <w:tbl>
      <w:tblPr>
        <w:tblW w:w="0" w:type="auto"/>
        <w:jc w:val="left"/>
        <w:tblInd w:w="128" w:type="dxa"/>
        <w:tblLayout w:type="fixed"/>
        <w:tblCellMar>
          <w:top w:w="0" w:type="dxa"/>
          <w:left w:w="0" w:type="dxa"/>
          <w:bottom w:w="0" w:type="dxa"/>
          <w:right w:w="0" w:type="dxa"/>
        </w:tblCellMar>
        <w:tblLook w:val="01E0"/>
      </w:tblPr>
      <w:tblGrid>
        <w:gridCol w:w="3982"/>
        <w:gridCol w:w="1136"/>
        <w:gridCol w:w="1135"/>
        <w:gridCol w:w="1227"/>
        <w:gridCol w:w="1183"/>
        <w:gridCol w:w="734"/>
      </w:tblGrid>
      <w:tr>
        <w:trPr>
          <w:trHeight w:val="509" w:hRule="exact"/>
        </w:trPr>
        <w:tc>
          <w:tcPr>
            <w:tcW w:w="398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4"/>
              <w:ind w:right="63"/>
              <w:jc w:val="center"/>
              <w:rPr>
                <w:rFonts w:ascii="宋体" w:hAnsi="宋体" w:cs="宋体" w:eastAsia="宋体" w:hint="default"/>
                <w:sz w:val="18"/>
                <w:szCs w:val="18"/>
              </w:rPr>
            </w:pPr>
            <w:r>
              <w:rPr>
                <w:rFonts w:ascii="宋体" w:hAnsi="宋体" w:cs="宋体" w:eastAsia="宋体" w:hint="default"/>
                <w:sz w:val="18"/>
                <w:szCs w:val="18"/>
              </w:rPr>
              <w:t>项目</w:t>
            </w:r>
          </w:p>
        </w:tc>
        <w:tc>
          <w:tcPr>
            <w:tcW w:w="1136" w:type="dxa"/>
            <w:tcBorders>
              <w:top w:val="single" w:sz="12" w:space="0" w:color="000000"/>
              <w:left w:val="single" w:sz="8" w:space="0" w:color="000000"/>
              <w:bottom w:val="single" w:sz="8" w:space="0" w:color="000000"/>
              <w:right w:val="single" w:sz="8" w:space="0" w:color="000000"/>
            </w:tcBorders>
          </w:tcPr>
          <w:p>
            <w:pPr>
              <w:pStyle w:val="TableParagraph"/>
              <w:spacing w:line="228"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4"/>
              <w:ind w:left="1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2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4"/>
              <w:ind w:left="244" w:right="0"/>
              <w:jc w:val="left"/>
              <w:rPr>
                <w:rFonts w:ascii="宋体" w:hAnsi="宋体" w:cs="宋体" w:eastAsia="宋体" w:hint="default"/>
                <w:sz w:val="18"/>
                <w:szCs w:val="18"/>
              </w:rPr>
            </w:pPr>
            <w:r>
              <w:rPr>
                <w:rFonts w:ascii="宋体" w:hAnsi="宋体" w:cs="宋体" w:eastAsia="宋体" w:hint="default"/>
                <w:sz w:val="18"/>
                <w:szCs w:val="18"/>
              </w:rPr>
              <w:t>本期结转</w:t>
            </w:r>
          </w:p>
        </w:tc>
        <w:tc>
          <w:tcPr>
            <w:tcW w:w="1183" w:type="dxa"/>
            <w:tcBorders>
              <w:top w:val="single" w:sz="12" w:space="0" w:color="000000"/>
              <w:left w:val="single" w:sz="8" w:space="0" w:color="000000"/>
              <w:bottom w:val="single" w:sz="8" w:space="0" w:color="000000"/>
              <w:right w:val="single" w:sz="8" w:space="0" w:color="000000"/>
            </w:tcBorders>
          </w:tcPr>
          <w:p>
            <w:pPr>
              <w:pStyle w:val="TableParagraph"/>
              <w:spacing w:line="228"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3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4"/>
              <w:ind w:right="98"/>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32" w:hRule="exact"/>
        </w:trPr>
        <w:tc>
          <w:tcPr>
            <w:tcW w:w="3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6"/>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HHJZ</w:t>
            </w:r>
            <w:r>
              <w:rPr>
                <w:rFonts w:ascii="宋体" w:hAnsi="宋体" w:cs="宋体" w:eastAsia="宋体" w:hint="default"/>
                <w:sz w:val="18"/>
                <w:szCs w:val="18"/>
              </w:rPr>
              <w:t>－</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型轨道行车安全自动化测试设备</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31"/>
              <w:jc w:val="right"/>
              <w:rPr>
                <w:rFonts w:ascii="Times New Roman" w:hAnsi="Times New Roman" w:cs="Times New Roman" w:eastAsia="Times New Roman" w:hint="default"/>
                <w:sz w:val="18"/>
                <w:szCs w:val="18"/>
              </w:rPr>
            </w:pPr>
            <w:r>
              <w:rPr>
                <w:rFonts w:ascii="Times New Roman"/>
                <w:spacing w:val="-1"/>
                <w:sz w:val="18"/>
              </w:rPr>
              <w:t>2,000,000.00</w:t>
            </w:r>
          </w:p>
        </w:tc>
        <w:tc>
          <w:tcPr>
            <w:tcW w:w="1135" w:type="dxa"/>
            <w:tcBorders>
              <w:top w:val="single" w:sz="8" w:space="0" w:color="000000"/>
              <w:left w:val="single" w:sz="8" w:space="0" w:color="000000"/>
              <w:bottom w:val="single" w:sz="8" w:space="0" w:color="000000"/>
              <w:right w:val="single" w:sz="8" w:space="0" w:color="000000"/>
            </w:tcBorders>
          </w:tcPr>
          <w:p>
            <w:pPr/>
          </w:p>
        </w:tc>
        <w:tc>
          <w:tcPr>
            <w:tcW w:w="12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31"/>
              <w:jc w:val="right"/>
              <w:rPr>
                <w:rFonts w:ascii="Times New Roman" w:hAnsi="Times New Roman" w:cs="Times New Roman" w:eastAsia="Times New Roman" w:hint="default"/>
                <w:sz w:val="18"/>
                <w:szCs w:val="18"/>
              </w:rPr>
            </w:pPr>
            <w:r>
              <w:rPr>
                <w:rFonts w:ascii="Times New Roman"/>
                <w:spacing w:val="-1"/>
                <w:sz w:val="18"/>
              </w:rPr>
              <w:t>500,000.00</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33"/>
              <w:jc w:val="right"/>
              <w:rPr>
                <w:rFonts w:ascii="Times New Roman" w:hAnsi="Times New Roman" w:cs="Times New Roman" w:eastAsia="Times New Roman" w:hint="default"/>
                <w:sz w:val="18"/>
                <w:szCs w:val="18"/>
              </w:rPr>
            </w:pPr>
            <w:r>
              <w:rPr>
                <w:rFonts w:ascii="Times New Roman"/>
                <w:spacing w:val="-1"/>
                <w:sz w:val="18"/>
              </w:rPr>
              <w:t>1,500,000.00</w:t>
            </w:r>
          </w:p>
        </w:tc>
        <w:tc>
          <w:tcPr>
            <w:tcW w:w="7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6"/>
              <w:ind w:right="138"/>
              <w:jc w:val="center"/>
              <w:rPr>
                <w:rFonts w:ascii="Times New Roman" w:hAnsi="Times New Roman" w:cs="Times New Roman" w:eastAsia="Times New Roman" w:hint="default"/>
                <w:sz w:val="18"/>
                <w:szCs w:val="18"/>
              </w:rPr>
            </w:pPr>
            <w:r>
              <w:rPr>
                <w:rFonts w:ascii="Times New Roman"/>
                <w:sz w:val="18"/>
              </w:rPr>
              <w:t>1</w:t>
            </w:r>
          </w:p>
        </w:tc>
      </w:tr>
      <w:tr>
        <w:trPr>
          <w:trHeight w:val="432" w:hRule="exact"/>
        </w:trPr>
        <w:tc>
          <w:tcPr>
            <w:tcW w:w="3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无线调车机车信号和监控系统</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1"/>
              <w:jc w:val="right"/>
              <w:rPr>
                <w:rFonts w:ascii="Times New Roman" w:hAnsi="Times New Roman" w:cs="Times New Roman" w:eastAsia="Times New Roman" w:hint="default"/>
                <w:sz w:val="18"/>
                <w:szCs w:val="18"/>
              </w:rPr>
            </w:pPr>
            <w:r>
              <w:rPr>
                <w:rFonts w:ascii="Times New Roman"/>
                <w:spacing w:val="-1"/>
                <w:sz w:val="18"/>
              </w:rPr>
              <w:t>1,900,000.00</w:t>
            </w:r>
          </w:p>
        </w:tc>
        <w:tc>
          <w:tcPr>
            <w:tcW w:w="1135" w:type="dxa"/>
            <w:tcBorders>
              <w:top w:val="single" w:sz="8" w:space="0" w:color="000000"/>
              <w:left w:val="single" w:sz="8" w:space="0" w:color="000000"/>
              <w:bottom w:val="single" w:sz="8" w:space="0" w:color="000000"/>
              <w:right w:val="single" w:sz="8" w:space="0" w:color="000000"/>
            </w:tcBorders>
          </w:tcPr>
          <w:p>
            <w:pPr/>
          </w:p>
        </w:tc>
        <w:tc>
          <w:tcPr>
            <w:tcW w:w="12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2"/>
              <w:jc w:val="right"/>
              <w:rPr>
                <w:rFonts w:ascii="Times New Roman" w:hAnsi="Times New Roman" w:cs="Times New Roman" w:eastAsia="Times New Roman" w:hint="default"/>
                <w:sz w:val="18"/>
                <w:szCs w:val="18"/>
              </w:rPr>
            </w:pPr>
            <w:r>
              <w:rPr>
                <w:rFonts w:ascii="Times New Roman"/>
                <w:spacing w:val="-1"/>
                <w:sz w:val="18"/>
              </w:rPr>
              <w:t>1,900,000.00</w:t>
            </w:r>
          </w:p>
        </w:tc>
        <w:tc>
          <w:tcPr>
            <w:tcW w:w="1183" w:type="dxa"/>
            <w:tcBorders>
              <w:top w:val="single" w:sz="8" w:space="0" w:color="000000"/>
              <w:left w:val="single" w:sz="8" w:space="0" w:color="000000"/>
              <w:bottom w:val="single" w:sz="8" w:space="0" w:color="000000"/>
              <w:right w:val="single" w:sz="8" w:space="0" w:color="000000"/>
            </w:tcBorders>
          </w:tcPr>
          <w:p>
            <w:pPr/>
          </w:p>
        </w:tc>
        <w:tc>
          <w:tcPr>
            <w:tcW w:w="7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38"/>
              <w:jc w:val="center"/>
              <w:rPr>
                <w:rFonts w:ascii="Times New Roman" w:hAnsi="Times New Roman" w:cs="Times New Roman" w:eastAsia="Times New Roman" w:hint="default"/>
                <w:sz w:val="18"/>
                <w:szCs w:val="18"/>
              </w:rPr>
            </w:pPr>
            <w:r>
              <w:rPr>
                <w:rFonts w:ascii="Times New Roman"/>
                <w:sz w:val="18"/>
              </w:rPr>
              <w:t>2</w:t>
            </w:r>
          </w:p>
        </w:tc>
      </w:tr>
      <w:tr>
        <w:trPr>
          <w:trHeight w:val="432" w:hRule="exact"/>
        </w:trPr>
        <w:tc>
          <w:tcPr>
            <w:tcW w:w="3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铁路信号数据支撑系统的产业化</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1"/>
              <w:jc w:val="right"/>
              <w:rPr>
                <w:rFonts w:ascii="Times New Roman" w:hAnsi="Times New Roman" w:cs="Times New Roman" w:eastAsia="Times New Roman" w:hint="default"/>
                <w:sz w:val="18"/>
                <w:szCs w:val="18"/>
              </w:rPr>
            </w:pPr>
            <w:r>
              <w:rPr>
                <w:rFonts w:ascii="Times New Roman"/>
                <w:spacing w:val="-1"/>
                <w:sz w:val="18"/>
              </w:rPr>
              <w:t>500,000.00</w:t>
            </w:r>
          </w:p>
        </w:tc>
        <w:tc>
          <w:tcPr>
            <w:tcW w:w="1135" w:type="dxa"/>
            <w:tcBorders>
              <w:top w:val="single" w:sz="8" w:space="0" w:color="000000"/>
              <w:left w:val="single" w:sz="8" w:space="0" w:color="000000"/>
              <w:bottom w:val="single" w:sz="8" w:space="0" w:color="000000"/>
              <w:right w:val="single" w:sz="8" w:space="0" w:color="000000"/>
            </w:tcBorders>
          </w:tcPr>
          <w:p>
            <w:pPr/>
          </w:p>
        </w:tc>
        <w:tc>
          <w:tcPr>
            <w:tcW w:w="12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1"/>
              <w:jc w:val="right"/>
              <w:rPr>
                <w:rFonts w:ascii="Times New Roman" w:hAnsi="Times New Roman" w:cs="Times New Roman" w:eastAsia="Times New Roman" w:hint="default"/>
                <w:sz w:val="18"/>
                <w:szCs w:val="18"/>
              </w:rPr>
            </w:pPr>
            <w:r>
              <w:rPr>
                <w:rFonts w:ascii="Times New Roman"/>
                <w:spacing w:val="-1"/>
                <w:sz w:val="18"/>
              </w:rPr>
              <w:t>500,000.00</w:t>
            </w:r>
          </w:p>
        </w:tc>
        <w:tc>
          <w:tcPr>
            <w:tcW w:w="1183" w:type="dxa"/>
            <w:tcBorders>
              <w:top w:val="single" w:sz="8" w:space="0" w:color="000000"/>
              <w:left w:val="single" w:sz="8" w:space="0" w:color="000000"/>
              <w:bottom w:val="single" w:sz="8" w:space="0" w:color="000000"/>
              <w:right w:val="single" w:sz="8" w:space="0" w:color="000000"/>
            </w:tcBorders>
          </w:tcPr>
          <w:p>
            <w:pPr/>
          </w:p>
        </w:tc>
        <w:tc>
          <w:tcPr>
            <w:tcW w:w="7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38"/>
              <w:jc w:val="center"/>
              <w:rPr>
                <w:rFonts w:ascii="Times New Roman" w:hAnsi="Times New Roman" w:cs="Times New Roman" w:eastAsia="Times New Roman" w:hint="default"/>
                <w:sz w:val="18"/>
                <w:szCs w:val="18"/>
              </w:rPr>
            </w:pPr>
            <w:r>
              <w:rPr>
                <w:rFonts w:ascii="Times New Roman"/>
                <w:sz w:val="18"/>
              </w:rPr>
              <w:t>3</w:t>
            </w:r>
          </w:p>
        </w:tc>
      </w:tr>
      <w:tr>
        <w:trPr>
          <w:trHeight w:val="432" w:hRule="exact"/>
        </w:trPr>
        <w:tc>
          <w:tcPr>
            <w:tcW w:w="3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年开通</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个车站的新铁路信号集中监测系统项目</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2"/>
              <w:jc w:val="right"/>
              <w:rPr>
                <w:rFonts w:ascii="Times New Roman" w:hAnsi="Times New Roman" w:cs="Times New Roman" w:eastAsia="Times New Roman" w:hint="default"/>
                <w:sz w:val="18"/>
                <w:szCs w:val="18"/>
              </w:rPr>
            </w:pPr>
            <w:r>
              <w:rPr>
                <w:rFonts w:ascii="Times New Roman"/>
                <w:spacing w:val="-1"/>
                <w:sz w:val="18"/>
              </w:rPr>
              <w:t>10,000,000.00</w:t>
            </w:r>
          </w:p>
        </w:tc>
        <w:tc>
          <w:tcPr>
            <w:tcW w:w="1135" w:type="dxa"/>
            <w:tcBorders>
              <w:top w:val="single" w:sz="8" w:space="0" w:color="000000"/>
              <w:left w:val="single" w:sz="8" w:space="0" w:color="000000"/>
              <w:bottom w:val="single" w:sz="8" w:space="0" w:color="000000"/>
              <w:right w:val="single" w:sz="8" w:space="0" w:color="000000"/>
            </w:tcBorders>
          </w:tcPr>
          <w:p>
            <w:pPr/>
          </w:p>
        </w:tc>
        <w:tc>
          <w:tcPr>
            <w:tcW w:w="1227" w:type="dxa"/>
            <w:tcBorders>
              <w:top w:val="single" w:sz="8" w:space="0" w:color="000000"/>
              <w:left w:val="single" w:sz="8" w:space="0" w:color="000000"/>
              <w:bottom w:val="single" w:sz="8" w:space="0" w:color="000000"/>
              <w:right w:val="single" w:sz="8" w:space="0" w:color="000000"/>
            </w:tcBorders>
          </w:tcPr>
          <w:p>
            <w:pP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4"/>
              <w:jc w:val="right"/>
              <w:rPr>
                <w:rFonts w:ascii="Times New Roman" w:hAnsi="Times New Roman" w:cs="Times New Roman" w:eastAsia="Times New Roman" w:hint="default"/>
                <w:sz w:val="18"/>
                <w:szCs w:val="18"/>
              </w:rPr>
            </w:pPr>
            <w:r>
              <w:rPr>
                <w:rFonts w:ascii="Times New Roman"/>
                <w:spacing w:val="-1"/>
                <w:sz w:val="18"/>
              </w:rPr>
              <w:t>10,000,000.00</w:t>
            </w:r>
          </w:p>
        </w:tc>
        <w:tc>
          <w:tcPr>
            <w:tcW w:w="7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38"/>
              <w:jc w:val="center"/>
              <w:rPr>
                <w:rFonts w:ascii="Times New Roman" w:hAnsi="Times New Roman" w:cs="Times New Roman" w:eastAsia="Times New Roman" w:hint="default"/>
                <w:sz w:val="18"/>
                <w:szCs w:val="18"/>
              </w:rPr>
            </w:pPr>
            <w:r>
              <w:rPr>
                <w:rFonts w:ascii="Times New Roman"/>
                <w:sz w:val="18"/>
              </w:rPr>
              <w:t>4</w:t>
            </w:r>
          </w:p>
        </w:tc>
      </w:tr>
      <w:tr>
        <w:trPr>
          <w:trHeight w:val="432" w:hRule="exact"/>
        </w:trPr>
        <w:tc>
          <w:tcPr>
            <w:tcW w:w="3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城市地铁信号设备监测系统</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1"/>
              <w:jc w:val="right"/>
              <w:rPr>
                <w:rFonts w:ascii="Times New Roman" w:hAnsi="Times New Roman" w:cs="Times New Roman" w:eastAsia="Times New Roman" w:hint="default"/>
                <w:sz w:val="18"/>
                <w:szCs w:val="18"/>
              </w:rPr>
            </w:pPr>
            <w:r>
              <w:rPr>
                <w:rFonts w:ascii="Times New Roman"/>
                <w:spacing w:val="-1"/>
                <w:sz w:val="18"/>
              </w:rPr>
              <w:t>1,000,000.00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1"/>
                <w:sz w:val="18"/>
              </w:rPr>
              <w:t>1,000,000.00</w:t>
            </w:r>
          </w:p>
        </w:tc>
        <w:tc>
          <w:tcPr>
            <w:tcW w:w="1227" w:type="dxa"/>
            <w:tcBorders>
              <w:top w:val="single" w:sz="8" w:space="0" w:color="000000"/>
              <w:left w:val="single" w:sz="8" w:space="0" w:color="000000"/>
              <w:bottom w:val="single" w:sz="8" w:space="0" w:color="000000"/>
              <w:right w:val="single" w:sz="8" w:space="0" w:color="000000"/>
            </w:tcBorders>
          </w:tcPr>
          <w:p>
            <w:pP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3"/>
              <w:jc w:val="right"/>
              <w:rPr>
                <w:rFonts w:ascii="Times New Roman" w:hAnsi="Times New Roman" w:cs="Times New Roman" w:eastAsia="Times New Roman" w:hint="default"/>
                <w:sz w:val="18"/>
                <w:szCs w:val="18"/>
              </w:rPr>
            </w:pPr>
            <w:r>
              <w:rPr>
                <w:rFonts w:ascii="Times New Roman"/>
                <w:spacing w:val="-1"/>
                <w:sz w:val="18"/>
              </w:rPr>
              <w:t>2,000,000.00</w:t>
            </w:r>
          </w:p>
        </w:tc>
        <w:tc>
          <w:tcPr>
            <w:tcW w:w="7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38"/>
              <w:jc w:val="center"/>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3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28" w:right="0"/>
              <w:jc w:val="left"/>
              <w:rPr>
                <w:rFonts w:ascii="宋体" w:hAnsi="宋体" w:cs="宋体" w:eastAsia="宋体" w:hint="default"/>
                <w:sz w:val="20"/>
                <w:szCs w:val="20"/>
              </w:rPr>
            </w:pPr>
            <w:r>
              <w:rPr>
                <w:rFonts w:ascii="宋体" w:hAnsi="宋体" w:cs="宋体" w:eastAsia="宋体" w:hint="default"/>
                <w:sz w:val="20"/>
                <w:szCs w:val="20"/>
              </w:rPr>
              <w:t>地铁综合监控系统</w:t>
            </w:r>
          </w:p>
        </w:tc>
        <w:tc>
          <w:tcPr>
            <w:tcW w:w="1136"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1"/>
                <w:sz w:val="18"/>
              </w:rPr>
              <w:t>4,000,000.00</w:t>
            </w:r>
          </w:p>
        </w:tc>
        <w:tc>
          <w:tcPr>
            <w:tcW w:w="1227" w:type="dxa"/>
            <w:tcBorders>
              <w:top w:val="single" w:sz="8" w:space="0" w:color="000000"/>
              <w:left w:val="single" w:sz="8" w:space="0" w:color="000000"/>
              <w:bottom w:val="single" w:sz="8" w:space="0" w:color="000000"/>
              <w:right w:val="single" w:sz="8" w:space="0" w:color="000000"/>
            </w:tcBorders>
          </w:tcPr>
          <w:p>
            <w:pP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3"/>
              <w:jc w:val="right"/>
              <w:rPr>
                <w:rFonts w:ascii="Times New Roman" w:hAnsi="Times New Roman" w:cs="Times New Roman" w:eastAsia="Times New Roman" w:hint="default"/>
                <w:sz w:val="18"/>
                <w:szCs w:val="18"/>
              </w:rPr>
            </w:pPr>
            <w:r>
              <w:rPr>
                <w:rFonts w:ascii="Times New Roman"/>
                <w:spacing w:val="-1"/>
                <w:sz w:val="18"/>
              </w:rPr>
              <w:t>4,000,000.00</w:t>
            </w:r>
          </w:p>
        </w:tc>
        <w:tc>
          <w:tcPr>
            <w:tcW w:w="7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38"/>
              <w:jc w:val="center"/>
              <w:rPr>
                <w:rFonts w:ascii="Times New Roman" w:hAnsi="Times New Roman" w:cs="Times New Roman" w:eastAsia="Times New Roman" w:hint="default"/>
                <w:sz w:val="18"/>
                <w:szCs w:val="18"/>
              </w:rPr>
            </w:pPr>
            <w:r>
              <w:rPr>
                <w:rFonts w:ascii="Times New Roman"/>
                <w:sz w:val="18"/>
              </w:rPr>
              <w:t>6</w:t>
            </w:r>
          </w:p>
        </w:tc>
      </w:tr>
      <w:tr>
        <w:trPr>
          <w:trHeight w:val="432" w:hRule="exact"/>
        </w:trPr>
        <w:tc>
          <w:tcPr>
            <w:tcW w:w="3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28" w:right="0"/>
              <w:jc w:val="left"/>
              <w:rPr>
                <w:rFonts w:ascii="宋体" w:hAnsi="宋体" w:cs="宋体" w:eastAsia="宋体" w:hint="default"/>
                <w:sz w:val="20"/>
                <w:szCs w:val="20"/>
              </w:rPr>
            </w:pPr>
            <w:r>
              <w:rPr>
                <w:rFonts w:ascii="宋体" w:hAnsi="宋体" w:cs="宋体" w:eastAsia="宋体" w:hint="default"/>
                <w:sz w:val="20"/>
                <w:szCs w:val="20"/>
              </w:rPr>
              <w:t>铁路信号信息平台系统</w:t>
            </w:r>
          </w:p>
        </w:tc>
        <w:tc>
          <w:tcPr>
            <w:tcW w:w="1136"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1"/>
                <w:sz w:val="18"/>
              </w:rPr>
              <w:t>500,000.00</w:t>
            </w:r>
          </w:p>
        </w:tc>
        <w:tc>
          <w:tcPr>
            <w:tcW w:w="1227" w:type="dxa"/>
            <w:tcBorders>
              <w:top w:val="single" w:sz="8" w:space="0" w:color="000000"/>
              <w:left w:val="single" w:sz="8" w:space="0" w:color="000000"/>
              <w:bottom w:val="single" w:sz="8" w:space="0" w:color="000000"/>
              <w:right w:val="single" w:sz="8" w:space="0" w:color="000000"/>
            </w:tcBorders>
          </w:tcPr>
          <w:p>
            <w:pP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3"/>
              <w:jc w:val="right"/>
              <w:rPr>
                <w:rFonts w:ascii="Times New Roman" w:hAnsi="Times New Roman" w:cs="Times New Roman" w:eastAsia="Times New Roman" w:hint="default"/>
                <w:sz w:val="18"/>
                <w:szCs w:val="18"/>
              </w:rPr>
            </w:pPr>
            <w:r>
              <w:rPr>
                <w:rFonts w:ascii="Times New Roman"/>
                <w:spacing w:val="-1"/>
                <w:sz w:val="18"/>
              </w:rPr>
              <w:t>500,000.00</w:t>
            </w:r>
          </w:p>
        </w:tc>
        <w:tc>
          <w:tcPr>
            <w:tcW w:w="7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38"/>
              <w:jc w:val="center"/>
              <w:rPr>
                <w:rFonts w:ascii="Times New Roman" w:hAnsi="Times New Roman" w:cs="Times New Roman" w:eastAsia="Times New Roman" w:hint="default"/>
                <w:sz w:val="18"/>
                <w:szCs w:val="18"/>
              </w:rPr>
            </w:pPr>
            <w:r>
              <w:rPr>
                <w:rFonts w:ascii="Times New Roman"/>
                <w:sz w:val="18"/>
              </w:rPr>
              <w:t>7</w:t>
            </w:r>
          </w:p>
        </w:tc>
      </w:tr>
      <w:tr>
        <w:trPr>
          <w:trHeight w:val="432" w:hRule="exact"/>
        </w:trPr>
        <w:tc>
          <w:tcPr>
            <w:tcW w:w="3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28" w:right="0"/>
              <w:jc w:val="left"/>
              <w:rPr>
                <w:rFonts w:ascii="宋体" w:hAnsi="宋体" w:cs="宋体" w:eastAsia="宋体" w:hint="default"/>
                <w:sz w:val="20"/>
                <w:szCs w:val="20"/>
              </w:rPr>
            </w:pPr>
            <w:r>
              <w:rPr>
                <w:rFonts w:ascii="宋体" w:hAnsi="宋体" w:cs="宋体" w:eastAsia="宋体" w:hint="default"/>
                <w:sz w:val="20"/>
                <w:szCs w:val="20"/>
              </w:rPr>
              <w:t>新型铁路信号集中监测系统研发及产业化</w:t>
            </w:r>
          </w:p>
        </w:tc>
        <w:tc>
          <w:tcPr>
            <w:tcW w:w="1136"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1"/>
                <w:sz w:val="18"/>
              </w:rPr>
              <w:t>1,200,000.00</w:t>
            </w:r>
          </w:p>
        </w:tc>
        <w:tc>
          <w:tcPr>
            <w:tcW w:w="1227" w:type="dxa"/>
            <w:tcBorders>
              <w:top w:val="single" w:sz="8" w:space="0" w:color="000000"/>
              <w:left w:val="single" w:sz="8" w:space="0" w:color="000000"/>
              <w:bottom w:val="single" w:sz="8" w:space="0" w:color="000000"/>
              <w:right w:val="single" w:sz="8" w:space="0" w:color="000000"/>
            </w:tcBorders>
          </w:tcPr>
          <w:p>
            <w:pP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3"/>
              <w:jc w:val="right"/>
              <w:rPr>
                <w:rFonts w:ascii="Times New Roman" w:hAnsi="Times New Roman" w:cs="Times New Roman" w:eastAsia="Times New Roman" w:hint="default"/>
                <w:sz w:val="18"/>
                <w:szCs w:val="18"/>
              </w:rPr>
            </w:pPr>
            <w:r>
              <w:rPr>
                <w:rFonts w:ascii="Times New Roman"/>
                <w:spacing w:val="-1"/>
                <w:sz w:val="18"/>
              </w:rPr>
              <w:t>1,200,000.00</w:t>
            </w:r>
          </w:p>
        </w:tc>
        <w:tc>
          <w:tcPr>
            <w:tcW w:w="7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38"/>
              <w:jc w:val="center"/>
              <w:rPr>
                <w:rFonts w:ascii="Times New Roman" w:hAnsi="Times New Roman" w:cs="Times New Roman" w:eastAsia="Times New Roman" w:hint="default"/>
                <w:sz w:val="18"/>
                <w:szCs w:val="18"/>
              </w:rPr>
            </w:pPr>
            <w:r>
              <w:rPr>
                <w:rFonts w:ascii="Times New Roman"/>
                <w:sz w:val="18"/>
              </w:rPr>
              <w:t>8</w:t>
            </w:r>
          </w:p>
        </w:tc>
      </w:tr>
      <w:tr>
        <w:trPr>
          <w:trHeight w:val="432" w:hRule="exact"/>
        </w:trPr>
        <w:tc>
          <w:tcPr>
            <w:tcW w:w="3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HH-LS</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型计算机联锁系统</w:t>
            </w:r>
          </w:p>
        </w:tc>
        <w:tc>
          <w:tcPr>
            <w:tcW w:w="1136"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1"/>
                <w:sz w:val="18"/>
              </w:rPr>
              <w:t>300,000.00</w:t>
            </w:r>
          </w:p>
        </w:tc>
        <w:tc>
          <w:tcPr>
            <w:tcW w:w="1227" w:type="dxa"/>
            <w:tcBorders>
              <w:top w:val="single" w:sz="8" w:space="0" w:color="000000"/>
              <w:left w:val="single" w:sz="8" w:space="0" w:color="000000"/>
              <w:bottom w:val="single" w:sz="8" w:space="0" w:color="000000"/>
              <w:right w:val="single" w:sz="8" w:space="0" w:color="000000"/>
            </w:tcBorders>
          </w:tcPr>
          <w:p>
            <w:pP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3"/>
              <w:jc w:val="right"/>
              <w:rPr>
                <w:rFonts w:ascii="Times New Roman" w:hAnsi="Times New Roman" w:cs="Times New Roman" w:eastAsia="Times New Roman" w:hint="default"/>
                <w:sz w:val="18"/>
                <w:szCs w:val="18"/>
              </w:rPr>
            </w:pPr>
            <w:r>
              <w:rPr>
                <w:rFonts w:ascii="Times New Roman"/>
                <w:spacing w:val="-1"/>
                <w:sz w:val="18"/>
              </w:rPr>
              <w:t>300,000.00</w:t>
            </w:r>
          </w:p>
        </w:tc>
        <w:tc>
          <w:tcPr>
            <w:tcW w:w="7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38"/>
              <w:jc w:val="center"/>
              <w:rPr>
                <w:rFonts w:ascii="Times New Roman" w:hAnsi="Times New Roman" w:cs="Times New Roman" w:eastAsia="Times New Roman" w:hint="default"/>
                <w:sz w:val="18"/>
                <w:szCs w:val="18"/>
              </w:rPr>
            </w:pPr>
            <w:r>
              <w:rPr>
                <w:rFonts w:ascii="Times New Roman"/>
                <w:sz w:val="18"/>
              </w:rPr>
              <w:t>9</w:t>
            </w:r>
          </w:p>
        </w:tc>
      </w:tr>
      <w:tr>
        <w:trPr>
          <w:trHeight w:val="433" w:hRule="exact"/>
        </w:trPr>
        <w:tc>
          <w:tcPr>
            <w:tcW w:w="3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28" w:right="0"/>
              <w:jc w:val="left"/>
              <w:rPr>
                <w:rFonts w:ascii="宋体" w:hAnsi="宋体" w:cs="宋体" w:eastAsia="宋体" w:hint="default"/>
                <w:sz w:val="20"/>
                <w:szCs w:val="20"/>
              </w:rPr>
            </w:pPr>
            <w:r>
              <w:rPr>
                <w:rFonts w:ascii="宋体" w:hAnsi="宋体" w:cs="宋体" w:eastAsia="宋体" w:hint="default"/>
                <w:sz w:val="20"/>
                <w:szCs w:val="20"/>
              </w:rPr>
              <w:t>地铁综合监控系统</w:t>
            </w:r>
          </w:p>
        </w:tc>
        <w:tc>
          <w:tcPr>
            <w:tcW w:w="1136"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pacing w:val="-1"/>
                <w:sz w:val="18"/>
              </w:rPr>
              <w:t>300,000.00</w:t>
            </w:r>
          </w:p>
        </w:tc>
        <w:tc>
          <w:tcPr>
            <w:tcW w:w="1227" w:type="dxa"/>
            <w:tcBorders>
              <w:top w:val="single" w:sz="8" w:space="0" w:color="000000"/>
              <w:left w:val="single" w:sz="8" w:space="0" w:color="000000"/>
              <w:bottom w:val="single" w:sz="8" w:space="0" w:color="000000"/>
              <w:right w:val="single" w:sz="8" w:space="0" w:color="000000"/>
            </w:tcBorders>
          </w:tcPr>
          <w:p>
            <w:pP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33"/>
              <w:jc w:val="right"/>
              <w:rPr>
                <w:rFonts w:ascii="Times New Roman" w:hAnsi="Times New Roman" w:cs="Times New Roman" w:eastAsia="Times New Roman" w:hint="default"/>
                <w:sz w:val="18"/>
                <w:szCs w:val="18"/>
              </w:rPr>
            </w:pPr>
            <w:r>
              <w:rPr>
                <w:rFonts w:ascii="Times New Roman"/>
                <w:spacing w:val="-1"/>
                <w:sz w:val="18"/>
              </w:rPr>
              <w:t>300,000.00</w:t>
            </w:r>
          </w:p>
        </w:tc>
        <w:tc>
          <w:tcPr>
            <w:tcW w:w="7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6"/>
              <w:ind w:right="132"/>
              <w:jc w:val="center"/>
              <w:rPr>
                <w:rFonts w:ascii="Times New Roman" w:hAnsi="Times New Roman" w:cs="Times New Roman" w:eastAsia="Times New Roman" w:hint="default"/>
                <w:sz w:val="18"/>
                <w:szCs w:val="18"/>
              </w:rPr>
            </w:pPr>
            <w:r>
              <w:rPr>
                <w:rFonts w:ascii="Times New Roman"/>
                <w:sz w:val="18"/>
              </w:rPr>
              <w:t>10</w:t>
            </w:r>
          </w:p>
        </w:tc>
      </w:tr>
      <w:tr>
        <w:trPr>
          <w:trHeight w:val="432" w:hRule="exact"/>
        </w:trPr>
        <w:tc>
          <w:tcPr>
            <w:tcW w:w="3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无线调车机车信号和监控系统</w:t>
            </w:r>
          </w:p>
        </w:tc>
        <w:tc>
          <w:tcPr>
            <w:tcW w:w="1136"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1"/>
                <w:sz w:val="18"/>
              </w:rPr>
              <w:t>500,000.00</w:t>
            </w:r>
          </w:p>
        </w:tc>
        <w:tc>
          <w:tcPr>
            <w:tcW w:w="12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31"/>
              <w:jc w:val="right"/>
              <w:rPr>
                <w:rFonts w:ascii="Times New Roman" w:hAnsi="Times New Roman" w:cs="Times New Roman" w:eastAsia="Times New Roman" w:hint="default"/>
                <w:sz w:val="18"/>
                <w:szCs w:val="18"/>
              </w:rPr>
            </w:pPr>
            <w:r>
              <w:rPr>
                <w:rFonts w:ascii="Times New Roman"/>
                <w:spacing w:val="-1"/>
                <w:sz w:val="18"/>
              </w:rPr>
              <w:t>500,000.00</w:t>
            </w:r>
          </w:p>
        </w:tc>
        <w:tc>
          <w:tcPr>
            <w:tcW w:w="1183" w:type="dxa"/>
            <w:tcBorders>
              <w:top w:val="single" w:sz="8" w:space="0" w:color="000000"/>
              <w:left w:val="single" w:sz="8" w:space="0" w:color="000000"/>
              <w:bottom w:val="single" w:sz="8" w:space="0" w:color="000000"/>
              <w:right w:val="single" w:sz="8" w:space="0" w:color="000000"/>
            </w:tcBorders>
          </w:tcPr>
          <w:p>
            <w:pPr/>
          </w:p>
        </w:tc>
        <w:tc>
          <w:tcPr>
            <w:tcW w:w="7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32"/>
              <w:jc w:val="center"/>
              <w:rPr>
                <w:rFonts w:ascii="Times New Roman" w:hAnsi="Times New Roman" w:cs="Times New Roman" w:eastAsia="Times New Roman" w:hint="default"/>
                <w:sz w:val="18"/>
                <w:szCs w:val="18"/>
              </w:rPr>
            </w:pPr>
            <w:r>
              <w:rPr>
                <w:rFonts w:ascii="Times New Roman"/>
                <w:sz w:val="18"/>
              </w:rPr>
              <w:t>11</w:t>
            </w:r>
          </w:p>
        </w:tc>
      </w:tr>
      <w:tr>
        <w:trPr>
          <w:trHeight w:val="437" w:hRule="exact"/>
        </w:trPr>
        <w:tc>
          <w:tcPr>
            <w:tcW w:w="398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right="32"/>
              <w:jc w:val="right"/>
              <w:rPr>
                <w:rFonts w:ascii="Times New Roman" w:hAnsi="Times New Roman" w:cs="Times New Roman" w:eastAsia="Times New Roman" w:hint="default"/>
                <w:sz w:val="18"/>
                <w:szCs w:val="18"/>
              </w:rPr>
            </w:pPr>
            <w:r>
              <w:rPr>
                <w:rFonts w:ascii="Times New Roman"/>
                <w:spacing w:val="-1"/>
                <w:sz w:val="18"/>
              </w:rPr>
              <w:t>15,400,000.00</w:t>
            </w:r>
          </w:p>
        </w:tc>
        <w:tc>
          <w:tcPr>
            <w:tcW w:w="113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7,800,000.00</w:t>
            </w:r>
          </w:p>
        </w:tc>
        <w:tc>
          <w:tcPr>
            <w:tcW w:w="122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3,400,000.00</w:t>
            </w:r>
          </w:p>
        </w:tc>
        <w:tc>
          <w:tcPr>
            <w:tcW w:w="118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right="6"/>
              <w:jc w:val="right"/>
              <w:rPr>
                <w:rFonts w:ascii="Times New Roman" w:hAnsi="Times New Roman" w:cs="Times New Roman" w:eastAsia="Times New Roman" w:hint="default"/>
                <w:sz w:val="18"/>
                <w:szCs w:val="18"/>
              </w:rPr>
            </w:pPr>
            <w:r>
              <w:rPr>
                <w:rFonts w:ascii="Times New Roman"/>
                <w:spacing w:val="-1"/>
                <w:sz w:val="18"/>
              </w:rPr>
              <w:t>19,800,000.00</w:t>
            </w:r>
          </w:p>
        </w:tc>
        <w:tc>
          <w:tcPr>
            <w:tcW w:w="734" w:type="dxa"/>
            <w:tcBorders>
              <w:top w:val="single" w:sz="8" w:space="0" w:color="000000"/>
              <w:left w:val="single" w:sz="8" w:space="0" w:color="000000"/>
              <w:bottom w:val="single" w:sz="12" w:space="0" w:color="000000"/>
              <w:right w:val="nil" w:sz="6" w:space="0" w:color="auto"/>
            </w:tcBorders>
          </w:tcPr>
          <w:p>
            <w:pPr/>
          </w:p>
        </w:tc>
      </w:tr>
    </w:tbl>
    <w:p>
      <w:pPr>
        <w:pStyle w:val="BodyText"/>
        <w:spacing w:line="257" w:lineRule="exact"/>
        <w:ind w:left="440" w:right="906" w:firstLine="419"/>
        <w:jc w:val="left"/>
      </w:pPr>
      <w:r>
        <w:rPr>
          <w:rFonts w:ascii="Times New Roman" w:hAnsi="Times New Roman" w:cs="Times New Roman" w:eastAsia="Times New Roman" w:hint="default"/>
        </w:rPr>
        <w:t>1</w:t>
      </w:r>
      <w:r>
        <w:rPr/>
        <w:t>、根据豫发改高技</w:t>
      </w:r>
      <w:r>
        <w:rPr>
          <w:rFonts w:ascii="Times New Roman" w:hAnsi="Times New Roman" w:cs="Times New Roman" w:eastAsia="Times New Roman" w:hint="default"/>
        </w:rPr>
        <w:t>[2006]1700  </w:t>
      </w:r>
      <w:r>
        <w:rPr/>
        <w:t>号，</w:t>
      </w:r>
      <w:r>
        <w:rPr>
          <w:rFonts w:ascii="Times New Roman" w:hAnsi="Times New Roman" w:cs="Times New Roman" w:eastAsia="Times New Roman" w:hint="default"/>
        </w:rPr>
        <w:t>HHJZ</w:t>
      </w:r>
      <w:r>
        <w:rPr/>
        <w:t>－</w:t>
      </w:r>
      <w:r>
        <w:rPr>
          <w:rFonts w:ascii="Times New Roman" w:hAnsi="Times New Roman" w:cs="Times New Roman" w:eastAsia="Times New Roman" w:hint="default"/>
        </w:rPr>
        <w:t>01</w:t>
      </w:r>
      <w:r>
        <w:rPr>
          <w:rFonts w:ascii="Times New Roman" w:hAnsi="Times New Roman" w:cs="Times New Roman" w:eastAsia="Times New Roman" w:hint="default"/>
          <w:spacing w:val="34"/>
        </w:rPr>
        <w:t> </w:t>
      </w:r>
      <w:r>
        <w:rPr/>
        <w:t>型轨道行车安全自动化测试设备项目列</w:t>
      </w:r>
    </w:p>
    <w:p>
      <w:pPr>
        <w:pStyle w:val="BodyText"/>
        <w:spacing w:line="240" w:lineRule="auto" w:before="117"/>
        <w:ind w:left="440" w:right="906"/>
        <w:jc w:val="left"/>
      </w:pPr>
      <w:r>
        <w:rPr/>
        <w:t>入</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年国家高技术产业发展项目计划，</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年收到国家补助</w:t>
      </w:r>
      <w:r>
        <w:rPr>
          <w:spacing w:val="-54"/>
        </w:rPr>
        <w:t> </w:t>
      </w:r>
      <w:r>
        <w:rPr>
          <w:rFonts w:ascii="Times New Roman" w:hAnsi="Times New Roman" w:cs="Times New Roman" w:eastAsia="Times New Roman" w:hint="default"/>
        </w:rPr>
        <w:t>250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after="0" w:line="240" w:lineRule="auto"/>
        <w:jc w:val="left"/>
        <w:sectPr>
          <w:pgSz w:w="11910" w:h="16840"/>
          <w:pgMar w:header="852" w:footer="1186" w:top="1200" w:bottom="1380" w:left="1360" w:right="860"/>
        </w:sectPr>
      </w:pPr>
    </w:p>
    <w:p>
      <w:pPr>
        <w:spacing w:line="240" w:lineRule="auto" w:before="3"/>
        <w:rPr>
          <w:rFonts w:ascii="宋体" w:hAnsi="宋体" w:cs="宋体" w:eastAsia="宋体" w:hint="default"/>
          <w:sz w:val="12"/>
          <w:szCs w:val="12"/>
        </w:rPr>
      </w:pPr>
    </w:p>
    <w:p>
      <w:pPr>
        <w:pStyle w:val="BodyText"/>
        <w:spacing w:line="357" w:lineRule="auto" w:before="36"/>
        <w:ind w:right="98"/>
        <w:jc w:val="left"/>
      </w:pPr>
      <w:r>
        <w:rPr>
          <w:spacing w:val="-2"/>
        </w:rPr>
        <w:t>该项目经河南省发展和改革委员会组织专家进行验收，该项目补助资金用于公司购置设备，</w:t>
      </w:r>
      <w:r>
        <w:rPr>
          <w:spacing w:val="-31"/>
        </w:rPr>
        <w:t> </w:t>
      </w:r>
      <w:r>
        <w:rPr>
          <w:spacing w:val="-31"/>
        </w:rPr>
      </w:r>
      <w:r>
        <w:rPr/>
        <w:t>设备使用年限为</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年，公司按</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年结转收入，</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年结转收入</w:t>
      </w:r>
      <w:r>
        <w:rPr>
          <w:spacing w:val="-38"/>
        </w:rPr>
        <w:t> </w:t>
      </w:r>
      <w:r>
        <w:rPr>
          <w:rFonts w:ascii="Times New Roman" w:hAnsi="Times New Roman" w:cs="Times New Roman" w:eastAsia="Times New Roman" w:hint="default"/>
        </w:rPr>
        <w:t>50</w:t>
      </w:r>
      <w:r>
        <w:rPr>
          <w:rFonts w:ascii="Times New Roman" w:hAnsi="Times New Roman" w:cs="Times New Roman" w:eastAsia="Times New Roman" w:hint="default"/>
          <w:spacing w:val="12"/>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年结转收入</w:t>
      </w:r>
    </w:p>
    <w:p>
      <w:pPr>
        <w:pStyle w:val="BodyText"/>
        <w:spacing w:line="240" w:lineRule="auto" w:before="3"/>
        <w:ind w:right="98"/>
        <w:jc w:val="left"/>
      </w:pP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w:t>
      </w:r>
    </w:p>
    <w:p>
      <w:pPr>
        <w:pStyle w:val="BodyText"/>
        <w:spacing w:line="336" w:lineRule="auto" w:before="119"/>
        <w:ind w:right="211" w:firstLine="419"/>
        <w:jc w:val="both"/>
      </w:pPr>
      <w:r>
        <w:rPr>
          <w:rFonts w:ascii="Times New Roman" w:hAnsi="Times New Roman" w:cs="Times New Roman" w:eastAsia="Times New Roman" w:hint="default"/>
          <w:spacing w:val="-3"/>
        </w:rPr>
        <w:t>2</w:t>
      </w:r>
      <w:r>
        <w:rPr>
          <w:spacing w:val="-3"/>
        </w:rPr>
        <w:t>、根据郑科计</w:t>
      </w:r>
      <w:r>
        <w:rPr>
          <w:rFonts w:ascii="Times New Roman" w:hAnsi="Times New Roman" w:cs="Times New Roman" w:eastAsia="Times New Roman" w:hint="default"/>
          <w:spacing w:val="-3"/>
        </w:rPr>
        <w:t>[2008]12 </w:t>
      </w:r>
      <w:r>
        <w:rPr>
          <w:spacing w:val="-4"/>
        </w:rPr>
        <w:t>号、豫政办</w:t>
      </w:r>
      <w:r>
        <w:rPr>
          <w:rFonts w:ascii="Times New Roman" w:hAnsi="Times New Roman" w:cs="Times New Roman" w:eastAsia="Times New Roman" w:hint="default"/>
          <w:spacing w:val="-4"/>
        </w:rPr>
        <w:t>[2009]140</w:t>
      </w:r>
      <w:r>
        <w:rPr>
          <w:rFonts w:ascii="Times New Roman" w:hAnsi="Times New Roman" w:cs="Times New Roman" w:eastAsia="Times New Roman" w:hint="default"/>
          <w:spacing w:val="29"/>
        </w:rPr>
        <w:t> </w:t>
      </w:r>
      <w:r>
        <w:rPr/>
        <w:t>号及公司与郑州高新技术开发区管委会签</w:t>
      </w:r>
      <w:r>
        <w:rPr>
          <w:w w:val="100"/>
        </w:rPr>
        <w:t> </w:t>
      </w:r>
      <w:r>
        <w:rPr/>
        <w:t>订的郑州高新区技术研究与开发经费支持项目合同书，公司</w:t>
      </w:r>
      <w:r>
        <w:rPr>
          <w:spacing w:val="-49"/>
        </w:rPr>
        <w:t> </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年收到用于无线调车机车信</w:t>
      </w:r>
    </w:p>
    <w:p>
      <w:pPr>
        <w:pStyle w:val="BodyText"/>
        <w:spacing w:line="240" w:lineRule="auto" w:before="24"/>
        <w:ind w:right="98"/>
        <w:jc w:val="left"/>
        <w:rPr>
          <w:rFonts w:ascii="Times New Roman" w:hAnsi="Times New Roman" w:cs="Times New Roman" w:eastAsia="Times New Roman" w:hint="default"/>
        </w:rPr>
      </w:pPr>
      <w:r>
        <w:rPr/>
        <w:t>号和监控系统项目研究的专项补助</w:t>
      </w:r>
      <w:r>
        <w:rPr>
          <w:spacing w:val="-43"/>
        </w:rPr>
        <w:t> </w:t>
      </w:r>
      <w:r>
        <w:rPr>
          <w:rFonts w:ascii="Times New Roman" w:hAnsi="Times New Roman" w:cs="Times New Roman" w:eastAsia="Times New Roman" w:hint="default"/>
        </w:rPr>
        <w:t>190</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07</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日，该项目完工验收，</w:t>
      </w:r>
      <w:r>
        <w:rPr>
          <w:rFonts w:ascii="Times New Roman" w:hAnsi="Times New Roman" w:cs="Times New Roman" w:eastAsia="Times New Roman" w:hint="default"/>
        </w:rPr>
        <w:t>2010</w:t>
      </w:r>
    </w:p>
    <w:p>
      <w:pPr>
        <w:pStyle w:val="BodyText"/>
        <w:spacing w:line="240" w:lineRule="auto" w:before="117"/>
        <w:ind w:right="98"/>
        <w:jc w:val="left"/>
      </w:pPr>
      <w:r>
        <w:rPr/>
        <w:t>年结转收入</w:t>
      </w:r>
      <w:r>
        <w:rPr>
          <w:spacing w:val="-52"/>
        </w:rPr>
        <w:t> </w:t>
      </w:r>
      <w:r>
        <w:rPr>
          <w:rFonts w:ascii="Times New Roman" w:hAnsi="Times New Roman" w:cs="Times New Roman" w:eastAsia="Times New Roman" w:hint="default"/>
        </w:rPr>
        <w:t>190</w:t>
      </w:r>
      <w:r>
        <w:rPr>
          <w:rFonts w:ascii="Times New Roman" w:hAnsi="Times New Roman" w:cs="Times New Roman" w:eastAsia="Times New Roman" w:hint="default"/>
          <w:spacing w:val="-2"/>
        </w:rPr>
        <w:t> </w:t>
      </w:r>
      <w:r>
        <w:rPr/>
        <w:t>万元。</w:t>
      </w:r>
    </w:p>
    <w:p>
      <w:pPr>
        <w:pStyle w:val="BodyText"/>
        <w:spacing w:line="336" w:lineRule="auto" w:before="119"/>
        <w:ind w:right="211" w:firstLine="419"/>
        <w:jc w:val="both"/>
      </w:pPr>
      <w:r>
        <w:rPr>
          <w:rFonts w:ascii="Times New Roman" w:hAnsi="Times New Roman" w:cs="Times New Roman" w:eastAsia="Times New Roman" w:hint="default"/>
        </w:rPr>
        <w:t>3</w:t>
      </w:r>
      <w:r>
        <w:rPr/>
        <w:t>、根据郑信办</w:t>
      </w:r>
      <w:r>
        <w:rPr>
          <w:rFonts w:ascii="Times New Roman" w:hAnsi="Times New Roman" w:cs="Times New Roman" w:eastAsia="Times New Roman" w:hint="default"/>
        </w:rPr>
        <w:t>[2009]26</w:t>
      </w:r>
      <w:r>
        <w:rPr>
          <w:rFonts w:ascii="Times New Roman" w:hAnsi="Times New Roman" w:cs="Times New Roman" w:eastAsia="Times New Roman" w:hint="default"/>
          <w:spacing w:val="23"/>
        </w:rPr>
        <w:t> </w:t>
      </w:r>
      <w:r>
        <w:rPr/>
        <w:t>号，公司收到郑州市财政局拔付的铁路信号数据支撑系统的产</w:t>
      </w:r>
      <w:r>
        <w:rPr>
          <w:w w:val="100"/>
        </w:rPr>
        <w:t> </w:t>
      </w:r>
      <w:r>
        <w:rPr/>
        <w:t>业化项目的专项资金</w:t>
      </w:r>
      <w:r>
        <w:rPr>
          <w:spacing w:val="-47"/>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spacing w:val="-4"/>
        </w:rPr>
        <w:t>万元，</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09</w:t>
      </w:r>
      <w:r>
        <w:rPr>
          <w:rFonts w:ascii="Times New Roman" w:hAnsi="Times New Roman" w:cs="Times New Roman" w:eastAsia="Times New Roman" w:hint="default"/>
          <w:spacing w:val="2"/>
        </w:rPr>
        <w:t> </w:t>
      </w:r>
      <w:r>
        <w:rPr>
          <w:spacing w:val="-3"/>
        </w:rPr>
        <w:t>日，该项目已经郑州市信息化办公室组织专</w:t>
      </w:r>
      <w:r>
        <w:rPr>
          <w:spacing w:val="-103"/>
        </w:rPr>
        <w:t> </w:t>
      </w:r>
      <w:r>
        <w:rPr>
          <w:spacing w:val="-103"/>
        </w:rPr>
      </w:r>
      <w:r>
        <w:rPr/>
        <w:t>家验收，</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年结转收入</w:t>
      </w:r>
      <w:r>
        <w:rPr>
          <w:spacing w:val="-55"/>
        </w:rPr>
        <w:t> </w:t>
      </w:r>
      <w:r>
        <w:rPr>
          <w:rFonts w:ascii="Times New Roman" w:hAnsi="Times New Roman" w:cs="Times New Roman" w:eastAsia="Times New Roman" w:hint="default"/>
        </w:rPr>
        <w:t>50 </w:t>
      </w:r>
      <w:r>
        <w:rPr/>
        <w:t>万元。</w:t>
      </w:r>
    </w:p>
    <w:p>
      <w:pPr>
        <w:pStyle w:val="BodyText"/>
        <w:spacing w:line="240" w:lineRule="auto" w:before="25"/>
        <w:ind w:left="540" w:right="98"/>
        <w:jc w:val="left"/>
      </w:pPr>
      <w:r>
        <w:rPr>
          <w:rFonts w:ascii="Times New Roman" w:hAnsi="Times New Roman" w:cs="Times New Roman" w:eastAsia="Times New Roman" w:hint="default"/>
        </w:rPr>
        <w:t>4</w:t>
      </w:r>
      <w:r>
        <w:rPr/>
        <w:t>、根据郑发改投资</w:t>
      </w:r>
      <w:r>
        <w:rPr>
          <w:rFonts w:ascii="Times New Roman" w:hAnsi="Times New Roman" w:cs="Times New Roman" w:eastAsia="Times New Roman" w:hint="default"/>
        </w:rPr>
        <w:t>[2009]380</w:t>
      </w:r>
      <w:r>
        <w:rPr>
          <w:rFonts w:ascii="Times New Roman" w:hAnsi="Times New Roman" w:cs="Times New Roman" w:eastAsia="Times New Roman" w:hint="default"/>
          <w:spacing w:val="13"/>
        </w:rPr>
        <w:t> </w:t>
      </w:r>
      <w:r>
        <w:rPr/>
        <w:t>号，公司</w:t>
      </w:r>
      <w:r>
        <w:rPr>
          <w:spacing w:val="-3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年收到拔付的专项国债资金</w:t>
      </w:r>
      <w:r>
        <w:rPr>
          <w:spacing w:val="-3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3"/>
        </w:rPr>
        <w:t> </w:t>
      </w:r>
      <w:r>
        <w:rPr/>
        <w:t>万元，</w:t>
      </w:r>
    </w:p>
    <w:p>
      <w:pPr>
        <w:pStyle w:val="BodyText"/>
        <w:spacing w:line="240" w:lineRule="auto" w:before="117"/>
        <w:ind w:right="98"/>
        <w:jc w:val="left"/>
      </w:pPr>
      <w:r>
        <w:rPr/>
        <w:t>用于年开通</w:t>
      </w:r>
      <w:r>
        <w:rPr>
          <w:spacing w:val="-33"/>
        </w:rPr>
        <w:t> </w:t>
      </w:r>
      <w:r>
        <w:rPr>
          <w:rFonts w:ascii="Times New Roman" w:hAnsi="Times New Roman" w:cs="Times New Roman" w:eastAsia="Times New Roman" w:hint="default"/>
        </w:rPr>
        <w:t>500</w:t>
      </w:r>
      <w:r>
        <w:rPr>
          <w:rFonts w:ascii="Times New Roman" w:hAnsi="Times New Roman" w:cs="Times New Roman" w:eastAsia="Times New Roman" w:hint="default"/>
          <w:spacing w:val="18"/>
        </w:rPr>
        <w:t> </w:t>
      </w:r>
      <w:r>
        <w:rPr/>
        <w:t>个车站的新铁路信号集中监测系统项目的研究与开发，截至</w:t>
      </w:r>
      <w:r>
        <w:rPr>
          <w:spacing w:val="-3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w:t>
      </w:r>
      <w:r>
        <w:rPr>
          <w:spacing w:val="-32"/>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p>
    <w:p>
      <w:pPr>
        <w:pStyle w:val="BodyText"/>
        <w:spacing w:line="240" w:lineRule="auto" w:before="119"/>
        <w:ind w:right="98"/>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日止，该项目尚未完工验收。</w:t>
      </w:r>
    </w:p>
    <w:p>
      <w:pPr>
        <w:pStyle w:val="BodyText"/>
        <w:spacing w:line="336" w:lineRule="auto" w:before="117"/>
        <w:ind w:right="211" w:firstLine="419"/>
        <w:jc w:val="both"/>
      </w:pPr>
      <w:r>
        <w:rPr>
          <w:rFonts w:ascii="Times New Roman" w:hAnsi="Times New Roman" w:cs="Times New Roman" w:eastAsia="Times New Roman" w:hint="default"/>
          <w:spacing w:val="-1"/>
        </w:rPr>
        <w:t>5</w:t>
      </w:r>
      <w:r>
        <w:rPr>
          <w:spacing w:val="-1"/>
        </w:rPr>
        <w:t>、公司与郑州市科技局签订郑州市重大科技专项计划项目任务合同书，项目内容为城</w:t>
      </w:r>
      <w:r>
        <w:rPr>
          <w:w w:val="100"/>
        </w:rPr>
        <w:t> </w:t>
      </w:r>
      <w:r>
        <w:rPr/>
        <w:t>市地铁信号设备监测系统的研究与开发，</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年收到项目资金补助</w:t>
      </w:r>
      <w:r>
        <w:rPr>
          <w:spacing w:val="-52"/>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年收到</w:t>
      </w:r>
      <w:r>
        <w:rPr>
          <w:w w:val="100"/>
        </w:rPr>
        <w:t> </w:t>
      </w:r>
      <w:r>
        <w:rPr/>
        <w:t>项目资金补助</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万元，截至</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日止，该项目尚未完工验收。</w:t>
      </w:r>
    </w:p>
    <w:p>
      <w:pPr>
        <w:pStyle w:val="BodyText"/>
        <w:spacing w:line="338" w:lineRule="auto" w:before="24"/>
        <w:ind w:right="211" w:firstLine="419"/>
        <w:jc w:val="both"/>
      </w:pPr>
      <w:r>
        <w:rPr>
          <w:rFonts w:ascii="Times New Roman" w:hAnsi="Times New Roman" w:cs="Times New Roman" w:eastAsia="Times New Roman" w:hint="default"/>
          <w:spacing w:val="-1"/>
        </w:rPr>
        <w:t>6</w:t>
      </w:r>
      <w:r>
        <w:rPr>
          <w:spacing w:val="-1"/>
        </w:rPr>
        <w:t>、公司与河南省财政厅、河南发展和改革委员会、河南省科学技术厅签定河南省扶持</w:t>
      </w:r>
      <w:r>
        <w:rPr>
          <w:w w:val="100"/>
        </w:rPr>
        <w:t> </w:t>
      </w:r>
      <w:r>
        <w:rPr/>
        <w:t>企业自主创新资金项目合同书，项目内容为地铁综合监控系统的研究与开发，公司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p>
    <w:p>
      <w:pPr>
        <w:pStyle w:val="BodyText"/>
        <w:spacing w:line="240" w:lineRule="auto" w:before="22"/>
        <w:ind w:right="98"/>
        <w:jc w:val="left"/>
        <w:rPr>
          <w:rFonts w:ascii="Times New Roman" w:hAnsi="Times New Roman" w:cs="Times New Roman" w:eastAsia="Times New Roman" w:hint="default"/>
        </w:rPr>
      </w:pPr>
      <w:r>
        <w:rPr>
          <w:rFonts w:ascii="Times New Roman" w:hAnsi="Times New Roman" w:cs="Times New Roman" w:eastAsia="Times New Roman" w:hint="default"/>
          <w:spacing w:val="-4"/>
        </w:rPr>
        <w:t>11 </w:t>
      </w:r>
      <w:r>
        <w:rPr/>
        <w:t>月收到郑州市财政局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7"/>
        </w:rPr>
        <w:t>年河南省扶持企业自主创新项目资金（地铁综合监控项目）</w:t>
      </w:r>
      <w:r>
        <w:rPr>
          <w:rFonts w:ascii="Times New Roman" w:hAnsi="Times New Roman" w:cs="Times New Roman" w:eastAsia="Times New Roman" w:hint="default"/>
          <w:spacing w:val="-7"/>
        </w:rPr>
        <w:t>400</w:t>
      </w:r>
    </w:p>
    <w:p>
      <w:pPr>
        <w:pStyle w:val="BodyText"/>
        <w:spacing w:line="240" w:lineRule="auto" w:before="117"/>
        <w:ind w:right="98"/>
        <w:jc w:val="left"/>
      </w:pPr>
      <w:r>
        <w:rPr/>
        <w:t>万元，截至</w:t>
      </w:r>
      <w:r>
        <w:rPr>
          <w:spacing w:val="-53"/>
        </w:rPr>
        <w:t> </w:t>
      </w:r>
      <w:r>
        <w:rPr>
          <w:rFonts w:ascii="Times New Roman" w:hAnsi="Times New Roman" w:cs="Times New Roman" w:eastAsia="Times New Roman" w:hint="default"/>
        </w:rPr>
        <w:t>2010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 </w:t>
      </w:r>
      <w:r>
        <w:rPr/>
        <w:t>日止，该项目尚未完工验收。</w:t>
      </w:r>
    </w:p>
    <w:p>
      <w:pPr>
        <w:pStyle w:val="BodyText"/>
        <w:spacing w:line="338" w:lineRule="auto" w:before="117"/>
        <w:ind w:right="213" w:firstLine="419"/>
        <w:jc w:val="both"/>
      </w:pPr>
      <w:r>
        <w:rPr>
          <w:rFonts w:ascii="Times New Roman" w:hAnsi="Times New Roman" w:cs="Times New Roman" w:eastAsia="Times New Roman" w:hint="default"/>
          <w:spacing w:val="-4"/>
        </w:rPr>
        <w:t>7</w:t>
      </w:r>
      <w:r>
        <w:rPr>
          <w:spacing w:val="-4"/>
        </w:rPr>
        <w:t>、根据郑中小企</w:t>
      </w:r>
      <w:r>
        <w:rPr>
          <w:rFonts w:ascii="Times New Roman" w:hAnsi="Times New Roman" w:cs="Times New Roman" w:eastAsia="Times New Roman" w:hint="default"/>
          <w:spacing w:val="-4"/>
        </w:rPr>
        <w:t>[2010]17 </w:t>
      </w:r>
      <w:r>
        <w:rPr>
          <w:spacing w:val="-4"/>
        </w:rPr>
        <w:t>号，铁路信号信息平台系统列入郑州市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年中小企业发展</w:t>
      </w:r>
      <w:r>
        <w:rPr>
          <w:w w:val="100"/>
        </w:rPr>
        <w:t> </w:t>
      </w:r>
      <w:r>
        <w:rPr>
          <w:spacing w:val="-4"/>
        </w:rPr>
        <w:t>专项资金项目，并收到项目资金补助</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spacing w:val="-8"/>
        </w:rPr>
        <w:t>万元，截至</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5"/>
        </w:rPr>
        <w:t>日止，该项目尚未完工</w:t>
      </w:r>
      <w:r>
        <w:rPr>
          <w:spacing w:val="-102"/>
        </w:rPr>
        <w:t> </w:t>
      </w:r>
      <w:r>
        <w:rPr>
          <w:spacing w:val="-102"/>
        </w:rPr>
      </w:r>
      <w:r>
        <w:rPr/>
        <w:t>验收。</w:t>
      </w:r>
    </w:p>
    <w:p>
      <w:pPr>
        <w:pStyle w:val="BodyText"/>
        <w:spacing w:line="345" w:lineRule="auto" w:before="47"/>
        <w:ind w:right="213" w:firstLine="419"/>
        <w:jc w:val="both"/>
      </w:pPr>
      <w:r>
        <w:rPr>
          <w:rFonts w:ascii="Times New Roman" w:hAnsi="Times New Roman" w:cs="Times New Roman" w:eastAsia="Times New Roman" w:hint="default"/>
        </w:rPr>
        <w:t>8</w:t>
      </w:r>
      <w:r>
        <w:rPr/>
        <w:t>、根据豫发改高技</w:t>
      </w:r>
      <w:r>
        <w:rPr>
          <w:rFonts w:ascii="Times New Roman" w:hAnsi="Times New Roman" w:cs="Times New Roman" w:eastAsia="Times New Roman" w:hint="default"/>
        </w:rPr>
        <w:t>[2010]121 </w:t>
      </w:r>
      <w:r>
        <w:rPr/>
        <w:t>号，新型铁路信号集中监测系统研发及产业化列入</w:t>
      </w:r>
      <w:r>
        <w:rPr>
          <w:spacing w:val="-32"/>
        </w:rPr>
        <w:t> </w:t>
      </w:r>
      <w:r>
        <w:rPr>
          <w:rFonts w:ascii="Times New Roman" w:hAnsi="Times New Roman" w:cs="Times New Roman" w:eastAsia="Times New Roman" w:hint="default"/>
        </w:rPr>
        <w:t>2010</w:t>
      </w:r>
      <w:r>
        <w:rPr>
          <w:rFonts w:ascii="Times New Roman" w:hAnsi="Times New Roman" w:cs="Times New Roman" w:eastAsia="Times New Roman" w:hint="default"/>
          <w:w w:val="100"/>
        </w:rPr>
        <w:t> </w:t>
      </w:r>
      <w:r>
        <w:rPr/>
        <w:t>年河南省高技术产业发展项目计划及省资金补助计划，公司收到郑州市财政局拔付的资金</w:t>
      </w:r>
      <w:r>
        <w:rPr>
          <w:spacing w:val="3"/>
        </w:rPr>
        <w:t> </w:t>
      </w:r>
      <w:r>
        <w:rPr>
          <w:spacing w:val="3"/>
        </w:rPr>
      </w:r>
      <w:r>
        <w:rPr>
          <w:rFonts w:ascii="Times New Roman" w:hAnsi="Times New Roman" w:cs="Times New Roman" w:eastAsia="Times New Roman" w:hint="default"/>
        </w:rPr>
        <w:t>120 </w:t>
      </w:r>
      <w:r>
        <w:rPr/>
        <w:t>万，截至</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日止，该项目尚未完工验收。</w:t>
      </w:r>
    </w:p>
    <w:p>
      <w:pPr>
        <w:pStyle w:val="BodyText"/>
        <w:spacing w:line="336" w:lineRule="auto" w:before="17"/>
        <w:ind w:right="211" w:firstLine="419"/>
        <w:jc w:val="both"/>
      </w:pPr>
      <w:r>
        <w:rPr>
          <w:rFonts w:ascii="Times New Roman" w:hAnsi="Times New Roman" w:cs="Times New Roman" w:eastAsia="Times New Roman" w:hint="default"/>
        </w:rPr>
        <w:t>9</w:t>
      </w:r>
      <w:r>
        <w:rPr/>
        <w:t>、根据根据郑科计</w:t>
      </w:r>
      <w:r>
        <w:rPr>
          <w:rFonts w:ascii="Times New Roman" w:hAnsi="Times New Roman" w:cs="Times New Roman" w:eastAsia="Times New Roman" w:hint="default"/>
        </w:rPr>
        <w:t>[2010]14</w:t>
      </w:r>
      <w:r>
        <w:rPr>
          <w:rFonts w:ascii="Times New Roman" w:hAnsi="Times New Roman" w:cs="Times New Roman" w:eastAsia="Times New Roman" w:hint="default"/>
          <w:spacing w:val="23"/>
        </w:rPr>
        <w:t> </w:t>
      </w:r>
      <w:r>
        <w:rPr/>
        <w:t>号文件，公司与郑州市科学技术局、郑州市财政局签定郑</w:t>
      </w:r>
      <w:r>
        <w:rPr>
          <w:w w:val="100"/>
        </w:rPr>
        <w:t> </w:t>
      </w:r>
      <w:r>
        <w:rPr/>
        <w:t>州市技术研究与开发经费支持项目目标责任书，公司收到郑州市财政局</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年度科技创新</w:t>
      </w:r>
      <w:r>
        <w:rPr>
          <w:w w:val="100"/>
        </w:rPr>
        <w:t> </w:t>
      </w:r>
      <w:r>
        <w:rPr/>
        <w:t>人才培育计划项目经费</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万元，用于</w:t>
      </w:r>
      <w:r>
        <w:rPr>
          <w:spacing w:val="-52"/>
        </w:rPr>
        <w:t> </w:t>
      </w:r>
      <w:r>
        <w:rPr>
          <w:rFonts w:ascii="Times New Roman" w:hAnsi="Times New Roman" w:cs="Times New Roman" w:eastAsia="Times New Roman" w:hint="default"/>
        </w:rPr>
        <w:t>HH-LS</w:t>
      </w:r>
      <w:r>
        <w:rPr>
          <w:rFonts w:ascii="Times New Roman" w:hAnsi="Times New Roman" w:cs="Times New Roman" w:eastAsia="Times New Roman" w:hint="default"/>
          <w:spacing w:val="3"/>
        </w:rPr>
        <w:t> </w:t>
      </w:r>
      <w:r>
        <w:rPr/>
        <w:t>型计算机联锁系统项目的研发，截至</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w w:val="10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日止，该项目尚未完工验收。</w:t>
      </w:r>
    </w:p>
    <w:p>
      <w:pPr>
        <w:pStyle w:val="BodyText"/>
        <w:spacing w:line="338" w:lineRule="auto" w:before="24"/>
        <w:ind w:right="211" w:firstLine="419"/>
        <w:jc w:val="both"/>
      </w:pPr>
      <w:r>
        <w:rPr>
          <w:rFonts w:ascii="Times New Roman" w:hAnsi="Times New Roman" w:cs="Times New Roman" w:eastAsia="Times New Roman" w:hint="default"/>
        </w:rPr>
        <w:t>10</w:t>
      </w:r>
      <w:r>
        <w:rPr/>
        <w:t>、根据根据郑科计</w:t>
      </w:r>
      <w:r>
        <w:rPr>
          <w:rFonts w:ascii="Times New Roman" w:hAnsi="Times New Roman" w:cs="Times New Roman" w:eastAsia="Times New Roman" w:hint="default"/>
        </w:rPr>
        <w:t>[2010]19 </w:t>
      </w:r>
      <w:r>
        <w:rPr/>
        <w:t>号文件，公司地铁综合监控系统列入郑州市 </w:t>
      </w:r>
      <w:r>
        <w:rPr>
          <w:rFonts w:ascii="Times New Roman" w:hAnsi="Times New Roman" w:cs="Times New Roman" w:eastAsia="Times New Roman" w:hint="default"/>
        </w:rPr>
        <w:t>2010</w:t>
      </w:r>
      <w:r>
        <w:rPr>
          <w:rFonts w:ascii="Times New Roman" w:hAnsi="Times New Roman" w:cs="Times New Roman" w:eastAsia="Times New Roman" w:hint="default"/>
          <w:spacing w:val="-33"/>
        </w:rPr>
        <w:t> </w:t>
      </w:r>
      <w:r>
        <w:rPr/>
        <w:t>年度重</w:t>
      </w:r>
      <w:r>
        <w:rPr>
          <w:w w:val="100"/>
        </w:rPr>
        <w:t> </w:t>
      </w:r>
      <w:r>
        <w:rPr/>
        <w:t>大科技专项计划，公司收到郑州市财政局拔付的专项资金</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万，用于地铁综合监控系统的</w:t>
      </w:r>
    </w:p>
    <w:p>
      <w:pPr>
        <w:pStyle w:val="BodyText"/>
        <w:spacing w:line="240" w:lineRule="auto" w:before="22"/>
        <w:ind w:right="98"/>
        <w:jc w:val="left"/>
      </w:pPr>
      <w:r>
        <w:rPr/>
        <w:t>研究与开发，截至</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日止，该项目尚未完工验收。</w:t>
      </w:r>
    </w:p>
    <w:p>
      <w:pPr>
        <w:pStyle w:val="BodyText"/>
        <w:spacing w:line="240" w:lineRule="auto" w:before="117"/>
        <w:ind w:left="540" w:right="98"/>
        <w:jc w:val="left"/>
      </w:pP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spacing w:val="-89"/>
          <w:w w:val="100"/>
        </w:rPr>
        <w:t>、</w:t>
      </w:r>
      <w:r>
        <w:rPr>
          <w:w w:val="100"/>
        </w:rPr>
        <w:t>公</w:t>
      </w:r>
      <w:r>
        <w:rPr>
          <w:spacing w:val="-3"/>
          <w:w w:val="100"/>
        </w:rPr>
        <w:t>司</w:t>
      </w:r>
      <w:r>
        <w:rPr>
          <w:w w:val="100"/>
        </w:rPr>
        <w:t>与</w:t>
      </w:r>
      <w:r>
        <w:rPr>
          <w:spacing w:val="-3"/>
          <w:w w:val="100"/>
        </w:rPr>
        <w:t>郑</w:t>
      </w:r>
      <w:r>
        <w:rPr>
          <w:w w:val="100"/>
        </w:rPr>
        <w:t>州</w:t>
      </w:r>
      <w:r>
        <w:rPr>
          <w:spacing w:val="-3"/>
          <w:w w:val="100"/>
        </w:rPr>
        <w:t>高</w:t>
      </w:r>
      <w:r>
        <w:rPr>
          <w:w w:val="100"/>
        </w:rPr>
        <w:t>新</w:t>
      </w:r>
      <w:r>
        <w:rPr>
          <w:spacing w:val="-3"/>
          <w:w w:val="100"/>
        </w:rPr>
        <w:t>技</w:t>
      </w:r>
      <w:r>
        <w:rPr>
          <w:w w:val="100"/>
        </w:rPr>
        <w:t>术</w:t>
      </w:r>
      <w:r>
        <w:rPr>
          <w:spacing w:val="-3"/>
          <w:w w:val="100"/>
        </w:rPr>
        <w:t>开</w:t>
      </w:r>
      <w:r>
        <w:rPr>
          <w:w w:val="100"/>
        </w:rPr>
        <w:t>发区</w:t>
      </w:r>
      <w:r>
        <w:rPr>
          <w:spacing w:val="-3"/>
          <w:w w:val="100"/>
        </w:rPr>
        <w:t>管</w:t>
      </w:r>
      <w:r>
        <w:rPr>
          <w:w w:val="100"/>
        </w:rPr>
        <w:t>委</w:t>
      </w:r>
      <w:r>
        <w:rPr>
          <w:spacing w:val="-3"/>
          <w:w w:val="100"/>
        </w:rPr>
        <w:t>会</w:t>
      </w:r>
      <w:r>
        <w:rPr>
          <w:w w:val="100"/>
        </w:rPr>
        <w:t>签</w:t>
      </w:r>
      <w:r>
        <w:rPr>
          <w:spacing w:val="-3"/>
          <w:w w:val="100"/>
        </w:rPr>
        <w:t>订</w:t>
      </w:r>
      <w:r>
        <w:rPr>
          <w:w w:val="100"/>
        </w:rPr>
        <w:t>的</w:t>
      </w:r>
      <w:r>
        <w:rPr>
          <w:spacing w:val="-3"/>
          <w:w w:val="100"/>
        </w:rPr>
        <w:t>郑</w:t>
      </w:r>
      <w:r>
        <w:rPr>
          <w:w w:val="100"/>
        </w:rPr>
        <w:t>州</w:t>
      </w:r>
      <w:r>
        <w:rPr>
          <w:spacing w:val="-3"/>
          <w:w w:val="100"/>
        </w:rPr>
        <w:t>高</w:t>
      </w:r>
      <w:r>
        <w:rPr>
          <w:w w:val="100"/>
        </w:rPr>
        <w:t>新区</w:t>
      </w:r>
      <w:r>
        <w:rPr>
          <w:spacing w:val="-3"/>
          <w:w w:val="100"/>
        </w:rPr>
        <w:t>技</w:t>
      </w:r>
      <w:r>
        <w:rPr>
          <w:w w:val="100"/>
        </w:rPr>
        <w:t>术</w:t>
      </w:r>
      <w:r>
        <w:rPr>
          <w:spacing w:val="-3"/>
          <w:w w:val="100"/>
        </w:rPr>
        <w:t>研</w:t>
      </w:r>
      <w:r>
        <w:rPr>
          <w:w w:val="100"/>
        </w:rPr>
        <w:t>究</w:t>
      </w:r>
      <w:r>
        <w:rPr>
          <w:spacing w:val="-3"/>
          <w:w w:val="100"/>
        </w:rPr>
        <w:t>与</w:t>
      </w:r>
      <w:r>
        <w:rPr>
          <w:w w:val="100"/>
        </w:rPr>
        <w:t>开</w:t>
      </w:r>
      <w:r>
        <w:rPr>
          <w:spacing w:val="-3"/>
          <w:w w:val="100"/>
        </w:rPr>
        <w:t>发</w:t>
      </w:r>
      <w:r>
        <w:rPr>
          <w:w w:val="100"/>
        </w:rPr>
        <w:t>经</w:t>
      </w:r>
      <w:r>
        <w:rPr>
          <w:spacing w:val="-3"/>
          <w:w w:val="100"/>
        </w:rPr>
        <w:t>费</w:t>
      </w:r>
      <w:r>
        <w:rPr>
          <w:w w:val="100"/>
        </w:rPr>
        <w:t>支持</w:t>
      </w:r>
      <w:r>
        <w:rPr>
          <w:spacing w:val="-3"/>
          <w:w w:val="100"/>
        </w:rPr>
        <w:t>项</w:t>
      </w:r>
      <w:r>
        <w:rPr>
          <w:w w:val="100"/>
        </w:rPr>
        <w:t>目</w:t>
      </w:r>
    </w:p>
    <w:p>
      <w:pPr>
        <w:spacing w:after="0" w:line="240" w:lineRule="auto"/>
        <w:jc w:val="left"/>
        <w:sectPr>
          <w:footerReference w:type="default" r:id="rId54"/>
          <w:pgSz w:w="11910" w:h="16840"/>
          <w:pgMar w:footer="1186" w:header="852" w:top="1200" w:bottom="1380" w:left="1680" w:right="1580"/>
          <w:pgNumType w:start="107"/>
        </w:sectPr>
      </w:pPr>
    </w:p>
    <w:p>
      <w:pPr>
        <w:spacing w:line="240" w:lineRule="auto" w:before="3"/>
        <w:rPr>
          <w:rFonts w:ascii="宋体" w:hAnsi="宋体" w:cs="宋体" w:eastAsia="宋体" w:hint="default"/>
          <w:sz w:val="12"/>
          <w:szCs w:val="12"/>
        </w:rPr>
      </w:pPr>
    </w:p>
    <w:p>
      <w:pPr>
        <w:pStyle w:val="BodyText"/>
        <w:spacing w:line="336" w:lineRule="auto" w:before="36"/>
        <w:ind w:left="1100" w:right="1094"/>
        <w:jc w:val="both"/>
      </w:pPr>
      <w:r>
        <w:rPr>
          <w:spacing w:val="-4"/>
        </w:rPr>
        <w:t>目标责任书，本年收到郑州高新区财政局拔付的</w:t>
      </w:r>
      <w:r>
        <w:rPr>
          <w:spacing w:val="-4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年度经费</w:t>
      </w:r>
      <w:r>
        <w:rPr>
          <w:spacing w:val="-42"/>
        </w:rPr>
        <w:t> </w:t>
      </w:r>
      <w:r>
        <w:rPr>
          <w:rFonts w:ascii="Times New Roman" w:hAnsi="Times New Roman" w:cs="Times New Roman" w:eastAsia="Times New Roman" w:hint="default"/>
        </w:rPr>
        <w:t>50</w:t>
      </w:r>
      <w:r>
        <w:rPr>
          <w:rFonts w:ascii="Times New Roman" w:hAnsi="Times New Roman" w:cs="Times New Roman" w:eastAsia="Times New Roman" w:hint="default"/>
          <w:spacing w:val="7"/>
        </w:rPr>
        <w:t> </w:t>
      </w:r>
      <w:r>
        <w:rPr>
          <w:spacing w:val="-6"/>
        </w:rPr>
        <w:t>万元，用于无线调车机车</w:t>
      </w:r>
      <w:r>
        <w:rPr>
          <w:spacing w:val="-101"/>
        </w:rPr>
        <w:t> </w:t>
      </w:r>
      <w:r>
        <w:rPr>
          <w:spacing w:val="-101"/>
        </w:rPr>
      </w:r>
      <w:r>
        <w:rPr/>
        <w:t>信号和监控系统项目的技术研究与开发，</w:t>
      </w:r>
      <w:r>
        <w:rPr>
          <w:rFonts w:ascii="Times New Roman" w:hAnsi="Times New Roman" w:cs="Times New Roman" w:eastAsia="Times New Roman" w:hint="default"/>
        </w:rPr>
        <w:t>2010 </w:t>
      </w:r>
      <w:r>
        <w:rPr/>
        <w:t>年</w:t>
      </w:r>
      <w:r>
        <w:rPr>
          <w:spacing w:val="-5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日，该项目完工验收，</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3"/>
        </w:rPr>
        <w:t>年结</w:t>
      </w:r>
      <w:r>
        <w:rPr>
          <w:spacing w:val="-3"/>
          <w:w w:val="100"/>
        </w:rPr>
        <w:t> </w:t>
      </w:r>
      <w:r>
        <w:rPr/>
        <w:t>转收入</w:t>
      </w:r>
      <w:r>
        <w:rPr>
          <w:spacing w:val="-52"/>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t>万元。</w:t>
      </w:r>
    </w:p>
    <w:p>
      <w:pPr>
        <w:pStyle w:val="Heading5"/>
        <w:tabs>
          <w:tab w:pos="2780" w:val="left" w:leader="none"/>
        </w:tabs>
        <w:spacing w:line="240" w:lineRule="auto" w:before="103"/>
        <w:ind w:left="1520" w:right="0"/>
        <w:jc w:val="left"/>
        <w:rPr>
          <w:b w:val="0"/>
          <w:bCs w:val="0"/>
        </w:rPr>
      </w:pPr>
      <w:r>
        <w:rPr/>
        <w:t>（二十三）</w:t>
        <w:tab/>
        <w:t>股本</w:t>
      </w:r>
      <w:r>
        <w:rPr>
          <w:b w:val="0"/>
          <w:bCs w:val="0"/>
        </w:rPr>
      </w:r>
    </w:p>
    <w:p>
      <w:pPr>
        <w:spacing w:line="240" w:lineRule="auto" w:before="1"/>
        <w:rPr>
          <w:rFonts w:ascii="宋体" w:hAnsi="宋体" w:cs="宋体" w:eastAsia="宋体" w:hint="default"/>
          <w:b/>
          <w:bCs/>
          <w:sz w:val="16"/>
          <w:szCs w:val="16"/>
        </w:rPr>
      </w:pPr>
    </w:p>
    <w:p>
      <w:pPr>
        <w:pStyle w:val="BodyText"/>
        <w:spacing w:line="240" w:lineRule="auto"/>
        <w:ind w:left="1520" w:right="0"/>
        <w:jc w:val="left"/>
      </w:pPr>
      <w:r>
        <w:rPr/>
        <w:t>（</w:t>
      </w:r>
      <w:r>
        <w:rPr>
          <w:rFonts w:ascii="Times New Roman" w:hAnsi="Times New Roman" w:cs="Times New Roman" w:eastAsia="Times New Roman" w:hint="default"/>
        </w:rPr>
        <w:t>1</w:t>
      </w:r>
      <w:r>
        <w:rPr/>
        <w:t>）本年股本变动情况如下：</w:t>
      </w:r>
    </w:p>
    <w:p>
      <w:pPr>
        <w:spacing w:line="240" w:lineRule="auto" w:before="11"/>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2254"/>
        <w:gridCol w:w="1045"/>
        <w:gridCol w:w="792"/>
        <w:gridCol w:w="468"/>
        <w:gridCol w:w="566"/>
        <w:gridCol w:w="1044"/>
        <w:gridCol w:w="1020"/>
        <w:gridCol w:w="1131"/>
        <w:gridCol w:w="1200"/>
        <w:gridCol w:w="720"/>
      </w:tblGrid>
      <w:tr>
        <w:trPr>
          <w:trHeight w:val="418"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股份类别</w:t>
            </w:r>
          </w:p>
        </w:tc>
        <w:tc>
          <w:tcPr>
            <w:tcW w:w="183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4230"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w:t>
            </w:r>
          </w:p>
        </w:tc>
        <w:tc>
          <w:tcPr>
            <w:tcW w:w="1920"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82" w:hRule="exact"/>
        </w:trPr>
        <w:tc>
          <w:tcPr>
            <w:tcW w:w="2254" w:type="dxa"/>
            <w:vMerge/>
            <w:tcBorders>
              <w:left w:val="nil" w:sz="6" w:space="0" w:color="auto"/>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股数</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5"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小计</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股数</w:t>
            </w:r>
          </w:p>
        </w:tc>
        <w:tc>
          <w:tcPr>
            <w:tcW w:w="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5"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国家持股</w:t>
            </w:r>
          </w:p>
        </w:tc>
        <w:tc>
          <w:tcPr>
            <w:tcW w:w="1045"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nil" w:sz="6" w:space="0" w:color="auto"/>
            </w:tcBorders>
          </w:tcPr>
          <w:p>
            <w:pPr/>
          </w:p>
        </w:tc>
      </w:tr>
      <w:tr>
        <w:trPr>
          <w:trHeight w:val="411"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国有法人持股</w:t>
            </w:r>
          </w:p>
        </w:tc>
        <w:tc>
          <w:tcPr>
            <w:tcW w:w="1045"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其他内资持股</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0" w:right="0"/>
              <w:jc w:val="center"/>
              <w:rPr>
                <w:rFonts w:ascii="Arial Narrow" w:hAnsi="Arial Narrow" w:cs="Arial Narrow" w:eastAsia="Arial Narrow" w:hint="default"/>
                <w:sz w:val="18"/>
                <w:szCs w:val="18"/>
              </w:rPr>
            </w:pPr>
            <w:r>
              <w:rPr>
                <w:rFonts w:ascii="Arial Narrow"/>
                <w:sz w:val="18"/>
              </w:rPr>
              <w:t>46,000,000.00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56" w:right="0"/>
              <w:jc w:val="left"/>
              <w:rPr>
                <w:rFonts w:ascii="Arial Narrow" w:hAnsi="Arial Narrow" w:cs="Arial Narrow" w:eastAsia="Arial Narrow" w:hint="default"/>
                <w:sz w:val="18"/>
                <w:szCs w:val="18"/>
              </w:rPr>
            </w:pPr>
            <w:r>
              <w:rPr>
                <w:rFonts w:ascii="Arial Narrow"/>
                <w:sz w:val="18"/>
              </w:rPr>
              <w:t>74.80%</w:t>
            </w: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64" w:right="0"/>
              <w:jc w:val="left"/>
              <w:rPr>
                <w:rFonts w:ascii="Arial Narrow" w:hAnsi="Arial Narrow" w:cs="Arial Narrow" w:eastAsia="Arial Narrow" w:hint="default"/>
                <w:sz w:val="18"/>
                <w:szCs w:val="18"/>
              </w:rPr>
            </w:pPr>
            <w:r>
              <w:rPr>
                <w:rFonts w:ascii="Arial Narrow"/>
                <w:sz w:val="18"/>
              </w:rPr>
              <w:t>32,200,000.00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-4,760,000.00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27,440,000.00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73,440,000.00</w:t>
            </w:r>
          </w:p>
        </w:tc>
        <w:tc>
          <w:tcPr>
            <w:tcW w:w="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27"/>
              <w:jc w:val="right"/>
              <w:rPr>
                <w:rFonts w:ascii="Arial Narrow" w:hAnsi="Arial Narrow" w:cs="Arial Narrow" w:eastAsia="Arial Narrow" w:hint="default"/>
                <w:sz w:val="18"/>
                <w:szCs w:val="18"/>
              </w:rPr>
            </w:pPr>
            <w:r>
              <w:rPr>
                <w:rFonts w:ascii="Arial Narrow"/>
                <w:spacing w:val="-1"/>
                <w:sz w:val="18"/>
              </w:rPr>
              <w:t>70.24%</w:t>
            </w: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045"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0" w:right="0"/>
              <w:jc w:val="center"/>
              <w:rPr>
                <w:rFonts w:ascii="Arial Narrow" w:hAnsi="Arial Narrow" w:cs="Arial Narrow" w:eastAsia="Arial Narrow" w:hint="default"/>
                <w:sz w:val="18"/>
                <w:szCs w:val="18"/>
              </w:rPr>
            </w:pPr>
            <w:r>
              <w:rPr>
                <w:rFonts w:ascii="Arial Narrow"/>
                <w:sz w:val="18"/>
              </w:rPr>
              <w:t>46,000,000.00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56" w:right="0"/>
              <w:jc w:val="left"/>
              <w:rPr>
                <w:rFonts w:ascii="Arial Narrow" w:hAnsi="Arial Narrow" w:cs="Arial Narrow" w:eastAsia="Arial Narrow" w:hint="default"/>
                <w:sz w:val="18"/>
                <w:szCs w:val="18"/>
              </w:rPr>
            </w:pPr>
            <w:r>
              <w:rPr>
                <w:rFonts w:ascii="Arial Narrow"/>
                <w:sz w:val="18"/>
              </w:rPr>
              <w:t>74.80%</w:t>
            </w: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64" w:right="0"/>
              <w:jc w:val="left"/>
              <w:rPr>
                <w:rFonts w:ascii="Arial Narrow" w:hAnsi="Arial Narrow" w:cs="Arial Narrow" w:eastAsia="Arial Narrow" w:hint="default"/>
                <w:sz w:val="18"/>
                <w:szCs w:val="18"/>
              </w:rPr>
            </w:pPr>
            <w:r>
              <w:rPr>
                <w:rFonts w:ascii="Arial Narrow"/>
                <w:sz w:val="18"/>
              </w:rPr>
              <w:t>32,200,000.00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-4,760,000.00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27,440,000.00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73,440,000.00</w:t>
            </w:r>
          </w:p>
        </w:tc>
        <w:tc>
          <w:tcPr>
            <w:tcW w:w="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27"/>
              <w:jc w:val="right"/>
              <w:rPr>
                <w:rFonts w:ascii="Arial Narrow" w:hAnsi="Arial Narrow" w:cs="Arial Narrow" w:eastAsia="Arial Narrow" w:hint="default"/>
                <w:sz w:val="18"/>
                <w:szCs w:val="18"/>
              </w:rPr>
            </w:pPr>
            <w:r>
              <w:rPr>
                <w:rFonts w:ascii="Arial Narrow"/>
                <w:spacing w:val="-1"/>
                <w:sz w:val="18"/>
              </w:rPr>
              <w:t>70.24%</w:t>
            </w: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．境外持股</w:t>
            </w:r>
          </w:p>
        </w:tc>
        <w:tc>
          <w:tcPr>
            <w:tcW w:w="1045"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45"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45"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223"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0" w:right="0"/>
              <w:jc w:val="center"/>
              <w:rPr>
                <w:rFonts w:ascii="Arial Narrow" w:hAnsi="Arial Narrow" w:cs="Arial Narrow" w:eastAsia="Arial Narrow" w:hint="default"/>
                <w:sz w:val="18"/>
                <w:szCs w:val="18"/>
              </w:rPr>
            </w:pPr>
            <w:r>
              <w:rPr>
                <w:rFonts w:ascii="Arial Narrow"/>
                <w:sz w:val="18"/>
              </w:rPr>
              <w:t>46,000,000.00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56" w:right="0"/>
              <w:jc w:val="left"/>
              <w:rPr>
                <w:rFonts w:ascii="Arial Narrow" w:hAnsi="Arial Narrow" w:cs="Arial Narrow" w:eastAsia="Arial Narrow" w:hint="default"/>
                <w:sz w:val="18"/>
                <w:szCs w:val="18"/>
              </w:rPr>
            </w:pPr>
            <w:r>
              <w:rPr>
                <w:rFonts w:ascii="Arial Narrow"/>
                <w:sz w:val="18"/>
              </w:rPr>
              <w:t>74.80%</w:t>
            </w: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64" w:right="0"/>
              <w:jc w:val="left"/>
              <w:rPr>
                <w:rFonts w:ascii="Arial Narrow" w:hAnsi="Arial Narrow" w:cs="Arial Narrow" w:eastAsia="Arial Narrow" w:hint="default"/>
                <w:sz w:val="18"/>
                <w:szCs w:val="18"/>
              </w:rPr>
            </w:pPr>
            <w:r>
              <w:rPr>
                <w:rFonts w:ascii="Arial Narrow"/>
                <w:sz w:val="18"/>
              </w:rPr>
              <w:t>32,200,000.00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-4,760,000.00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27,440,000.00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73,440,000.00</w:t>
            </w:r>
          </w:p>
        </w:tc>
        <w:tc>
          <w:tcPr>
            <w:tcW w:w="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27"/>
              <w:jc w:val="right"/>
              <w:rPr>
                <w:rFonts w:ascii="Arial Narrow" w:hAnsi="Arial Narrow" w:cs="Arial Narrow" w:eastAsia="Arial Narrow" w:hint="default"/>
                <w:sz w:val="18"/>
                <w:szCs w:val="18"/>
              </w:rPr>
            </w:pPr>
            <w:r>
              <w:rPr>
                <w:rFonts w:ascii="Arial Narrow"/>
                <w:spacing w:val="-1"/>
                <w:sz w:val="18"/>
              </w:rPr>
              <w:t>70.24%</w:t>
            </w: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5"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nil" w:sz="6" w:space="0" w:color="auto"/>
            </w:tcBorders>
          </w:tcPr>
          <w:p>
            <w:pPr/>
          </w:p>
        </w:tc>
      </w:tr>
      <w:tr>
        <w:trPr>
          <w:trHeight w:val="411"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人民币普通股</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0" w:right="0"/>
              <w:jc w:val="center"/>
              <w:rPr>
                <w:rFonts w:ascii="Arial Narrow" w:hAnsi="Arial Narrow" w:cs="Arial Narrow" w:eastAsia="Arial Narrow" w:hint="default"/>
                <w:sz w:val="18"/>
                <w:szCs w:val="18"/>
              </w:rPr>
            </w:pPr>
            <w:r>
              <w:rPr>
                <w:rFonts w:ascii="Arial Narrow"/>
                <w:sz w:val="18"/>
              </w:rPr>
              <w:t>15,500,000.00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56" w:right="0"/>
              <w:jc w:val="left"/>
              <w:rPr>
                <w:rFonts w:ascii="Arial Narrow" w:hAnsi="Arial Narrow" w:cs="Arial Narrow" w:eastAsia="Arial Narrow" w:hint="default"/>
                <w:sz w:val="18"/>
                <w:szCs w:val="18"/>
              </w:rPr>
            </w:pPr>
            <w:r>
              <w:rPr>
                <w:rFonts w:ascii="Arial Narrow"/>
                <w:sz w:val="18"/>
              </w:rPr>
              <w:t>25.20%</w:t>
            </w: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64" w:right="0"/>
              <w:jc w:val="left"/>
              <w:rPr>
                <w:rFonts w:ascii="Arial Narrow" w:hAnsi="Arial Narrow" w:cs="Arial Narrow" w:eastAsia="Arial Narrow" w:hint="default"/>
                <w:sz w:val="18"/>
                <w:szCs w:val="18"/>
              </w:rPr>
            </w:pPr>
            <w:r>
              <w:rPr>
                <w:rFonts w:ascii="Arial Narrow"/>
                <w:sz w:val="18"/>
              </w:rPr>
              <w:t>10,850,000.00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4,760,000.00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15,610,000.00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2"/>
                <w:sz w:val="18"/>
              </w:rPr>
              <w:t>31,110,000.00</w:t>
            </w:r>
          </w:p>
        </w:tc>
        <w:tc>
          <w:tcPr>
            <w:tcW w:w="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27"/>
              <w:jc w:val="right"/>
              <w:rPr>
                <w:rFonts w:ascii="Arial Narrow" w:hAnsi="Arial Narrow" w:cs="Arial Narrow" w:eastAsia="Arial Narrow" w:hint="default"/>
                <w:sz w:val="18"/>
                <w:szCs w:val="18"/>
              </w:rPr>
            </w:pPr>
            <w:r>
              <w:rPr>
                <w:rFonts w:ascii="Arial Narrow"/>
                <w:spacing w:val="-1"/>
                <w:sz w:val="18"/>
              </w:rPr>
              <w:t>29.76%</w:t>
            </w: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境内上市的外资股</w:t>
            </w:r>
          </w:p>
        </w:tc>
        <w:tc>
          <w:tcPr>
            <w:tcW w:w="1045"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境外上市的外资股</w:t>
            </w:r>
          </w:p>
        </w:tc>
        <w:tc>
          <w:tcPr>
            <w:tcW w:w="1045"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1045"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223"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0" w:right="0"/>
              <w:jc w:val="center"/>
              <w:rPr>
                <w:rFonts w:ascii="Arial Narrow" w:hAnsi="Arial Narrow" w:cs="Arial Narrow" w:eastAsia="Arial Narrow" w:hint="default"/>
                <w:sz w:val="18"/>
                <w:szCs w:val="18"/>
              </w:rPr>
            </w:pPr>
            <w:r>
              <w:rPr>
                <w:rFonts w:ascii="Arial Narrow"/>
                <w:sz w:val="18"/>
              </w:rPr>
              <w:t>15,500,000.00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56" w:right="0"/>
              <w:jc w:val="left"/>
              <w:rPr>
                <w:rFonts w:ascii="Arial Narrow" w:hAnsi="Arial Narrow" w:cs="Arial Narrow" w:eastAsia="Arial Narrow" w:hint="default"/>
                <w:sz w:val="18"/>
                <w:szCs w:val="18"/>
              </w:rPr>
            </w:pPr>
            <w:r>
              <w:rPr>
                <w:rFonts w:ascii="Arial Narrow"/>
                <w:sz w:val="18"/>
              </w:rPr>
              <w:t>25.20%</w:t>
            </w:r>
          </w:p>
        </w:tc>
        <w:tc>
          <w:tcPr>
            <w:tcW w:w="4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64" w:right="0"/>
              <w:jc w:val="left"/>
              <w:rPr>
                <w:rFonts w:ascii="Arial Narrow" w:hAnsi="Arial Narrow" w:cs="Arial Narrow" w:eastAsia="Arial Narrow" w:hint="default"/>
                <w:sz w:val="18"/>
                <w:szCs w:val="18"/>
              </w:rPr>
            </w:pPr>
            <w:r>
              <w:rPr>
                <w:rFonts w:ascii="Arial Narrow"/>
                <w:sz w:val="18"/>
              </w:rPr>
              <w:t>10,850,000.00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4,760,000.00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15,610,000.00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2"/>
                <w:sz w:val="18"/>
              </w:rPr>
              <w:t>31,110,000.00</w:t>
            </w:r>
          </w:p>
        </w:tc>
        <w:tc>
          <w:tcPr>
            <w:tcW w:w="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27"/>
              <w:jc w:val="right"/>
              <w:rPr>
                <w:rFonts w:ascii="Arial Narrow" w:hAnsi="Arial Narrow" w:cs="Arial Narrow" w:eastAsia="Arial Narrow" w:hint="default"/>
                <w:sz w:val="18"/>
                <w:szCs w:val="18"/>
              </w:rPr>
            </w:pPr>
            <w:r>
              <w:rPr>
                <w:rFonts w:ascii="Arial Narrow"/>
                <w:spacing w:val="-1"/>
                <w:sz w:val="18"/>
              </w:rPr>
              <w:t>29.76%</w:t>
            </w:r>
          </w:p>
        </w:tc>
      </w:tr>
      <w:tr>
        <w:trPr>
          <w:trHeight w:val="420"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股份总数</w:t>
            </w:r>
          </w:p>
        </w:tc>
        <w:tc>
          <w:tcPr>
            <w:tcW w:w="10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5"/>
              <w:ind w:left="40" w:right="0"/>
              <w:jc w:val="center"/>
              <w:rPr>
                <w:rFonts w:ascii="Arial Narrow" w:hAnsi="Arial Narrow" w:cs="Arial Narrow" w:eastAsia="Arial Narrow" w:hint="default"/>
                <w:sz w:val="18"/>
                <w:szCs w:val="18"/>
              </w:rPr>
            </w:pPr>
            <w:r>
              <w:rPr>
                <w:rFonts w:ascii="Arial Narrow"/>
                <w:sz w:val="18"/>
              </w:rPr>
              <w:t>61,500,000.00</w:t>
            </w:r>
          </w:p>
        </w:tc>
        <w:tc>
          <w:tcPr>
            <w:tcW w:w="7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5"/>
              <w:ind w:left="175" w:right="0"/>
              <w:jc w:val="left"/>
              <w:rPr>
                <w:rFonts w:ascii="Arial Narrow" w:hAnsi="Arial Narrow" w:cs="Arial Narrow" w:eastAsia="Arial Narrow" w:hint="default"/>
                <w:sz w:val="18"/>
                <w:szCs w:val="18"/>
              </w:rPr>
            </w:pPr>
            <w:r>
              <w:rPr>
                <w:rFonts w:ascii="Arial Narrow"/>
                <w:sz w:val="18"/>
              </w:rPr>
              <w:t>100.00%</w:t>
            </w:r>
          </w:p>
        </w:tc>
        <w:tc>
          <w:tcPr>
            <w:tcW w:w="468"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1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5"/>
              <w:ind w:left="64" w:right="0"/>
              <w:jc w:val="left"/>
              <w:rPr>
                <w:rFonts w:ascii="Arial Narrow" w:hAnsi="Arial Narrow" w:cs="Arial Narrow" w:eastAsia="Arial Narrow" w:hint="default"/>
                <w:sz w:val="18"/>
                <w:szCs w:val="18"/>
              </w:rPr>
            </w:pPr>
            <w:r>
              <w:rPr>
                <w:rFonts w:ascii="Arial Narrow"/>
                <w:sz w:val="18"/>
              </w:rPr>
              <w:t>43,050,000.00</w:t>
            </w:r>
          </w:p>
        </w:tc>
        <w:tc>
          <w:tcPr>
            <w:tcW w:w="1020" w:type="dxa"/>
            <w:tcBorders>
              <w:top w:val="single" w:sz="6" w:space="0" w:color="000000"/>
              <w:left w:val="single" w:sz="6" w:space="0" w:color="000000"/>
              <w:bottom w:val="single" w:sz="12" w:space="0" w:color="000000"/>
              <w:right w:val="single" w:sz="6" w:space="0" w:color="000000"/>
            </w:tcBorders>
          </w:tcPr>
          <w:p>
            <w:pPr/>
          </w:p>
        </w:tc>
        <w:tc>
          <w:tcPr>
            <w:tcW w:w="11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43,050,000.00</w:t>
            </w:r>
          </w:p>
        </w:tc>
        <w:tc>
          <w:tcPr>
            <w:tcW w:w="1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104,550,000.00</w:t>
            </w:r>
          </w:p>
        </w:tc>
        <w:tc>
          <w:tcPr>
            <w:tcW w:w="7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5"/>
              <w:ind w:right="27"/>
              <w:jc w:val="right"/>
              <w:rPr>
                <w:rFonts w:ascii="Arial Narrow" w:hAnsi="Arial Narrow" w:cs="Arial Narrow" w:eastAsia="Arial Narrow" w:hint="default"/>
                <w:sz w:val="18"/>
                <w:szCs w:val="18"/>
              </w:rPr>
            </w:pPr>
            <w:r>
              <w:rPr>
                <w:rFonts w:ascii="Arial Narrow"/>
                <w:spacing w:val="-1"/>
                <w:sz w:val="18"/>
              </w:rPr>
              <w:t>100.00%</w:t>
            </w:r>
          </w:p>
        </w:tc>
      </w:tr>
    </w:tbl>
    <w:p>
      <w:pPr>
        <w:pStyle w:val="BodyText"/>
        <w:spacing w:line="281" w:lineRule="exact"/>
        <w:ind w:left="1520" w:right="0"/>
        <w:jc w:val="left"/>
      </w:pPr>
      <w:r>
        <w:rPr/>
        <w:t>根据公司</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年度股东大会批准，公司以</w:t>
      </w:r>
      <w:r>
        <w:rPr>
          <w:spacing w:val="-52"/>
        </w:rPr>
        <w:t> </w:t>
      </w:r>
      <w:r>
        <w:rPr>
          <w:rFonts w:ascii="Times New Roman" w:hAnsi="Times New Roman" w:cs="Times New Roman" w:eastAsia="Times New Roman" w:hint="default"/>
        </w:rPr>
        <w:t>2009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日的公司总股本</w:t>
      </w:r>
      <w:r>
        <w:rPr>
          <w:spacing w:val="-55"/>
        </w:rPr>
        <w:t> </w:t>
      </w:r>
      <w:r>
        <w:rPr>
          <w:rFonts w:ascii="Times New Roman" w:hAnsi="Times New Roman" w:cs="Times New Roman" w:eastAsia="Times New Roman" w:hint="default"/>
        </w:rPr>
        <w:t>6150 </w:t>
      </w:r>
      <w:r>
        <w:rPr/>
        <w:t>万股</w:t>
      </w:r>
    </w:p>
    <w:p>
      <w:pPr>
        <w:pStyle w:val="BodyText"/>
        <w:spacing w:line="240" w:lineRule="auto" w:before="119"/>
        <w:ind w:left="1100" w:right="0"/>
        <w:jc w:val="left"/>
      </w:pPr>
      <w:r>
        <w:rPr/>
        <w:t>为基数，以资本公积转增股本，每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股。转增后的股本为</w:t>
      </w:r>
      <w:r>
        <w:rPr>
          <w:spacing w:val="-51"/>
        </w:rPr>
        <w:t> </w:t>
      </w:r>
      <w:r>
        <w:rPr>
          <w:rFonts w:ascii="Times New Roman" w:hAnsi="Times New Roman" w:cs="Times New Roman" w:eastAsia="Times New Roman" w:hint="default"/>
        </w:rPr>
        <w:t>10455</w:t>
      </w:r>
      <w:r>
        <w:rPr>
          <w:rFonts w:ascii="Times New Roman" w:hAnsi="Times New Roman" w:cs="Times New Roman" w:eastAsia="Times New Roman" w:hint="default"/>
          <w:spacing w:val="-1"/>
        </w:rPr>
        <w:t> </w:t>
      </w:r>
      <w:r>
        <w:rPr/>
        <w:t>万股，此次变更</w:t>
      </w:r>
    </w:p>
    <w:p>
      <w:pPr>
        <w:pStyle w:val="BodyText"/>
        <w:spacing w:line="336" w:lineRule="auto" w:before="117"/>
        <w:ind w:left="1100" w:right="1086"/>
        <w:jc w:val="left"/>
      </w:pPr>
      <w:r>
        <w:rPr/>
        <w:t>已经天健正信会计师事务所有限公司出具天健正信验（</w:t>
      </w:r>
      <w:r>
        <w:rPr>
          <w:rFonts w:ascii="Times New Roman" w:hAnsi="Times New Roman" w:cs="Times New Roman" w:eastAsia="Times New Roman" w:hint="default"/>
        </w:rPr>
        <w:t>2010</w:t>
      </w:r>
      <w:r>
        <w:rPr/>
        <w:t>）综字第</w:t>
      </w:r>
      <w:r>
        <w:rPr>
          <w:spacing w:val="-49"/>
        </w:rPr>
        <w:t> </w:t>
      </w:r>
      <w:r>
        <w:rPr>
          <w:rFonts w:ascii="Times New Roman" w:hAnsi="Times New Roman" w:cs="Times New Roman" w:eastAsia="Times New Roman" w:hint="default"/>
        </w:rPr>
        <w:t>220002</w:t>
      </w:r>
      <w:r>
        <w:rPr>
          <w:rFonts w:ascii="Times New Roman" w:hAnsi="Times New Roman" w:cs="Times New Roman" w:eastAsia="Times New Roman" w:hint="default"/>
          <w:spacing w:val="1"/>
        </w:rPr>
        <w:t> </w:t>
      </w:r>
      <w:r>
        <w:rPr/>
        <w:t>号验资报告验</w:t>
      </w:r>
      <w:r>
        <w:rPr>
          <w:w w:val="100"/>
        </w:rPr>
        <w:t> </w:t>
      </w:r>
      <w:r>
        <w:rPr/>
        <w:t>证。</w:t>
      </w:r>
    </w:p>
    <w:p>
      <w:pPr>
        <w:tabs>
          <w:tab w:pos="2780" w:val="left" w:leader="none"/>
        </w:tabs>
        <w:spacing w:line="424" w:lineRule="auto" w:before="109"/>
        <w:ind w:left="1520" w:right="6250" w:firstLine="0"/>
        <w:jc w:val="left"/>
        <w:rPr>
          <w:rFonts w:ascii="宋体" w:hAnsi="宋体" w:cs="宋体" w:eastAsia="宋体" w:hint="default"/>
          <w:sz w:val="21"/>
          <w:szCs w:val="21"/>
        </w:rPr>
      </w:pPr>
      <w:r>
        <w:rPr>
          <w:rFonts w:ascii="宋体" w:hAnsi="宋体" w:cs="宋体" w:eastAsia="宋体" w:hint="default"/>
          <w:b/>
          <w:bCs/>
          <w:sz w:val="21"/>
          <w:szCs w:val="21"/>
        </w:rPr>
        <w:t>（二十四）</w:t>
        <w:tab/>
        <w:t>资本公积</w:t>
      </w:r>
      <w:r>
        <w:rPr>
          <w:rFonts w:ascii="宋体" w:hAnsi="宋体" w:cs="宋体" w:eastAsia="宋体" w:hint="default"/>
          <w:b/>
          <w:bCs/>
          <w:w w:val="100"/>
          <w:sz w:val="21"/>
          <w:szCs w:val="21"/>
        </w:rPr>
        <w:t> </w:t>
      </w:r>
      <w:r>
        <w:rPr>
          <w:rFonts w:ascii="宋体" w:hAnsi="宋体" w:cs="宋体" w:eastAsia="宋体" w:hint="default"/>
          <w:spacing w:val="-2"/>
          <w:sz w:val="21"/>
          <w:szCs w:val="21"/>
        </w:rPr>
        <w:t>本年资本公积变动情况如下：</w:t>
      </w:r>
    </w:p>
    <w:tbl>
      <w:tblPr>
        <w:tblW w:w="0" w:type="auto"/>
        <w:jc w:val="left"/>
        <w:tblInd w:w="802" w:type="dxa"/>
        <w:tblLayout w:type="fixed"/>
        <w:tblCellMar>
          <w:top w:w="0" w:type="dxa"/>
          <w:left w:w="0" w:type="dxa"/>
          <w:bottom w:w="0" w:type="dxa"/>
          <w:right w:w="0" w:type="dxa"/>
        </w:tblCellMar>
        <w:tblLook w:val="01E0"/>
      </w:tblPr>
      <w:tblGrid>
        <w:gridCol w:w="2768"/>
        <w:gridCol w:w="1522"/>
        <w:gridCol w:w="1524"/>
        <w:gridCol w:w="1522"/>
        <w:gridCol w:w="1524"/>
      </w:tblGrid>
      <w:tr>
        <w:trPr>
          <w:trHeight w:val="391" w:hRule="exact"/>
        </w:trPr>
        <w:tc>
          <w:tcPr>
            <w:tcW w:w="276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5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5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2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21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06" w:hRule="exact"/>
        </w:trPr>
        <w:tc>
          <w:tcPr>
            <w:tcW w:w="276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left="280" w:right="0"/>
              <w:jc w:val="left"/>
              <w:rPr>
                <w:rFonts w:ascii="Times New Roman" w:hAnsi="Times New Roman" w:cs="Times New Roman" w:eastAsia="Times New Roman" w:hint="default"/>
                <w:sz w:val="18"/>
                <w:szCs w:val="18"/>
              </w:rPr>
            </w:pPr>
            <w:r>
              <w:rPr>
                <w:rFonts w:ascii="Times New Roman"/>
                <w:sz w:val="18"/>
              </w:rPr>
              <w:t>354,607,240.00</w:t>
            </w:r>
          </w:p>
        </w:tc>
        <w:tc>
          <w:tcPr>
            <w:tcW w:w="1524" w:type="dxa"/>
            <w:tcBorders>
              <w:top w:val="single" w:sz="6" w:space="0" w:color="000000"/>
              <w:left w:val="single" w:sz="6" w:space="0" w:color="000000"/>
              <w:bottom w:val="single" w:sz="12" w:space="0" w:color="000000"/>
              <w:right w:val="single" w:sz="6" w:space="0" w:color="000000"/>
            </w:tcBorders>
          </w:tcPr>
          <w:p>
            <w:pP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left="371" w:right="0"/>
              <w:jc w:val="left"/>
              <w:rPr>
                <w:rFonts w:ascii="Times New Roman" w:hAnsi="Times New Roman" w:cs="Times New Roman" w:eastAsia="Times New Roman" w:hint="default"/>
                <w:sz w:val="18"/>
                <w:szCs w:val="18"/>
              </w:rPr>
            </w:pPr>
            <w:r>
              <w:rPr>
                <w:rFonts w:ascii="Times New Roman"/>
                <w:sz w:val="18"/>
              </w:rPr>
              <w:t>43,050,000.00</w:t>
            </w:r>
          </w:p>
        </w:tc>
        <w:tc>
          <w:tcPr>
            <w:tcW w:w="15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left="195" w:right="0"/>
              <w:jc w:val="left"/>
              <w:rPr>
                <w:rFonts w:ascii="Times New Roman" w:hAnsi="Times New Roman" w:cs="Times New Roman" w:eastAsia="Times New Roman" w:hint="default"/>
                <w:sz w:val="18"/>
                <w:szCs w:val="18"/>
              </w:rPr>
            </w:pPr>
            <w:r>
              <w:rPr>
                <w:rFonts w:ascii="Times New Roman"/>
                <w:sz w:val="18"/>
              </w:rPr>
              <w:t>311,557,240.00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1186" w:top="1200" w:bottom="1380" w:left="700" w:right="700"/>
        </w:sectPr>
      </w:pPr>
    </w:p>
    <w:p>
      <w:pPr>
        <w:spacing w:line="240" w:lineRule="auto" w:before="3"/>
        <w:rPr>
          <w:rFonts w:ascii="宋体" w:hAnsi="宋体" w:cs="宋体" w:eastAsia="宋体" w:hint="default"/>
          <w:sz w:val="12"/>
          <w:szCs w:val="12"/>
        </w:rPr>
      </w:pPr>
    </w:p>
    <w:p>
      <w:pPr>
        <w:pStyle w:val="BodyText"/>
        <w:spacing w:line="240" w:lineRule="auto" w:before="36"/>
        <w:ind w:left="900" w:right="0"/>
        <w:jc w:val="left"/>
      </w:pPr>
      <w:r>
        <w:rPr/>
        <w:t>根据公司</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年度股东大会批准，公司以</w:t>
      </w:r>
      <w:r>
        <w:rPr>
          <w:spacing w:val="-52"/>
        </w:rPr>
        <w:t> </w:t>
      </w:r>
      <w:r>
        <w:rPr>
          <w:rFonts w:ascii="Times New Roman" w:hAnsi="Times New Roman" w:cs="Times New Roman" w:eastAsia="Times New Roman" w:hint="default"/>
        </w:rPr>
        <w:t>2009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日的公司总股本</w:t>
      </w:r>
      <w:r>
        <w:rPr>
          <w:spacing w:val="-55"/>
        </w:rPr>
        <w:t> </w:t>
      </w:r>
      <w:r>
        <w:rPr>
          <w:rFonts w:ascii="Times New Roman" w:hAnsi="Times New Roman" w:cs="Times New Roman" w:eastAsia="Times New Roman" w:hint="default"/>
        </w:rPr>
        <w:t>6150 </w:t>
      </w:r>
      <w:r>
        <w:rPr/>
        <w:t>万股</w:t>
      </w:r>
    </w:p>
    <w:p>
      <w:pPr>
        <w:pStyle w:val="BodyText"/>
        <w:spacing w:line="240" w:lineRule="auto" w:before="117"/>
        <w:ind w:left="480" w:right="0"/>
        <w:jc w:val="left"/>
      </w:pPr>
      <w:r>
        <w:rPr>
          <w:spacing w:val="-6"/>
        </w:rPr>
        <w:t>为基数，以资本公积转增股本，每</w:t>
      </w:r>
      <w:r>
        <w:rPr>
          <w:spacing w:val="-36"/>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股转增</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17"/>
        </w:rPr>
        <w:t> </w:t>
      </w:r>
      <w:r>
        <w:rPr>
          <w:spacing w:val="-4"/>
        </w:rPr>
        <w:t>股，本年减少数为资本公积转增股本的金额。</w:t>
      </w:r>
    </w:p>
    <w:p>
      <w:pPr>
        <w:tabs>
          <w:tab w:pos="2160" w:val="left" w:leader="none"/>
        </w:tabs>
        <w:spacing w:line="427" w:lineRule="auto" w:before="175"/>
        <w:ind w:left="900" w:right="5630" w:firstLine="0"/>
        <w:jc w:val="left"/>
        <w:rPr>
          <w:rFonts w:ascii="宋体" w:hAnsi="宋体" w:cs="宋体" w:eastAsia="宋体" w:hint="default"/>
          <w:sz w:val="21"/>
          <w:szCs w:val="21"/>
        </w:rPr>
      </w:pPr>
      <w:r>
        <w:rPr>
          <w:rFonts w:ascii="宋体" w:hAnsi="宋体" w:cs="宋体" w:eastAsia="宋体" w:hint="default"/>
          <w:b/>
          <w:bCs/>
          <w:sz w:val="21"/>
          <w:szCs w:val="21"/>
        </w:rPr>
        <w:t>（二十五）</w:t>
        <w:tab/>
        <w:t>盈余公积</w:t>
      </w:r>
      <w:r>
        <w:rPr>
          <w:rFonts w:ascii="宋体" w:hAnsi="宋体" w:cs="宋体" w:eastAsia="宋体" w:hint="default"/>
          <w:b/>
          <w:bCs/>
          <w:w w:val="100"/>
          <w:sz w:val="21"/>
          <w:szCs w:val="21"/>
        </w:rPr>
        <w:t> </w:t>
      </w:r>
      <w:r>
        <w:rPr>
          <w:rFonts w:ascii="宋体" w:hAnsi="宋体" w:cs="宋体" w:eastAsia="宋体" w:hint="default"/>
          <w:spacing w:val="-2"/>
          <w:sz w:val="21"/>
          <w:szCs w:val="21"/>
        </w:rPr>
        <w:t>本年盈余公积变动情况如下：</w:t>
      </w:r>
    </w:p>
    <w:tbl>
      <w:tblPr>
        <w:tblW w:w="0" w:type="auto"/>
        <w:jc w:val="left"/>
        <w:tblInd w:w="182" w:type="dxa"/>
        <w:tblLayout w:type="fixed"/>
        <w:tblCellMar>
          <w:top w:w="0" w:type="dxa"/>
          <w:left w:w="0" w:type="dxa"/>
          <w:bottom w:w="0" w:type="dxa"/>
          <w:right w:w="0" w:type="dxa"/>
        </w:tblCellMar>
        <w:tblLook w:val="01E0"/>
      </w:tblPr>
      <w:tblGrid>
        <w:gridCol w:w="2372"/>
        <w:gridCol w:w="1620"/>
        <w:gridCol w:w="1623"/>
        <w:gridCol w:w="1622"/>
        <w:gridCol w:w="1623"/>
      </w:tblGrid>
      <w:tr>
        <w:trPr>
          <w:trHeight w:val="391" w:hRule="exact"/>
        </w:trPr>
        <w:tc>
          <w:tcPr>
            <w:tcW w:w="23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26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本年增加额</w:t>
            </w:r>
          </w:p>
        </w:tc>
        <w:tc>
          <w:tcPr>
            <w:tcW w:w="16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52"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2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06" w:hRule="exact"/>
        </w:trPr>
        <w:tc>
          <w:tcPr>
            <w:tcW w:w="23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20" w:right="0"/>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left="285" w:right="0"/>
              <w:jc w:val="left"/>
              <w:rPr>
                <w:rFonts w:ascii="Times New Roman" w:hAnsi="Times New Roman" w:cs="Times New Roman" w:eastAsia="Times New Roman" w:hint="default"/>
                <w:sz w:val="18"/>
                <w:szCs w:val="18"/>
              </w:rPr>
            </w:pPr>
            <w:r>
              <w:rPr>
                <w:rFonts w:ascii="Times New Roman"/>
                <w:sz w:val="18"/>
              </w:rPr>
              <w:t>18,066,840.31</w:t>
            </w:r>
          </w:p>
        </w:tc>
        <w:tc>
          <w:tcPr>
            <w:tcW w:w="16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4,522,165.88</w:t>
            </w:r>
          </w:p>
        </w:tc>
        <w:tc>
          <w:tcPr>
            <w:tcW w:w="1622" w:type="dxa"/>
            <w:tcBorders>
              <w:top w:val="single" w:sz="6" w:space="0" w:color="000000"/>
              <w:left w:val="single" w:sz="6" w:space="0" w:color="000000"/>
              <w:bottom w:val="single" w:sz="12" w:space="0" w:color="000000"/>
              <w:right w:val="single" w:sz="6" w:space="0" w:color="000000"/>
            </w:tcBorders>
          </w:tcPr>
          <w:p>
            <w:pPr/>
          </w:p>
        </w:tc>
        <w:tc>
          <w:tcPr>
            <w:tcW w:w="16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8"/>
              <w:jc w:val="center"/>
              <w:rPr>
                <w:rFonts w:ascii="Times New Roman" w:hAnsi="Times New Roman" w:cs="Times New Roman" w:eastAsia="Times New Roman" w:hint="default"/>
                <w:sz w:val="18"/>
                <w:szCs w:val="18"/>
              </w:rPr>
            </w:pPr>
            <w:r>
              <w:rPr>
                <w:rFonts w:ascii="Times New Roman"/>
                <w:sz w:val="18"/>
              </w:rPr>
              <w:t>22,589,006.19</w:t>
            </w:r>
          </w:p>
        </w:tc>
      </w:tr>
    </w:tbl>
    <w:p>
      <w:pPr>
        <w:spacing w:line="240" w:lineRule="auto" w:before="11"/>
        <w:rPr>
          <w:rFonts w:ascii="宋体" w:hAnsi="宋体" w:cs="宋体" w:eastAsia="宋体" w:hint="default"/>
          <w:sz w:val="6"/>
          <w:szCs w:val="6"/>
        </w:rPr>
      </w:pPr>
    </w:p>
    <w:p>
      <w:pPr>
        <w:pStyle w:val="BodyText"/>
        <w:spacing w:line="240" w:lineRule="auto" w:before="36"/>
        <w:ind w:left="900" w:right="0"/>
        <w:jc w:val="left"/>
      </w:pPr>
      <w:r>
        <w:rPr/>
        <w:t>本年增加额为本年计提的盈余公积。</w:t>
      </w:r>
    </w:p>
    <w:p>
      <w:pPr>
        <w:spacing w:line="240" w:lineRule="auto" w:before="8"/>
        <w:rPr>
          <w:rFonts w:ascii="宋体" w:hAnsi="宋体" w:cs="宋体" w:eastAsia="宋体" w:hint="default"/>
          <w:sz w:val="14"/>
          <w:szCs w:val="14"/>
        </w:rPr>
      </w:pPr>
    </w:p>
    <w:p>
      <w:pPr>
        <w:tabs>
          <w:tab w:pos="2160" w:val="left" w:leader="none"/>
        </w:tabs>
        <w:spacing w:line="427" w:lineRule="auto" w:before="0"/>
        <w:ind w:left="900" w:right="5418" w:firstLine="0"/>
        <w:jc w:val="left"/>
        <w:rPr>
          <w:rFonts w:ascii="宋体" w:hAnsi="宋体" w:cs="宋体" w:eastAsia="宋体" w:hint="default"/>
          <w:sz w:val="21"/>
          <w:szCs w:val="21"/>
        </w:rPr>
      </w:pPr>
      <w:r>
        <w:rPr>
          <w:rFonts w:ascii="宋体" w:hAnsi="宋体" w:cs="宋体" w:eastAsia="宋体" w:hint="default"/>
          <w:b/>
          <w:bCs/>
          <w:sz w:val="21"/>
          <w:szCs w:val="21"/>
        </w:rPr>
        <w:t>（二十六）</w:t>
        <w:tab/>
        <w:t>未分配利润</w:t>
      </w:r>
      <w:r>
        <w:rPr>
          <w:rFonts w:ascii="宋体" w:hAnsi="宋体" w:cs="宋体" w:eastAsia="宋体" w:hint="default"/>
          <w:b/>
          <w:bCs/>
          <w:w w:val="100"/>
          <w:sz w:val="21"/>
          <w:szCs w:val="21"/>
        </w:rPr>
        <w:t> </w:t>
      </w:r>
      <w:r>
        <w:rPr>
          <w:rFonts w:ascii="宋体" w:hAnsi="宋体" w:cs="宋体" w:eastAsia="宋体" w:hint="default"/>
          <w:spacing w:val="-2"/>
          <w:sz w:val="21"/>
          <w:szCs w:val="21"/>
        </w:rPr>
        <w:t>未分配利润增减变动情况如下：</w:t>
      </w:r>
    </w:p>
    <w:tbl>
      <w:tblPr>
        <w:tblW w:w="0" w:type="auto"/>
        <w:jc w:val="left"/>
        <w:tblInd w:w="182" w:type="dxa"/>
        <w:tblLayout w:type="fixed"/>
        <w:tblCellMar>
          <w:top w:w="0" w:type="dxa"/>
          <w:left w:w="0" w:type="dxa"/>
          <w:bottom w:w="0" w:type="dxa"/>
          <w:right w:w="0" w:type="dxa"/>
        </w:tblCellMar>
        <w:tblLook w:val="01E0"/>
      </w:tblPr>
      <w:tblGrid>
        <w:gridCol w:w="4208"/>
        <w:gridCol w:w="2180"/>
        <w:gridCol w:w="2472"/>
      </w:tblGrid>
      <w:tr>
        <w:trPr>
          <w:trHeight w:val="389" w:hRule="exact"/>
        </w:trPr>
        <w:tc>
          <w:tcPr>
            <w:tcW w:w="42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4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9"/>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9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上年年末未分配利润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149,719,380.78</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98,560,584.41</w:t>
            </w:r>
          </w:p>
        </w:tc>
      </w:tr>
      <w:tr>
        <w:trPr>
          <w:trHeight w:val="39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right="887"/>
              <w:jc w:val="right"/>
              <w:rPr>
                <w:rFonts w:ascii="宋体" w:hAnsi="宋体" w:cs="宋体" w:eastAsia="宋体" w:hint="default"/>
                <w:sz w:val="18"/>
                <w:szCs w:val="18"/>
              </w:rPr>
            </w:pPr>
            <w:r>
              <w:rPr>
                <w:rFonts w:ascii="宋体" w:hAnsi="宋体" w:cs="宋体" w:eastAsia="宋体" w:hint="default"/>
                <w:sz w:val="18"/>
                <w:szCs w:val="18"/>
              </w:rPr>
              <w:t>加：年初未分配利润调整数（调减</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本年年初未分配利润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149,719,380.78</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98,560,584.41</w:t>
            </w:r>
          </w:p>
        </w:tc>
      </w:tr>
      <w:tr>
        <w:trPr>
          <w:trHeight w:val="39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right="924"/>
              <w:jc w:val="right"/>
              <w:rPr>
                <w:rFonts w:ascii="宋体" w:hAnsi="宋体" w:cs="宋体" w:eastAsia="宋体" w:hint="default"/>
                <w:sz w:val="18"/>
                <w:szCs w:val="18"/>
              </w:rPr>
            </w:pPr>
            <w:r>
              <w:rPr>
                <w:rFonts w:ascii="宋体" w:hAnsi="宋体" w:cs="宋体" w:eastAsia="宋体" w:hint="default"/>
                <w:sz w:val="18"/>
                <w:szCs w:val="18"/>
              </w:rPr>
              <w:t>加：本年归属于母公司所有者的净利润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85,718,282.45</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54,380,447.46</w:t>
            </w:r>
          </w:p>
        </w:tc>
      </w:tr>
      <w:tr>
        <w:trPr>
          <w:trHeight w:val="39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4,522,165.88</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3,221,651.09</w:t>
            </w:r>
          </w:p>
        </w:tc>
      </w:tr>
      <w:tr>
        <w:trPr>
          <w:trHeight w:val="39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57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43,050,000.00</w:t>
            </w: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180"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420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21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187,865,497.35</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149,719,380.78</w:t>
            </w:r>
          </w:p>
        </w:tc>
      </w:tr>
    </w:tbl>
    <w:p>
      <w:pPr>
        <w:pStyle w:val="Heading5"/>
        <w:tabs>
          <w:tab w:pos="2160" w:val="left" w:leader="none"/>
        </w:tabs>
        <w:spacing w:line="240" w:lineRule="auto" w:before="27"/>
        <w:ind w:left="900" w:right="0"/>
        <w:jc w:val="left"/>
        <w:rPr>
          <w:b w:val="0"/>
          <w:bCs w:val="0"/>
        </w:rPr>
      </w:pPr>
      <w:r>
        <w:rPr/>
        <w:t>（二十七）</w:t>
        <w:tab/>
        <w:t>营业收入、营业成本</w:t>
      </w:r>
      <w:r>
        <w:rPr>
          <w:b w:val="0"/>
          <w:bCs w:val="0"/>
        </w:rPr>
      </w:r>
    </w:p>
    <w:p>
      <w:pPr>
        <w:spacing w:line="240" w:lineRule="auto" w:before="5"/>
        <w:rPr>
          <w:rFonts w:ascii="宋体" w:hAnsi="宋体" w:cs="宋体" w:eastAsia="宋体" w:hint="default"/>
          <w:b/>
          <w:bCs/>
          <w:sz w:val="16"/>
          <w:szCs w:val="16"/>
        </w:rPr>
      </w:pPr>
    </w:p>
    <w:p>
      <w:pPr>
        <w:pStyle w:val="BodyText"/>
        <w:spacing w:line="240" w:lineRule="auto"/>
        <w:ind w:left="900" w:right="0"/>
        <w:jc w:val="left"/>
      </w:pPr>
      <w:r>
        <w:rPr/>
        <w:t>（</w:t>
      </w:r>
      <w:r>
        <w:rPr>
          <w:rFonts w:ascii="Times New Roman" w:hAnsi="Times New Roman" w:cs="Times New Roman" w:eastAsia="Times New Roman" w:hint="default"/>
        </w:rPr>
        <w:t>1</w:t>
      </w:r>
      <w:r>
        <w:rPr/>
        <w:t>）营业收入、营业成本明细如下：</w:t>
      </w:r>
    </w:p>
    <w:p>
      <w:pPr>
        <w:spacing w:line="240" w:lineRule="auto" w:before="7"/>
        <w:rPr>
          <w:rFonts w:ascii="宋体" w:hAnsi="宋体" w:cs="宋体" w:eastAsia="宋体" w:hint="default"/>
          <w:sz w:val="11"/>
          <w:szCs w:val="11"/>
        </w:rPr>
      </w:pPr>
    </w:p>
    <w:tbl>
      <w:tblPr>
        <w:tblW w:w="0" w:type="auto"/>
        <w:jc w:val="left"/>
        <w:tblInd w:w="182" w:type="dxa"/>
        <w:tblLayout w:type="fixed"/>
        <w:tblCellMar>
          <w:top w:w="0" w:type="dxa"/>
          <w:left w:w="0" w:type="dxa"/>
          <w:bottom w:w="0" w:type="dxa"/>
          <w:right w:w="0" w:type="dxa"/>
        </w:tblCellMar>
        <w:tblLook w:val="01E0"/>
      </w:tblPr>
      <w:tblGrid>
        <w:gridCol w:w="4121"/>
        <w:gridCol w:w="2369"/>
        <w:gridCol w:w="2369"/>
      </w:tblGrid>
      <w:tr>
        <w:trPr>
          <w:trHeight w:val="389"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476" w:val="left" w:leader="none"/>
              </w:tabs>
              <w:spacing w:line="240" w:lineRule="auto" w:before="37"/>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72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727"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98"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434"/>
              <w:jc w:val="right"/>
              <w:rPr>
                <w:rFonts w:ascii="Times New Roman" w:hAnsi="Times New Roman" w:cs="Times New Roman" w:eastAsia="Times New Roman" w:hint="default"/>
                <w:sz w:val="18"/>
                <w:szCs w:val="18"/>
              </w:rPr>
            </w:pPr>
            <w:r>
              <w:rPr>
                <w:rFonts w:ascii="Times New Roman"/>
                <w:spacing w:val="-1"/>
                <w:sz w:val="18"/>
              </w:rPr>
              <w:t>250,287,117.56</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442"/>
              <w:jc w:val="right"/>
              <w:rPr>
                <w:rFonts w:ascii="Times New Roman" w:hAnsi="Times New Roman" w:cs="Times New Roman" w:eastAsia="Times New Roman" w:hint="default"/>
                <w:sz w:val="18"/>
                <w:szCs w:val="18"/>
              </w:rPr>
            </w:pPr>
            <w:r>
              <w:rPr>
                <w:rFonts w:ascii="Times New Roman"/>
                <w:spacing w:val="-1"/>
                <w:sz w:val="18"/>
              </w:rPr>
              <w:t>166,358,343.74</w:t>
            </w:r>
          </w:p>
        </w:tc>
      </w:tr>
      <w:tr>
        <w:trPr>
          <w:trHeight w:val="39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434"/>
              <w:jc w:val="right"/>
              <w:rPr>
                <w:rFonts w:ascii="Times New Roman" w:hAnsi="Times New Roman" w:cs="Times New Roman" w:eastAsia="Times New Roman" w:hint="default"/>
                <w:sz w:val="18"/>
                <w:szCs w:val="18"/>
              </w:rPr>
            </w:pPr>
            <w:r>
              <w:rPr>
                <w:rFonts w:ascii="Times New Roman"/>
                <w:spacing w:val="-1"/>
                <w:sz w:val="18"/>
              </w:rPr>
              <w:t>244,292,072.34</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442"/>
              <w:jc w:val="right"/>
              <w:rPr>
                <w:rFonts w:ascii="Times New Roman" w:hAnsi="Times New Roman" w:cs="Times New Roman" w:eastAsia="Times New Roman" w:hint="default"/>
                <w:sz w:val="18"/>
                <w:szCs w:val="18"/>
              </w:rPr>
            </w:pPr>
            <w:r>
              <w:rPr>
                <w:rFonts w:ascii="Times New Roman"/>
                <w:spacing w:val="-1"/>
                <w:sz w:val="18"/>
              </w:rPr>
              <w:t>161,359,592.96</w:t>
            </w:r>
          </w:p>
        </w:tc>
      </w:tr>
      <w:tr>
        <w:trPr>
          <w:trHeight w:val="398"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84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434"/>
              <w:jc w:val="right"/>
              <w:rPr>
                <w:rFonts w:ascii="Times New Roman" w:hAnsi="Times New Roman" w:cs="Times New Roman" w:eastAsia="Times New Roman" w:hint="default"/>
                <w:sz w:val="18"/>
                <w:szCs w:val="18"/>
              </w:rPr>
            </w:pPr>
            <w:r>
              <w:rPr>
                <w:rFonts w:ascii="Times New Roman"/>
                <w:spacing w:val="-1"/>
                <w:sz w:val="18"/>
              </w:rPr>
              <w:t>5,995,045.22</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441"/>
              <w:jc w:val="right"/>
              <w:rPr>
                <w:rFonts w:ascii="Times New Roman" w:hAnsi="Times New Roman" w:cs="Times New Roman" w:eastAsia="Times New Roman" w:hint="default"/>
                <w:sz w:val="18"/>
                <w:szCs w:val="18"/>
              </w:rPr>
            </w:pPr>
            <w:r>
              <w:rPr>
                <w:rFonts w:ascii="Times New Roman"/>
                <w:spacing w:val="-1"/>
                <w:sz w:val="18"/>
              </w:rPr>
              <w:t>4,998,750.78</w:t>
            </w:r>
          </w:p>
        </w:tc>
      </w:tr>
      <w:tr>
        <w:trPr>
          <w:trHeight w:val="39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434"/>
              <w:jc w:val="right"/>
              <w:rPr>
                <w:rFonts w:ascii="Times New Roman" w:hAnsi="Times New Roman" w:cs="Times New Roman" w:eastAsia="Times New Roman" w:hint="default"/>
                <w:sz w:val="18"/>
                <w:szCs w:val="18"/>
              </w:rPr>
            </w:pPr>
            <w:r>
              <w:rPr>
                <w:rFonts w:ascii="Times New Roman"/>
                <w:spacing w:val="-1"/>
                <w:sz w:val="18"/>
              </w:rPr>
              <w:t>122,180,444.70</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441"/>
              <w:jc w:val="right"/>
              <w:rPr>
                <w:rFonts w:ascii="Times New Roman" w:hAnsi="Times New Roman" w:cs="Times New Roman" w:eastAsia="Times New Roman" w:hint="default"/>
                <w:sz w:val="18"/>
                <w:szCs w:val="18"/>
              </w:rPr>
            </w:pPr>
            <w:r>
              <w:rPr>
                <w:rFonts w:ascii="Times New Roman"/>
                <w:spacing w:val="-1"/>
                <w:sz w:val="18"/>
              </w:rPr>
              <w:t>83,200,648.60</w:t>
            </w:r>
          </w:p>
        </w:tc>
      </w:tr>
      <w:tr>
        <w:trPr>
          <w:trHeight w:val="397"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434"/>
              <w:jc w:val="right"/>
              <w:rPr>
                <w:rFonts w:ascii="Times New Roman" w:hAnsi="Times New Roman" w:cs="Times New Roman" w:eastAsia="Times New Roman" w:hint="default"/>
                <w:sz w:val="18"/>
                <w:szCs w:val="18"/>
              </w:rPr>
            </w:pPr>
            <w:r>
              <w:rPr>
                <w:rFonts w:ascii="Times New Roman"/>
                <w:spacing w:val="-2"/>
                <w:sz w:val="18"/>
              </w:rPr>
              <w:t>119,211,560.86</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441"/>
              <w:jc w:val="right"/>
              <w:rPr>
                <w:rFonts w:ascii="Times New Roman" w:hAnsi="Times New Roman" w:cs="Times New Roman" w:eastAsia="Times New Roman" w:hint="default"/>
                <w:sz w:val="18"/>
                <w:szCs w:val="18"/>
              </w:rPr>
            </w:pPr>
            <w:r>
              <w:rPr>
                <w:rFonts w:ascii="Times New Roman"/>
                <w:spacing w:val="-1"/>
                <w:sz w:val="18"/>
              </w:rPr>
              <w:t>81,258,101.73</w:t>
            </w:r>
          </w:p>
        </w:tc>
      </w:tr>
      <w:tr>
        <w:trPr>
          <w:trHeight w:val="406"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84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434"/>
              <w:jc w:val="right"/>
              <w:rPr>
                <w:rFonts w:ascii="Times New Roman" w:hAnsi="Times New Roman" w:cs="Times New Roman" w:eastAsia="Times New Roman" w:hint="default"/>
                <w:sz w:val="18"/>
                <w:szCs w:val="18"/>
              </w:rPr>
            </w:pPr>
            <w:r>
              <w:rPr>
                <w:rFonts w:ascii="Times New Roman"/>
                <w:spacing w:val="-1"/>
                <w:sz w:val="18"/>
              </w:rPr>
              <w:t>2,968,883.84</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441"/>
              <w:jc w:val="right"/>
              <w:rPr>
                <w:rFonts w:ascii="Times New Roman" w:hAnsi="Times New Roman" w:cs="Times New Roman" w:eastAsia="Times New Roman" w:hint="default"/>
                <w:sz w:val="18"/>
                <w:szCs w:val="18"/>
              </w:rPr>
            </w:pPr>
            <w:r>
              <w:rPr>
                <w:rFonts w:ascii="Times New Roman"/>
                <w:spacing w:val="-1"/>
                <w:sz w:val="18"/>
              </w:rPr>
              <w:t>1,942,546.87</w:t>
            </w:r>
          </w:p>
        </w:tc>
      </w:tr>
    </w:tbl>
    <w:p>
      <w:pPr>
        <w:spacing w:line="240" w:lineRule="auto" w:before="7"/>
        <w:rPr>
          <w:rFonts w:ascii="宋体" w:hAnsi="宋体" w:cs="宋体" w:eastAsia="宋体" w:hint="default"/>
          <w:sz w:val="6"/>
          <w:szCs w:val="6"/>
        </w:rPr>
      </w:pPr>
    </w:p>
    <w:p>
      <w:pPr>
        <w:pStyle w:val="BodyText"/>
        <w:spacing w:line="240" w:lineRule="auto" w:before="36"/>
        <w:ind w:left="900" w:right="0"/>
        <w:jc w:val="left"/>
      </w:pPr>
      <w:r>
        <w:rPr/>
        <w:t>（</w:t>
      </w:r>
      <w:r>
        <w:rPr>
          <w:rFonts w:ascii="Times New Roman" w:hAnsi="Times New Roman" w:cs="Times New Roman" w:eastAsia="Times New Roman" w:hint="default"/>
        </w:rPr>
        <w:t>2</w:t>
      </w:r>
      <w:r>
        <w:rPr/>
        <w:t>）业务按产品类别分项列示如下：</w:t>
      </w: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974"/>
        <w:gridCol w:w="1519"/>
        <w:gridCol w:w="1524"/>
        <w:gridCol w:w="1522"/>
        <w:gridCol w:w="1522"/>
      </w:tblGrid>
      <w:tr>
        <w:trPr>
          <w:trHeight w:val="391" w:hRule="exact"/>
        </w:trPr>
        <w:tc>
          <w:tcPr>
            <w:tcW w:w="2974"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04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82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04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47"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06" w:hRule="exact"/>
        </w:trPr>
        <w:tc>
          <w:tcPr>
            <w:tcW w:w="2974" w:type="dxa"/>
            <w:vMerge/>
            <w:tcBorders>
              <w:left w:val="nil" w:sz="6" w:space="0" w:color="auto"/>
              <w:bottom w:val="single" w:sz="12" w:space="0" w:color="000000"/>
              <w:right w:val="single" w:sz="6" w:space="0" w:color="000000"/>
            </w:tcBorders>
          </w:tcPr>
          <w:p>
            <w:pPr/>
          </w:p>
        </w:tc>
        <w:tc>
          <w:tcPr>
            <w:tcW w:w="15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6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68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6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4"/>
              <w:ind w:left="686"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852" w:footer="1186" w:top="1200" w:bottom="1380" w:left="1320" w:right="1320"/>
        </w:sectPr>
      </w:pPr>
    </w:p>
    <w:p>
      <w:pPr>
        <w:spacing w:line="240" w:lineRule="auto" w:before="7"/>
        <w:rPr>
          <w:rFonts w:ascii="宋体" w:hAnsi="宋体" w:cs="宋体" w:eastAsia="宋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2989"/>
        <w:gridCol w:w="1519"/>
        <w:gridCol w:w="1524"/>
        <w:gridCol w:w="1522"/>
        <w:gridCol w:w="1522"/>
      </w:tblGrid>
      <w:tr>
        <w:trPr>
          <w:trHeight w:val="406" w:hRule="exact"/>
        </w:trPr>
        <w:tc>
          <w:tcPr>
            <w:tcW w:w="29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铁路信号集中监测系统</w:t>
            </w:r>
          </w:p>
        </w:tc>
        <w:tc>
          <w:tcPr>
            <w:tcW w:w="15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162,768,771.60</w:t>
            </w:r>
          </w:p>
        </w:tc>
        <w:tc>
          <w:tcPr>
            <w:tcW w:w="15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81,977,017.87</w:t>
            </w:r>
          </w:p>
        </w:tc>
        <w:tc>
          <w:tcPr>
            <w:tcW w:w="15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128,383,596.52</w:t>
            </w:r>
          </w:p>
        </w:tc>
        <w:tc>
          <w:tcPr>
            <w:tcW w:w="152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61,708,731.04</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11,632,273.75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4,290,769.34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27,616,538.36</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7,573,958.57</w:t>
            </w: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6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151,136,497.85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77,686,248.53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100,767,058.16</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54,134,772.47</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列车调度指挥系统（</w:t>
            </w:r>
            <w:r>
              <w:rPr>
                <w:rFonts w:ascii="Times New Roman" w:hAnsi="Times New Roman" w:cs="Times New Roman" w:eastAsia="Times New Roman" w:hint="default"/>
                <w:sz w:val="18"/>
                <w:szCs w:val="18"/>
              </w:rPr>
              <w:t>TDCS</w:t>
            </w:r>
            <w:r>
              <w:rPr>
                <w:rFonts w:ascii="宋体" w:hAnsi="宋体" w:cs="宋体" w:eastAsia="宋体" w:hint="default"/>
                <w:sz w:val="18"/>
                <w:szCs w:val="18"/>
              </w:rPr>
              <w:t>）</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4,908,894.02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1,925,303.43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3,838,848.11</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2,066,980.18</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分散自律调度集中系统（</w:t>
            </w:r>
            <w:r>
              <w:rPr>
                <w:rFonts w:ascii="Times New Roman" w:hAnsi="Times New Roman" w:cs="Times New Roman" w:eastAsia="Times New Roman" w:hint="default"/>
                <w:sz w:val="18"/>
                <w:szCs w:val="18"/>
              </w:rPr>
              <w:t>CTC</w:t>
            </w:r>
            <w:r>
              <w:rPr>
                <w:rFonts w:ascii="宋体" w:hAnsi="宋体" w:cs="宋体" w:eastAsia="宋体" w:hint="default"/>
                <w:sz w:val="18"/>
                <w:szCs w:val="18"/>
              </w:rPr>
              <w:t>）</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2,648,252.98</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1,487,979.43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3,423,418.79</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2,061,247.75</w:t>
            </w: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无线车次号校核系统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660,683.77</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507,283.42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2,554,208.22</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1,932,443.35</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计轴系统</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1,282,051.28</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172,799.68</w:t>
            </w: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铁路综合视频监控系统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1,367,521.36</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125,088.33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162,239.32</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126,005.35</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电务管理信息系统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2,659,829.06</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1,408,498.87</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3,596,427.35</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2,301,638.51</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无线调车机车信号和监测系统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28,813,170.93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13,508,370.83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14,576,923.09</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8,929,593.60</w:t>
            </w:r>
          </w:p>
        </w:tc>
      </w:tr>
      <w:tr>
        <w:trPr>
          <w:trHeight w:val="399"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电源维护测试产品</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2,381,418.79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957,343.03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3,349,572.59</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1,827,302.70</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调度监督系统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726,495.73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409,943.88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153,846.15</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127,901.25</w:t>
            </w: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铁路防灾安全监控系统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34,143,106.74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15,494,121.15</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安全生产指挥系统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505,641.03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369,610.37</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铁路信号计算机联锁系统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728,418.80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44,717.53</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铁路电源及机房环境监控系统</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1,979,867.53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996,282.72</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9"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38,461.54</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w w:val="95"/>
                <w:sz w:val="18"/>
              </w:rPr>
              <w:t>3,458.32</w:t>
            </w: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959" w:right="0"/>
              <w:jc w:val="left"/>
              <w:rPr>
                <w:rFonts w:ascii="宋体" w:hAnsi="宋体" w:cs="宋体" w:eastAsia="宋体" w:hint="default"/>
                <w:sz w:val="18"/>
                <w:szCs w:val="18"/>
              </w:rPr>
            </w:pPr>
            <w:r>
              <w:rPr>
                <w:rFonts w:ascii="宋体" w:hAnsi="宋体" w:cs="宋体" w:eastAsia="宋体" w:hint="default"/>
                <w:sz w:val="18"/>
                <w:szCs w:val="18"/>
              </w:rPr>
              <w:t>主营业务小计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244,292,072.34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2"/>
                <w:sz w:val="18"/>
              </w:rPr>
              <w:t>119,211,560.86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161,359,592.96</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81,258,101.73</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原材料销售</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3,915,663.18</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2,518,518.39</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3,158,592.69</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1,589,621.16</w:t>
            </w:r>
          </w:p>
        </w:tc>
      </w:tr>
      <w:tr>
        <w:trPr>
          <w:trHeight w:val="398"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维修服务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1,679,382.04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428,365.45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1,753,158.09</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348,140.71</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400,000.00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22,000.00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87,000.00</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w w:val="95"/>
                <w:sz w:val="18"/>
              </w:rPr>
              <w:t>4,785.00</w:t>
            </w:r>
          </w:p>
        </w:tc>
      </w:tr>
      <w:tr>
        <w:trPr>
          <w:trHeight w:val="396" w:hRule="exact"/>
        </w:trPr>
        <w:tc>
          <w:tcPr>
            <w:tcW w:w="29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959" w:right="0"/>
              <w:jc w:val="left"/>
              <w:rPr>
                <w:rFonts w:ascii="宋体" w:hAnsi="宋体" w:cs="宋体" w:eastAsia="宋体" w:hint="default"/>
                <w:sz w:val="18"/>
                <w:szCs w:val="18"/>
              </w:rPr>
            </w:pPr>
            <w:r>
              <w:rPr>
                <w:rFonts w:ascii="宋体" w:hAnsi="宋体" w:cs="宋体" w:eastAsia="宋体" w:hint="default"/>
                <w:sz w:val="18"/>
                <w:szCs w:val="18"/>
              </w:rPr>
              <w:t>其他业务小计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5,995,045.22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2,968,883.84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4,998,750.78</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1,942,546.87</w:t>
            </w:r>
          </w:p>
        </w:tc>
      </w:tr>
      <w:tr>
        <w:trPr>
          <w:trHeight w:val="406" w:hRule="exact"/>
        </w:trPr>
        <w:tc>
          <w:tcPr>
            <w:tcW w:w="29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250,287,117.56</w:t>
            </w:r>
          </w:p>
        </w:tc>
        <w:tc>
          <w:tcPr>
            <w:tcW w:w="1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122,180,444.70</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166,358,343.74</w:t>
            </w:r>
          </w:p>
        </w:tc>
        <w:tc>
          <w:tcPr>
            <w:tcW w:w="15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83,200,648.60</w:t>
            </w:r>
          </w:p>
        </w:tc>
      </w:tr>
    </w:tbl>
    <w:p>
      <w:pPr>
        <w:spacing w:line="240" w:lineRule="auto" w:before="7"/>
        <w:rPr>
          <w:rFonts w:ascii="宋体" w:hAnsi="宋体" w:cs="宋体" w:eastAsia="宋体" w:hint="default"/>
          <w:sz w:val="6"/>
          <w:szCs w:val="6"/>
        </w:rPr>
      </w:pPr>
    </w:p>
    <w:p>
      <w:pPr>
        <w:pStyle w:val="BodyText"/>
        <w:spacing w:line="338" w:lineRule="auto" w:before="36"/>
        <w:ind w:left="520" w:right="511" w:firstLine="419"/>
        <w:jc w:val="left"/>
      </w:pPr>
      <w:r>
        <w:rPr/>
        <w:t>公司本期收入较上期增加</w:t>
      </w:r>
      <w:r>
        <w:rPr>
          <w:spacing w:val="-54"/>
        </w:rPr>
        <w:t> </w:t>
      </w:r>
      <w:r>
        <w:rPr>
          <w:rFonts w:ascii="Times New Roman" w:hAnsi="Times New Roman" w:cs="Times New Roman" w:eastAsia="Times New Roman" w:hint="default"/>
        </w:rPr>
        <w:t>83,928,773.82</w:t>
      </w:r>
      <w:r>
        <w:rPr>
          <w:rFonts w:ascii="Times New Roman" w:hAnsi="Times New Roman" w:cs="Times New Roman" w:eastAsia="Times New Roman" w:hint="default"/>
          <w:spacing w:val="1"/>
        </w:rPr>
        <w:t> </w:t>
      </w:r>
      <w:r>
        <w:rPr>
          <w:spacing w:val="-3"/>
        </w:rPr>
        <w:t>元，增长了</w:t>
      </w:r>
      <w:r>
        <w:rPr>
          <w:spacing w:val="-54"/>
        </w:rPr>
        <w:t> </w:t>
      </w:r>
      <w:r>
        <w:rPr>
          <w:rFonts w:ascii="Times New Roman" w:hAnsi="Times New Roman" w:cs="Times New Roman" w:eastAsia="Times New Roman" w:hint="default"/>
        </w:rPr>
        <w:t>50.45%</w:t>
      </w:r>
      <w:r>
        <w:rPr/>
        <w:t>，主要是国家加大铁路市场</w:t>
      </w:r>
      <w:r>
        <w:rPr>
          <w:w w:val="100"/>
        </w:rPr>
        <w:t> </w:t>
      </w:r>
      <w:r>
        <w:rPr/>
        <w:t>投资，公司本期合同签订额较上期大幅增加所致。</w:t>
      </w:r>
    </w:p>
    <w:p>
      <w:pPr>
        <w:spacing w:line="240" w:lineRule="auto" w:before="7"/>
        <w:rPr>
          <w:rFonts w:ascii="宋体" w:hAnsi="宋体" w:cs="宋体" w:eastAsia="宋体" w:hint="default"/>
          <w:sz w:val="15"/>
          <w:szCs w:val="15"/>
        </w:rPr>
      </w:pPr>
    </w:p>
    <w:p>
      <w:pPr>
        <w:pStyle w:val="BodyText"/>
        <w:spacing w:line="240" w:lineRule="auto"/>
        <w:ind w:left="940" w:right="0"/>
        <w:jc w:val="left"/>
      </w:pPr>
      <w:r>
        <w:rPr/>
        <w:t>（</w:t>
      </w:r>
      <w:r>
        <w:rPr>
          <w:rFonts w:ascii="Times New Roman" w:hAnsi="Times New Roman" w:cs="Times New Roman" w:eastAsia="Times New Roman" w:hint="default"/>
        </w:rPr>
        <w:t>3</w:t>
      </w:r>
      <w:r>
        <w:rPr/>
        <w:t>）主营业务按硬件、软件分类列示如下：</w:t>
      </w:r>
    </w:p>
    <w:p>
      <w:pPr>
        <w:spacing w:line="240" w:lineRule="auto" w:before="7"/>
        <w:rPr>
          <w:rFonts w:ascii="宋体" w:hAnsi="宋体" w:cs="宋体" w:eastAsia="宋体" w:hint="default"/>
          <w:sz w:val="11"/>
          <w:szCs w:val="11"/>
        </w:rPr>
      </w:pPr>
    </w:p>
    <w:tbl>
      <w:tblPr>
        <w:tblW w:w="0" w:type="auto"/>
        <w:jc w:val="left"/>
        <w:tblInd w:w="222" w:type="dxa"/>
        <w:tblLayout w:type="fixed"/>
        <w:tblCellMar>
          <w:top w:w="0" w:type="dxa"/>
          <w:left w:w="0" w:type="dxa"/>
          <w:bottom w:w="0" w:type="dxa"/>
          <w:right w:w="0" w:type="dxa"/>
        </w:tblCellMar>
        <w:tblLook w:val="01E0"/>
      </w:tblPr>
      <w:tblGrid>
        <w:gridCol w:w="2239"/>
        <w:gridCol w:w="1551"/>
        <w:gridCol w:w="1563"/>
        <w:gridCol w:w="1754"/>
        <w:gridCol w:w="1752"/>
      </w:tblGrid>
      <w:tr>
        <w:trPr>
          <w:trHeight w:val="389" w:hRule="exact"/>
        </w:trPr>
        <w:tc>
          <w:tcPr>
            <w:tcW w:w="2239"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11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82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507"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109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98" w:hRule="exact"/>
        </w:trPr>
        <w:tc>
          <w:tcPr>
            <w:tcW w:w="2239" w:type="dxa"/>
            <w:vMerge/>
            <w:tcBorders>
              <w:left w:val="nil" w:sz="6" w:space="0" w:color="auto"/>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7"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硬件类</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194,526,663.70</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114,436,574.26</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123,108,006.00</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76,473,136.14</w:t>
            </w:r>
          </w:p>
        </w:tc>
      </w:tr>
      <w:tr>
        <w:trPr>
          <w:trHeight w:val="398"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软件类</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49,765,408.64</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4,774,986.60</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38,251,586.96</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4,784,965.59</w:t>
            </w:r>
          </w:p>
        </w:tc>
      </w:tr>
      <w:tr>
        <w:trPr>
          <w:trHeight w:val="406" w:hRule="exact"/>
        </w:trPr>
        <w:tc>
          <w:tcPr>
            <w:tcW w:w="223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244,292,072.34</w:t>
            </w:r>
          </w:p>
        </w:tc>
        <w:tc>
          <w:tcPr>
            <w:tcW w:w="15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2"/>
                <w:sz w:val="18"/>
              </w:rPr>
              <w:t>119,211,560.86</w:t>
            </w:r>
          </w:p>
        </w:tc>
        <w:tc>
          <w:tcPr>
            <w:tcW w:w="17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161,359,592.96</w:t>
            </w:r>
          </w:p>
        </w:tc>
        <w:tc>
          <w:tcPr>
            <w:tcW w:w="17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1"/>
                <w:sz w:val="18"/>
              </w:rPr>
              <w:t>81,258,101.73</w:t>
            </w:r>
          </w:p>
        </w:tc>
      </w:tr>
    </w:tbl>
    <w:p>
      <w:pPr>
        <w:spacing w:line="240" w:lineRule="auto" w:before="7"/>
        <w:rPr>
          <w:rFonts w:ascii="宋体" w:hAnsi="宋体" w:cs="宋体" w:eastAsia="宋体" w:hint="default"/>
          <w:sz w:val="6"/>
          <w:szCs w:val="6"/>
        </w:rPr>
      </w:pPr>
    </w:p>
    <w:p>
      <w:pPr>
        <w:pStyle w:val="BodyText"/>
        <w:spacing w:line="240" w:lineRule="auto" w:before="36"/>
        <w:ind w:left="940" w:right="0"/>
        <w:jc w:val="left"/>
      </w:pPr>
      <w:r>
        <w:rPr/>
        <w:t>（</w:t>
      </w:r>
      <w:r>
        <w:rPr>
          <w:rFonts w:ascii="Times New Roman" w:hAnsi="Times New Roman" w:cs="Times New Roman" w:eastAsia="Times New Roman" w:hint="default"/>
        </w:rPr>
        <w:t>4</w:t>
      </w:r>
      <w:r>
        <w:rPr/>
        <w:t>）主营业务按地区分项列示如下：</w:t>
      </w:r>
    </w:p>
    <w:p>
      <w:pPr>
        <w:spacing w:line="240" w:lineRule="auto" w:before="7"/>
        <w:rPr>
          <w:rFonts w:ascii="宋体" w:hAnsi="宋体" w:cs="宋体" w:eastAsia="宋体" w:hint="default"/>
          <w:sz w:val="11"/>
          <w:szCs w:val="11"/>
        </w:rPr>
      </w:pPr>
    </w:p>
    <w:tbl>
      <w:tblPr>
        <w:tblW w:w="0" w:type="auto"/>
        <w:jc w:val="left"/>
        <w:tblInd w:w="251" w:type="dxa"/>
        <w:tblLayout w:type="fixed"/>
        <w:tblCellMar>
          <w:top w:w="0" w:type="dxa"/>
          <w:left w:w="0" w:type="dxa"/>
          <w:bottom w:w="0" w:type="dxa"/>
          <w:right w:w="0" w:type="dxa"/>
        </w:tblCellMar>
        <w:tblLook w:val="01E0"/>
      </w:tblPr>
      <w:tblGrid>
        <w:gridCol w:w="2239"/>
        <w:gridCol w:w="3073"/>
        <w:gridCol w:w="3533"/>
      </w:tblGrid>
      <w:tr>
        <w:trPr>
          <w:trHeight w:val="398" w:hRule="exact"/>
        </w:trPr>
        <w:tc>
          <w:tcPr>
            <w:tcW w:w="2239"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0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left="82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5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7"/>
              <w:ind w:left="1091"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bl>
    <w:p>
      <w:pPr>
        <w:spacing w:after="0" w:line="240" w:lineRule="auto"/>
        <w:jc w:val="left"/>
        <w:rPr>
          <w:rFonts w:ascii="宋体" w:hAnsi="宋体" w:cs="宋体" w:eastAsia="宋体" w:hint="default"/>
          <w:sz w:val="18"/>
          <w:szCs w:val="18"/>
        </w:rPr>
        <w:sectPr>
          <w:footerReference w:type="default" r:id="rId55"/>
          <w:pgSz w:w="11910" w:h="16840"/>
          <w:pgMar w:footer="1186" w:header="852" w:top="1200" w:bottom="1380" w:left="1280" w:right="1280"/>
          <w:pgNumType w:start="110"/>
        </w:sectPr>
      </w:pPr>
    </w:p>
    <w:p>
      <w:pPr>
        <w:spacing w:line="240" w:lineRule="auto" w:before="7"/>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2254"/>
        <w:gridCol w:w="1498"/>
        <w:gridCol w:w="1575"/>
        <w:gridCol w:w="1769"/>
        <w:gridCol w:w="1764"/>
      </w:tblGrid>
      <w:tr>
        <w:trPr>
          <w:trHeight w:val="406" w:hRule="exact"/>
        </w:trPr>
        <w:tc>
          <w:tcPr>
            <w:tcW w:w="2254" w:type="dxa"/>
            <w:tcBorders>
              <w:top w:val="single" w:sz="12" w:space="0" w:color="000000"/>
              <w:left w:val="nil" w:sz="6" w:space="0" w:color="auto"/>
              <w:bottom w:val="single" w:sz="6" w:space="0" w:color="000000"/>
              <w:right w:val="single" w:sz="6" w:space="0" w:color="000000"/>
            </w:tcBorders>
          </w:tcPr>
          <w:p>
            <w:pPr/>
          </w:p>
        </w:tc>
        <w:tc>
          <w:tcPr>
            <w:tcW w:w="14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华东区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63,807,407.85</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pacing w:val="-1"/>
                <w:sz w:val="18"/>
              </w:rPr>
              <w:t>37,940,073.97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62,236,031.91</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pacing w:val="-1"/>
                <w:sz w:val="18"/>
              </w:rPr>
              <w:t>34,946,251.28</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中南区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87,077,819.75</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37,880,574.42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45,248,785.45</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22,725,718.07</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西北区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27,391,349.57</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17,182,847.19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27,199,416.24</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11,374,902.95</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华北区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51,911,195.92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21,814,704.83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8,107,695.37</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2,882,769.00</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1" w:right="0"/>
              <w:jc w:val="center"/>
              <w:rPr>
                <w:rFonts w:ascii="宋体" w:hAnsi="宋体" w:cs="宋体" w:eastAsia="宋体" w:hint="default"/>
                <w:sz w:val="18"/>
                <w:szCs w:val="18"/>
              </w:rPr>
            </w:pPr>
            <w:r>
              <w:rPr>
                <w:rFonts w:ascii="宋体" w:hAnsi="宋体" w:cs="宋体" w:eastAsia="宋体" w:hint="default"/>
                <w:sz w:val="18"/>
                <w:szCs w:val="18"/>
              </w:rPr>
              <w:t>西南区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1,947,521.37</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1,353,107.03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2,661,196.59</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1,560,013.88</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东北区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6,895,988.04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1,542,135.71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9,748,632.49</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4,795,667.61</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5,260,789.84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1,498,117.71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6,157,834.91</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2,972,778.94</w:t>
            </w:r>
          </w:p>
        </w:tc>
      </w:tr>
      <w:tr>
        <w:trPr>
          <w:trHeight w:val="406"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244,292,072.34</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2"/>
                <w:sz w:val="18"/>
              </w:rPr>
              <w:t>119,211,560.86</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161,359,592.96</w:t>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1"/>
                <w:sz w:val="18"/>
              </w:rPr>
              <w:t>81,258,101.73</w:t>
            </w:r>
          </w:p>
        </w:tc>
      </w:tr>
    </w:tbl>
    <w:p>
      <w:pPr>
        <w:spacing w:line="240" w:lineRule="auto" w:before="7"/>
        <w:rPr>
          <w:rFonts w:ascii="宋体" w:hAnsi="宋体" w:cs="宋体" w:eastAsia="宋体" w:hint="default"/>
          <w:sz w:val="6"/>
          <w:szCs w:val="6"/>
        </w:rPr>
      </w:pPr>
    </w:p>
    <w:p>
      <w:pPr>
        <w:pStyle w:val="BodyText"/>
        <w:spacing w:line="240" w:lineRule="auto" w:before="36"/>
        <w:ind w:left="820" w:right="0"/>
        <w:jc w:val="left"/>
      </w:pPr>
      <w:r>
        <w:rPr/>
        <w:t>（</w:t>
      </w:r>
      <w:r>
        <w:rPr>
          <w:rFonts w:ascii="Times New Roman" w:hAnsi="Times New Roman" w:cs="Times New Roman" w:eastAsia="Times New Roman" w:hint="default"/>
        </w:rPr>
        <w:t>5</w:t>
      </w:r>
      <w:r>
        <w:rPr/>
        <w:t>）主营业务按客户类别分类：</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254"/>
        <w:gridCol w:w="1498"/>
        <w:gridCol w:w="1575"/>
        <w:gridCol w:w="1769"/>
        <w:gridCol w:w="1764"/>
      </w:tblGrid>
      <w:tr>
        <w:trPr>
          <w:trHeight w:val="389"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0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82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1091"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98"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国家铁路</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209,927,551.48</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102,338,204.74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128,040,610.81</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1"/>
                <w:sz w:val="18"/>
              </w:rPr>
              <w:t>66,162,693.00</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厂矿企业及地方铁路</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29,103,731.02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15,375,238.42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27,161,147.24</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12,122,629.79</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非铁路用产品</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5,260,789.84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1,498,117.70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6,157,834.91</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2,972,778.94</w:t>
            </w:r>
          </w:p>
        </w:tc>
      </w:tr>
      <w:tr>
        <w:trPr>
          <w:trHeight w:val="406"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244,292,072.34</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2"/>
                <w:sz w:val="18"/>
              </w:rPr>
              <w:t>119,211,560.86</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161,359,592.96</w:t>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81,258,101.73</w:t>
            </w:r>
          </w:p>
        </w:tc>
      </w:tr>
    </w:tbl>
    <w:p>
      <w:pPr>
        <w:spacing w:line="240" w:lineRule="auto" w:before="7"/>
        <w:rPr>
          <w:rFonts w:ascii="宋体" w:hAnsi="宋体" w:cs="宋体" w:eastAsia="宋体" w:hint="default"/>
          <w:sz w:val="6"/>
          <w:szCs w:val="6"/>
        </w:rPr>
      </w:pPr>
    </w:p>
    <w:p>
      <w:pPr>
        <w:pStyle w:val="BodyText"/>
        <w:spacing w:line="240" w:lineRule="auto" w:before="36"/>
        <w:ind w:left="820" w:right="0"/>
        <w:jc w:val="left"/>
      </w:pPr>
      <w:r>
        <w:rPr/>
        <w:t>（</w:t>
      </w:r>
      <w:r>
        <w:rPr>
          <w:rFonts w:ascii="Times New Roman" w:hAnsi="Times New Roman" w:cs="Times New Roman" w:eastAsia="Times New Roman" w:hint="default"/>
        </w:rPr>
        <w:t>6</w:t>
      </w:r>
      <w:r>
        <w:rPr/>
        <w:t>）公司前五名客户营业收入情况：</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255"/>
        <w:gridCol w:w="2660"/>
        <w:gridCol w:w="2945"/>
      </w:tblGrid>
      <w:tr>
        <w:trPr>
          <w:trHeight w:val="389" w:hRule="exact"/>
        </w:trPr>
        <w:tc>
          <w:tcPr>
            <w:tcW w:w="325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2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6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9"/>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98" w:hRule="exact"/>
        </w:trPr>
        <w:tc>
          <w:tcPr>
            <w:tcW w:w="32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55,980,940.07</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2"/>
              <w:jc w:val="center"/>
              <w:rPr>
                <w:rFonts w:ascii="Times New Roman" w:hAnsi="Times New Roman" w:cs="Times New Roman" w:eastAsia="Times New Roman" w:hint="default"/>
                <w:sz w:val="18"/>
                <w:szCs w:val="18"/>
              </w:rPr>
            </w:pPr>
            <w:r>
              <w:rPr>
                <w:rFonts w:ascii="Times New Roman"/>
                <w:sz w:val="18"/>
              </w:rPr>
              <w:t>22.37%</w:t>
            </w:r>
          </w:p>
        </w:tc>
      </w:tr>
      <w:tr>
        <w:trPr>
          <w:trHeight w:val="396" w:hRule="exact"/>
        </w:trPr>
        <w:tc>
          <w:tcPr>
            <w:tcW w:w="32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46,291,289.94</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2"/>
              <w:jc w:val="center"/>
              <w:rPr>
                <w:rFonts w:ascii="Times New Roman" w:hAnsi="Times New Roman" w:cs="Times New Roman" w:eastAsia="Times New Roman" w:hint="default"/>
                <w:sz w:val="18"/>
                <w:szCs w:val="18"/>
              </w:rPr>
            </w:pPr>
            <w:r>
              <w:rPr>
                <w:rFonts w:ascii="Times New Roman"/>
                <w:sz w:val="18"/>
              </w:rPr>
              <w:t>18.50%</w:t>
            </w:r>
          </w:p>
        </w:tc>
      </w:tr>
      <w:tr>
        <w:trPr>
          <w:trHeight w:val="398" w:hRule="exact"/>
        </w:trPr>
        <w:tc>
          <w:tcPr>
            <w:tcW w:w="32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35,062,539.66</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2"/>
              <w:jc w:val="center"/>
              <w:rPr>
                <w:rFonts w:ascii="Times New Roman" w:hAnsi="Times New Roman" w:cs="Times New Roman" w:eastAsia="Times New Roman" w:hint="default"/>
                <w:sz w:val="18"/>
                <w:szCs w:val="18"/>
              </w:rPr>
            </w:pPr>
            <w:r>
              <w:rPr>
                <w:rFonts w:ascii="Times New Roman"/>
                <w:sz w:val="18"/>
              </w:rPr>
              <w:t>14.01%</w:t>
            </w:r>
          </w:p>
        </w:tc>
      </w:tr>
      <w:tr>
        <w:trPr>
          <w:trHeight w:val="396" w:hRule="exact"/>
        </w:trPr>
        <w:tc>
          <w:tcPr>
            <w:tcW w:w="32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18,535,367.54</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7"/>
              <w:jc w:val="center"/>
              <w:rPr>
                <w:rFonts w:ascii="Times New Roman" w:hAnsi="Times New Roman" w:cs="Times New Roman" w:eastAsia="Times New Roman" w:hint="default"/>
                <w:sz w:val="18"/>
                <w:szCs w:val="18"/>
              </w:rPr>
            </w:pPr>
            <w:r>
              <w:rPr>
                <w:rFonts w:ascii="Times New Roman"/>
                <w:sz w:val="18"/>
              </w:rPr>
              <w:t>7.41%</w:t>
            </w:r>
          </w:p>
        </w:tc>
      </w:tr>
      <w:tr>
        <w:trPr>
          <w:trHeight w:val="396" w:hRule="exact"/>
        </w:trPr>
        <w:tc>
          <w:tcPr>
            <w:tcW w:w="32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18,454,787.37</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7"/>
              <w:jc w:val="center"/>
              <w:rPr>
                <w:rFonts w:ascii="Times New Roman" w:hAnsi="Times New Roman" w:cs="Times New Roman" w:eastAsia="Times New Roman" w:hint="default"/>
                <w:sz w:val="18"/>
                <w:szCs w:val="18"/>
              </w:rPr>
            </w:pPr>
            <w:r>
              <w:rPr>
                <w:rFonts w:ascii="Times New Roman"/>
                <w:sz w:val="18"/>
              </w:rPr>
              <w:t>7.37%</w:t>
            </w:r>
          </w:p>
        </w:tc>
      </w:tr>
      <w:tr>
        <w:trPr>
          <w:trHeight w:val="406" w:hRule="exact"/>
        </w:trPr>
        <w:tc>
          <w:tcPr>
            <w:tcW w:w="325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174,324,924.58</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2"/>
              <w:jc w:val="center"/>
              <w:rPr>
                <w:rFonts w:ascii="Times New Roman" w:hAnsi="Times New Roman" w:cs="Times New Roman" w:eastAsia="Times New Roman" w:hint="default"/>
                <w:sz w:val="18"/>
                <w:szCs w:val="18"/>
              </w:rPr>
            </w:pPr>
            <w:r>
              <w:rPr>
                <w:rFonts w:ascii="Times New Roman"/>
                <w:sz w:val="18"/>
              </w:rPr>
              <w:t>69.65%</w:t>
            </w:r>
          </w:p>
        </w:tc>
      </w:tr>
    </w:tbl>
    <w:p>
      <w:pPr>
        <w:spacing w:line="240" w:lineRule="auto" w:before="10"/>
        <w:rPr>
          <w:rFonts w:ascii="宋体" w:hAnsi="宋体" w:cs="宋体" w:eastAsia="宋体" w:hint="default"/>
          <w:sz w:val="12"/>
          <w:szCs w:val="12"/>
        </w:rPr>
      </w:pPr>
    </w:p>
    <w:p>
      <w:pPr>
        <w:pStyle w:val="Heading5"/>
        <w:tabs>
          <w:tab w:pos="2080" w:val="left" w:leader="none"/>
        </w:tabs>
        <w:spacing w:line="240" w:lineRule="auto" w:before="36"/>
        <w:ind w:right="0"/>
        <w:jc w:val="left"/>
        <w:rPr>
          <w:b w:val="0"/>
          <w:bCs w:val="0"/>
        </w:rPr>
      </w:pPr>
      <w:r>
        <w:rPr/>
        <w:t>（二十八）</w:t>
        <w:tab/>
        <w:t>营业税金及附加</w:t>
      </w:r>
      <w:r>
        <w:rPr>
          <w:b w:val="0"/>
          <w:bCs w:val="0"/>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062"/>
        <w:gridCol w:w="2321"/>
        <w:gridCol w:w="2379"/>
        <w:gridCol w:w="2098"/>
      </w:tblGrid>
      <w:tr>
        <w:trPr>
          <w:trHeight w:val="389" w:hRule="exact"/>
        </w:trPr>
        <w:tc>
          <w:tcPr>
            <w:tcW w:w="20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right="791"/>
              <w:jc w:val="righ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1"/>
                <w:sz w:val="18"/>
                <w:szCs w:val="18"/>
              </w:rPr>
              <w:t> </w:t>
            </w:r>
            <w:r>
              <w:rPr>
                <w:rFonts w:ascii="宋体" w:hAnsi="宋体" w:cs="宋体" w:eastAsia="宋体" w:hint="default"/>
                <w:sz w:val="18"/>
                <w:szCs w:val="18"/>
              </w:rPr>
              <w:t>种</w:t>
            </w:r>
          </w:p>
        </w:tc>
        <w:tc>
          <w:tcPr>
            <w:tcW w:w="23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70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730"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09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98"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16"/>
              <w:jc w:val="right"/>
              <w:rPr>
                <w:rFonts w:ascii="Times New Roman" w:hAnsi="Times New Roman" w:cs="Times New Roman" w:eastAsia="Times New Roman" w:hint="default"/>
                <w:sz w:val="18"/>
                <w:szCs w:val="18"/>
              </w:rPr>
            </w:pPr>
            <w:r>
              <w:rPr>
                <w:rFonts w:ascii="Times New Roman"/>
                <w:spacing w:val="-1"/>
                <w:sz w:val="18"/>
              </w:rPr>
              <w:t>1,625,127.32</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20"/>
              <w:jc w:val="right"/>
              <w:rPr>
                <w:rFonts w:ascii="Times New Roman" w:hAnsi="Times New Roman" w:cs="Times New Roman" w:eastAsia="Times New Roman" w:hint="default"/>
                <w:sz w:val="18"/>
                <w:szCs w:val="18"/>
              </w:rPr>
            </w:pPr>
            <w:r>
              <w:rPr>
                <w:rFonts w:ascii="Times New Roman"/>
                <w:spacing w:val="-1"/>
                <w:sz w:val="18"/>
              </w:rPr>
              <w:t>926,539.34</w:t>
            </w:r>
          </w:p>
        </w:tc>
        <w:tc>
          <w:tcPr>
            <w:tcW w:w="20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2"/>
              <w:jc w:val="center"/>
              <w:rPr>
                <w:rFonts w:ascii="Times New Roman" w:hAnsi="Times New Roman" w:cs="Times New Roman" w:eastAsia="Times New Roman" w:hint="default"/>
                <w:sz w:val="18"/>
                <w:szCs w:val="18"/>
              </w:rPr>
            </w:pPr>
            <w:r>
              <w:rPr>
                <w:rFonts w:ascii="Times New Roman"/>
                <w:sz w:val="18"/>
              </w:rPr>
              <w:t>7%</w:t>
            </w:r>
          </w:p>
        </w:tc>
      </w:tr>
      <w:tr>
        <w:trPr>
          <w:trHeight w:val="397"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16"/>
              <w:jc w:val="right"/>
              <w:rPr>
                <w:rFonts w:ascii="Times New Roman" w:hAnsi="Times New Roman" w:cs="Times New Roman" w:eastAsia="Times New Roman" w:hint="default"/>
                <w:sz w:val="18"/>
                <w:szCs w:val="18"/>
              </w:rPr>
            </w:pPr>
            <w:r>
              <w:rPr>
                <w:rFonts w:ascii="Times New Roman"/>
                <w:spacing w:val="-1"/>
                <w:sz w:val="18"/>
              </w:rPr>
              <w:t>696,483.13</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20"/>
              <w:jc w:val="right"/>
              <w:rPr>
                <w:rFonts w:ascii="Times New Roman" w:hAnsi="Times New Roman" w:cs="Times New Roman" w:eastAsia="Times New Roman" w:hint="default"/>
                <w:sz w:val="18"/>
                <w:szCs w:val="18"/>
              </w:rPr>
            </w:pPr>
            <w:r>
              <w:rPr>
                <w:rFonts w:ascii="Times New Roman"/>
                <w:spacing w:val="-1"/>
                <w:sz w:val="18"/>
              </w:rPr>
              <w:t>397,088.28</w:t>
            </w:r>
          </w:p>
        </w:tc>
        <w:tc>
          <w:tcPr>
            <w:tcW w:w="20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2"/>
              <w:jc w:val="center"/>
              <w:rPr>
                <w:rFonts w:ascii="Times New Roman" w:hAnsi="Times New Roman" w:cs="Times New Roman" w:eastAsia="Times New Roman" w:hint="default"/>
                <w:sz w:val="18"/>
                <w:szCs w:val="18"/>
              </w:rPr>
            </w:pPr>
            <w:r>
              <w:rPr>
                <w:rFonts w:ascii="Times New Roman"/>
                <w:sz w:val="18"/>
              </w:rPr>
              <w:t>3%</w:t>
            </w:r>
          </w:p>
        </w:tc>
      </w:tr>
      <w:tr>
        <w:trPr>
          <w:trHeight w:val="406" w:hRule="exact"/>
        </w:trPr>
        <w:tc>
          <w:tcPr>
            <w:tcW w:w="20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right="835"/>
              <w:jc w:val="right"/>
              <w:rPr>
                <w:rFonts w:ascii="宋体" w:hAnsi="宋体" w:cs="宋体" w:eastAsia="宋体" w:hint="default"/>
                <w:sz w:val="18"/>
                <w:szCs w:val="18"/>
              </w:rPr>
            </w:pPr>
            <w:r>
              <w:rPr>
                <w:rFonts w:ascii="宋体" w:hAnsi="宋体" w:cs="宋体" w:eastAsia="宋体" w:hint="default"/>
                <w:sz w:val="18"/>
                <w:szCs w:val="18"/>
              </w:rPr>
              <w:t>合计</w:t>
            </w:r>
          </w:p>
        </w:tc>
        <w:tc>
          <w:tcPr>
            <w:tcW w:w="2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516"/>
              <w:jc w:val="right"/>
              <w:rPr>
                <w:rFonts w:ascii="Times New Roman" w:hAnsi="Times New Roman" w:cs="Times New Roman" w:eastAsia="Times New Roman" w:hint="default"/>
                <w:sz w:val="18"/>
                <w:szCs w:val="18"/>
              </w:rPr>
            </w:pPr>
            <w:r>
              <w:rPr>
                <w:rFonts w:ascii="Times New Roman"/>
                <w:spacing w:val="-1"/>
                <w:sz w:val="18"/>
              </w:rPr>
              <w:t>2,321,610.45</w:t>
            </w:r>
          </w:p>
        </w:tc>
        <w:tc>
          <w:tcPr>
            <w:tcW w:w="23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521"/>
              <w:jc w:val="right"/>
              <w:rPr>
                <w:rFonts w:ascii="Times New Roman" w:hAnsi="Times New Roman" w:cs="Times New Roman" w:eastAsia="Times New Roman" w:hint="default"/>
                <w:sz w:val="18"/>
                <w:szCs w:val="18"/>
              </w:rPr>
            </w:pPr>
            <w:r>
              <w:rPr>
                <w:rFonts w:ascii="Times New Roman"/>
                <w:spacing w:val="-1"/>
                <w:sz w:val="18"/>
              </w:rPr>
              <w:t>1,323,627.62</w:t>
            </w:r>
          </w:p>
        </w:tc>
        <w:tc>
          <w:tcPr>
            <w:tcW w:w="209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0"/>
        <w:rPr>
          <w:rFonts w:ascii="宋体" w:hAnsi="宋体" w:cs="宋体" w:eastAsia="宋体" w:hint="default"/>
          <w:b/>
          <w:bCs/>
          <w:sz w:val="12"/>
          <w:szCs w:val="12"/>
        </w:rPr>
      </w:pPr>
    </w:p>
    <w:p>
      <w:pPr>
        <w:pStyle w:val="Heading5"/>
        <w:tabs>
          <w:tab w:pos="2080" w:val="left" w:leader="none"/>
        </w:tabs>
        <w:spacing w:line="240" w:lineRule="auto" w:before="36"/>
        <w:ind w:right="0"/>
        <w:jc w:val="left"/>
        <w:rPr>
          <w:b w:val="0"/>
          <w:bCs w:val="0"/>
        </w:rPr>
      </w:pPr>
      <w:r>
        <w:rPr/>
        <w:t>（二十九）</w:t>
        <w:tab/>
        <w:t>销售费用</w:t>
      </w:r>
      <w:r>
        <w:rPr>
          <w:b w:val="0"/>
          <w:bCs w:val="0"/>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972"/>
        <w:gridCol w:w="2945"/>
        <w:gridCol w:w="2943"/>
      </w:tblGrid>
      <w:tr>
        <w:trPr>
          <w:trHeight w:val="362"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65"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180" w:right="0"/>
              <w:jc w:val="left"/>
              <w:rPr>
                <w:rFonts w:ascii="Times New Roman" w:hAnsi="Times New Roman" w:cs="Times New Roman" w:eastAsia="Times New Roman" w:hint="default"/>
                <w:sz w:val="18"/>
                <w:szCs w:val="18"/>
              </w:rPr>
            </w:pPr>
            <w:r>
              <w:rPr>
                <w:rFonts w:ascii="Times New Roman"/>
                <w:sz w:val="18"/>
              </w:rPr>
              <w:t>2,526,809.96</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1175" w:right="0"/>
              <w:jc w:val="left"/>
              <w:rPr>
                <w:rFonts w:ascii="Times New Roman" w:hAnsi="Times New Roman" w:cs="Times New Roman" w:eastAsia="Times New Roman" w:hint="default"/>
                <w:sz w:val="18"/>
                <w:szCs w:val="18"/>
              </w:rPr>
            </w:pPr>
            <w:r>
              <w:rPr>
                <w:rFonts w:ascii="Times New Roman"/>
                <w:sz w:val="18"/>
              </w:rPr>
              <w:t>1,959,074.25</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1186" w:top="1200" w:bottom="1380" w:left="1400" w:right="1400"/>
        </w:sectPr>
      </w:pPr>
    </w:p>
    <w:p>
      <w:pPr>
        <w:spacing w:line="240" w:lineRule="auto" w:before="7"/>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2972"/>
        <w:gridCol w:w="2945"/>
        <w:gridCol w:w="2943"/>
      </w:tblGrid>
      <w:tr>
        <w:trPr>
          <w:trHeight w:val="362"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运输及维修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804"/>
              <w:jc w:val="right"/>
              <w:rPr>
                <w:rFonts w:ascii="Times New Roman" w:hAnsi="Times New Roman" w:cs="Times New Roman" w:eastAsia="Times New Roman" w:hint="default"/>
                <w:sz w:val="18"/>
                <w:szCs w:val="18"/>
              </w:rPr>
            </w:pPr>
            <w:r>
              <w:rPr>
                <w:rFonts w:ascii="Times New Roman"/>
                <w:spacing w:val="-1"/>
                <w:sz w:val="18"/>
              </w:rPr>
              <w:t>32,024.61</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2"/>
              <w:ind w:right="813"/>
              <w:jc w:val="right"/>
              <w:rPr>
                <w:rFonts w:ascii="Times New Roman" w:hAnsi="Times New Roman" w:cs="Times New Roman" w:eastAsia="Times New Roman" w:hint="default"/>
                <w:sz w:val="18"/>
                <w:szCs w:val="18"/>
              </w:rPr>
            </w:pPr>
            <w:r>
              <w:rPr>
                <w:rFonts w:ascii="Times New Roman"/>
                <w:spacing w:val="-1"/>
                <w:sz w:val="18"/>
              </w:rPr>
              <w:t>44,456.12</w:t>
            </w:r>
          </w:p>
        </w:tc>
      </w:tr>
      <w:tr>
        <w:trPr>
          <w:trHeight w:val="35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04"/>
              <w:jc w:val="right"/>
              <w:rPr>
                <w:rFonts w:ascii="Times New Roman" w:hAnsi="Times New Roman" w:cs="Times New Roman" w:eastAsia="Times New Roman" w:hint="default"/>
                <w:sz w:val="18"/>
                <w:szCs w:val="18"/>
              </w:rPr>
            </w:pPr>
            <w:r>
              <w:rPr>
                <w:rFonts w:ascii="Times New Roman"/>
                <w:spacing w:val="-1"/>
                <w:sz w:val="18"/>
              </w:rPr>
              <w:t>421,356.46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14"/>
              <w:jc w:val="right"/>
              <w:rPr>
                <w:rFonts w:ascii="Times New Roman" w:hAnsi="Times New Roman" w:cs="Times New Roman" w:eastAsia="Times New Roman" w:hint="default"/>
                <w:sz w:val="18"/>
                <w:szCs w:val="18"/>
              </w:rPr>
            </w:pPr>
            <w:r>
              <w:rPr>
                <w:rFonts w:ascii="Times New Roman"/>
                <w:spacing w:val="-1"/>
                <w:sz w:val="18"/>
              </w:rPr>
              <w:t>624,332.18</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04"/>
              <w:jc w:val="right"/>
              <w:rPr>
                <w:rFonts w:ascii="Times New Roman" w:hAnsi="Times New Roman" w:cs="Times New Roman" w:eastAsia="Times New Roman" w:hint="default"/>
                <w:sz w:val="18"/>
                <w:szCs w:val="18"/>
              </w:rPr>
            </w:pPr>
            <w:r>
              <w:rPr>
                <w:rFonts w:ascii="Times New Roman"/>
                <w:spacing w:val="-1"/>
                <w:sz w:val="18"/>
              </w:rPr>
              <w:t>99,429.00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13"/>
              <w:jc w:val="right"/>
              <w:rPr>
                <w:rFonts w:ascii="Times New Roman" w:hAnsi="Times New Roman" w:cs="Times New Roman" w:eastAsia="Times New Roman" w:hint="default"/>
                <w:sz w:val="18"/>
                <w:szCs w:val="18"/>
              </w:rPr>
            </w:pPr>
            <w:r>
              <w:rPr>
                <w:rFonts w:ascii="Times New Roman"/>
                <w:spacing w:val="-1"/>
                <w:sz w:val="18"/>
              </w:rPr>
              <w:t>70,931.68</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03"/>
              <w:jc w:val="right"/>
              <w:rPr>
                <w:rFonts w:ascii="Times New Roman" w:hAnsi="Times New Roman" w:cs="Times New Roman" w:eastAsia="Times New Roman" w:hint="default"/>
                <w:sz w:val="18"/>
                <w:szCs w:val="18"/>
              </w:rPr>
            </w:pPr>
            <w:r>
              <w:rPr>
                <w:rFonts w:ascii="Times New Roman"/>
                <w:spacing w:val="-1"/>
                <w:sz w:val="18"/>
              </w:rPr>
              <w:t>1,438,600.00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14"/>
              <w:jc w:val="right"/>
              <w:rPr>
                <w:rFonts w:ascii="Times New Roman" w:hAnsi="Times New Roman" w:cs="Times New Roman" w:eastAsia="Times New Roman" w:hint="default"/>
                <w:sz w:val="18"/>
                <w:szCs w:val="18"/>
              </w:rPr>
            </w:pPr>
            <w:r>
              <w:rPr>
                <w:rFonts w:ascii="Times New Roman"/>
                <w:spacing w:val="-1"/>
                <w:sz w:val="18"/>
              </w:rPr>
              <w:t>396,800.00</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04"/>
              <w:jc w:val="right"/>
              <w:rPr>
                <w:rFonts w:ascii="Times New Roman" w:hAnsi="Times New Roman" w:cs="Times New Roman" w:eastAsia="Times New Roman" w:hint="default"/>
                <w:sz w:val="18"/>
                <w:szCs w:val="18"/>
              </w:rPr>
            </w:pPr>
            <w:r>
              <w:rPr>
                <w:rFonts w:ascii="Times New Roman"/>
                <w:spacing w:val="-1"/>
                <w:sz w:val="18"/>
              </w:rPr>
              <w:t>6,620,534.47</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14"/>
              <w:jc w:val="right"/>
              <w:rPr>
                <w:rFonts w:ascii="Times New Roman" w:hAnsi="Times New Roman" w:cs="Times New Roman" w:eastAsia="Times New Roman" w:hint="default"/>
                <w:sz w:val="18"/>
                <w:szCs w:val="18"/>
              </w:rPr>
            </w:pPr>
            <w:r>
              <w:rPr>
                <w:rFonts w:ascii="Times New Roman"/>
                <w:spacing w:val="-1"/>
                <w:sz w:val="18"/>
              </w:rPr>
              <w:t>5,452,360.50</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04"/>
              <w:jc w:val="right"/>
              <w:rPr>
                <w:rFonts w:ascii="Times New Roman" w:hAnsi="Times New Roman" w:cs="Times New Roman" w:eastAsia="Times New Roman" w:hint="default"/>
                <w:sz w:val="18"/>
                <w:szCs w:val="18"/>
              </w:rPr>
            </w:pPr>
            <w:r>
              <w:rPr>
                <w:rFonts w:ascii="Times New Roman"/>
                <w:spacing w:val="-1"/>
                <w:sz w:val="18"/>
              </w:rPr>
              <w:t>73,020.00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13"/>
              <w:jc w:val="right"/>
              <w:rPr>
                <w:rFonts w:ascii="Times New Roman" w:hAnsi="Times New Roman" w:cs="Times New Roman" w:eastAsia="Times New Roman" w:hint="default"/>
                <w:sz w:val="18"/>
                <w:szCs w:val="18"/>
              </w:rPr>
            </w:pPr>
            <w:r>
              <w:rPr>
                <w:rFonts w:ascii="Times New Roman"/>
                <w:spacing w:val="-1"/>
                <w:sz w:val="18"/>
              </w:rPr>
              <w:t>48,100.00</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04"/>
              <w:jc w:val="right"/>
              <w:rPr>
                <w:rFonts w:ascii="Times New Roman" w:hAnsi="Times New Roman" w:cs="Times New Roman" w:eastAsia="Times New Roman" w:hint="default"/>
                <w:sz w:val="18"/>
                <w:szCs w:val="18"/>
              </w:rPr>
            </w:pPr>
            <w:r>
              <w:rPr>
                <w:rFonts w:ascii="Times New Roman"/>
                <w:spacing w:val="-1"/>
                <w:sz w:val="18"/>
              </w:rPr>
              <w:t>71,640.00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13"/>
              <w:jc w:val="right"/>
              <w:rPr>
                <w:rFonts w:ascii="Times New Roman" w:hAnsi="Times New Roman" w:cs="Times New Roman" w:eastAsia="Times New Roman" w:hint="default"/>
                <w:sz w:val="18"/>
                <w:szCs w:val="18"/>
              </w:rPr>
            </w:pPr>
            <w:r>
              <w:rPr>
                <w:rFonts w:ascii="Times New Roman"/>
                <w:spacing w:val="-1"/>
                <w:sz w:val="18"/>
              </w:rPr>
              <w:t>71,100.00</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04"/>
              <w:jc w:val="right"/>
              <w:rPr>
                <w:rFonts w:ascii="Times New Roman" w:hAnsi="Times New Roman" w:cs="Times New Roman" w:eastAsia="Times New Roman" w:hint="default"/>
                <w:sz w:val="18"/>
                <w:szCs w:val="18"/>
              </w:rPr>
            </w:pPr>
            <w:r>
              <w:rPr>
                <w:rFonts w:ascii="Times New Roman"/>
                <w:spacing w:val="-1"/>
                <w:sz w:val="18"/>
              </w:rPr>
              <w:t>1,278,309.45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14"/>
              <w:jc w:val="right"/>
              <w:rPr>
                <w:rFonts w:ascii="Times New Roman" w:hAnsi="Times New Roman" w:cs="Times New Roman" w:eastAsia="Times New Roman" w:hint="default"/>
                <w:sz w:val="18"/>
                <w:szCs w:val="18"/>
              </w:rPr>
            </w:pPr>
            <w:r>
              <w:rPr>
                <w:rFonts w:ascii="Times New Roman"/>
                <w:spacing w:val="-1"/>
                <w:sz w:val="18"/>
              </w:rPr>
              <w:t>724,183.50</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04"/>
              <w:jc w:val="right"/>
              <w:rPr>
                <w:rFonts w:ascii="Times New Roman" w:hAnsi="Times New Roman" w:cs="Times New Roman" w:eastAsia="Times New Roman" w:hint="default"/>
                <w:sz w:val="18"/>
                <w:szCs w:val="18"/>
              </w:rPr>
            </w:pPr>
            <w:r>
              <w:rPr>
                <w:rFonts w:ascii="Times New Roman"/>
                <w:spacing w:val="-1"/>
                <w:sz w:val="18"/>
              </w:rPr>
              <w:t>596,368.20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14"/>
              <w:jc w:val="right"/>
              <w:rPr>
                <w:rFonts w:ascii="Times New Roman" w:hAnsi="Times New Roman" w:cs="Times New Roman" w:eastAsia="Times New Roman" w:hint="default"/>
                <w:sz w:val="18"/>
                <w:szCs w:val="18"/>
              </w:rPr>
            </w:pPr>
            <w:r>
              <w:rPr>
                <w:rFonts w:ascii="Times New Roman"/>
                <w:spacing w:val="-1"/>
                <w:sz w:val="18"/>
              </w:rPr>
              <w:t>504,081.37</w:t>
            </w:r>
          </w:p>
        </w:tc>
      </w:tr>
      <w:tr>
        <w:trPr>
          <w:trHeight w:val="353"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803"/>
              <w:jc w:val="right"/>
              <w:rPr>
                <w:rFonts w:ascii="Times New Roman" w:hAnsi="Times New Roman" w:cs="Times New Roman" w:eastAsia="Times New Roman" w:hint="default"/>
                <w:sz w:val="18"/>
                <w:szCs w:val="18"/>
              </w:rPr>
            </w:pPr>
            <w:r>
              <w:rPr>
                <w:rFonts w:ascii="Times New Roman"/>
                <w:spacing w:val="-1"/>
                <w:sz w:val="18"/>
              </w:rPr>
              <w:t>185,000.00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13"/>
              <w:jc w:val="right"/>
              <w:rPr>
                <w:rFonts w:ascii="Times New Roman" w:hAnsi="Times New Roman" w:cs="Times New Roman" w:eastAsia="Times New Roman" w:hint="default"/>
                <w:sz w:val="18"/>
                <w:szCs w:val="18"/>
              </w:rPr>
            </w:pPr>
            <w:r>
              <w:rPr>
                <w:rFonts w:ascii="Times New Roman"/>
                <w:spacing w:val="-1"/>
                <w:sz w:val="18"/>
              </w:rPr>
              <w:t>22,200.00</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04"/>
              <w:jc w:val="right"/>
              <w:rPr>
                <w:rFonts w:ascii="Times New Roman" w:hAnsi="Times New Roman" w:cs="Times New Roman" w:eastAsia="Times New Roman" w:hint="default"/>
                <w:sz w:val="18"/>
                <w:szCs w:val="18"/>
              </w:rPr>
            </w:pPr>
            <w:r>
              <w:rPr>
                <w:rFonts w:ascii="Times New Roman"/>
                <w:spacing w:val="-1"/>
                <w:w w:val="95"/>
                <w:sz w:val="18"/>
              </w:rPr>
              <w:t>118,009.20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14"/>
              <w:jc w:val="right"/>
              <w:rPr>
                <w:rFonts w:ascii="Times New Roman" w:hAnsi="Times New Roman" w:cs="Times New Roman" w:eastAsia="Times New Roman" w:hint="default"/>
                <w:sz w:val="18"/>
                <w:szCs w:val="18"/>
              </w:rPr>
            </w:pPr>
            <w:r>
              <w:rPr>
                <w:rFonts w:ascii="Times New Roman"/>
                <w:spacing w:val="-1"/>
                <w:sz w:val="18"/>
              </w:rPr>
              <w:t>176,043.70</w:t>
            </w:r>
          </w:p>
        </w:tc>
      </w:tr>
      <w:tr>
        <w:trPr>
          <w:trHeight w:val="35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04"/>
              <w:jc w:val="right"/>
              <w:rPr>
                <w:rFonts w:ascii="Times New Roman" w:hAnsi="Times New Roman" w:cs="Times New Roman" w:eastAsia="Times New Roman" w:hint="default"/>
                <w:sz w:val="18"/>
                <w:szCs w:val="18"/>
              </w:rPr>
            </w:pPr>
            <w:r>
              <w:rPr>
                <w:rFonts w:ascii="Times New Roman"/>
                <w:spacing w:val="-1"/>
                <w:sz w:val="18"/>
              </w:rPr>
              <w:t>272,900.00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13"/>
              <w:jc w:val="right"/>
              <w:rPr>
                <w:rFonts w:ascii="Times New Roman" w:hAnsi="Times New Roman" w:cs="Times New Roman" w:eastAsia="Times New Roman" w:hint="default"/>
                <w:sz w:val="18"/>
                <w:szCs w:val="18"/>
              </w:rPr>
            </w:pPr>
            <w:r>
              <w:rPr>
                <w:rFonts w:ascii="Times New Roman"/>
                <w:spacing w:val="-1"/>
                <w:sz w:val="18"/>
              </w:rPr>
              <w:t>7,092.37</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04"/>
              <w:jc w:val="right"/>
              <w:rPr>
                <w:rFonts w:ascii="Times New Roman" w:hAnsi="Times New Roman" w:cs="Times New Roman" w:eastAsia="Times New Roman" w:hint="default"/>
                <w:sz w:val="18"/>
                <w:szCs w:val="18"/>
              </w:rPr>
            </w:pPr>
            <w:r>
              <w:rPr>
                <w:rFonts w:ascii="Times New Roman"/>
                <w:spacing w:val="-1"/>
                <w:sz w:val="18"/>
              </w:rPr>
              <w:t>81,458.80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13"/>
              <w:jc w:val="right"/>
              <w:rPr>
                <w:rFonts w:ascii="Times New Roman" w:hAnsi="Times New Roman" w:cs="Times New Roman" w:eastAsia="Times New Roman" w:hint="default"/>
                <w:sz w:val="18"/>
                <w:szCs w:val="18"/>
              </w:rPr>
            </w:pPr>
            <w:r>
              <w:rPr>
                <w:rFonts w:ascii="Times New Roman"/>
                <w:spacing w:val="-1"/>
                <w:sz w:val="18"/>
              </w:rPr>
              <w:t>95,252.00</w:t>
            </w:r>
          </w:p>
        </w:tc>
      </w:tr>
      <w:tr>
        <w:trPr>
          <w:trHeight w:val="365"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804"/>
              <w:jc w:val="right"/>
              <w:rPr>
                <w:rFonts w:ascii="Times New Roman" w:hAnsi="Times New Roman" w:cs="Times New Roman" w:eastAsia="Times New Roman" w:hint="default"/>
                <w:sz w:val="18"/>
                <w:szCs w:val="18"/>
              </w:rPr>
            </w:pPr>
            <w:r>
              <w:rPr>
                <w:rFonts w:ascii="Times New Roman"/>
                <w:spacing w:val="-1"/>
                <w:sz w:val="18"/>
              </w:rPr>
              <w:t>13,815,460.15</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814"/>
              <w:jc w:val="right"/>
              <w:rPr>
                <w:rFonts w:ascii="Times New Roman" w:hAnsi="Times New Roman" w:cs="Times New Roman" w:eastAsia="Times New Roman" w:hint="default"/>
                <w:sz w:val="18"/>
                <w:szCs w:val="18"/>
              </w:rPr>
            </w:pPr>
            <w:r>
              <w:rPr>
                <w:rFonts w:ascii="Times New Roman"/>
                <w:spacing w:val="-1"/>
                <w:sz w:val="18"/>
              </w:rPr>
              <w:t>10,196,007.67</w:t>
            </w:r>
          </w:p>
        </w:tc>
      </w:tr>
    </w:tbl>
    <w:p>
      <w:pPr>
        <w:pStyle w:val="BodyText"/>
        <w:spacing w:line="257" w:lineRule="exact"/>
        <w:ind w:left="820" w:right="0"/>
        <w:jc w:val="left"/>
      </w:pPr>
      <w:r>
        <w:rPr/>
        <w:t>销售费用本年比上年增加 </w:t>
      </w:r>
      <w:r>
        <w:rPr>
          <w:rFonts w:ascii="Times New Roman" w:hAnsi="Times New Roman" w:cs="Times New Roman" w:eastAsia="Times New Roman" w:hint="default"/>
        </w:rPr>
        <w:t>3,619,452.48  </w:t>
      </w:r>
      <w:r>
        <w:rPr/>
        <w:t>元，增长了</w:t>
      </w:r>
      <w:r>
        <w:rPr>
          <w:spacing w:val="-64"/>
        </w:rPr>
        <w:t> </w:t>
      </w:r>
      <w:r>
        <w:rPr>
          <w:rFonts w:ascii="Times New Roman" w:hAnsi="Times New Roman" w:cs="Times New Roman" w:eastAsia="Times New Roman" w:hint="default"/>
        </w:rPr>
        <w:t>35.50%</w:t>
      </w:r>
      <w:r>
        <w:rPr/>
        <w:t>，主要系本期收入增长，职</w:t>
      </w:r>
    </w:p>
    <w:p>
      <w:pPr>
        <w:pStyle w:val="BodyText"/>
        <w:spacing w:line="240" w:lineRule="auto" w:before="117"/>
        <w:ind w:left="400" w:right="0"/>
        <w:jc w:val="left"/>
      </w:pPr>
      <w:r>
        <w:rPr/>
        <w:t>工薪酬、广告费、差旅费相应增长所致。</w:t>
      </w:r>
    </w:p>
    <w:p>
      <w:pPr>
        <w:spacing w:line="240" w:lineRule="auto" w:before="4"/>
        <w:rPr>
          <w:rFonts w:ascii="宋体" w:hAnsi="宋体" w:cs="宋体" w:eastAsia="宋体" w:hint="default"/>
          <w:sz w:val="28"/>
          <w:szCs w:val="28"/>
        </w:rPr>
      </w:pPr>
    </w:p>
    <w:p>
      <w:pPr>
        <w:pStyle w:val="Heading5"/>
        <w:tabs>
          <w:tab w:pos="2080" w:val="left" w:leader="none"/>
        </w:tabs>
        <w:spacing w:line="240" w:lineRule="auto"/>
        <w:ind w:right="0"/>
        <w:jc w:val="left"/>
        <w:rPr>
          <w:b w:val="0"/>
          <w:bCs w:val="0"/>
        </w:rPr>
      </w:pPr>
      <w:r>
        <w:rPr/>
        <w:t>（三十）</w:t>
        <w:tab/>
        <w:t>管理费用</w:t>
      </w:r>
      <w:r>
        <w:rPr>
          <w:b w:val="0"/>
          <w:bCs w:val="0"/>
        </w:rPr>
      </w:r>
    </w:p>
    <w:p>
      <w:pPr>
        <w:spacing w:line="240" w:lineRule="auto" w:before="0"/>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972"/>
        <w:gridCol w:w="2945"/>
        <w:gridCol w:w="2943"/>
      </w:tblGrid>
      <w:tr>
        <w:trPr>
          <w:trHeight w:val="362" w:hRule="exact"/>
        </w:trPr>
        <w:tc>
          <w:tcPr>
            <w:tcW w:w="29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61"/>
              <w:jc w:val="right"/>
              <w:rPr>
                <w:rFonts w:ascii="Times New Roman" w:hAnsi="Times New Roman" w:cs="Times New Roman" w:eastAsia="Times New Roman" w:hint="default"/>
                <w:sz w:val="18"/>
                <w:szCs w:val="18"/>
              </w:rPr>
            </w:pPr>
            <w:r>
              <w:rPr>
                <w:rFonts w:ascii="Times New Roman"/>
                <w:spacing w:val="-1"/>
                <w:sz w:val="18"/>
              </w:rPr>
              <w:t>8,399,447.05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8"/>
              <w:jc w:val="right"/>
              <w:rPr>
                <w:rFonts w:ascii="Times New Roman" w:hAnsi="Times New Roman" w:cs="Times New Roman" w:eastAsia="Times New Roman" w:hint="default"/>
                <w:sz w:val="18"/>
                <w:szCs w:val="18"/>
              </w:rPr>
            </w:pPr>
            <w:r>
              <w:rPr>
                <w:rFonts w:ascii="Times New Roman"/>
                <w:spacing w:val="-1"/>
                <w:sz w:val="18"/>
              </w:rPr>
              <w:t>6,330,055.45</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修理及运输</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58"/>
              <w:jc w:val="right"/>
              <w:rPr>
                <w:rFonts w:ascii="Times New Roman" w:hAnsi="Times New Roman" w:cs="Times New Roman" w:eastAsia="Times New Roman" w:hint="default"/>
                <w:sz w:val="18"/>
                <w:szCs w:val="18"/>
              </w:rPr>
            </w:pPr>
            <w:r>
              <w:rPr>
                <w:rFonts w:ascii="Times New Roman"/>
                <w:spacing w:val="-1"/>
                <w:sz w:val="18"/>
              </w:rPr>
              <w:t>655,726.75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8"/>
              <w:jc w:val="right"/>
              <w:rPr>
                <w:rFonts w:ascii="Times New Roman" w:hAnsi="Times New Roman" w:cs="Times New Roman" w:eastAsia="Times New Roman" w:hint="default"/>
                <w:sz w:val="18"/>
                <w:szCs w:val="18"/>
              </w:rPr>
            </w:pPr>
            <w:r>
              <w:rPr>
                <w:rFonts w:ascii="Times New Roman"/>
                <w:spacing w:val="-1"/>
                <w:sz w:val="18"/>
              </w:rPr>
              <w:t>585,519.69</w:t>
            </w:r>
          </w:p>
        </w:tc>
      </w:tr>
      <w:tr>
        <w:trPr>
          <w:trHeight w:val="35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61"/>
              <w:jc w:val="right"/>
              <w:rPr>
                <w:rFonts w:ascii="Times New Roman" w:hAnsi="Times New Roman" w:cs="Times New Roman" w:eastAsia="Times New Roman" w:hint="default"/>
                <w:sz w:val="18"/>
                <w:szCs w:val="18"/>
              </w:rPr>
            </w:pPr>
            <w:r>
              <w:rPr>
                <w:rFonts w:ascii="Times New Roman"/>
                <w:spacing w:val="-1"/>
                <w:sz w:val="18"/>
              </w:rPr>
              <w:t>3,013,782.55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8"/>
              <w:jc w:val="right"/>
              <w:rPr>
                <w:rFonts w:ascii="Times New Roman" w:hAnsi="Times New Roman" w:cs="Times New Roman" w:eastAsia="Times New Roman" w:hint="default"/>
                <w:sz w:val="18"/>
                <w:szCs w:val="18"/>
              </w:rPr>
            </w:pPr>
            <w:r>
              <w:rPr>
                <w:rFonts w:ascii="Times New Roman"/>
                <w:spacing w:val="-1"/>
                <w:sz w:val="18"/>
              </w:rPr>
              <w:t>1,502,342.04</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59"/>
              <w:jc w:val="right"/>
              <w:rPr>
                <w:rFonts w:ascii="Times New Roman" w:hAnsi="Times New Roman" w:cs="Times New Roman" w:eastAsia="Times New Roman" w:hint="default"/>
                <w:sz w:val="18"/>
                <w:szCs w:val="18"/>
              </w:rPr>
            </w:pPr>
            <w:r>
              <w:rPr>
                <w:rFonts w:ascii="Times New Roman"/>
                <w:spacing w:val="-1"/>
                <w:sz w:val="18"/>
              </w:rPr>
              <w:t>12,708,407.39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6"/>
              <w:jc w:val="right"/>
              <w:rPr>
                <w:rFonts w:ascii="Times New Roman" w:hAnsi="Times New Roman" w:cs="Times New Roman" w:eastAsia="Times New Roman" w:hint="default"/>
                <w:sz w:val="18"/>
                <w:szCs w:val="18"/>
              </w:rPr>
            </w:pPr>
            <w:r>
              <w:rPr>
                <w:rFonts w:ascii="Times New Roman"/>
                <w:spacing w:val="-1"/>
                <w:sz w:val="18"/>
              </w:rPr>
              <w:t>10,578,650.31</w:t>
            </w:r>
          </w:p>
        </w:tc>
      </w:tr>
      <w:tr>
        <w:trPr>
          <w:trHeight w:val="353"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58"/>
              <w:jc w:val="right"/>
              <w:rPr>
                <w:rFonts w:ascii="Times New Roman" w:hAnsi="Times New Roman" w:cs="Times New Roman" w:eastAsia="Times New Roman" w:hint="default"/>
                <w:sz w:val="18"/>
                <w:szCs w:val="18"/>
              </w:rPr>
            </w:pPr>
            <w:r>
              <w:rPr>
                <w:rFonts w:ascii="Times New Roman"/>
                <w:spacing w:val="-1"/>
                <w:sz w:val="18"/>
              </w:rPr>
              <w:t>488,064.40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8"/>
              <w:jc w:val="right"/>
              <w:rPr>
                <w:rFonts w:ascii="Times New Roman" w:hAnsi="Times New Roman" w:cs="Times New Roman" w:eastAsia="Times New Roman" w:hint="default"/>
                <w:sz w:val="18"/>
                <w:szCs w:val="18"/>
              </w:rPr>
            </w:pPr>
            <w:r>
              <w:rPr>
                <w:rFonts w:ascii="Times New Roman"/>
                <w:spacing w:val="-1"/>
                <w:sz w:val="18"/>
              </w:rPr>
              <w:t>416,199.72</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58"/>
              <w:jc w:val="right"/>
              <w:rPr>
                <w:rFonts w:ascii="Times New Roman" w:hAnsi="Times New Roman" w:cs="Times New Roman" w:eastAsia="Times New Roman" w:hint="default"/>
                <w:sz w:val="18"/>
                <w:szCs w:val="18"/>
              </w:rPr>
            </w:pPr>
            <w:r>
              <w:rPr>
                <w:rFonts w:ascii="Times New Roman"/>
                <w:spacing w:val="-1"/>
                <w:sz w:val="18"/>
              </w:rPr>
              <w:t>775,607.73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8"/>
              <w:jc w:val="right"/>
              <w:rPr>
                <w:rFonts w:ascii="Times New Roman" w:hAnsi="Times New Roman" w:cs="Times New Roman" w:eastAsia="Times New Roman" w:hint="default"/>
                <w:sz w:val="18"/>
                <w:szCs w:val="18"/>
              </w:rPr>
            </w:pPr>
            <w:r>
              <w:rPr>
                <w:rFonts w:ascii="Times New Roman"/>
                <w:spacing w:val="-1"/>
                <w:sz w:val="18"/>
              </w:rPr>
              <w:t>486,100.88</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61"/>
              <w:jc w:val="right"/>
              <w:rPr>
                <w:rFonts w:ascii="Times New Roman" w:hAnsi="Times New Roman" w:cs="Times New Roman" w:eastAsia="Times New Roman" w:hint="default"/>
                <w:sz w:val="18"/>
                <w:szCs w:val="18"/>
              </w:rPr>
            </w:pPr>
            <w:r>
              <w:rPr>
                <w:rFonts w:ascii="Times New Roman"/>
                <w:spacing w:val="-1"/>
                <w:sz w:val="18"/>
              </w:rPr>
              <w:t>1,730,187.62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8"/>
              <w:jc w:val="right"/>
              <w:rPr>
                <w:rFonts w:ascii="Times New Roman" w:hAnsi="Times New Roman" w:cs="Times New Roman" w:eastAsia="Times New Roman" w:hint="default"/>
                <w:sz w:val="18"/>
                <w:szCs w:val="18"/>
              </w:rPr>
            </w:pPr>
            <w:r>
              <w:rPr>
                <w:rFonts w:ascii="Times New Roman"/>
                <w:spacing w:val="-1"/>
                <w:sz w:val="18"/>
              </w:rPr>
              <w:t>860,225.08</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58"/>
              <w:jc w:val="right"/>
              <w:rPr>
                <w:rFonts w:ascii="Times New Roman" w:hAnsi="Times New Roman" w:cs="Times New Roman" w:eastAsia="Times New Roman" w:hint="default"/>
                <w:sz w:val="18"/>
                <w:szCs w:val="18"/>
              </w:rPr>
            </w:pPr>
            <w:r>
              <w:rPr>
                <w:rFonts w:ascii="Times New Roman"/>
                <w:spacing w:val="-1"/>
                <w:sz w:val="18"/>
              </w:rPr>
              <w:t>968,094.56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8"/>
              <w:jc w:val="right"/>
              <w:rPr>
                <w:rFonts w:ascii="Times New Roman" w:hAnsi="Times New Roman" w:cs="Times New Roman" w:eastAsia="Times New Roman" w:hint="default"/>
                <w:sz w:val="18"/>
                <w:szCs w:val="18"/>
              </w:rPr>
            </w:pPr>
            <w:r>
              <w:rPr>
                <w:rFonts w:ascii="Times New Roman"/>
                <w:spacing w:val="-1"/>
                <w:sz w:val="18"/>
              </w:rPr>
              <w:t>462,686.87</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58"/>
              <w:jc w:val="right"/>
              <w:rPr>
                <w:rFonts w:ascii="Times New Roman" w:hAnsi="Times New Roman" w:cs="Times New Roman" w:eastAsia="Times New Roman" w:hint="default"/>
                <w:sz w:val="18"/>
                <w:szCs w:val="18"/>
              </w:rPr>
            </w:pPr>
            <w:r>
              <w:rPr>
                <w:rFonts w:ascii="Times New Roman"/>
                <w:spacing w:val="-1"/>
                <w:sz w:val="18"/>
              </w:rPr>
              <w:t>464,648.81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8"/>
              <w:jc w:val="right"/>
              <w:rPr>
                <w:rFonts w:ascii="Times New Roman" w:hAnsi="Times New Roman" w:cs="Times New Roman" w:eastAsia="Times New Roman" w:hint="default"/>
                <w:sz w:val="18"/>
                <w:szCs w:val="18"/>
              </w:rPr>
            </w:pPr>
            <w:r>
              <w:rPr>
                <w:rFonts w:ascii="Times New Roman"/>
                <w:spacing w:val="-1"/>
                <w:sz w:val="18"/>
              </w:rPr>
              <w:t>328,046.97</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58"/>
              <w:jc w:val="right"/>
              <w:rPr>
                <w:rFonts w:ascii="Times New Roman" w:hAnsi="Times New Roman" w:cs="Times New Roman" w:eastAsia="Times New Roman" w:hint="default"/>
                <w:sz w:val="18"/>
                <w:szCs w:val="18"/>
              </w:rPr>
            </w:pPr>
            <w:r>
              <w:rPr>
                <w:rFonts w:ascii="Times New Roman"/>
                <w:spacing w:val="-1"/>
                <w:sz w:val="18"/>
              </w:rPr>
              <w:t>346,104.84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8"/>
              <w:jc w:val="right"/>
              <w:rPr>
                <w:rFonts w:ascii="Times New Roman" w:hAnsi="Times New Roman" w:cs="Times New Roman" w:eastAsia="Times New Roman" w:hint="default"/>
                <w:sz w:val="18"/>
                <w:szCs w:val="18"/>
              </w:rPr>
            </w:pPr>
            <w:r>
              <w:rPr>
                <w:rFonts w:ascii="Times New Roman"/>
                <w:spacing w:val="-2"/>
                <w:sz w:val="18"/>
              </w:rPr>
              <w:t>311,979.84</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58"/>
              <w:jc w:val="right"/>
              <w:rPr>
                <w:rFonts w:ascii="Times New Roman" w:hAnsi="Times New Roman" w:cs="Times New Roman" w:eastAsia="Times New Roman" w:hint="default"/>
                <w:sz w:val="18"/>
                <w:szCs w:val="18"/>
              </w:rPr>
            </w:pPr>
            <w:r>
              <w:rPr>
                <w:rFonts w:ascii="Times New Roman"/>
                <w:spacing w:val="-1"/>
                <w:sz w:val="18"/>
              </w:rPr>
              <w:t>198,422.71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8"/>
              <w:jc w:val="right"/>
              <w:rPr>
                <w:rFonts w:ascii="Times New Roman" w:hAnsi="Times New Roman" w:cs="Times New Roman" w:eastAsia="Times New Roman" w:hint="default"/>
                <w:sz w:val="18"/>
                <w:szCs w:val="18"/>
              </w:rPr>
            </w:pPr>
            <w:r>
              <w:rPr>
                <w:rFonts w:ascii="Times New Roman"/>
                <w:spacing w:val="-1"/>
                <w:sz w:val="18"/>
              </w:rPr>
              <w:t>147,284.23</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61"/>
              <w:jc w:val="right"/>
              <w:rPr>
                <w:rFonts w:ascii="Times New Roman" w:hAnsi="Times New Roman" w:cs="Times New Roman" w:eastAsia="Times New Roman" w:hint="default"/>
                <w:sz w:val="18"/>
                <w:szCs w:val="18"/>
              </w:rPr>
            </w:pPr>
            <w:r>
              <w:rPr>
                <w:rFonts w:ascii="Times New Roman"/>
                <w:spacing w:val="-1"/>
                <w:sz w:val="18"/>
              </w:rPr>
              <w:t>95,022.00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5"/>
              <w:jc w:val="right"/>
              <w:rPr>
                <w:rFonts w:ascii="Times New Roman" w:hAnsi="Times New Roman" w:cs="Times New Roman" w:eastAsia="Times New Roman" w:hint="default"/>
                <w:sz w:val="18"/>
                <w:szCs w:val="18"/>
              </w:rPr>
            </w:pPr>
            <w:r>
              <w:rPr>
                <w:rFonts w:ascii="Times New Roman"/>
                <w:spacing w:val="-1"/>
                <w:sz w:val="18"/>
              </w:rPr>
              <w:t>81,500.00</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58"/>
              <w:jc w:val="right"/>
              <w:rPr>
                <w:rFonts w:ascii="Times New Roman" w:hAnsi="Times New Roman" w:cs="Times New Roman" w:eastAsia="Times New Roman" w:hint="default"/>
                <w:sz w:val="18"/>
                <w:szCs w:val="18"/>
              </w:rPr>
            </w:pPr>
            <w:r>
              <w:rPr>
                <w:rFonts w:ascii="Times New Roman"/>
                <w:spacing w:val="-1"/>
                <w:sz w:val="18"/>
              </w:rPr>
              <w:t>177,998.00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8"/>
              <w:jc w:val="right"/>
              <w:rPr>
                <w:rFonts w:ascii="Times New Roman" w:hAnsi="Times New Roman" w:cs="Times New Roman" w:eastAsia="Times New Roman" w:hint="default"/>
                <w:sz w:val="18"/>
                <w:szCs w:val="18"/>
              </w:rPr>
            </w:pPr>
            <w:r>
              <w:rPr>
                <w:rFonts w:ascii="Times New Roman"/>
                <w:spacing w:val="-1"/>
                <w:sz w:val="18"/>
              </w:rPr>
              <w:t>294,794.70</w:t>
            </w:r>
          </w:p>
        </w:tc>
      </w:tr>
      <w:tr>
        <w:trPr>
          <w:trHeight w:val="356"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304"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758"/>
              <w:jc w:val="right"/>
              <w:rPr>
                <w:rFonts w:ascii="Times New Roman" w:hAnsi="Times New Roman" w:cs="Times New Roman" w:eastAsia="Times New Roman" w:hint="default"/>
                <w:sz w:val="18"/>
                <w:szCs w:val="18"/>
              </w:rPr>
            </w:pPr>
            <w:r>
              <w:rPr>
                <w:rFonts w:ascii="Times New Roman"/>
                <w:spacing w:val="-1"/>
                <w:sz w:val="18"/>
              </w:rPr>
              <w:t>777,864.71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768"/>
              <w:jc w:val="right"/>
              <w:rPr>
                <w:rFonts w:ascii="Times New Roman" w:hAnsi="Times New Roman" w:cs="Times New Roman" w:eastAsia="Times New Roman" w:hint="default"/>
                <w:sz w:val="18"/>
                <w:szCs w:val="18"/>
              </w:rPr>
            </w:pPr>
            <w:r>
              <w:rPr>
                <w:rFonts w:ascii="Times New Roman"/>
                <w:spacing w:val="-1"/>
                <w:sz w:val="18"/>
              </w:rPr>
              <w:t>366,206.07</w:t>
            </w: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残疾人就业保证金</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58"/>
              <w:jc w:val="right"/>
              <w:rPr>
                <w:rFonts w:ascii="Times New Roman" w:hAnsi="Times New Roman" w:cs="Times New Roman" w:eastAsia="Times New Roman" w:hint="default"/>
                <w:sz w:val="18"/>
                <w:szCs w:val="18"/>
              </w:rPr>
            </w:pPr>
            <w:r>
              <w:rPr>
                <w:rFonts w:ascii="Times New Roman"/>
                <w:spacing w:val="-1"/>
                <w:sz w:val="18"/>
              </w:rPr>
              <w:t>123,213.30</w:t>
            </w:r>
          </w:p>
        </w:tc>
        <w:tc>
          <w:tcPr>
            <w:tcW w:w="294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58"/>
              <w:jc w:val="right"/>
              <w:rPr>
                <w:rFonts w:ascii="Times New Roman" w:hAnsi="Times New Roman" w:cs="Times New Roman" w:eastAsia="Times New Roman" w:hint="default"/>
                <w:sz w:val="18"/>
                <w:szCs w:val="18"/>
              </w:rPr>
            </w:pPr>
            <w:r>
              <w:rPr>
                <w:rFonts w:ascii="Times New Roman"/>
                <w:spacing w:val="-2"/>
                <w:sz w:val="18"/>
              </w:rPr>
              <w:t>211,899.11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68"/>
              <w:jc w:val="right"/>
              <w:rPr>
                <w:rFonts w:ascii="Times New Roman" w:hAnsi="Times New Roman" w:cs="Times New Roman" w:eastAsia="Times New Roman" w:hint="default"/>
                <w:sz w:val="18"/>
                <w:szCs w:val="18"/>
              </w:rPr>
            </w:pPr>
            <w:r>
              <w:rPr>
                <w:rFonts w:ascii="Times New Roman"/>
                <w:spacing w:val="-1"/>
                <w:sz w:val="18"/>
              </w:rPr>
              <w:t>145,398.81</w:t>
            </w:r>
          </w:p>
        </w:tc>
      </w:tr>
      <w:tr>
        <w:trPr>
          <w:trHeight w:val="362" w:hRule="exact"/>
        </w:trPr>
        <w:tc>
          <w:tcPr>
            <w:tcW w:w="29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759"/>
              <w:jc w:val="right"/>
              <w:rPr>
                <w:rFonts w:ascii="Times New Roman" w:hAnsi="Times New Roman" w:cs="Times New Roman" w:eastAsia="Times New Roman" w:hint="default"/>
                <w:sz w:val="18"/>
                <w:szCs w:val="18"/>
              </w:rPr>
            </w:pPr>
            <w:r>
              <w:rPr>
                <w:rFonts w:ascii="Times New Roman"/>
                <w:spacing w:val="-1"/>
                <w:sz w:val="18"/>
              </w:rPr>
              <w:t>31,134,491.53</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764"/>
              <w:jc w:val="right"/>
              <w:rPr>
                <w:rFonts w:ascii="Times New Roman" w:hAnsi="Times New Roman" w:cs="Times New Roman" w:eastAsia="Times New Roman" w:hint="default"/>
                <w:sz w:val="18"/>
                <w:szCs w:val="18"/>
              </w:rPr>
            </w:pPr>
            <w:r>
              <w:rPr>
                <w:rFonts w:ascii="Times New Roman"/>
                <w:spacing w:val="-1"/>
                <w:sz w:val="18"/>
              </w:rPr>
              <w:t>22,896,990.66</w:t>
            </w:r>
          </w:p>
        </w:tc>
      </w:tr>
    </w:tbl>
    <w:p>
      <w:pPr>
        <w:pStyle w:val="BodyText"/>
        <w:spacing w:line="257" w:lineRule="exact"/>
        <w:ind w:left="820" w:right="0"/>
        <w:jc w:val="left"/>
      </w:pPr>
      <w:r>
        <w:rPr/>
        <w:t>本年管理费用比上年增加</w:t>
      </w:r>
      <w:r>
        <w:rPr>
          <w:spacing w:val="-55"/>
        </w:rPr>
        <w:t> </w:t>
      </w:r>
      <w:r>
        <w:rPr>
          <w:rFonts w:ascii="Times New Roman" w:hAnsi="Times New Roman" w:cs="Times New Roman" w:eastAsia="Times New Roman" w:hint="default"/>
        </w:rPr>
        <w:t>8,237,500.87 </w:t>
      </w:r>
      <w:r>
        <w:rPr>
          <w:spacing w:val="-3"/>
        </w:rPr>
        <w:t>元，增长了</w:t>
      </w:r>
      <w:r>
        <w:rPr>
          <w:spacing w:val="-52"/>
        </w:rPr>
        <w:t> </w:t>
      </w:r>
      <w:r>
        <w:rPr>
          <w:rFonts w:ascii="Times New Roman" w:hAnsi="Times New Roman" w:cs="Times New Roman" w:eastAsia="Times New Roman" w:hint="default"/>
        </w:rPr>
        <w:t>35.98%</w:t>
      </w:r>
      <w:r>
        <w:rPr/>
        <w:t>，主要系公司业务规模扩大，</w:t>
      </w:r>
    </w:p>
    <w:p>
      <w:pPr>
        <w:pStyle w:val="BodyText"/>
        <w:spacing w:line="240" w:lineRule="auto" w:before="117"/>
        <w:ind w:left="400" w:right="0"/>
        <w:jc w:val="left"/>
      </w:pPr>
      <w:r>
        <w:rPr/>
        <w:t>本期职工薪酬、办公费增长及本期研发投入力度加大，引起研发费增长所致。</w:t>
      </w:r>
    </w:p>
    <w:p>
      <w:pPr>
        <w:spacing w:after="0" w:line="240" w:lineRule="auto"/>
        <w:jc w:val="left"/>
        <w:sectPr>
          <w:pgSz w:w="11910" w:h="16840"/>
          <w:pgMar w:header="852" w:footer="1186" w:top="1200" w:bottom="1380" w:left="1400" w:right="1400"/>
        </w:sectPr>
      </w:pPr>
    </w:p>
    <w:p>
      <w:pPr>
        <w:spacing w:line="240" w:lineRule="auto" w:before="0"/>
        <w:rPr>
          <w:rFonts w:ascii="宋体" w:hAnsi="宋体" w:cs="宋体" w:eastAsia="宋体" w:hint="default"/>
          <w:sz w:val="12"/>
          <w:szCs w:val="12"/>
        </w:rPr>
      </w:pPr>
    </w:p>
    <w:p>
      <w:pPr>
        <w:pStyle w:val="Heading5"/>
        <w:tabs>
          <w:tab w:pos="2180" w:val="left" w:leader="none"/>
        </w:tabs>
        <w:spacing w:line="240" w:lineRule="auto" w:before="36"/>
        <w:ind w:left="920" w:right="0"/>
        <w:jc w:val="left"/>
        <w:rPr>
          <w:b w:val="0"/>
          <w:bCs w:val="0"/>
        </w:rPr>
      </w:pPr>
      <w:r>
        <w:rPr/>
        <w:t>（三十一）</w:t>
        <w:tab/>
        <w:t>财务费用</w:t>
      </w:r>
      <w:r>
        <w:rPr>
          <w:b w:val="0"/>
          <w:bCs w:val="0"/>
        </w:rPr>
      </w:r>
    </w:p>
    <w:p>
      <w:pPr>
        <w:spacing w:line="240" w:lineRule="auto" w:before="1"/>
        <w:rPr>
          <w:rFonts w:ascii="宋体" w:hAnsi="宋体" w:cs="宋体" w:eastAsia="宋体" w:hint="default"/>
          <w:b/>
          <w:bCs/>
          <w:sz w:val="19"/>
          <w:szCs w:val="19"/>
        </w:rPr>
      </w:pPr>
    </w:p>
    <w:tbl>
      <w:tblPr>
        <w:tblW w:w="0" w:type="auto"/>
        <w:jc w:val="left"/>
        <w:tblInd w:w="471" w:type="dxa"/>
        <w:tblLayout w:type="fixed"/>
        <w:tblCellMar>
          <w:top w:w="0" w:type="dxa"/>
          <w:left w:w="0" w:type="dxa"/>
          <w:bottom w:w="0" w:type="dxa"/>
          <w:right w:w="0" w:type="dxa"/>
        </w:tblCellMar>
        <w:tblLook w:val="01E0"/>
      </w:tblPr>
      <w:tblGrid>
        <w:gridCol w:w="3975"/>
        <w:gridCol w:w="2340"/>
        <w:gridCol w:w="2520"/>
      </w:tblGrid>
      <w:tr>
        <w:trPr>
          <w:trHeight w:val="391" w:hRule="exact"/>
        </w:trPr>
        <w:tc>
          <w:tcPr>
            <w:tcW w:w="397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37"/>
              <w:ind w:right="1790"/>
              <w:jc w:val="right"/>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7"/>
              <w:ind w:left="7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37"/>
              <w:ind w:left="7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472"/>
              <w:jc w:val="right"/>
              <w:rPr>
                <w:rFonts w:ascii="Times New Roman" w:hAnsi="Times New Roman" w:cs="Times New Roman" w:eastAsia="Times New Roman" w:hint="default"/>
                <w:sz w:val="18"/>
                <w:szCs w:val="18"/>
              </w:rPr>
            </w:pPr>
            <w:r>
              <w:rPr>
                <w:rFonts w:ascii="Times New Roman"/>
                <w:spacing w:val="-1"/>
                <w:sz w:val="18"/>
              </w:rPr>
              <w:t>395,300.00</w:t>
            </w:r>
          </w:p>
        </w:tc>
        <w:tc>
          <w:tcPr>
            <w:tcW w:w="25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1"/>
              <w:ind w:right="482"/>
              <w:jc w:val="right"/>
              <w:rPr>
                <w:rFonts w:ascii="Times New Roman" w:hAnsi="Times New Roman" w:cs="Times New Roman" w:eastAsia="Times New Roman" w:hint="default"/>
                <w:sz w:val="18"/>
                <w:szCs w:val="18"/>
              </w:rPr>
            </w:pPr>
            <w:r>
              <w:rPr>
                <w:rFonts w:ascii="Times New Roman"/>
                <w:spacing w:val="-1"/>
                <w:sz w:val="18"/>
              </w:rPr>
              <w:t>2,337,939.66</w:t>
            </w:r>
          </w:p>
        </w:tc>
      </w:tr>
      <w:tr>
        <w:trPr>
          <w:trHeight w:val="396" w:hRule="exact"/>
        </w:trPr>
        <w:tc>
          <w:tcPr>
            <w:tcW w:w="3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475"/>
              <w:jc w:val="right"/>
              <w:rPr>
                <w:rFonts w:ascii="Times New Roman" w:hAnsi="Times New Roman" w:cs="Times New Roman" w:eastAsia="Times New Roman" w:hint="default"/>
                <w:sz w:val="18"/>
                <w:szCs w:val="18"/>
              </w:rPr>
            </w:pPr>
            <w:r>
              <w:rPr>
                <w:rFonts w:ascii="Times New Roman"/>
                <w:spacing w:val="-1"/>
                <w:sz w:val="18"/>
              </w:rPr>
              <w:t>5,751,342.72</w:t>
            </w:r>
          </w:p>
        </w:tc>
        <w:tc>
          <w:tcPr>
            <w:tcW w:w="25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right="484"/>
              <w:jc w:val="right"/>
              <w:rPr>
                <w:rFonts w:ascii="Times New Roman" w:hAnsi="Times New Roman" w:cs="Times New Roman" w:eastAsia="Times New Roman" w:hint="default"/>
                <w:sz w:val="18"/>
                <w:szCs w:val="18"/>
              </w:rPr>
            </w:pPr>
            <w:r>
              <w:rPr>
                <w:rFonts w:ascii="Times New Roman"/>
                <w:spacing w:val="-1"/>
                <w:sz w:val="18"/>
              </w:rPr>
              <w:t>792,521.66</w:t>
            </w:r>
          </w:p>
        </w:tc>
      </w:tr>
      <w:tr>
        <w:trPr>
          <w:trHeight w:val="396" w:hRule="exact"/>
        </w:trPr>
        <w:tc>
          <w:tcPr>
            <w:tcW w:w="39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475"/>
              <w:jc w:val="right"/>
              <w:rPr>
                <w:rFonts w:ascii="Times New Roman" w:hAnsi="Times New Roman" w:cs="Times New Roman" w:eastAsia="Times New Roman" w:hint="default"/>
                <w:sz w:val="18"/>
                <w:szCs w:val="18"/>
              </w:rPr>
            </w:pPr>
            <w:r>
              <w:rPr>
                <w:rFonts w:ascii="Times New Roman"/>
                <w:spacing w:val="-1"/>
                <w:sz w:val="18"/>
              </w:rPr>
              <w:t>90,429.96</w:t>
            </w:r>
          </w:p>
        </w:tc>
        <w:tc>
          <w:tcPr>
            <w:tcW w:w="25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1"/>
              <w:ind w:right="484"/>
              <w:jc w:val="right"/>
              <w:rPr>
                <w:rFonts w:ascii="Times New Roman" w:hAnsi="Times New Roman" w:cs="Times New Roman" w:eastAsia="Times New Roman" w:hint="default"/>
                <w:sz w:val="18"/>
                <w:szCs w:val="18"/>
              </w:rPr>
            </w:pPr>
            <w:r>
              <w:rPr>
                <w:rFonts w:ascii="Times New Roman"/>
                <w:spacing w:val="-1"/>
                <w:sz w:val="18"/>
              </w:rPr>
              <w:t>118,971.17</w:t>
            </w:r>
          </w:p>
        </w:tc>
      </w:tr>
      <w:tr>
        <w:trPr>
          <w:trHeight w:val="403" w:hRule="exact"/>
        </w:trPr>
        <w:tc>
          <w:tcPr>
            <w:tcW w:w="397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4"/>
              <w:ind w:right="1790"/>
              <w:jc w:val="right"/>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1"/>
              <w:ind w:right="474"/>
              <w:jc w:val="right"/>
              <w:rPr>
                <w:rFonts w:ascii="Times New Roman" w:hAnsi="Times New Roman" w:cs="Times New Roman" w:eastAsia="Times New Roman" w:hint="default"/>
                <w:sz w:val="18"/>
                <w:szCs w:val="18"/>
              </w:rPr>
            </w:pPr>
            <w:r>
              <w:rPr>
                <w:rFonts w:ascii="Times New Roman"/>
                <w:spacing w:val="-1"/>
                <w:sz w:val="18"/>
              </w:rPr>
              <w:t>-5,265,612.76</w:t>
            </w:r>
          </w:p>
        </w:tc>
        <w:tc>
          <w:tcPr>
            <w:tcW w:w="252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81"/>
              <w:ind w:right="482"/>
              <w:jc w:val="right"/>
              <w:rPr>
                <w:rFonts w:ascii="Times New Roman" w:hAnsi="Times New Roman" w:cs="Times New Roman" w:eastAsia="Times New Roman" w:hint="default"/>
                <w:sz w:val="18"/>
                <w:szCs w:val="18"/>
              </w:rPr>
            </w:pPr>
            <w:r>
              <w:rPr>
                <w:rFonts w:ascii="Times New Roman"/>
                <w:spacing w:val="-1"/>
                <w:sz w:val="18"/>
              </w:rPr>
              <w:t>1,664,389.17</w:t>
            </w:r>
          </w:p>
        </w:tc>
      </w:tr>
    </w:tbl>
    <w:p>
      <w:pPr>
        <w:spacing w:line="240" w:lineRule="auto" w:before="10"/>
        <w:rPr>
          <w:rFonts w:ascii="宋体" w:hAnsi="宋体" w:cs="宋体" w:eastAsia="宋体" w:hint="default"/>
          <w:b/>
          <w:bCs/>
          <w:sz w:val="12"/>
          <w:szCs w:val="12"/>
        </w:rPr>
      </w:pPr>
    </w:p>
    <w:p>
      <w:pPr>
        <w:pStyle w:val="Heading5"/>
        <w:tabs>
          <w:tab w:pos="2180" w:val="left" w:leader="none"/>
        </w:tabs>
        <w:spacing w:line="240" w:lineRule="auto" w:before="36"/>
        <w:ind w:left="920" w:right="0"/>
        <w:jc w:val="left"/>
        <w:rPr>
          <w:b w:val="0"/>
          <w:bCs w:val="0"/>
        </w:rPr>
      </w:pPr>
      <w:r>
        <w:rPr/>
        <w:t>（三十二）</w:t>
        <w:tab/>
        <w:t>资产减值损失</w:t>
      </w:r>
      <w:r>
        <w:rPr>
          <w:b w:val="0"/>
          <w:bCs w:val="0"/>
        </w:rPr>
      </w:r>
    </w:p>
    <w:p>
      <w:pPr>
        <w:spacing w:line="240" w:lineRule="auto" w:before="0"/>
        <w:rPr>
          <w:rFonts w:ascii="宋体" w:hAnsi="宋体" w:cs="宋体" w:eastAsia="宋体" w:hint="default"/>
          <w:b/>
          <w:bCs/>
          <w:sz w:val="19"/>
          <w:szCs w:val="19"/>
        </w:rPr>
      </w:pPr>
    </w:p>
    <w:tbl>
      <w:tblPr>
        <w:tblW w:w="0" w:type="auto"/>
        <w:jc w:val="left"/>
        <w:tblInd w:w="202" w:type="dxa"/>
        <w:tblLayout w:type="fixed"/>
        <w:tblCellMar>
          <w:top w:w="0" w:type="dxa"/>
          <w:left w:w="0" w:type="dxa"/>
          <w:bottom w:w="0" w:type="dxa"/>
          <w:right w:w="0" w:type="dxa"/>
        </w:tblCellMar>
        <w:tblLook w:val="01E0"/>
      </w:tblPr>
      <w:tblGrid>
        <w:gridCol w:w="4433"/>
        <w:gridCol w:w="2067"/>
        <w:gridCol w:w="2360"/>
      </w:tblGrid>
      <w:tr>
        <w:trPr>
          <w:trHeight w:val="362" w:hRule="exact"/>
        </w:trPr>
        <w:tc>
          <w:tcPr>
            <w:tcW w:w="443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right="2021"/>
              <w:jc w:val="right"/>
              <w:rPr>
                <w:rFonts w:ascii="宋体" w:hAnsi="宋体" w:cs="宋体" w:eastAsia="宋体" w:hint="default"/>
                <w:sz w:val="18"/>
                <w:szCs w:val="18"/>
              </w:rPr>
            </w:pPr>
            <w:r>
              <w:rPr>
                <w:rFonts w:ascii="宋体" w:hAnsi="宋体" w:cs="宋体" w:eastAsia="宋体" w:hint="default"/>
                <w:sz w:val="18"/>
                <w:szCs w:val="18"/>
              </w:rPr>
              <w:t>项目</w:t>
            </w:r>
          </w:p>
        </w:tc>
        <w:tc>
          <w:tcPr>
            <w:tcW w:w="20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3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5,365,868.82</w:t>
            </w:r>
          </w:p>
        </w:tc>
        <w:tc>
          <w:tcPr>
            <w:tcW w:w="23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1,046,881.07</w:t>
            </w:r>
          </w:p>
        </w:tc>
      </w:tr>
      <w:tr>
        <w:trPr>
          <w:trHeight w:val="356"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067" w:type="dxa"/>
            <w:tcBorders>
              <w:top w:val="single" w:sz="6" w:space="0" w:color="000000"/>
              <w:left w:val="single" w:sz="6" w:space="0" w:color="000000"/>
              <w:bottom w:val="single" w:sz="6" w:space="0" w:color="000000"/>
              <w:right w:val="single" w:sz="6" w:space="0" w:color="000000"/>
            </w:tcBorders>
          </w:tcPr>
          <w:p>
            <w:pPr/>
          </w:p>
        </w:tc>
        <w:tc>
          <w:tcPr>
            <w:tcW w:w="236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67" w:type="dxa"/>
            <w:tcBorders>
              <w:top w:val="single" w:sz="6" w:space="0" w:color="000000"/>
              <w:left w:val="single" w:sz="6" w:space="0" w:color="000000"/>
              <w:bottom w:val="single" w:sz="6" w:space="0" w:color="000000"/>
              <w:right w:val="single" w:sz="6" w:space="0" w:color="000000"/>
            </w:tcBorders>
          </w:tcPr>
          <w:p>
            <w:pPr/>
          </w:p>
        </w:tc>
        <w:tc>
          <w:tcPr>
            <w:tcW w:w="236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443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right="2021"/>
              <w:jc w:val="right"/>
              <w:rPr>
                <w:rFonts w:ascii="宋体" w:hAnsi="宋体" w:cs="宋体" w:eastAsia="宋体" w:hint="default"/>
                <w:sz w:val="18"/>
                <w:szCs w:val="18"/>
              </w:rPr>
            </w:pPr>
            <w:r>
              <w:rPr>
                <w:rFonts w:ascii="宋体" w:hAnsi="宋体" w:cs="宋体" w:eastAsia="宋体" w:hint="default"/>
                <w:sz w:val="18"/>
                <w:szCs w:val="18"/>
              </w:rPr>
              <w:t>合计</w:t>
            </w:r>
          </w:p>
        </w:tc>
        <w:tc>
          <w:tcPr>
            <w:tcW w:w="20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5,365,868.82</w:t>
            </w:r>
          </w:p>
        </w:tc>
        <w:tc>
          <w:tcPr>
            <w:tcW w:w="23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1,046,881.07</w:t>
            </w:r>
          </w:p>
        </w:tc>
      </w:tr>
    </w:tbl>
    <w:p>
      <w:pPr>
        <w:pStyle w:val="Heading5"/>
        <w:tabs>
          <w:tab w:pos="2180" w:val="left" w:leader="none"/>
        </w:tabs>
        <w:spacing w:line="240" w:lineRule="auto" w:before="23"/>
        <w:ind w:left="920" w:right="0"/>
        <w:jc w:val="left"/>
        <w:rPr>
          <w:b w:val="0"/>
          <w:bCs w:val="0"/>
        </w:rPr>
      </w:pPr>
      <w:r>
        <w:rPr/>
        <w:t>（三十三）</w:t>
        <w:tab/>
        <w:t>营业外收入</w:t>
      </w:r>
      <w:r>
        <w:rPr>
          <w:b w:val="0"/>
          <w:bCs w:val="0"/>
        </w:rPr>
      </w:r>
    </w:p>
    <w:p>
      <w:pPr>
        <w:spacing w:line="240" w:lineRule="auto" w:before="0"/>
        <w:rPr>
          <w:rFonts w:ascii="宋体" w:hAnsi="宋体" w:cs="宋体" w:eastAsia="宋体" w:hint="default"/>
          <w:b/>
          <w:bCs/>
          <w:sz w:val="19"/>
          <w:szCs w:val="19"/>
        </w:rPr>
      </w:pPr>
    </w:p>
    <w:tbl>
      <w:tblPr>
        <w:tblW w:w="0" w:type="auto"/>
        <w:jc w:val="left"/>
        <w:tblInd w:w="118" w:type="dxa"/>
        <w:tblLayout w:type="fixed"/>
        <w:tblCellMar>
          <w:top w:w="0" w:type="dxa"/>
          <w:left w:w="0" w:type="dxa"/>
          <w:bottom w:w="0" w:type="dxa"/>
          <w:right w:w="0" w:type="dxa"/>
        </w:tblCellMar>
        <w:tblLook w:val="01E0"/>
      </w:tblPr>
      <w:tblGrid>
        <w:gridCol w:w="2938"/>
        <w:gridCol w:w="2108"/>
        <w:gridCol w:w="2098"/>
        <w:gridCol w:w="1884"/>
      </w:tblGrid>
      <w:tr>
        <w:trPr>
          <w:trHeight w:val="490" w:hRule="exact"/>
        </w:trPr>
        <w:tc>
          <w:tcPr>
            <w:tcW w:w="293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595"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098"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7"/>
              <w:ind w:left="590"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884" w:type="dxa"/>
            <w:tcBorders>
              <w:top w:val="single" w:sz="12" w:space="0" w:color="000000"/>
              <w:left w:val="single" w:sz="4" w:space="0" w:color="000000"/>
              <w:bottom w:val="single" w:sz="6" w:space="0" w:color="000000"/>
              <w:right w:val="nil" w:sz="6" w:space="0" w:color="auto"/>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计入</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年当期非经</w:t>
            </w:r>
          </w:p>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常性损益的金额</w:t>
            </w:r>
          </w:p>
        </w:tc>
      </w:tr>
      <w:tr>
        <w:trPr>
          <w:trHeight w:val="413" w:hRule="exact"/>
        </w:trPr>
        <w:tc>
          <w:tcPr>
            <w:tcW w:w="2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增值税超税负返还收入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12,576,040.24</w:t>
            </w:r>
          </w:p>
        </w:tc>
        <w:tc>
          <w:tcPr>
            <w:tcW w:w="20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pacing w:val="-1"/>
                <w:sz w:val="18"/>
              </w:rPr>
              <w:t>4,796,189.07</w:t>
            </w:r>
          </w:p>
        </w:tc>
        <w:tc>
          <w:tcPr>
            <w:tcW w:w="1884" w:type="dxa"/>
            <w:tcBorders>
              <w:top w:val="single" w:sz="6" w:space="0" w:color="000000"/>
              <w:left w:val="single" w:sz="4" w:space="0" w:color="000000"/>
              <w:bottom w:val="single" w:sz="6" w:space="0" w:color="000000"/>
              <w:right w:val="nil" w:sz="6" w:space="0" w:color="auto"/>
            </w:tcBorders>
          </w:tcPr>
          <w:p>
            <w:pPr/>
          </w:p>
        </w:tc>
      </w:tr>
      <w:tr>
        <w:trPr>
          <w:trHeight w:val="410" w:hRule="exact"/>
        </w:trPr>
        <w:tc>
          <w:tcPr>
            <w:tcW w:w="2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w w:val="95"/>
                <w:sz w:val="18"/>
              </w:rPr>
              <w:t>1,545.38</w:t>
            </w:r>
          </w:p>
        </w:tc>
        <w:tc>
          <w:tcPr>
            <w:tcW w:w="20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pacing w:val="-1"/>
                <w:sz w:val="18"/>
              </w:rPr>
              <w:t>21,459.56</w:t>
            </w: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1"/>
              <w:ind w:right="518"/>
              <w:jc w:val="right"/>
              <w:rPr>
                <w:rFonts w:ascii="Times New Roman" w:hAnsi="Times New Roman" w:cs="Times New Roman" w:eastAsia="Times New Roman" w:hint="default"/>
                <w:sz w:val="18"/>
                <w:szCs w:val="18"/>
              </w:rPr>
            </w:pPr>
            <w:r>
              <w:rPr>
                <w:rFonts w:ascii="Times New Roman"/>
                <w:w w:val="95"/>
                <w:sz w:val="18"/>
              </w:rPr>
              <w:t>1,545.38</w:t>
            </w:r>
          </w:p>
        </w:tc>
      </w:tr>
      <w:tr>
        <w:trPr>
          <w:trHeight w:val="413" w:hRule="exact"/>
        </w:trPr>
        <w:tc>
          <w:tcPr>
            <w:tcW w:w="2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1,270,000.00</w:t>
            </w:r>
          </w:p>
        </w:tc>
        <w:tc>
          <w:tcPr>
            <w:tcW w:w="20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pacing w:val="-1"/>
                <w:sz w:val="18"/>
              </w:rPr>
              <w:t>4,794,800.00</w:t>
            </w: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1"/>
              <w:ind w:right="518"/>
              <w:jc w:val="right"/>
              <w:rPr>
                <w:rFonts w:ascii="Times New Roman" w:hAnsi="Times New Roman" w:cs="Times New Roman" w:eastAsia="Times New Roman" w:hint="default"/>
                <w:sz w:val="18"/>
                <w:szCs w:val="18"/>
              </w:rPr>
            </w:pPr>
            <w:r>
              <w:rPr>
                <w:rFonts w:ascii="Times New Roman"/>
                <w:spacing w:val="-1"/>
                <w:sz w:val="18"/>
              </w:rPr>
              <w:t>1,270,000.00</w:t>
            </w:r>
          </w:p>
        </w:tc>
      </w:tr>
      <w:tr>
        <w:trPr>
          <w:trHeight w:val="413" w:hRule="exact"/>
        </w:trPr>
        <w:tc>
          <w:tcPr>
            <w:tcW w:w="2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递延收益结转收入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3,400,000.00</w:t>
            </w:r>
          </w:p>
        </w:tc>
        <w:tc>
          <w:tcPr>
            <w:tcW w:w="20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pacing w:val="-1"/>
                <w:sz w:val="18"/>
              </w:rPr>
              <w:t>6,200,000.00</w:t>
            </w: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1"/>
              <w:ind w:right="518"/>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11" w:hRule="exact"/>
        </w:trPr>
        <w:tc>
          <w:tcPr>
            <w:tcW w:w="29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pacing w:val="-1"/>
                <w:sz w:val="18"/>
              </w:rPr>
              <w:t>38,429.68</w:t>
            </w:r>
          </w:p>
        </w:tc>
        <w:tc>
          <w:tcPr>
            <w:tcW w:w="20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pacing w:val="-1"/>
                <w:sz w:val="18"/>
              </w:rPr>
              <w:t>27,740.00</w:t>
            </w:r>
          </w:p>
        </w:tc>
        <w:tc>
          <w:tcPr>
            <w:tcW w:w="18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1"/>
              <w:ind w:right="518"/>
              <w:jc w:val="right"/>
              <w:rPr>
                <w:rFonts w:ascii="Times New Roman" w:hAnsi="Times New Roman" w:cs="Times New Roman" w:eastAsia="Times New Roman" w:hint="default"/>
                <w:sz w:val="18"/>
                <w:szCs w:val="18"/>
              </w:rPr>
            </w:pPr>
            <w:r>
              <w:rPr>
                <w:rFonts w:ascii="Times New Roman"/>
                <w:spacing w:val="-1"/>
                <w:sz w:val="18"/>
              </w:rPr>
              <w:t>38,429.68</w:t>
            </w:r>
          </w:p>
        </w:tc>
      </w:tr>
      <w:tr>
        <w:trPr>
          <w:trHeight w:val="422" w:hRule="exact"/>
        </w:trPr>
        <w:tc>
          <w:tcPr>
            <w:tcW w:w="293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3"/>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17,286,015.30</w:t>
            </w:r>
          </w:p>
        </w:tc>
        <w:tc>
          <w:tcPr>
            <w:tcW w:w="209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91"/>
              <w:ind w:right="511"/>
              <w:jc w:val="right"/>
              <w:rPr>
                <w:rFonts w:ascii="Times New Roman" w:hAnsi="Times New Roman" w:cs="Times New Roman" w:eastAsia="Times New Roman" w:hint="default"/>
                <w:sz w:val="18"/>
                <w:szCs w:val="18"/>
              </w:rPr>
            </w:pPr>
            <w:r>
              <w:rPr>
                <w:rFonts w:ascii="Times New Roman"/>
                <w:spacing w:val="-1"/>
                <w:sz w:val="18"/>
              </w:rPr>
              <w:t>15,840,188.63</w:t>
            </w:r>
          </w:p>
        </w:tc>
        <w:tc>
          <w:tcPr>
            <w:tcW w:w="1884"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91"/>
              <w:ind w:right="518"/>
              <w:jc w:val="right"/>
              <w:rPr>
                <w:rFonts w:ascii="Times New Roman" w:hAnsi="Times New Roman" w:cs="Times New Roman" w:eastAsia="Times New Roman" w:hint="default"/>
                <w:sz w:val="18"/>
                <w:szCs w:val="18"/>
              </w:rPr>
            </w:pPr>
            <w:r>
              <w:rPr>
                <w:rFonts w:ascii="Times New Roman"/>
                <w:spacing w:val="-1"/>
                <w:sz w:val="18"/>
              </w:rPr>
              <w:t>4,709,975.06</w:t>
            </w:r>
          </w:p>
        </w:tc>
      </w:tr>
    </w:tbl>
    <w:p>
      <w:pPr>
        <w:pStyle w:val="BodyText"/>
        <w:spacing w:line="331" w:lineRule="auto" w:before="74"/>
        <w:ind w:left="500" w:right="0" w:firstLine="539"/>
        <w:jc w:val="left"/>
      </w:pPr>
      <w:r>
        <w:rPr/>
        <w:t>（</w:t>
      </w:r>
      <w:r>
        <w:rPr>
          <w:rFonts w:ascii="Times New Roman" w:hAnsi="Times New Roman" w:cs="Times New Roman" w:eastAsia="Times New Roman" w:hint="default"/>
        </w:rPr>
        <w:t>1</w:t>
      </w:r>
      <w:r>
        <w:rPr/>
        <w:t>）增值税超税负返还收入：</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9</w:t>
      </w:r>
      <w:r>
        <w:rPr/>
        <w:t>月，公司经河南省信息产业厅、河南省国家税</w:t>
      </w:r>
      <w:r>
        <w:rPr>
          <w:w w:val="100"/>
        </w:rPr>
        <w:t> </w:t>
      </w:r>
      <w:r>
        <w:rPr/>
        <w:t>务局、河南省地方税务局联合下发的豫信</w:t>
      </w:r>
      <w:r>
        <w:rPr>
          <w:rFonts w:ascii="Times New Roman" w:hAnsi="Times New Roman" w:cs="Times New Roman" w:eastAsia="Times New Roman" w:hint="default"/>
        </w:rPr>
        <w:t>[2003]48</w:t>
      </w:r>
      <w:r>
        <w:rPr/>
        <w:t>号文批准为软件企业，根据国务院国发</w:t>
      </w:r>
      <w:r>
        <w:rPr>
          <w:w w:val="100"/>
        </w:rPr>
        <w:t> </w:t>
      </w:r>
      <w:r>
        <w:rPr>
          <w:rFonts w:ascii="Times New Roman" w:hAnsi="Times New Roman" w:cs="Times New Roman" w:eastAsia="Times New Roman" w:hint="default"/>
        </w:rPr>
        <w:t>[2000]18</w:t>
      </w:r>
      <w:r>
        <w:rPr/>
        <w:t>号文《关于印发鼓励软件企业和集成电路产业发展若干政策的通知》的规定，对增</w:t>
      </w:r>
      <w:r>
        <w:rPr>
          <w:w w:val="100"/>
        </w:rPr>
        <w:t> </w:t>
      </w:r>
      <w:r>
        <w:rPr>
          <w:spacing w:val="-3"/>
        </w:rPr>
        <w:t>值税一般纳税人销售其自行开发生产的软件产品，实际税负超过</w:t>
      </w:r>
      <w:r>
        <w:rPr>
          <w:rFonts w:ascii="Times New Roman" w:hAnsi="Times New Roman" w:cs="Times New Roman" w:eastAsia="Times New Roman" w:hint="default"/>
          <w:spacing w:val="-3"/>
        </w:rPr>
        <w:t>3%</w:t>
      </w:r>
      <w:r>
        <w:rPr>
          <w:spacing w:val="-3"/>
        </w:rPr>
        <w:t>的部分即征即退。其中：</w:t>
      </w:r>
      <w:r>
        <w:rPr>
          <w:spacing w:val="-47"/>
        </w:rPr>
        <w:t> </w:t>
      </w:r>
      <w:r>
        <w:rPr>
          <w:spacing w:val="-47"/>
        </w:rPr>
      </w:r>
      <w:r>
        <w:rPr>
          <w:rFonts w:ascii="Times New Roman" w:hAnsi="Times New Roman" w:cs="Times New Roman" w:eastAsia="Times New Roman" w:hint="default"/>
        </w:rPr>
        <w:t>2010</w:t>
      </w:r>
      <w:r>
        <w:rPr/>
        <w:t>年度增值税超税负返还收入中包含收到的</w:t>
      </w:r>
      <w:r>
        <w:rPr>
          <w:rFonts w:ascii="Times New Roman" w:hAnsi="Times New Roman" w:cs="Times New Roman" w:eastAsia="Times New Roman" w:hint="default"/>
        </w:rPr>
        <w:t>2009</w:t>
      </w:r>
      <w:r>
        <w:rPr/>
        <w:t>年度应退部分</w:t>
      </w:r>
      <w:r>
        <w:rPr>
          <w:rFonts w:ascii="Times New Roman" w:hAnsi="Times New Roman" w:cs="Times New Roman" w:eastAsia="Times New Roman" w:hint="default"/>
        </w:rPr>
        <w:t>3,259,771.40</w:t>
      </w:r>
      <w:r>
        <w:rPr/>
        <w:t>元</w:t>
      </w:r>
      <w:r>
        <w:rPr>
          <w:sz w:val="18"/>
          <w:szCs w:val="18"/>
        </w:rPr>
        <w:t>。</w:t>
      </w:r>
      <w:r>
        <w:rPr>
          <w:rFonts w:ascii="Times New Roman" w:hAnsi="Times New Roman" w:cs="Times New Roman" w:eastAsia="Times New Roman" w:hint="default"/>
        </w:rPr>
        <w:t>2009</w:t>
      </w:r>
      <w:r>
        <w:rPr/>
        <w:t>年度</w:t>
      </w:r>
      <w:r>
        <w:rPr>
          <w:w w:val="100"/>
        </w:rPr>
        <w:t> </w:t>
      </w:r>
      <w:r>
        <w:rPr/>
        <w:t>增值税超税负返还收入中包含收到的</w:t>
      </w:r>
      <w:r>
        <w:rPr>
          <w:rFonts w:ascii="Times New Roman" w:hAnsi="Times New Roman" w:cs="Times New Roman" w:eastAsia="Times New Roman" w:hint="default"/>
        </w:rPr>
        <w:t>2008</w:t>
      </w:r>
      <w:r>
        <w:rPr/>
        <w:t>年度应退部分</w:t>
      </w:r>
      <w:r>
        <w:rPr>
          <w:rFonts w:ascii="Times New Roman" w:hAnsi="Times New Roman" w:cs="Times New Roman" w:eastAsia="Times New Roman" w:hint="default"/>
        </w:rPr>
        <w:t>2,235,296.62</w:t>
      </w:r>
      <w:r>
        <w:rPr/>
        <w:t>元。</w:t>
      </w:r>
    </w:p>
    <w:p>
      <w:pPr>
        <w:pStyle w:val="BodyText"/>
        <w:spacing w:line="331" w:lineRule="auto" w:before="141"/>
        <w:ind w:left="500" w:right="0" w:firstLine="539"/>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2009</w:t>
      </w:r>
      <w:r>
        <w:rPr>
          <w:spacing w:val="-3"/>
        </w:rPr>
        <w:t>年度取得政府补助</w:t>
      </w:r>
      <w:r>
        <w:rPr>
          <w:rFonts w:ascii="Times New Roman" w:hAnsi="Times New Roman" w:cs="Times New Roman" w:eastAsia="Times New Roman" w:hint="default"/>
          <w:spacing w:val="-3"/>
        </w:rPr>
        <w:t>4,794,800.00</w:t>
      </w:r>
      <w:r>
        <w:rPr>
          <w:spacing w:val="-3"/>
        </w:rPr>
        <w:t>元，系根据郑开管</w:t>
      </w:r>
      <w:r>
        <w:rPr>
          <w:rFonts w:ascii="Times New Roman" w:hAnsi="Times New Roman" w:cs="Times New Roman" w:eastAsia="Times New Roman" w:hint="default"/>
          <w:spacing w:val="-3"/>
        </w:rPr>
        <w:t>[2009]17</w:t>
      </w:r>
      <w:r>
        <w:rPr>
          <w:spacing w:val="-3"/>
        </w:rPr>
        <w:t>号文件，收到郑州</w:t>
      </w:r>
      <w:r>
        <w:rPr>
          <w:w w:val="100"/>
        </w:rPr>
        <w:t> </w:t>
      </w:r>
      <w:r>
        <w:rPr/>
        <w:t>高新技术产业开发区管理委员会拨付的</w:t>
      </w:r>
      <w:r>
        <w:rPr>
          <w:rFonts w:ascii="Times New Roman" w:hAnsi="Times New Roman" w:cs="Times New Roman" w:eastAsia="Times New Roman" w:hint="default"/>
        </w:rPr>
        <w:t>2008</w:t>
      </w:r>
      <w:r>
        <w:rPr/>
        <w:t>年度上市企业和股份制改造企业奖励金</w:t>
      </w:r>
      <w:r>
        <w:rPr>
          <w:w w:val="100"/>
        </w:rPr>
        <w:t> </w:t>
      </w:r>
      <w:r>
        <w:rPr>
          <w:rFonts w:ascii="Times New Roman" w:hAnsi="Times New Roman" w:cs="Times New Roman" w:eastAsia="Times New Roman" w:hint="default"/>
          <w:spacing w:val="-3"/>
        </w:rPr>
        <w:t>2,500,000.00</w:t>
      </w:r>
      <w:r>
        <w:rPr>
          <w:spacing w:val="-3"/>
        </w:rPr>
        <w:t>元；根据郑开管</w:t>
      </w:r>
      <w:r>
        <w:rPr>
          <w:rFonts w:ascii="Times New Roman" w:hAnsi="Times New Roman" w:cs="Times New Roman" w:eastAsia="Times New Roman" w:hint="default"/>
          <w:spacing w:val="-3"/>
        </w:rPr>
        <w:t>[2008]79</w:t>
      </w:r>
      <w:r>
        <w:rPr>
          <w:spacing w:val="-3"/>
        </w:rPr>
        <w:t>号文件，公司收到郑州高新技术产业开发区管理委员会</w:t>
      </w:r>
      <w:r>
        <w:rPr>
          <w:spacing w:val="-35"/>
        </w:rPr>
        <w:t> </w:t>
      </w:r>
      <w:r>
        <w:rPr>
          <w:spacing w:val="-35"/>
        </w:rPr>
      </w:r>
      <w:r>
        <w:rPr>
          <w:spacing w:val="-3"/>
        </w:rPr>
        <w:t>拨付的</w:t>
      </w:r>
      <w:r>
        <w:rPr>
          <w:rFonts w:ascii="Times New Roman" w:hAnsi="Times New Roman" w:cs="Times New Roman" w:eastAsia="Times New Roman" w:hint="default"/>
          <w:spacing w:val="-3"/>
        </w:rPr>
        <w:t>CMMI</w:t>
      </w:r>
      <w:r>
        <w:rPr>
          <w:spacing w:val="-3"/>
        </w:rPr>
        <w:t>认证奖励金</w:t>
      </w:r>
      <w:r>
        <w:rPr>
          <w:rFonts w:ascii="Times New Roman" w:hAnsi="Times New Roman" w:cs="Times New Roman" w:eastAsia="Times New Roman" w:hint="default"/>
          <w:spacing w:val="-3"/>
        </w:rPr>
        <w:t>300,000.00</w:t>
      </w:r>
      <w:r>
        <w:rPr>
          <w:spacing w:val="-3"/>
        </w:rPr>
        <w:t>元。根据郑州市人民政府文件，郑政文（</w:t>
      </w:r>
      <w:r>
        <w:rPr>
          <w:rFonts w:ascii="Times New Roman" w:hAnsi="Times New Roman" w:cs="Times New Roman" w:eastAsia="Times New Roman" w:hint="default"/>
          <w:spacing w:val="-3"/>
        </w:rPr>
        <w:t>2009</w:t>
      </w:r>
      <w:r>
        <w:rPr>
          <w:spacing w:val="-3"/>
        </w:rPr>
        <w:t>）</w:t>
      </w:r>
      <w:r>
        <w:rPr>
          <w:rFonts w:ascii="Times New Roman" w:hAnsi="Times New Roman" w:cs="Times New Roman" w:eastAsia="Times New Roman" w:hint="default"/>
          <w:spacing w:val="-3"/>
        </w:rPr>
        <w:t>269</w:t>
      </w:r>
      <w:r>
        <w:rPr>
          <w:spacing w:val="-3"/>
        </w:rPr>
        <w:t>号文</w:t>
      </w:r>
      <w:r>
        <w:rPr>
          <w:spacing w:val="-17"/>
        </w:rPr>
        <w:t> </w:t>
      </w:r>
      <w:r>
        <w:rPr/>
        <w:t>件，公司收到政府拨付关于上市表彰奖励</w:t>
      </w:r>
      <w:r>
        <w:rPr>
          <w:rFonts w:ascii="Times New Roman" w:hAnsi="Times New Roman" w:cs="Times New Roman" w:eastAsia="Times New Roman" w:hint="default"/>
        </w:rPr>
        <w:t>1,500,000.00</w:t>
      </w:r>
      <w:r>
        <w:rPr/>
        <w:t>元；根据郑州高新技术产业开发区管</w:t>
      </w:r>
      <w:r>
        <w:rPr>
          <w:w w:val="100"/>
        </w:rPr>
        <w:t> </w:t>
      </w:r>
      <w:r>
        <w:rPr>
          <w:spacing w:val="-4"/>
        </w:rPr>
        <w:t>委会文件，郑开管（</w:t>
      </w:r>
      <w:r>
        <w:rPr>
          <w:rFonts w:ascii="Times New Roman" w:hAnsi="Times New Roman" w:cs="Times New Roman" w:eastAsia="Times New Roman" w:hint="default"/>
          <w:spacing w:val="-4"/>
        </w:rPr>
        <w:t>2009</w:t>
      </w:r>
      <w:r>
        <w:rPr>
          <w:spacing w:val="-4"/>
        </w:rPr>
        <w:t>）</w:t>
      </w:r>
      <w:r>
        <w:rPr>
          <w:rFonts w:ascii="Times New Roman" w:hAnsi="Times New Roman" w:cs="Times New Roman" w:eastAsia="Times New Roman" w:hint="default"/>
          <w:spacing w:val="-4"/>
        </w:rPr>
        <w:t>64</w:t>
      </w:r>
      <w:r>
        <w:rPr>
          <w:spacing w:val="-4"/>
        </w:rPr>
        <w:t>号文件，公司收到郑州市高新技术产业开发区管委会表彰</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年第二季度销售收入快速增长企业奖励</w:t>
      </w:r>
      <w:r>
        <w:rPr>
          <w:rFonts w:ascii="Times New Roman" w:hAnsi="Times New Roman" w:cs="Times New Roman" w:eastAsia="Times New Roman" w:hint="default"/>
        </w:rPr>
        <w:t>100,000.00</w:t>
      </w:r>
      <w:r>
        <w:rPr/>
        <w:t>元；根据郑州市财政局文件郑财办预</w:t>
      </w:r>
    </w:p>
    <w:p>
      <w:pPr>
        <w:spacing w:after="0" w:line="331" w:lineRule="auto"/>
        <w:jc w:val="left"/>
        <w:sectPr>
          <w:pgSz w:w="11910" w:h="16840"/>
          <w:pgMar w:header="852" w:footer="1186" w:top="1200" w:bottom="1380" w:left="1300" w:right="1140"/>
        </w:sectPr>
      </w:pPr>
    </w:p>
    <w:p>
      <w:pPr>
        <w:spacing w:line="240" w:lineRule="auto" w:before="6"/>
        <w:rPr>
          <w:rFonts w:ascii="宋体" w:hAnsi="宋体" w:cs="宋体" w:eastAsia="宋体" w:hint="default"/>
          <w:sz w:val="20"/>
          <w:szCs w:val="20"/>
        </w:rPr>
      </w:pPr>
    </w:p>
    <w:p>
      <w:pPr>
        <w:pStyle w:val="BodyText"/>
        <w:spacing w:line="331" w:lineRule="auto" w:before="36"/>
        <w:ind w:left="420" w:right="409"/>
        <w:jc w:val="left"/>
      </w:pPr>
      <w:r>
        <w:rPr>
          <w:rFonts w:ascii="Times New Roman" w:hAnsi="Times New Roman" w:cs="Times New Roman" w:eastAsia="Times New Roman" w:hint="default"/>
        </w:rPr>
        <w:t>[2009]276</w:t>
      </w:r>
      <w:r>
        <w:rPr/>
        <w:t>号文件，公司收到郑州市财政局拔付的贷款贴息补助</w:t>
      </w:r>
      <w:r>
        <w:rPr>
          <w:rFonts w:ascii="Times New Roman" w:hAnsi="Times New Roman" w:cs="Times New Roman" w:eastAsia="Times New Roman" w:hint="default"/>
        </w:rPr>
        <w:t>240,000.00</w:t>
      </w:r>
      <w:r>
        <w:rPr/>
        <w:t>元；根据郑文</w:t>
      </w:r>
      <w:r>
        <w:rPr>
          <w:w w:val="100"/>
        </w:rPr>
        <w:t> </w:t>
      </w:r>
      <w:r>
        <w:rPr>
          <w:rFonts w:ascii="Times New Roman" w:hAnsi="Times New Roman" w:cs="Times New Roman" w:eastAsia="Times New Roman" w:hint="default"/>
          <w:spacing w:val="-2"/>
        </w:rPr>
        <w:t>[2009]168</w:t>
      </w:r>
      <w:r>
        <w:rPr>
          <w:spacing w:val="-2"/>
        </w:rPr>
        <w:t>号文，公司被中共郑州市委评为高成长型民营企业，并收到奖励郑州日产帕拉丁</w:t>
      </w:r>
      <w:r>
        <w:rPr>
          <w:spacing w:val="-24"/>
        </w:rPr>
        <w:t> </w:t>
      </w:r>
      <w:r>
        <w:rPr>
          <w:spacing w:val="-24"/>
        </w:rPr>
      </w:r>
      <w:r>
        <w:rPr/>
        <w:t>一辆，车辆价值为</w:t>
      </w:r>
      <w:r>
        <w:rPr>
          <w:rFonts w:ascii="Times New Roman" w:hAnsi="Times New Roman" w:cs="Times New Roman" w:eastAsia="Times New Roman" w:hint="default"/>
        </w:rPr>
        <w:t>154,800.00</w:t>
      </w:r>
      <w:r>
        <w:rPr/>
        <w:t>元。</w:t>
      </w:r>
    </w:p>
    <w:p>
      <w:pPr>
        <w:pStyle w:val="BodyText"/>
        <w:spacing w:line="331" w:lineRule="auto" w:before="141"/>
        <w:ind w:left="420" w:right="413" w:firstLine="539"/>
        <w:jc w:val="both"/>
      </w:pPr>
      <w:r>
        <w:rPr>
          <w:rFonts w:ascii="Times New Roman" w:hAnsi="Times New Roman" w:cs="Times New Roman" w:eastAsia="Times New Roman" w:hint="default"/>
          <w:spacing w:val="-2"/>
        </w:rPr>
        <w:t>2010</w:t>
      </w:r>
      <w:r>
        <w:rPr>
          <w:spacing w:val="-2"/>
        </w:rPr>
        <w:t>年度取得政府补助</w:t>
      </w:r>
      <w:r>
        <w:rPr>
          <w:rFonts w:ascii="Times New Roman" w:hAnsi="Times New Roman" w:cs="Times New Roman" w:eastAsia="Times New Roman" w:hint="default"/>
          <w:spacing w:val="-2"/>
        </w:rPr>
        <w:t>1,270,000.00</w:t>
      </w:r>
      <w:r>
        <w:rPr>
          <w:spacing w:val="-2"/>
        </w:rPr>
        <w:t>元，系根据郑开管</w:t>
      </w:r>
      <w:r>
        <w:rPr>
          <w:rFonts w:ascii="Times New Roman" w:hAnsi="Times New Roman" w:cs="Times New Roman" w:eastAsia="Times New Roman" w:hint="default"/>
          <w:spacing w:val="-2"/>
        </w:rPr>
        <w:t>[2010]16</w:t>
      </w:r>
      <w:r>
        <w:rPr>
          <w:spacing w:val="-2"/>
        </w:rPr>
        <w:t>号文件，公司收到郑州</w:t>
      </w:r>
      <w:r>
        <w:rPr>
          <w:w w:val="100"/>
        </w:rPr>
        <w:t> </w:t>
      </w:r>
      <w:r>
        <w:rPr>
          <w:spacing w:val="-2"/>
        </w:rPr>
        <w:t>高新技术产业开发区管理委员会拨付的奖励金</w:t>
      </w:r>
      <w:r>
        <w:rPr>
          <w:rFonts w:ascii="Times New Roman" w:hAnsi="Times New Roman" w:cs="Times New Roman" w:eastAsia="Times New Roman" w:hint="default"/>
          <w:spacing w:val="-2"/>
        </w:rPr>
        <w:t>800,000</w:t>
      </w:r>
      <w:r>
        <w:rPr>
          <w:spacing w:val="-2"/>
        </w:rPr>
        <w:t>元；根据财政部文件财企</w:t>
      </w:r>
      <w:r>
        <w:rPr>
          <w:rFonts w:ascii="Times New Roman" w:hAnsi="Times New Roman" w:cs="Times New Roman" w:eastAsia="Times New Roman" w:hint="default"/>
          <w:spacing w:val="-2"/>
        </w:rPr>
        <w:t>[2009]317</w:t>
      </w:r>
      <w:r>
        <w:rPr>
          <w:spacing w:val="-2"/>
        </w:rPr>
        <w:t>号</w:t>
      </w:r>
      <w:r>
        <w:rPr>
          <w:spacing w:val="-16"/>
        </w:rPr>
        <w:t> </w:t>
      </w:r>
      <w:r>
        <w:rPr>
          <w:spacing w:val="-2"/>
        </w:rPr>
        <w:t>文件，公司收到郑州市财政局拔付的</w:t>
      </w:r>
      <w:r>
        <w:rPr>
          <w:rFonts w:ascii="Times New Roman" w:hAnsi="Times New Roman" w:cs="Times New Roman" w:eastAsia="Times New Roman" w:hint="default"/>
          <w:spacing w:val="-2"/>
        </w:rPr>
        <w:t>09</w:t>
      </w:r>
      <w:r>
        <w:rPr>
          <w:spacing w:val="-2"/>
        </w:rPr>
        <w:t>年度服务外包业务发展资金</w:t>
      </w:r>
      <w:r>
        <w:rPr>
          <w:rFonts w:ascii="Times New Roman" w:hAnsi="Times New Roman" w:cs="Times New Roman" w:eastAsia="Times New Roman" w:hint="default"/>
          <w:spacing w:val="-2"/>
        </w:rPr>
        <w:t>360,000.00</w:t>
      </w:r>
      <w:r>
        <w:rPr>
          <w:spacing w:val="-2"/>
        </w:rPr>
        <w:t>元；根据公司</w:t>
      </w:r>
      <w:r>
        <w:rPr>
          <w:spacing w:val="-20"/>
        </w:rPr>
        <w:t> </w:t>
      </w:r>
      <w:r>
        <w:rPr>
          <w:spacing w:val="-20"/>
        </w:rPr>
      </w:r>
      <w:r>
        <w:rPr>
          <w:spacing w:val="-4"/>
          <w:w w:val="100"/>
        </w:rPr>
        <w:t>与河南省科学技术厅签订的科技型中小企业技术创新基金贷款贴息项目合同，公司</w:t>
      </w:r>
      <w:r>
        <w:rPr>
          <w:rFonts w:ascii="Times New Roman" w:hAnsi="Times New Roman" w:cs="Times New Roman" w:eastAsia="Times New Roman" w:hint="default"/>
          <w:spacing w:val="-4"/>
          <w:w w:val="100"/>
        </w:rPr>
        <w:t>2010</w:t>
      </w:r>
      <w:r>
        <w:rPr>
          <w:spacing w:val="-4"/>
          <w:w w:val="100"/>
        </w:rPr>
        <w:t>年度</w:t>
      </w:r>
      <w:r>
        <w:rPr>
          <w:spacing w:val="-91"/>
          <w:w w:val="100"/>
        </w:rPr>
        <w:t> </w:t>
      </w:r>
      <w:r>
        <w:rPr/>
        <w:t>收到郑州市财政局拔付的科技型中小企业技术创新基金贷款贴息</w:t>
      </w:r>
      <w:r>
        <w:rPr>
          <w:rFonts w:ascii="Times New Roman" w:hAnsi="Times New Roman" w:cs="Times New Roman" w:eastAsia="Times New Roman" w:hint="default"/>
        </w:rPr>
        <w:t>110,000.00</w:t>
      </w:r>
      <w:r>
        <w:rPr/>
        <w:t>元。</w:t>
      </w:r>
    </w:p>
    <w:p>
      <w:pPr>
        <w:pStyle w:val="BodyText"/>
        <w:spacing w:line="240" w:lineRule="auto" w:before="67"/>
        <w:ind w:left="840" w:right="409"/>
        <w:jc w:val="left"/>
      </w:pPr>
      <w:r>
        <w:rPr>
          <w:w w:val="100"/>
        </w:rPr>
        <w:t>（</w:t>
      </w:r>
      <w:r>
        <w:rPr>
          <w:rFonts w:ascii="Times New Roman" w:hAnsi="Times New Roman" w:cs="Times New Roman" w:eastAsia="Times New Roman" w:hint="default"/>
          <w:w w:val="100"/>
        </w:rPr>
        <w:t>3</w:t>
      </w:r>
      <w:r>
        <w:rPr>
          <w:spacing w:val="-3"/>
          <w:w w:val="100"/>
        </w:rPr>
        <w:t>）</w:t>
      </w:r>
      <w:r>
        <w:rPr>
          <w:w w:val="100"/>
        </w:rPr>
        <w:t>递</w:t>
      </w:r>
      <w:r>
        <w:rPr>
          <w:spacing w:val="-3"/>
          <w:w w:val="100"/>
        </w:rPr>
        <w:t>延</w:t>
      </w:r>
      <w:r>
        <w:rPr>
          <w:w w:val="100"/>
        </w:rPr>
        <w:t>收</w:t>
      </w:r>
      <w:r>
        <w:rPr>
          <w:spacing w:val="-3"/>
          <w:w w:val="100"/>
        </w:rPr>
        <w:t>益</w:t>
      </w:r>
      <w:r>
        <w:rPr>
          <w:w w:val="100"/>
        </w:rPr>
        <w:t>结</w:t>
      </w:r>
      <w:r>
        <w:rPr>
          <w:spacing w:val="-3"/>
          <w:w w:val="100"/>
        </w:rPr>
        <w:t>转</w:t>
      </w:r>
      <w:r>
        <w:rPr>
          <w:w w:val="100"/>
        </w:rPr>
        <w:t>收</w:t>
      </w:r>
      <w:r>
        <w:rPr>
          <w:spacing w:val="-3"/>
          <w:w w:val="100"/>
        </w:rPr>
        <w:t>入，</w:t>
      </w:r>
      <w:r>
        <w:rPr>
          <w:w w:val="100"/>
        </w:rPr>
        <w:t>具体</w:t>
      </w:r>
      <w:r>
        <w:rPr>
          <w:spacing w:val="-3"/>
          <w:w w:val="100"/>
        </w:rPr>
        <w:t>情</w:t>
      </w:r>
      <w:r>
        <w:rPr>
          <w:w w:val="100"/>
        </w:rPr>
        <w:t>况</w:t>
      </w:r>
      <w:r>
        <w:rPr>
          <w:spacing w:val="-3"/>
          <w:w w:val="100"/>
        </w:rPr>
        <w:t>见</w:t>
      </w:r>
      <w:r>
        <w:rPr>
          <w:w w:val="100"/>
        </w:rPr>
        <w:t>本</w:t>
      </w:r>
      <w:r>
        <w:rPr>
          <w:spacing w:val="-3"/>
          <w:w w:val="100"/>
        </w:rPr>
        <w:t>附</w:t>
      </w:r>
      <w:r>
        <w:rPr>
          <w:w w:val="100"/>
        </w:rPr>
        <w:t>之</w:t>
      </w:r>
      <w:r>
        <w:rPr>
          <w:spacing w:val="-3"/>
          <w:w w:val="100"/>
        </w:rPr>
        <w:t>五</w:t>
      </w:r>
      <w:r>
        <w:rPr>
          <w:spacing w:val="-106"/>
          <w:w w:val="100"/>
        </w:rPr>
        <w:t>、</w:t>
      </w:r>
      <w:r>
        <w:rPr>
          <w:spacing w:val="-3"/>
          <w:w w:val="100"/>
        </w:rPr>
        <w:t>（二</w:t>
      </w:r>
      <w:r>
        <w:rPr>
          <w:w w:val="100"/>
        </w:rPr>
        <w:t>十二</w:t>
      </w:r>
      <w:r>
        <w:rPr>
          <w:spacing w:val="-3"/>
          <w:w w:val="100"/>
        </w:rPr>
        <w:t>）</w:t>
      </w:r>
      <w:r>
        <w:rPr>
          <w:w w:val="100"/>
        </w:rPr>
        <w:t>其</w:t>
      </w:r>
      <w:r>
        <w:rPr>
          <w:spacing w:val="-3"/>
          <w:w w:val="100"/>
        </w:rPr>
        <w:t>他</w:t>
      </w:r>
      <w:r>
        <w:rPr>
          <w:w w:val="100"/>
        </w:rPr>
        <w:t>非</w:t>
      </w:r>
      <w:r>
        <w:rPr>
          <w:spacing w:val="-3"/>
          <w:w w:val="100"/>
        </w:rPr>
        <w:t>流</w:t>
      </w:r>
      <w:r>
        <w:rPr>
          <w:w w:val="100"/>
        </w:rPr>
        <w:t>动</w:t>
      </w:r>
      <w:r>
        <w:rPr>
          <w:spacing w:val="-3"/>
          <w:w w:val="100"/>
        </w:rPr>
        <w:t>负</w:t>
      </w:r>
      <w:r>
        <w:rPr>
          <w:w w:val="100"/>
        </w:rPr>
        <w:t>债。</w:t>
      </w:r>
    </w:p>
    <w:p>
      <w:pPr>
        <w:pStyle w:val="Heading5"/>
        <w:tabs>
          <w:tab w:pos="2100" w:val="left" w:leader="none"/>
        </w:tabs>
        <w:spacing w:line="240" w:lineRule="auto" w:before="177"/>
        <w:ind w:left="840" w:right="409"/>
        <w:jc w:val="left"/>
        <w:rPr>
          <w:b w:val="0"/>
          <w:bCs w:val="0"/>
        </w:rPr>
      </w:pPr>
      <w:r>
        <w:rPr/>
        <w:t>（三十四）</w:t>
        <w:tab/>
        <w:t>营业外支出</w:t>
      </w:r>
      <w:r>
        <w:rPr>
          <w:b w:val="0"/>
          <w:bCs w:val="0"/>
        </w:rPr>
      </w:r>
    </w:p>
    <w:p>
      <w:pPr>
        <w:spacing w:line="240" w:lineRule="auto" w:before="12"/>
        <w:rPr>
          <w:rFonts w:ascii="宋体" w:hAnsi="宋体" w:cs="宋体" w:eastAsia="宋体" w:hint="default"/>
          <w:b/>
          <w:bCs/>
          <w:sz w:val="18"/>
          <w:szCs w:val="18"/>
        </w:rPr>
      </w:pPr>
    </w:p>
    <w:tbl>
      <w:tblPr>
        <w:tblW w:w="0" w:type="auto"/>
        <w:jc w:val="left"/>
        <w:tblInd w:w="103" w:type="dxa"/>
        <w:tblLayout w:type="fixed"/>
        <w:tblCellMar>
          <w:top w:w="0" w:type="dxa"/>
          <w:left w:w="0" w:type="dxa"/>
          <w:bottom w:w="0" w:type="dxa"/>
          <w:right w:w="0" w:type="dxa"/>
        </w:tblCellMar>
        <w:tblLook w:val="01E0"/>
      </w:tblPr>
      <w:tblGrid>
        <w:gridCol w:w="2669"/>
        <w:gridCol w:w="2076"/>
        <w:gridCol w:w="2074"/>
        <w:gridCol w:w="2076"/>
      </w:tblGrid>
      <w:tr>
        <w:trPr>
          <w:trHeight w:val="490" w:hRule="exact"/>
        </w:trPr>
        <w:tc>
          <w:tcPr>
            <w:tcW w:w="26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58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074"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7"/>
              <w:ind w:left="581"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076" w:type="dxa"/>
            <w:tcBorders>
              <w:top w:val="single" w:sz="12" w:space="0" w:color="000000"/>
              <w:left w:val="single" w:sz="4" w:space="0" w:color="000000"/>
              <w:bottom w:val="single" w:sz="6" w:space="0" w:color="000000"/>
              <w:right w:val="nil" w:sz="6" w:space="0" w:color="auto"/>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计入</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年当期非经常</w:t>
            </w:r>
          </w:p>
          <w:p>
            <w:pPr>
              <w:pStyle w:val="TableParagraph"/>
              <w:spacing w:line="227" w:lineRule="exact"/>
              <w:ind w:right="5"/>
              <w:jc w:val="center"/>
              <w:rPr>
                <w:rFonts w:ascii="宋体" w:hAnsi="宋体" w:cs="宋体" w:eastAsia="宋体" w:hint="default"/>
                <w:sz w:val="18"/>
                <w:szCs w:val="18"/>
              </w:rPr>
            </w:pPr>
            <w:r>
              <w:rPr>
                <w:rFonts w:ascii="宋体" w:hAnsi="宋体" w:cs="宋体" w:eastAsia="宋体" w:hint="default"/>
                <w:sz w:val="18"/>
                <w:szCs w:val="18"/>
              </w:rPr>
              <w:t>性损益的金额</w:t>
            </w:r>
          </w:p>
        </w:tc>
      </w:tr>
      <w:tr>
        <w:trPr>
          <w:trHeight w:val="413" w:hRule="exact"/>
        </w:trPr>
        <w:tc>
          <w:tcPr>
            <w:tcW w:w="26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w w:val="95"/>
                <w:sz w:val="18"/>
              </w:rPr>
              <w:t>1,191.76</w:t>
            </w:r>
          </w:p>
        </w:tc>
        <w:tc>
          <w:tcPr>
            <w:tcW w:w="2074" w:type="dxa"/>
            <w:tcBorders>
              <w:top w:val="single" w:sz="6" w:space="0" w:color="000000"/>
              <w:left w:val="single" w:sz="6" w:space="0" w:color="000000"/>
              <w:bottom w:val="single" w:sz="6" w:space="0" w:color="000000"/>
              <w:right w:val="single" w:sz="4" w:space="0" w:color="000000"/>
            </w:tcBorders>
          </w:tcPr>
          <w:p>
            <w:pPr/>
          </w:p>
        </w:tc>
        <w:tc>
          <w:tcPr>
            <w:tcW w:w="207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1"/>
              <w:ind w:right="285"/>
              <w:jc w:val="right"/>
              <w:rPr>
                <w:rFonts w:ascii="Times New Roman" w:hAnsi="Times New Roman" w:cs="Times New Roman" w:eastAsia="Times New Roman" w:hint="default"/>
                <w:sz w:val="18"/>
                <w:szCs w:val="18"/>
              </w:rPr>
            </w:pPr>
            <w:r>
              <w:rPr>
                <w:rFonts w:ascii="Times New Roman"/>
                <w:w w:val="95"/>
                <w:sz w:val="18"/>
              </w:rPr>
              <w:t>1,191.76</w:t>
            </w:r>
          </w:p>
        </w:tc>
      </w:tr>
      <w:tr>
        <w:trPr>
          <w:trHeight w:val="413" w:hRule="exact"/>
        </w:trPr>
        <w:tc>
          <w:tcPr>
            <w:tcW w:w="26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w w:val="95"/>
                <w:sz w:val="18"/>
              </w:rPr>
              <w:t>1,191.76</w:t>
            </w:r>
          </w:p>
        </w:tc>
        <w:tc>
          <w:tcPr>
            <w:tcW w:w="2074" w:type="dxa"/>
            <w:tcBorders>
              <w:top w:val="single" w:sz="6" w:space="0" w:color="000000"/>
              <w:left w:val="single" w:sz="6" w:space="0" w:color="000000"/>
              <w:bottom w:val="single" w:sz="6" w:space="0" w:color="000000"/>
              <w:right w:val="single" w:sz="4" w:space="0" w:color="000000"/>
            </w:tcBorders>
          </w:tcPr>
          <w:p>
            <w:pPr/>
          </w:p>
        </w:tc>
        <w:tc>
          <w:tcPr>
            <w:tcW w:w="207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1"/>
              <w:ind w:right="285"/>
              <w:jc w:val="right"/>
              <w:rPr>
                <w:rFonts w:ascii="Times New Roman" w:hAnsi="Times New Roman" w:cs="Times New Roman" w:eastAsia="Times New Roman" w:hint="default"/>
                <w:sz w:val="18"/>
                <w:szCs w:val="18"/>
              </w:rPr>
            </w:pPr>
            <w:r>
              <w:rPr>
                <w:rFonts w:ascii="Times New Roman"/>
                <w:w w:val="95"/>
                <w:sz w:val="18"/>
              </w:rPr>
              <w:t>1,191.76</w:t>
            </w:r>
          </w:p>
        </w:tc>
      </w:tr>
      <w:tr>
        <w:trPr>
          <w:trHeight w:val="410" w:hRule="exact"/>
        </w:trPr>
        <w:tc>
          <w:tcPr>
            <w:tcW w:w="26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2076"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8"/>
              <w:ind w:right="400"/>
              <w:jc w:val="right"/>
              <w:rPr>
                <w:rFonts w:ascii="Times New Roman" w:hAnsi="Times New Roman" w:cs="Times New Roman" w:eastAsia="Times New Roman" w:hint="default"/>
                <w:sz w:val="18"/>
                <w:szCs w:val="18"/>
              </w:rPr>
            </w:pPr>
            <w:r>
              <w:rPr>
                <w:rFonts w:ascii="Times New Roman"/>
                <w:spacing w:val="-1"/>
                <w:sz w:val="18"/>
              </w:rPr>
              <w:t>50.00</w:t>
            </w:r>
          </w:p>
        </w:tc>
        <w:tc>
          <w:tcPr>
            <w:tcW w:w="2076" w:type="dxa"/>
            <w:tcBorders>
              <w:top w:val="single" w:sz="6" w:space="0" w:color="000000"/>
              <w:left w:val="single" w:sz="4" w:space="0" w:color="000000"/>
              <w:bottom w:val="single" w:sz="6" w:space="0" w:color="000000"/>
              <w:right w:val="nil" w:sz="6" w:space="0" w:color="auto"/>
            </w:tcBorders>
          </w:tcPr>
          <w:p>
            <w:pPr/>
          </w:p>
        </w:tc>
      </w:tr>
      <w:tr>
        <w:trPr>
          <w:trHeight w:val="413" w:hRule="exact"/>
        </w:trPr>
        <w:tc>
          <w:tcPr>
            <w:tcW w:w="26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公益救济性捐赠</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77"/>
              <w:jc w:val="right"/>
              <w:rPr>
                <w:rFonts w:ascii="Times New Roman" w:hAnsi="Times New Roman" w:cs="Times New Roman" w:eastAsia="Times New Roman" w:hint="default"/>
                <w:sz w:val="18"/>
                <w:szCs w:val="18"/>
              </w:rPr>
            </w:pPr>
            <w:r>
              <w:rPr>
                <w:rFonts w:ascii="Times New Roman"/>
                <w:spacing w:val="-1"/>
                <w:sz w:val="18"/>
              </w:rPr>
              <w:t>1,100,000.00</w:t>
            </w:r>
          </w:p>
        </w:tc>
        <w:tc>
          <w:tcPr>
            <w:tcW w:w="2074" w:type="dxa"/>
            <w:tcBorders>
              <w:top w:val="single" w:sz="6" w:space="0" w:color="000000"/>
              <w:left w:val="single" w:sz="6" w:space="0" w:color="000000"/>
              <w:bottom w:val="single" w:sz="6" w:space="0" w:color="000000"/>
              <w:right w:val="single" w:sz="4" w:space="0" w:color="000000"/>
            </w:tcBorders>
          </w:tcPr>
          <w:p>
            <w:pPr/>
          </w:p>
        </w:tc>
        <w:tc>
          <w:tcPr>
            <w:tcW w:w="207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1"/>
              <w:ind w:right="285"/>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20" w:hRule="exact"/>
        </w:trPr>
        <w:tc>
          <w:tcPr>
            <w:tcW w:w="26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spacing w:val="-1"/>
                <w:sz w:val="18"/>
              </w:rPr>
              <w:t>1,101,191.76</w:t>
            </w:r>
          </w:p>
        </w:tc>
        <w:tc>
          <w:tcPr>
            <w:tcW w:w="207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91"/>
              <w:ind w:right="400"/>
              <w:jc w:val="right"/>
              <w:rPr>
                <w:rFonts w:ascii="Times New Roman" w:hAnsi="Times New Roman" w:cs="Times New Roman" w:eastAsia="Times New Roman" w:hint="default"/>
                <w:sz w:val="18"/>
                <w:szCs w:val="18"/>
              </w:rPr>
            </w:pPr>
            <w:r>
              <w:rPr>
                <w:rFonts w:ascii="Times New Roman"/>
                <w:sz w:val="18"/>
              </w:rPr>
              <w:t>50.00</w:t>
            </w:r>
          </w:p>
        </w:tc>
        <w:tc>
          <w:tcPr>
            <w:tcW w:w="207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91"/>
              <w:ind w:right="285"/>
              <w:jc w:val="right"/>
              <w:rPr>
                <w:rFonts w:ascii="Times New Roman" w:hAnsi="Times New Roman" w:cs="Times New Roman" w:eastAsia="Times New Roman" w:hint="default"/>
                <w:sz w:val="18"/>
                <w:szCs w:val="18"/>
              </w:rPr>
            </w:pPr>
            <w:r>
              <w:rPr>
                <w:rFonts w:ascii="Times New Roman"/>
                <w:spacing w:val="-1"/>
                <w:sz w:val="18"/>
              </w:rPr>
              <w:t>1,101,191.76</w:t>
            </w:r>
          </w:p>
        </w:tc>
      </w:tr>
    </w:tbl>
    <w:p>
      <w:pPr>
        <w:spacing w:line="240" w:lineRule="auto" w:before="10"/>
        <w:rPr>
          <w:rFonts w:ascii="宋体" w:hAnsi="宋体" w:cs="宋体" w:eastAsia="宋体" w:hint="default"/>
          <w:b/>
          <w:bCs/>
          <w:sz w:val="12"/>
          <w:szCs w:val="12"/>
        </w:rPr>
      </w:pPr>
    </w:p>
    <w:p>
      <w:pPr>
        <w:tabs>
          <w:tab w:pos="2100" w:val="left" w:leader="none"/>
        </w:tabs>
        <w:spacing w:line="427" w:lineRule="auto" w:before="36"/>
        <w:ind w:left="840" w:right="5781" w:firstLine="0"/>
        <w:jc w:val="left"/>
        <w:rPr>
          <w:rFonts w:ascii="宋体" w:hAnsi="宋体" w:cs="宋体" w:eastAsia="宋体" w:hint="default"/>
          <w:sz w:val="21"/>
          <w:szCs w:val="21"/>
        </w:rPr>
      </w:pPr>
      <w:r>
        <w:rPr>
          <w:rFonts w:ascii="宋体" w:hAnsi="宋体" w:cs="宋体" w:eastAsia="宋体" w:hint="default"/>
          <w:b/>
          <w:bCs/>
          <w:sz w:val="21"/>
          <w:szCs w:val="21"/>
        </w:rPr>
        <w:t>（三十五）</w:t>
        <w:tab/>
        <w:t>所得税费用</w:t>
      </w:r>
      <w:r>
        <w:rPr>
          <w:rFonts w:ascii="宋体" w:hAnsi="宋体" w:cs="宋体" w:eastAsia="宋体" w:hint="default"/>
          <w:b/>
          <w:bCs/>
          <w:w w:val="100"/>
          <w:sz w:val="21"/>
          <w:szCs w:val="21"/>
        </w:rPr>
        <w:t> </w:t>
      </w:r>
      <w:r>
        <w:rPr>
          <w:rFonts w:ascii="宋体" w:hAnsi="宋体" w:cs="宋体" w:eastAsia="宋体" w:hint="default"/>
          <w:spacing w:val="-2"/>
          <w:sz w:val="21"/>
          <w:szCs w:val="21"/>
        </w:rPr>
        <w:t>所得税费用（收益）的组成</w:t>
      </w:r>
    </w:p>
    <w:tbl>
      <w:tblPr>
        <w:tblW w:w="0" w:type="auto"/>
        <w:jc w:val="left"/>
        <w:tblInd w:w="122" w:type="dxa"/>
        <w:tblLayout w:type="fixed"/>
        <w:tblCellMar>
          <w:top w:w="0" w:type="dxa"/>
          <w:left w:w="0" w:type="dxa"/>
          <w:bottom w:w="0" w:type="dxa"/>
          <w:right w:w="0" w:type="dxa"/>
        </w:tblCellMar>
        <w:tblLook w:val="01E0"/>
      </w:tblPr>
      <w:tblGrid>
        <w:gridCol w:w="3944"/>
        <w:gridCol w:w="2295"/>
        <w:gridCol w:w="2621"/>
      </w:tblGrid>
      <w:tr>
        <w:trPr>
          <w:trHeight w:val="362"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69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851"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5"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3"/>
              <w:jc w:val="right"/>
              <w:rPr>
                <w:rFonts w:ascii="Times New Roman" w:hAnsi="Times New Roman" w:cs="Times New Roman" w:eastAsia="Times New Roman" w:hint="default"/>
                <w:sz w:val="18"/>
                <w:szCs w:val="18"/>
              </w:rPr>
            </w:pPr>
            <w:r>
              <w:rPr>
                <w:rFonts w:ascii="Times New Roman"/>
                <w:spacing w:val="-1"/>
                <w:sz w:val="18"/>
              </w:rPr>
              <w:t>13,429,511.38</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432"/>
              <w:jc w:val="right"/>
              <w:rPr>
                <w:rFonts w:ascii="Times New Roman" w:hAnsi="Times New Roman" w:cs="Times New Roman" w:eastAsia="Times New Roman" w:hint="default"/>
                <w:sz w:val="18"/>
                <w:szCs w:val="18"/>
              </w:rPr>
            </w:pPr>
            <w:r>
              <w:rPr>
                <w:rFonts w:ascii="Times New Roman"/>
                <w:spacing w:val="-1"/>
                <w:sz w:val="18"/>
              </w:rPr>
              <w:t>4,232,881.45</w:t>
            </w:r>
          </w:p>
        </w:tc>
      </w:tr>
      <w:tr>
        <w:trPr>
          <w:trHeight w:val="355"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2"/>
              <w:jc w:val="right"/>
              <w:rPr>
                <w:rFonts w:ascii="Times New Roman" w:hAnsi="Times New Roman" w:cs="Times New Roman" w:eastAsia="Times New Roman" w:hint="default"/>
                <w:sz w:val="18"/>
                <w:szCs w:val="18"/>
              </w:rPr>
            </w:pPr>
            <w:r>
              <w:rPr>
                <w:rFonts w:ascii="Times New Roman"/>
                <w:spacing w:val="-1"/>
                <w:sz w:val="18"/>
              </w:rPr>
              <w:t>-2,228,115.62</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432"/>
              <w:jc w:val="right"/>
              <w:rPr>
                <w:rFonts w:ascii="Times New Roman" w:hAnsi="Times New Roman" w:cs="Times New Roman" w:eastAsia="Times New Roman" w:hint="default"/>
                <w:sz w:val="18"/>
                <w:szCs w:val="18"/>
              </w:rPr>
            </w:pPr>
            <w:r>
              <w:rPr>
                <w:rFonts w:ascii="Times New Roman"/>
                <w:spacing w:val="-1"/>
                <w:sz w:val="18"/>
              </w:rPr>
              <w:t>3,256,608.67</w:t>
            </w:r>
          </w:p>
        </w:tc>
      </w:tr>
      <w:tr>
        <w:trPr>
          <w:trHeight w:val="362"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423"/>
              <w:jc w:val="right"/>
              <w:rPr>
                <w:rFonts w:ascii="Times New Roman" w:hAnsi="Times New Roman" w:cs="Times New Roman" w:eastAsia="Times New Roman" w:hint="default"/>
                <w:sz w:val="18"/>
                <w:szCs w:val="18"/>
              </w:rPr>
            </w:pPr>
            <w:r>
              <w:rPr>
                <w:rFonts w:ascii="Times New Roman"/>
                <w:spacing w:val="-1"/>
                <w:sz w:val="18"/>
              </w:rPr>
              <w:t>11,201,395.76</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432"/>
              <w:jc w:val="right"/>
              <w:rPr>
                <w:rFonts w:ascii="Times New Roman" w:hAnsi="Times New Roman" w:cs="Times New Roman" w:eastAsia="Times New Roman" w:hint="default"/>
                <w:sz w:val="18"/>
                <w:szCs w:val="18"/>
              </w:rPr>
            </w:pPr>
            <w:r>
              <w:rPr>
                <w:rFonts w:ascii="Times New Roman"/>
                <w:spacing w:val="-1"/>
                <w:sz w:val="18"/>
              </w:rPr>
              <w:t>7,489,490.12</w:t>
            </w:r>
          </w:p>
        </w:tc>
      </w:tr>
    </w:tbl>
    <w:p>
      <w:pPr>
        <w:spacing w:line="240" w:lineRule="auto" w:before="1"/>
        <w:rPr>
          <w:rFonts w:ascii="宋体" w:hAnsi="宋体" w:cs="宋体" w:eastAsia="宋体" w:hint="default"/>
          <w:sz w:val="13"/>
          <w:szCs w:val="13"/>
        </w:rPr>
      </w:pPr>
    </w:p>
    <w:p>
      <w:pPr>
        <w:tabs>
          <w:tab w:pos="2100" w:val="left" w:leader="none"/>
        </w:tabs>
        <w:spacing w:line="427" w:lineRule="auto" w:before="36"/>
        <w:ind w:left="840" w:right="411" w:firstLine="0"/>
        <w:jc w:val="left"/>
        <w:rPr>
          <w:rFonts w:ascii="宋体" w:hAnsi="宋体" w:cs="宋体" w:eastAsia="宋体" w:hint="default"/>
          <w:sz w:val="21"/>
          <w:szCs w:val="21"/>
        </w:rPr>
      </w:pPr>
      <w:r>
        <w:rPr>
          <w:rFonts w:ascii="宋体" w:hAnsi="宋体" w:cs="宋体" w:eastAsia="宋体" w:hint="default"/>
          <w:b/>
          <w:bCs/>
          <w:sz w:val="21"/>
          <w:szCs w:val="21"/>
        </w:rPr>
        <w:t>（三十六）</w:t>
        <w:tab/>
        <w:t>基本每股收益和稀释每股收益的计算过程</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本公司按照中国证监会《公开发行证券的公司信息披露编报规则第</w:t>
      </w:r>
      <w:r>
        <w:rPr>
          <w:rFonts w:ascii="宋体" w:hAnsi="宋体" w:cs="宋体" w:eastAsia="宋体" w:hint="default"/>
          <w:spacing w:val="-44"/>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
          <w:w w:val="100"/>
          <w:sz w:val="21"/>
          <w:szCs w:val="21"/>
        </w:rPr>
        <w:t>号</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净资产收益</w:t>
      </w:r>
    </w:p>
    <w:p>
      <w:pPr>
        <w:pStyle w:val="BodyText"/>
        <w:spacing w:line="227" w:lineRule="exact"/>
        <w:ind w:left="420" w:right="0"/>
        <w:jc w:val="left"/>
      </w:pPr>
      <w:r>
        <w:rPr>
          <w:w w:val="100"/>
        </w:rPr>
        <w:t>率和</w:t>
      </w:r>
      <w:r>
        <w:rPr>
          <w:spacing w:val="-3"/>
          <w:w w:val="100"/>
        </w:rPr>
        <w:t>每</w:t>
      </w:r>
      <w:r>
        <w:rPr>
          <w:w w:val="100"/>
        </w:rPr>
        <w:t>股</w:t>
      </w:r>
      <w:r>
        <w:rPr>
          <w:spacing w:val="-3"/>
          <w:w w:val="100"/>
        </w:rPr>
        <w:t>收</w:t>
      </w:r>
      <w:r>
        <w:rPr>
          <w:w w:val="100"/>
        </w:rPr>
        <w:t>益</w:t>
      </w:r>
      <w:r>
        <w:rPr>
          <w:spacing w:val="-3"/>
          <w:w w:val="100"/>
        </w:rPr>
        <w:t>的</w:t>
      </w:r>
      <w:r>
        <w:rPr>
          <w:w w:val="100"/>
        </w:rPr>
        <w:t>计</w:t>
      </w:r>
      <w:r>
        <w:rPr>
          <w:spacing w:val="-3"/>
          <w:w w:val="100"/>
        </w:rPr>
        <w:t>算</w:t>
      </w:r>
      <w:r>
        <w:rPr>
          <w:w w:val="100"/>
        </w:rPr>
        <w:t>及</w:t>
      </w:r>
      <w:r>
        <w:rPr>
          <w:spacing w:val="-3"/>
          <w:w w:val="100"/>
        </w:rPr>
        <w:t>披</w:t>
      </w:r>
      <w:r>
        <w:rPr>
          <w:w w:val="100"/>
        </w:rPr>
        <w:t>露（</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spacing w:val="-3"/>
          <w:w w:val="100"/>
        </w:rPr>
        <w:t>年</w:t>
      </w:r>
      <w:r>
        <w:rPr>
          <w:w w:val="100"/>
        </w:rPr>
        <w:t>修订</w:t>
      </w:r>
      <w:r>
        <w:rPr>
          <w:spacing w:val="-108"/>
          <w:w w:val="100"/>
        </w:rPr>
        <w:t>）</w:t>
      </w:r>
      <w:r>
        <w:rPr>
          <w:spacing w:val="-106"/>
          <w:w w:val="100"/>
        </w:rPr>
        <w:t>》</w:t>
      </w:r>
      <w:r>
        <w:rPr>
          <w:spacing w:val="-1"/>
          <w:w w:val="100"/>
        </w:rPr>
        <w:t>（</w:t>
      </w:r>
      <w:r>
        <w:rPr>
          <w:rFonts w:ascii="Times New Roman" w:hAnsi="Times New Roman" w:cs="Times New Roman" w:eastAsia="Times New Roman" w:hint="default"/>
          <w:spacing w:val="-3"/>
          <w:w w:val="44"/>
        </w:rPr>
        <w:t>―</w:t>
      </w:r>
      <w:r>
        <w:rPr>
          <w:spacing w:val="-3"/>
          <w:w w:val="100"/>
        </w:rPr>
        <w:t>中</w:t>
      </w:r>
      <w:r>
        <w:rPr>
          <w:w w:val="100"/>
        </w:rPr>
        <w:t>国证</w:t>
      </w:r>
      <w:r>
        <w:rPr>
          <w:spacing w:val="-3"/>
          <w:w w:val="100"/>
        </w:rPr>
        <w:t>券</w:t>
      </w:r>
      <w:r>
        <w:rPr>
          <w:w w:val="100"/>
        </w:rPr>
        <w:t>监</w:t>
      </w:r>
      <w:r>
        <w:rPr>
          <w:spacing w:val="-3"/>
          <w:w w:val="100"/>
        </w:rPr>
        <w:t>督</w:t>
      </w:r>
      <w:r>
        <w:rPr>
          <w:w w:val="100"/>
        </w:rPr>
        <w:t>管</w:t>
      </w:r>
      <w:r>
        <w:rPr>
          <w:spacing w:val="-3"/>
          <w:w w:val="100"/>
        </w:rPr>
        <w:t>理</w:t>
      </w:r>
      <w:r>
        <w:rPr>
          <w:w w:val="100"/>
        </w:rPr>
        <w:t>委</w:t>
      </w:r>
      <w:r>
        <w:rPr>
          <w:spacing w:val="-3"/>
          <w:w w:val="100"/>
        </w:rPr>
        <w:t>员</w:t>
      </w:r>
      <w:r>
        <w:rPr>
          <w:w w:val="100"/>
        </w:rPr>
        <w:t>会</w:t>
      </w:r>
      <w:r>
        <w:rPr>
          <w:spacing w:val="-3"/>
          <w:w w:val="100"/>
        </w:rPr>
        <w:t>公</w:t>
      </w:r>
      <w:r>
        <w:rPr>
          <w:w w:val="100"/>
        </w:rPr>
        <w:t>告</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w w:val="100"/>
        </w:rPr>
        <w:t>号</w:t>
      </w:r>
      <w:r>
        <w:rPr>
          <w:spacing w:val="-106"/>
          <w:w w:val="100"/>
        </w:rPr>
        <w:t>）</w:t>
      </w:r>
      <w:r>
        <w:rPr>
          <w:w w:val="100"/>
        </w:rPr>
        <w:t>、</w:t>
      </w:r>
    </w:p>
    <w:p>
      <w:pPr>
        <w:pStyle w:val="BodyText"/>
        <w:spacing w:line="338" w:lineRule="auto" w:before="119"/>
        <w:ind w:left="420" w:right="411"/>
        <w:jc w:val="left"/>
      </w:pPr>
      <w:r>
        <w:rPr>
          <w:spacing w:val="-2"/>
          <w:w w:val="100"/>
        </w:rPr>
        <w:t>《公开发行证券的公司信息披露解释性公告第</w:t>
      </w:r>
      <w:r>
        <w:rPr>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8"/>
          <w:w w:val="100"/>
        </w:rPr>
        <w:t> </w:t>
      </w:r>
      <w:r>
        <w:rPr>
          <w:spacing w:val="-11"/>
          <w:w w:val="98"/>
        </w:rPr>
        <w:t>号</w:t>
      </w:r>
      <w:r>
        <w:rPr>
          <w:rFonts w:ascii="Times New Roman" w:hAnsi="Times New Roman" w:cs="Times New Roman" w:eastAsia="Times New Roman" w:hint="default"/>
          <w:spacing w:val="-11"/>
          <w:w w:val="98"/>
        </w:rPr>
        <w:t>——</w:t>
      </w:r>
      <w:r>
        <w:rPr>
          <w:spacing w:val="-11"/>
          <w:w w:val="98"/>
        </w:rPr>
        <w:t>非经常性损益（</w:t>
      </w:r>
      <w:r>
        <w:rPr>
          <w:rFonts w:ascii="Times New Roman" w:hAnsi="Times New Roman" w:cs="Times New Roman" w:eastAsia="Times New Roman" w:hint="default"/>
          <w:spacing w:val="-11"/>
          <w:w w:val="98"/>
        </w:rPr>
        <w:t>2008</w:t>
      </w:r>
      <w:r>
        <w:rPr>
          <w:spacing w:val="-11"/>
          <w:w w:val="98"/>
        </w:rPr>
        <w:t>）》（</w:t>
      </w:r>
      <w:r>
        <w:rPr>
          <w:rFonts w:ascii="Times New Roman" w:hAnsi="Times New Roman" w:cs="Times New Roman" w:eastAsia="Times New Roman" w:hint="default"/>
          <w:spacing w:val="-11"/>
          <w:w w:val="98"/>
        </w:rPr>
        <w:t>―</w:t>
      </w:r>
      <w:r>
        <w:rPr>
          <w:spacing w:val="-11"/>
          <w:w w:val="98"/>
        </w:rPr>
        <w:t>中国证券</w:t>
      </w:r>
      <w:r>
        <w:rPr>
          <w:w w:val="100"/>
        </w:rPr>
        <w:t> </w:t>
      </w:r>
      <w:r>
        <w:rPr>
          <w:spacing w:val="-2"/>
        </w:rPr>
        <w:t>监督管理委员会公告</w:t>
      </w:r>
      <w:r>
        <w:rPr>
          <w:rFonts w:ascii="Times New Roman" w:hAnsi="Times New Roman" w:cs="Times New Roman" w:eastAsia="Times New Roman" w:hint="default"/>
          <w:spacing w:val="-2"/>
        </w:rPr>
        <w:t>[2008]43</w:t>
      </w:r>
      <w:r>
        <w:rPr>
          <w:rFonts w:ascii="Times New Roman" w:hAnsi="Times New Roman" w:cs="Times New Roman" w:eastAsia="Times New Roman" w:hint="default"/>
        </w:rPr>
        <w:t> </w:t>
      </w:r>
      <w:r>
        <w:rPr>
          <w:rFonts w:ascii="Times New Roman" w:hAnsi="Times New Roman" w:cs="Times New Roman" w:eastAsia="Times New Roman" w:hint="default"/>
          <w:spacing w:val="39"/>
        </w:rPr>
        <w:t> </w:t>
      </w:r>
      <w:r>
        <w:rPr>
          <w:spacing w:val="-2"/>
        </w:rPr>
        <w:t>号</w:t>
      </w:r>
      <w:r>
        <w:rPr>
          <w:rFonts w:ascii="Times New Roman" w:hAnsi="Times New Roman" w:cs="Times New Roman" w:eastAsia="Times New Roman" w:hint="default"/>
          <w:spacing w:val="-2"/>
        </w:rPr>
        <w:t>‖</w:t>
      </w:r>
      <w:r>
        <w:rPr>
          <w:spacing w:val="-2"/>
        </w:rPr>
        <w:t>）要求计算的每股收益如下：</w:t>
      </w:r>
    </w:p>
    <w:p>
      <w:pPr>
        <w:pStyle w:val="Heading5"/>
        <w:spacing w:line="240" w:lineRule="auto" w:before="98"/>
        <w:ind w:left="840" w:right="409"/>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38"/>
        </w:rPr>
        <w:t> </w:t>
      </w:r>
      <w:r>
        <w:rPr/>
        <w:t>计算结果</w:t>
      </w:r>
      <w:r>
        <w:rPr>
          <w:b w:val="0"/>
          <w:bCs w:val="0"/>
        </w:rPr>
      </w:r>
    </w:p>
    <w:p>
      <w:pPr>
        <w:spacing w:line="240" w:lineRule="auto" w:before="8"/>
        <w:rPr>
          <w:rFonts w:ascii="宋体" w:hAnsi="宋体" w:cs="宋体" w:eastAsia="宋体" w:hint="default"/>
          <w:b/>
          <w:bCs/>
          <w:sz w:val="17"/>
          <w:szCs w:val="17"/>
        </w:rPr>
      </w:pPr>
    </w:p>
    <w:tbl>
      <w:tblPr>
        <w:tblW w:w="0" w:type="auto"/>
        <w:jc w:val="left"/>
        <w:tblInd w:w="122" w:type="dxa"/>
        <w:tblLayout w:type="fixed"/>
        <w:tblCellMar>
          <w:top w:w="0" w:type="dxa"/>
          <w:left w:w="0" w:type="dxa"/>
          <w:bottom w:w="0" w:type="dxa"/>
          <w:right w:w="0" w:type="dxa"/>
        </w:tblCellMar>
        <w:tblLook w:val="01E0"/>
      </w:tblPr>
      <w:tblGrid>
        <w:gridCol w:w="3884"/>
        <w:gridCol w:w="1244"/>
        <w:gridCol w:w="1243"/>
        <w:gridCol w:w="1244"/>
        <w:gridCol w:w="1246"/>
      </w:tblGrid>
      <w:tr>
        <w:trPr>
          <w:trHeight w:val="362" w:hRule="exact"/>
        </w:trPr>
        <w:tc>
          <w:tcPr>
            <w:tcW w:w="3884"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8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9" w:right="0"/>
              <w:jc w:val="center"/>
              <w:rPr>
                <w:rFonts w:ascii="宋体" w:hAnsi="宋体" w:cs="宋体" w:eastAsia="宋体" w:hint="default"/>
                <w:sz w:val="18"/>
                <w:szCs w:val="18"/>
              </w:rPr>
            </w:pPr>
            <w:r>
              <w:rPr>
                <w:rFonts w:ascii="宋体" w:hAnsi="宋体" w:cs="宋体" w:eastAsia="宋体" w:hint="default"/>
                <w:spacing w:val="-22"/>
                <w:sz w:val="18"/>
                <w:szCs w:val="18"/>
              </w:rPr>
              <w:t>本年数</w:t>
            </w:r>
          </w:p>
        </w:tc>
        <w:tc>
          <w:tcPr>
            <w:tcW w:w="2489"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pacing w:val="-22"/>
                <w:sz w:val="18"/>
                <w:szCs w:val="18"/>
              </w:rPr>
              <w:t>上年数</w:t>
            </w:r>
          </w:p>
        </w:tc>
      </w:tr>
      <w:tr>
        <w:trPr>
          <w:trHeight w:val="482" w:hRule="exact"/>
        </w:trPr>
        <w:tc>
          <w:tcPr>
            <w:tcW w:w="3884" w:type="dxa"/>
            <w:vMerge/>
            <w:tcBorders>
              <w:left w:val="nil" w:sz="6" w:space="0" w:color="auto"/>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基本每股收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稀释每股收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基本每股收</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益</w:t>
            </w:r>
          </w:p>
        </w:tc>
        <w:tc>
          <w:tcPr>
            <w:tcW w:w="1246"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稀释每股收</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益</w:t>
            </w:r>
          </w:p>
        </w:tc>
      </w:tr>
      <w:tr>
        <w:trPr>
          <w:trHeight w:val="365" w:hRule="exact"/>
        </w:trPr>
        <w:tc>
          <w:tcPr>
            <w:tcW w:w="388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12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0.8199</w:t>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0.8199</w:t>
            </w:r>
          </w:p>
        </w:tc>
        <w:tc>
          <w:tcPr>
            <w:tcW w:w="12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0.6414</w:t>
            </w:r>
          </w:p>
        </w:tc>
        <w:tc>
          <w:tcPr>
            <w:tcW w:w="12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0.6414</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1186" w:top="1200" w:bottom="1380" w:left="1380" w:right="1380"/>
        </w:sectPr>
      </w:pPr>
    </w:p>
    <w:p>
      <w:pPr>
        <w:spacing w:line="240" w:lineRule="auto" w:before="7"/>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3884"/>
        <w:gridCol w:w="1244"/>
        <w:gridCol w:w="1243"/>
        <w:gridCol w:w="1244"/>
        <w:gridCol w:w="1246"/>
      </w:tblGrid>
      <w:tr>
        <w:trPr>
          <w:trHeight w:val="500" w:hRule="exact"/>
        </w:trPr>
        <w:tc>
          <w:tcPr>
            <w:tcW w:w="3884" w:type="dxa"/>
            <w:tcBorders>
              <w:top w:val="single" w:sz="12"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扣除非经常性损益后归属于公司普通股股东的</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净利润（Ⅱ）</w:t>
            </w:r>
          </w:p>
        </w:tc>
        <w:tc>
          <w:tcPr>
            <w:tcW w:w="12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left="367" w:right="0"/>
              <w:jc w:val="left"/>
              <w:rPr>
                <w:rFonts w:ascii="Times New Roman" w:hAnsi="Times New Roman" w:cs="Times New Roman" w:eastAsia="Times New Roman" w:hint="default"/>
                <w:sz w:val="18"/>
                <w:szCs w:val="18"/>
              </w:rPr>
            </w:pPr>
            <w:r>
              <w:rPr>
                <w:rFonts w:ascii="Times New Roman"/>
                <w:sz w:val="18"/>
              </w:rPr>
              <w:t>0.7905</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left="367" w:right="0"/>
              <w:jc w:val="left"/>
              <w:rPr>
                <w:rFonts w:ascii="Times New Roman" w:hAnsi="Times New Roman" w:cs="Times New Roman" w:eastAsia="Times New Roman" w:hint="default"/>
                <w:sz w:val="18"/>
                <w:szCs w:val="18"/>
              </w:rPr>
            </w:pPr>
            <w:r>
              <w:rPr>
                <w:rFonts w:ascii="Times New Roman"/>
                <w:sz w:val="18"/>
              </w:rPr>
              <w:t>0.7905</w:t>
            </w:r>
          </w:p>
        </w:tc>
        <w:tc>
          <w:tcPr>
            <w:tcW w:w="12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left="367" w:right="0"/>
              <w:jc w:val="left"/>
              <w:rPr>
                <w:rFonts w:ascii="Times New Roman" w:hAnsi="Times New Roman" w:cs="Times New Roman" w:eastAsia="Times New Roman" w:hint="default"/>
                <w:sz w:val="18"/>
                <w:szCs w:val="18"/>
              </w:rPr>
            </w:pPr>
            <w:r>
              <w:rPr>
                <w:rFonts w:ascii="Times New Roman"/>
                <w:sz w:val="18"/>
              </w:rPr>
              <w:t>0.5307</w:t>
            </w:r>
          </w:p>
        </w:tc>
        <w:tc>
          <w:tcPr>
            <w:tcW w:w="12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7"/>
              <w:ind w:left="367" w:right="0"/>
              <w:jc w:val="left"/>
              <w:rPr>
                <w:rFonts w:ascii="Times New Roman" w:hAnsi="Times New Roman" w:cs="Times New Roman" w:eastAsia="Times New Roman" w:hint="default"/>
                <w:sz w:val="18"/>
                <w:szCs w:val="18"/>
              </w:rPr>
            </w:pPr>
            <w:r>
              <w:rPr>
                <w:rFonts w:ascii="Times New Roman"/>
                <w:sz w:val="18"/>
              </w:rPr>
              <w:t>0.5307</w:t>
            </w:r>
          </w:p>
        </w:tc>
      </w:tr>
    </w:tbl>
    <w:p>
      <w:pPr>
        <w:spacing w:line="240" w:lineRule="auto" w:before="4"/>
        <w:rPr>
          <w:rFonts w:ascii="宋体" w:hAnsi="宋体" w:cs="宋体" w:eastAsia="宋体" w:hint="default"/>
          <w:b/>
          <w:bCs/>
          <w:sz w:val="18"/>
          <w:szCs w:val="18"/>
        </w:rPr>
      </w:pPr>
    </w:p>
    <w:p>
      <w:pPr>
        <w:pStyle w:val="Heading5"/>
        <w:spacing w:line="240" w:lineRule="auto" w:before="36"/>
        <w:ind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40"/>
        </w:rPr>
        <w:t> </w:t>
      </w:r>
      <w:r>
        <w:rPr/>
        <w:t>每股收益的计算过程</w:t>
      </w:r>
      <w:r>
        <w:rPr>
          <w:b w:val="0"/>
          <w:bCs w:val="0"/>
        </w:rPr>
      </w:r>
    </w:p>
    <w:p>
      <w:pPr>
        <w:spacing w:line="240" w:lineRule="auto" w:before="8"/>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3481"/>
        <w:gridCol w:w="1510"/>
        <w:gridCol w:w="1915"/>
        <w:gridCol w:w="1954"/>
      </w:tblGrid>
      <w:tr>
        <w:trPr>
          <w:trHeight w:val="362" w:hRule="exact"/>
        </w:trPr>
        <w:tc>
          <w:tcPr>
            <w:tcW w:w="34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95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58"/>
              <w:jc w:val="right"/>
              <w:rPr>
                <w:rFonts w:ascii="Times New Roman" w:hAnsi="Times New Roman" w:cs="Times New Roman" w:eastAsia="Times New Roman" w:hint="default"/>
                <w:sz w:val="18"/>
                <w:szCs w:val="18"/>
              </w:rPr>
            </w:pPr>
            <w:r>
              <w:rPr>
                <w:rFonts w:ascii="Times New Roman"/>
                <w:spacing w:val="-1"/>
                <w:sz w:val="18"/>
              </w:rPr>
              <w:t>85,718,282.45</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540" w:right="0"/>
              <w:jc w:val="left"/>
              <w:rPr>
                <w:rFonts w:ascii="Times New Roman" w:hAnsi="Times New Roman" w:cs="Times New Roman" w:eastAsia="Times New Roman" w:hint="default"/>
                <w:sz w:val="18"/>
                <w:szCs w:val="18"/>
              </w:rPr>
            </w:pPr>
            <w:r>
              <w:rPr>
                <w:rFonts w:ascii="Times New Roman"/>
                <w:sz w:val="18"/>
              </w:rPr>
              <w:t>54,380,447.46</w:t>
            </w:r>
          </w:p>
        </w:tc>
      </w:tr>
      <w:tr>
        <w:trPr>
          <w:trHeight w:val="482"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扣除所得税影响后归属于母公司普通股股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东净利润的非经常性损益</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2</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357"/>
              <w:jc w:val="right"/>
              <w:rPr>
                <w:rFonts w:ascii="Times New Roman" w:hAnsi="Times New Roman" w:cs="Times New Roman" w:eastAsia="Times New Roman" w:hint="default"/>
                <w:sz w:val="18"/>
                <w:szCs w:val="18"/>
              </w:rPr>
            </w:pPr>
            <w:r>
              <w:rPr>
                <w:rFonts w:ascii="Times New Roman"/>
                <w:spacing w:val="-1"/>
                <w:sz w:val="18"/>
              </w:rPr>
              <w:t>3,067,465.80</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7"/>
              <w:ind w:left="631" w:right="0"/>
              <w:jc w:val="left"/>
              <w:rPr>
                <w:rFonts w:ascii="Times New Roman" w:hAnsi="Times New Roman" w:cs="Times New Roman" w:eastAsia="Times New Roman" w:hint="default"/>
                <w:sz w:val="18"/>
                <w:szCs w:val="18"/>
              </w:rPr>
            </w:pPr>
            <w:r>
              <w:rPr>
                <w:rFonts w:ascii="Times New Roman"/>
                <w:sz w:val="18"/>
              </w:rPr>
              <w:t>9,387,361.00</w:t>
            </w:r>
          </w:p>
        </w:tc>
      </w:tr>
      <w:tr>
        <w:trPr>
          <w:trHeight w:val="482"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扣除非经常性损益后的归属于本公司普通</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股股东的净利润</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3=1-2</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358"/>
              <w:jc w:val="right"/>
              <w:rPr>
                <w:rFonts w:ascii="Times New Roman" w:hAnsi="Times New Roman" w:cs="Times New Roman" w:eastAsia="Times New Roman" w:hint="default"/>
                <w:sz w:val="18"/>
                <w:szCs w:val="18"/>
              </w:rPr>
            </w:pPr>
            <w:r>
              <w:rPr>
                <w:rFonts w:ascii="Times New Roman"/>
                <w:spacing w:val="-1"/>
                <w:sz w:val="18"/>
              </w:rPr>
              <w:t>82,650,816.65</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7"/>
              <w:ind w:left="540" w:right="0"/>
              <w:jc w:val="left"/>
              <w:rPr>
                <w:rFonts w:ascii="Times New Roman" w:hAnsi="Times New Roman" w:cs="Times New Roman" w:eastAsia="Times New Roman" w:hint="default"/>
                <w:sz w:val="18"/>
                <w:szCs w:val="18"/>
              </w:rPr>
            </w:pPr>
            <w:r>
              <w:rPr>
                <w:rFonts w:ascii="Times New Roman"/>
                <w:sz w:val="18"/>
              </w:rPr>
              <w:t>44,993,086.46</w:t>
            </w: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4</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58"/>
              <w:jc w:val="right"/>
              <w:rPr>
                <w:rFonts w:ascii="Times New Roman" w:hAnsi="Times New Roman" w:cs="Times New Roman" w:eastAsia="Times New Roman" w:hint="default"/>
                <w:sz w:val="18"/>
                <w:szCs w:val="18"/>
              </w:rPr>
            </w:pPr>
            <w:r>
              <w:rPr>
                <w:rFonts w:ascii="Times New Roman"/>
                <w:spacing w:val="-1"/>
                <w:sz w:val="18"/>
              </w:rPr>
              <w:t>61,500,000.00</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542" w:right="0"/>
              <w:jc w:val="left"/>
              <w:rPr>
                <w:rFonts w:ascii="Times New Roman" w:hAnsi="Times New Roman" w:cs="Times New Roman" w:eastAsia="Times New Roman" w:hint="default"/>
                <w:sz w:val="18"/>
                <w:szCs w:val="18"/>
              </w:rPr>
            </w:pPr>
            <w:r>
              <w:rPr>
                <w:rFonts w:ascii="Times New Roman"/>
                <w:sz w:val="18"/>
              </w:rPr>
              <w:t>46,000,000.00</w:t>
            </w:r>
          </w:p>
        </w:tc>
      </w:tr>
      <w:tr>
        <w:trPr>
          <w:trHeight w:val="482"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等增加的股份数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00"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358"/>
              <w:jc w:val="right"/>
              <w:rPr>
                <w:rFonts w:ascii="Times New Roman" w:hAnsi="Times New Roman" w:cs="Times New Roman" w:eastAsia="Times New Roman" w:hint="default"/>
                <w:sz w:val="18"/>
                <w:szCs w:val="18"/>
              </w:rPr>
            </w:pPr>
            <w:r>
              <w:rPr>
                <w:rFonts w:ascii="Times New Roman"/>
                <w:spacing w:val="-1"/>
                <w:sz w:val="18"/>
              </w:rPr>
              <w:t>43,050,000.00</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34,912,500.00</w:t>
            </w:r>
            <w:r>
              <w:rPr>
                <w:rFonts w:ascii="宋体" w:hAnsi="宋体" w:cs="宋体" w:eastAsia="宋体" w:hint="default"/>
                <w:sz w:val="18"/>
                <w:szCs w:val="18"/>
              </w:rPr>
              <w:t>（注）</w:t>
            </w:r>
          </w:p>
        </w:tc>
      </w:tr>
      <w:tr>
        <w:trPr>
          <w:trHeight w:val="356" w:hRule="exact"/>
        </w:trPr>
        <w:tc>
          <w:tcPr>
            <w:tcW w:w="3481" w:type="dxa"/>
            <w:vMerge w:val="restart"/>
            <w:tcBorders>
              <w:top w:val="single" w:sz="6"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6</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542" w:right="0"/>
              <w:jc w:val="left"/>
              <w:rPr>
                <w:rFonts w:ascii="Times New Roman" w:hAnsi="Times New Roman" w:cs="Times New Roman" w:eastAsia="Times New Roman" w:hint="default"/>
                <w:sz w:val="18"/>
                <w:szCs w:val="18"/>
              </w:rPr>
            </w:pPr>
            <w:r>
              <w:rPr>
                <w:rFonts w:ascii="Times New Roman"/>
                <w:sz w:val="18"/>
              </w:rPr>
              <w:t>15,500,000.00</w:t>
            </w:r>
          </w:p>
        </w:tc>
      </w:tr>
      <w:tr>
        <w:trPr>
          <w:trHeight w:val="353" w:hRule="exact"/>
        </w:trPr>
        <w:tc>
          <w:tcPr>
            <w:tcW w:w="3481" w:type="dxa"/>
            <w:vMerge/>
            <w:tcBorders>
              <w:left w:val="nil" w:sz="6" w:space="0" w:color="auto"/>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6</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vMerge/>
            <w:tcBorders>
              <w:left w:val="nil" w:sz="6" w:space="0" w:color="auto"/>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6</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vMerge w:val="restart"/>
            <w:tcBorders>
              <w:top w:val="single" w:sz="6"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z w:val="18"/>
                <w:szCs w:val="18"/>
              </w:rPr>
              <w:t>发行新股或债转股等增加股份下一月份起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至报告期年末的月份数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7</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3</w:t>
            </w:r>
          </w:p>
        </w:tc>
      </w:tr>
      <w:tr>
        <w:trPr>
          <w:trHeight w:val="355" w:hRule="exact"/>
        </w:trPr>
        <w:tc>
          <w:tcPr>
            <w:tcW w:w="3481" w:type="dxa"/>
            <w:vMerge/>
            <w:tcBorders>
              <w:left w:val="nil" w:sz="6" w:space="0" w:color="auto"/>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7</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vMerge/>
            <w:tcBorders>
              <w:left w:val="nil" w:sz="6" w:space="0" w:color="auto"/>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7</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8</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减少股份下一月份起至报告期年末的月份</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00" w:right="0"/>
              <w:jc w:val="left"/>
              <w:rPr>
                <w:rFonts w:ascii="Times New Roman" w:hAnsi="Times New Roman" w:cs="Times New Roman" w:eastAsia="Times New Roman" w:hint="default"/>
                <w:sz w:val="18"/>
                <w:szCs w:val="18"/>
              </w:rPr>
            </w:pPr>
            <w:r>
              <w:rPr>
                <w:rFonts w:ascii="Times New Roman"/>
                <w:sz w:val="18"/>
              </w:rPr>
              <w:t>9</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12</w:t>
            </w:r>
          </w:p>
        </w:tc>
      </w:tr>
      <w:tr>
        <w:trPr>
          <w:trHeight w:val="427"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12=4+5+6×7</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÷11-8×9÷11-10</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86"/>
              <w:jc w:val="right"/>
              <w:rPr>
                <w:rFonts w:ascii="Times New Roman" w:hAnsi="Times New Roman" w:cs="Times New Roman" w:eastAsia="Times New Roman" w:hint="default"/>
                <w:sz w:val="18"/>
                <w:szCs w:val="18"/>
              </w:rPr>
            </w:pPr>
            <w:r>
              <w:rPr>
                <w:rFonts w:ascii="Times New Roman"/>
                <w:spacing w:val="-1"/>
                <w:sz w:val="18"/>
              </w:rPr>
              <w:t>104,550,000.00</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left="451" w:right="0"/>
              <w:jc w:val="left"/>
              <w:rPr>
                <w:rFonts w:ascii="Times New Roman" w:hAnsi="Times New Roman" w:cs="Times New Roman" w:eastAsia="Times New Roman" w:hint="default"/>
                <w:sz w:val="18"/>
                <w:szCs w:val="18"/>
              </w:rPr>
            </w:pPr>
            <w:r>
              <w:rPr>
                <w:rFonts w:ascii="Times New Roman"/>
                <w:sz w:val="18"/>
              </w:rPr>
              <w:t>84,787,500.00</w:t>
            </w:r>
          </w:p>
        </w:tc>
      </w:tr>
      <w:tr>
        <w:trPr>
          <w:trHeight w:val="483"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因同一控制下企业合并而调整的发行在外</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的普通股加权平均数（Ⅱ）</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13</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14=1÷12</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1.0903</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0.6414</w:t>
            </w: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15=3÷12</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0.9021</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0.5307</w:t>
            </w: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16</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17</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18</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可转换公司债券、认股权证、股份期权等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转换或行权而增加的股份数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00" w:right="0"/>
              <w:jc w:val="left"/>
              <w:rPr>
                <w:rFonts w:ascii="Times New Roman" w:hAnsi="Times New Roman" w:cs="Times New Roman" w:eastAsia="Times New Roman" w:hint="default"/>
                <w:sz w:val="18"/>
                <w:szCs w:val="18"/>
              </w:rPr>
            </w:pPr>
            <w:r>
              <w:rPr>
                <w:rFonts w:ascii="Times New Roman"/>
                <w:sz w:val="18"/>
              </w:rPr>
              <w:t>19</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nil" w:sz="6" w:space="0" w:color="auto"/>
            </w:tcBorders>
          </w:tcPr>
          <w:p>
            <w:pPr/>
          </w:p>
        </w:tc>
      </w:tr>
      <w:tr>
        <w:trPr>
          <w:trHeight w:val="427" w:hRule="exact"/>
        </w:trPr>
        <w:tc>
          <w:tcPr>
            <w:tcW w:w="34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20=[1+(16-18)×</w:t>
            </w: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(1-17)]÷(12+19)</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0.8199</w:t>
            </w:r>
          </w:p>
        </w:tc>
        <w:tc>
          <w:tcPr>
            <w:tcW w:w="1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3"/>
              <w:jc w:val="center"/>
              <w:rPr>
                <w:rFonts w:ascii="Times New Roman" w:hAnsi="Times New Roman" w:cs="Times New Roman" w:eastAsia="Times New Roman" w:hint="default"/>
                <w:sz w:val="18"/>
                <w:szCs w:val="18"/>
              </w:rPr>
            </w:pPr>
            <w:r>
              <w:rPr>
                <w:rFonts w:ascii="Times New Roman"/>
                <w:sz w:val="18"/>
              </w:rPr>
              <w:t>0.6414</w:t>
            </w:r>
          </w:p>
        </w:tc>
      </w:tr>
      <w:tr>
        <w:trPr>
          <w:trHeight w:val="463" w:hRule="exact"/>
        </w:trPr>
        <w:tc>
          <w:tcPr>
            <w:tcW w:w="34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21=[3+(16</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×(1-17)]÷(13+19)</w:t>
            </w:r>
          </w:p>
        </w:tc>
        <w:tc>
          <w:tcPr>
            <w:tcW w:w="19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0.7905</w:t>
            </w:r>
          </w:p>
        </w:tc>
        <w:tc>
          <w:tcPr>
            <w:tcW w:w="19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2"/>
              <w:ind w:right="3"/>
              <w:jc w:val="center"/>
              <w:rPr>
                <w:rFonts w:ascii="Times New Roman" w:hAnsi="Times New Roman" w:cs="Times New Roman" w:eastAsia="Times New Roman" w:hint="default"/>
                <w:sz w:val="18"/>
                <w:szCs w:val="18"/>
              </w:rPr>
            </w:pPr>
            <w:r>
              <w:rPr>
                <w:rFonts w:ascii="Times New Roman"/>
                <w:sz w:val="18"/>
              </w:rPr>
              <w:t>0.5307</w:t>
            </w:r>
          </w:p>
        </w:tc>
      </w:tr>
    </w:tbl>
    <w:p>
      <w:pPr>
        <w:pStyle w:val="BodyText"/>
        <w:spacing w:line="257" w:lineRule="exact"/>
        <w:ind w:left="820" w:right="0"/>
        <w:jc w:val="left"/>
      </w:pPr>
      <w:r>
        <w:rPr/>
        <w:t>（</w:t>
      </w:r>
      <w:r>
        <w:rPr>
          <w:rFonts w:ascii="Times New Roman" w:hAnsi="Times New Roman" w:cs="Times New Roman" w:eastAsia="Times New Roman" w:hint="default"/>
        </w:rPr>
        <w:t>1</w:t>
      </w:r>
      <w:r>
        <w:rPr/>
        <w:t>）基本每股收益</w:t>
      </w:r>
    </w:p>
    <w:p>
      <w:pPr>
        <w:spacing w:line="240" w:lineRule="auto" w:before="4"/>
        <w:rPr>
          <w:rFonts w:ascii="宋体" w:hAnsi="宋体" w:cs="宋体" w:eastAsia="宋体" w:hint="default"/>
          <w:sz w:val="18"/>
          <w:szCs w:val="18"/>
        </w:rPr>
      </w:pPr>
    </w:p>
    <w:p>
      <w:pPr>
        <w:pStyle w:val="BodyText"/>
        <w:spacing w:line="240" w:lineRule="auto"/>
        <w:ind w:left="820" w:right="0"/>
        <w:jc w:val="left"/>
        <w:rPr>
          <w:rFonts w:ascii="Times New Roman" w:hAnsi="Times New Roman" w:cs="Times New Roman" w:eastAsia="Times New Roman" w:hint="default"/>
        </w:rPr>
      </w:pPr>
      <w:r>
        <w:rPr/>
        <w:t>基本每股收益</w:t>
      </w:r>
      <w:r>
        <w:rPr>
          <w:rFonts w:ascii="Times New Roman" w:hAnsi="Times New Roman" w:cs="Times New Roman" w:eastAsia="Times New Roman" w:hint="default"/>
        </w:rPr>
        <w:t>=P0÷S</w:t>
      </w:r>
    </w:p>
    <w:p>
      <w:pPr>
        <w:spacing w:line="240" w:lineRule="auto" w:before="7"/>
        <w:rPr>
          <w:rFonts w:ascii="Times New Roman" w:hAnsi="Times New Roman" w:cs="Times New Roman" w:eastAsia="Times New Roman" w:hint="default"/>
          <w:sz w:val="20"/>
          <w:szCs w:val="20"/>
        </w:rPr>
      </w:pPr>
    </w:p>
    <w:p>
      <w:pPr>
        <w:pStyle w:val="BodyText"/>
        <w:spacing w:line="240" w:lineRule="auto"/>
        <w:ind w:left="820" w:right="0"/>
        <w:jc w:val="left"/>
        <w:rPr>
          <w:rFonts w:ascii="Times New Roman" w:hAnsi="Times New Roman" w:cs="Times New Roman" w:eastAsia="Times New Roman" w:hint="default"/>
        </w:rPr>
      </w:pPr>
      <w:r>
        <w:rPr>
          <w:rFonts w:ascii="Times New Roman" w:hAnsi="Times New Roman" w:cs="Times New Roman" w:eastAsia="Times New Roman" w:hint="default"/>
        </w:rPr>
        <w:t>S= 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rFonts w:ascii="Times New Roman" w:hAnsi="Times New Roman" w:cs="Times New Roman" w:eastAsia="Times New Roman" w:hint="default"/>
        </w:rPr>
        <w:t>Sj×Mj÷M0-Sk</w:t>
      </w:r>
    </w:p>
    <w:p>
      <w:pPr>
        <w:spacing w:line="240" w:lineRule="auto" w:before="7"/>
        <w:rPr>
          <w:rFonts w:ascii="Times New Roman" w:hAnsi="Times New Roman" w:cs="Times New Roman" w:eastAsia="Times New Roman" w:hint="default"/>
          <w:sz w:val="20"/>
          <w:szCs w:val="20"/>
        </w:rPr>
      </w:pPr>
    </w:p>
    <w:p>
      <w:pPr>
        <w:pStyle w:val="BodyText"/>
        <w:spacing w:line="336" w:lineRule="auto"/>
        <w:ind w:left="400" w:right="386" w:firstLine="419"/>
        <w:jc w:val="left"/>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47"/>
        </w:rPr>
        <w:t> </w:t>
      </w:r>
      <w:r>
        <w:rPr/>
        <w:t>为归属于公司普通股股东的净利润或扣除非经常性损益后归属于普通股股东</w:t>
      </w:r>
      <w:r>
        <w:rPr>
          <w:w w:val="100"/>
        </w:rPr>
        <w:t> </w:t>
      </w:r>
      <w:r>
        <w:rPr/>
        <w:t>的净利润；</w:t>
      </w:r>
      <w:r>
        <w:rPr>
          <w:rFonts w:ascii="Times New Roman" w:hAnsi="Times New Roman" w:cs="Times New Roman" w:eastAsia="Times New Roman" w:hint="default"/>
        </w:rPr>
        <w:t>S </w:t>
      </w:r>
      <w:r>
        <w:rPr/>
        <w:t>为发行在外的普通股加权平均数；</w:t>
      </w:r>
      <w:r>
        <w:rPr>
          <w:rFonts w:ascii="Times New Roman" w:hAnsi="Times New Roman" w:cs="Times New Roman" w:eastAsia="Times New Roman" w:hint="default"/>
        </w:rPr>
        <w:t>S0 </w:t>
      </w:r>
      <w:r>
        <w:rPr/>
        <w:t>为期初股份总数；</w:t>
      </w:r>
      <w:r>
        <w:rPr>
          <w:rFonts w:ascii="Times New Roman" w:hAnsi="Times New Roman" w:cs="Times New Roman" w:eastAsia="Times New Roman" w:hint="default"/>
        </w:rPr>
        <w:t>S1</w:t>
      </w:r>
      <w:r>
        <w:rPr>
          <w:rFonts w:ascii="Times New Roman" w:hAnsi="Times New Roman" w:cs="Times New Roman" w:eastAsia="Times New Roman" w:hint="default"/>
          <w:spacing w:val="17"/>
        </w:rPr>
        <w:t> </w:t>
      </w:r>
      <w:r>
        <w:rPr/>
        <w:t>为报告期因公积金</w:t>
      </w:r>
    </w:p>
    <w:p>
      <w:pPr>
        <w:spacing w:after="0" w:line="336" w:lineRule="auto"/>
        <w:jc w:val="left"/>
        <w:sectPr>
          <w:pgSz w:w="11910" w:h="16840"/>
          <w:pgMar w:header="852" w:footer="1186" w:top="1200" w:bottom="1380" w:left="1400" w:right="1400"/>
        </w:sectPr>
      </w:pPr>
    </w:p>
    <w:p>
      <w:pPr>
        <w:spacing w:line="240" w:lineRule="auto" w:before="3"/>
        <w:rPr>
          <w:rFonts w:ascii="宋体" w:hAnsi="宋体" w:cs="宋体" w:eastAsia="宋体" w:hint="default"/>
          <w:sz w:val="12"/>
          <w:szCs w:val="12"/>
        </w:rPr>
      </w:pPr>
    </w:p>
    <w:p>
      <w:pPr>
        <w:pStyle w:val="BodyText"/>
        <w:spacing w:line="336" w:lineRule="auto" w:before="36"/>
        <w:ind w:left="400" w:right="393"/>
        <w:jc w:val="both"/>
      </w:pPr>
      <w:r>
        <w:rPr/>
        <w:t>转增股本或股票股利分配等增加股份数；</w:t>
      </w:r>
      <w:r>
        <w:rPr>
          <w:rFonts w:ascii="Times New Roman" w:hAnsi="Times New Roman" w:cs="Times New Roman" w:eastAsia="Times New Roman" w:hint="default"/>
        </w:rPr>
        <w:t>Si</w:t>
      </w:r>
      <w:r>
        <w:rPr>
          <w:rFonts w:ascii="Times New Roman" w:hAnsi="Times New Roman" w:cs="Times New Roman" w:eastAsia="Times New Roman" w:hint="default"/>
          <w:spacing w:val="43"/>
        </w:rPr>
        <w:t> </w:t>
      </w:r>
      <w:r>
        <w:rPr/>
        <w:t>为报告期因发行新股或债转股等增加股份数；</w:t>
      </w:r>
      <w:r>
        <w:rPr>
          <w:spacing w:val="-101"/>
        </w:rPr>
        <w:t> </w:t>
      </w:r>
      <w:r>
        <w:rPr>
          <w:spacing w:val="-101"/>
        </w:rPr>
      </w:r>
      <w:r>
        <w:rPr>
          <w:rFonts w:ascii="Times New Roman" w:hAnsi="Times New Roman" w:cs="Times New Roman" w:eastAsia="Times New Roman" w:hint="default"/>
        </w:rPr>
        <w:t>Sj </w:t>
      </w:r>
      <w:r>
        <w:rPr/>
        <w:t>为报告期因回购等减少股份数；</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12"/>
        </w:rPr>
        <w:t> </w:t>
      </w:r>
      <w:r>
        <w:rPr/>
        <w:t>为增加股份</w:t>
      </w:r>
      <w:r>
        <w:rPr>
          <w:w w:val="100"/>
        </w:rPr>
        <w:t> </w:t>
      </w:r>
      <w:r>
        <w:rPr>
          <w:spacing w:val="-2"/>
        </w:rPr>
        <w:t>次月起至报告期期末的累计月数；</w:t>
      </w:r>
      <w:r>
        <w:rPr>
          <w:rFonts w:ascii="Times New Roman" w:hAnsi="Times New Roman" w:cs="Times New Roman" w:eastAsia="Times New Roman" w:hint="default"/>
          <w:spacing w:val="-2"/>
        </w:rPr>
        <w:t>Mj</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为减少股份次月起至报告期期末的累计月数。</w:t>
      </w:r>
    </w:p>
    <w:p>
      <w:pPr>
        <w:pStyle w:val="BodyText"/>
        <w:spacing w:line="240" w:lineRule="auto" w:before="146"/>
        <w:ind w:left="820" w:right="0"/>
        <w:jc w:val="left"/>
      </w:pPr>
      <w:r>
        <w:rPr/>
        <w:t>（</w:t>
      </w:r>
      <w:r>
        <w:rPr>
          <w:rFonts w:ascii="Times New Roman" w:hAnsi="Times New Roman" w:cs="Times New Roman" w:eastAsia="Times New Roman" w:hint="default"/>
        </w:rPr>
        <w:t>2</w:t>
      </w:r>
      <w:r>
        <w:rPr/>
        <w:t>）稀释每股收益</w:t>
      </w:r>
    </w:p>
    <w:p>
      <w:pPr>
        <w:spacing w:line="240" w:lineRule="auto" w:before="2"/>
        <w:rPr>
          <w:rFonts w:ascii="宋体" w:hAnsi="宋体" w:cs="宋体" w:eastAsia="宋体" w:hint="default"/>
          <w:sz w:val="18"/>
          <w:szCs w:val="18"/>
        </w:rPr>
      </w:pPr>
    </w:p>
    <w:p>
      <w:pPr>
        <w:pStyle w:val="BodyText"/>
        <w:spacing w:line="336" w:lineRule="auto"/>
        <w:ind w:left="400" w:right="0" w:firstLine="419"/>
        <w:jc w:val="left"/>
        <w:rPr>
          <w:rFonts w:ascii="Times New Roman" w:hAnsi="Times New Roman" w:cs="Times New Roman" w:eastAsia="Times New Roman" w:hint="default"/>
        </w:rPr>
      </w:pPr>
      <w:r>
        <w:rPr>
          <w:spacing w:val="-3"/>
        </w:rPr>
        <w:t>稀释每股收益</w:t>
      </w:r>
      <w:r>
        <w:rPr>
          <w:rFonts w:ascii="Times New Roman" w:hAnsi="Times New Roman" w:cs="Times New Roman" w:eastAsia="Times New Roman" w:hint="default"/>
          <w:spacing w:val="-3"/>
        </w:rPr>
        <w:t>=P1/(S0</w:t>
      </w:r>
      <w:r>
        <w:rPr>
          <w:spacing w:val="-3"/>
        </w:rPr>
        <w:t>＋</w:t>
      </w:r>
      <w:r>
        <w:rPr>
          <w:rFonts w:ascii="Times New Roman" w:hAnsi="Times New Roman" w:cs="Times New Roman" w:eastAsia="Times New Roman" w:hint="default"/>
          <w:spacing w:val="-3"/>
        </w:rPr>
        <w:t>S1</w:t>
      </w:r>
      <w:r>
        <w:rPr>
          <w:spacing w:val="-3"/>
        </w:rPr>
        <w:t>＋</w:t>
      </w:r>
      <w:r>
        <w:rPr>
          <w:rFonts w:ascii="Times New Roman" w:hAnsi="Times New Roman" w:cs="Times New Roman" w:eastAsia="Times New Roman" w:hint="default"/>
          <w:spacing w:val="-3"/>
        </w:rPr>
        <w:t>Si×Mi÷M0</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Sj×Mj÷M0</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Sk+</w:t>
      </w:r>
      <w:r>
        <w:rPr>
          <w:spacing w:val="-3"/>
        </w:rPr>
        <w:t>认股权证、股份期权、可转换债</w:t>
      </w:r>
      <w:r>
        <w:rPr>
          <w:w w:val="100"/>
        </w:rPr>
        <w:t> </w:t>
      </w:r>
      <w:r>
        <w:rPr/>
        <w:t>券等增加的普通股加权平均数</w:t>
      </w:r>
      <w:r>
        <w:rPr>
          <w:rFonts w:ascii="Times New Roman" w:hAnsi="Times New Roman" w:cs="Times New Roman" w:eastAsia="Times New Roman" w:hint="default"/>
        </w:rPr>
        <w:t>)</w:t>
      </w:r>
    </w:p>
    <w:p>
      <w:pPr>
        <w:pStyle w:val="BodyText"/>
        <w:spacing w:line="352" w:lineRule="auto" w:before="144"/>
        <w:ind w:left="400" w:right="391" w:firstLine="419"/>
        <w:jc w:val="both"/>
      </w:pPr>
      <w:r>
        <w:rPr/>
        <w:t>其中，</w:t>
      </w:r>
      <w:r>
        <w:rPr>
          <w:rFonts w:ascii="Times New Roman" w:hAnsi="Times New Roman" w:cs="Times New Roman" w:eastAsia="Times New Roman" w:hint="default"/>
        </w:rPr>
        <w:t>P1</w:t>
      </w:r>
      <w:r>
        <w:rPr>
          <w:rFonts w:ascii="Times New Roman" w:hAnsi="Times New Roman" w:cs="Times New Roman" w:eastAsia="Times New Roman" w:hint="default"/>
          <w:spacing w:val="47"/>
        </w:rPr>
        <w:t> </w:t>
      </w:r>
      <w:r>
        <w:rPr/>
        <w:t>为归属于公司普通股股东的净利润或扣除非经常性损益后归属于公司普通股</w:t>
      </w:r>
      <w:r>
        <w:rPr>
          <w:w w:val="100"/>
        </w:rPr>
        <w:t> </w:t>
      </w:r>
      <w:r>
        <w:rPr>
          <w:spacing w:val="-4"/>
        </w:rPr>
        <w:t>股东的净利润，并考虑稀释性潜在普通股对其影响，按《企业会计准则》及有关规定进行调</w:t>
      </w:r>
      <w:r>
        <w:rPr>
          <w:spacing w:val="-46"/>
        </w:rPr>
        <w:t> </w:t>
      </w:r>
      <w:r>
        <w:rPr>
          <w:spacing w:val="-46"/>
        </w:rPr>
      </w:r>
      <w:r>
        <w:rPr>
          <w:spacing w:val="-4"/>
        </w:rPr>
        <w:t>整。公司在计算稀释每股收益时，考虑所有稀释性潜在普通股对归属于公司普通股股东的净</w:t>
      </w:r>
      <w:r>
        <w:rPr>
          <w:spacing w:val="-44"/>
        </w:rPr>
        <w:t> </w:t>
      </w:r>
      <w:r>
        <w:rPr>
          <w:spacing w:val="-44"/>
        </w:rPr>
      </w:r>
      <w:r>
        <w:rPr>
          <w:spacing w:val="-4"/>
          <w:w w:val="100"/>
        </w:rPr>
        <w:t>利润或扣除非经常性损益后归属于公司普通股股东的净利润和加权平均股数的影响，按照其</w:t>
      </w:r>
      <w:r>
        <w:rPr>
          <w:spacing w:val="-94"/>
          <w:w w:val="100"/>
        </w:rPr>
        <w:t> </w:t>
      </w:r>
      <w:r>
        <w:rPr>
          <w:spacing w:val="-94"/>
          <w:w w:val="100"/>
        </w:rPr>
      </w:r>
      <w:r>
        <w:rPr/>
        <w:t>稀释程度从大到小的顺序计入稀释每股收益，直至稀释每股收益达到最小值。</w:t>
      </w:r>
    </w:p>
    <w:p>
      <w:pPr>
        <w:pStyle w:val="BodyText"/>
        <w:spacing w:line="240" w:lineRule="auto" w:before="154"/>
        <w:ind w:left="820" w:right="0"/>
        <w:jc w:val="left"/>
      </w:pPr>
      <w:r>
        <w:rPr>
          <w:spacing w:val="-8"/>
        </w:rPr>
        <w:t>注：本年公司以</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日的公司总股本</w:t>
      </w:r>
      <w:r>
        <w:rPr>
          <w:spacing w:val="-50"/>
        </w:rPr>
        <w:t> </w:t>
      </w:r>
      <w:r>
        <w:rPr>
          <w:rFonts w:ascii="Times New Roman" w:hAnsi="Times New Roman" w:cs="Times New Roman" w:eastAsia="Times New Roman" w:hint="default"/>
        </w:rPr>
        <w:t>6150</w:t>
      </w:r>
      <w:r>
        <w:rPr>
          <w:rFonts w:ascii="Times New Roman" w:hAnsi="Times New Roman" w:cs="Times New Roman" w:eastAsia="Times New Roman" w:hint="default"/>
          <w:spacing w:val="3"/>
        </w:rPr>
        <w:t> </w:t>
      </w:r>
      <w:r>
        <w:rPr>
          <w:spacing w:val="-5"/>
        </w:rPr>
        <w:t>万股为基数，以资本公积转增股</w:t>
      </w:r>
    </w:p>
    <w:p>
      <w:pPr>
        <w:pStyle w:val="BodyText"/>
        <w:spacing w:line="336" w:lineRule="auto" w:before="119"/>
        <w:ind w:left="400" w:right="391"/>
        <w:jc w:val="both"/>
      </w:pPr>
      <w:r>
        <w:rPr>
          <w:spacing w:val="-7"/>
        </w:rPr>
        <w:t>本，每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5"/>
        </w:rPr>
        <w:t>股，按《企业会计准则第</w:t>
      </w:r>
      <w:r>
        <w:rPr>
          <w:spacing w:val="-45"/>
        </w:rPr>
        <w:t> </w:t>
      </w:r>
      <w:r>
        <w:rPr>
          <w:rFonts w:ascii="Times New Roman" w:hAnsi="Times New Roman" w:cs="Times New Roman" w:eastAsia="Times New Roman" w:hint="default"/>
        </w:rPr>
        <w:t>34</w:t>
      </w:r>
      <w:r>
        <w:rPr>
          <w:rFonts w:ascii="Times New Roman" w:hAnsi="Times New Roman" w:cs="Times New Roman" w:eastAsia="Times New Roman" w:hint="default"/>
          <w:spacing w:val="8"/>
        </w:rPr>
        <w:t> </w:t>
      </w:r>
      <w:r>
        <w:rPr>
          <w:spacing w:val="-4"/>
        </w:rPr>
        <w:t>号－每股收益》和《公开发行证券的公司信</w:t>
      </w:r>
      <w:r>
        <w:rPr>
          <w:spacing w:val="-101"/>
        </w:rPr>
        <w:t> </w:t>
      </w:r>
      <w:r>
        <w:rPr>
          <w:spacing w:val="-101"/>
        </w:rPr>
      </w:r>
      <w:r>
        <w:rPr>
          <w:spacing w:val="-2"/>
          <w:w w:val="100"/>
        </w:rPr>
        <w:t>息披露编报规则第</w:t>
      </w:r>
      <w:r>
        <w:rPr>
          <w:spacing w:val="-48"/>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2"/>
          <w:w w:val="100"/>
        </w:rPr>
        <w:t> </w:t>
      </w:r>
      <w:r>
        <w:rPr>
          <w:spacing w:val="-2"/>
          <w:w w:val="100"/>
        </w:rPr>
        <w:t>号</w:t>
      </w:r>
      <w:r>
        <w:rPr>
          <w:rFonts w:ascii="Times New Roman" w:hAnsi="Times New Roman" w:cs="Times New Roman" w:eastAsia="Times New Roman" w:hint="default"/>
          <w:spacing w:val="-2"/>
          <w:w w:val="100"/>
        </w:rPr>
        <w:t>——</w:t>
      </w:r>
      <w:r>
        <w:rPr>
          <w:spacing w:val="-2"/>
          <w:w w:val="100"/>
        </w:rPr>
        <w:t>净资产收益率和每股收益的计算及披露（</w:t>
      </w:r>
      <w:r>
        <w:rPr>
          <w:rFonts w:ascii="Times New Roman" w:hAnsi="Times New Roman" w:cs="Times New Roman" w:eastAsia="Times New Roman" w:hint="default"/>
          <w:spacing w:val="-2"/>
          <w:w w:val="100"/>
        </w:rPr>
        <w:t>2010</w:t>
      </w:r>
      <w:r>
        <w:rPr>
          <w:rFonts w:ascii="Times New Roman" w:hAnsi="Times New Roman" w:cs="Times New Roman" w:eastAsia="Times New Roman" w:hint="default"/>
          <w:spacing w:val="2"/>
          <w:w w:val="100"/>
        </w:rPr>
        <w:t> </w:t>
      </w:r>
      <w:r>
        <w:rPr>
          <w:spacing w:val="-27"/>
          <w:w w:val="94"/>
        </w:rPr>
        <w:t>年修订）》（</w:t>
      </w:r>
      <w:r>
        <w:rPr>
          <w:rFonts w:ascii="Times New Roman" w:hAnsi="Times New Roman" w:cs="Times New Roman" w:eastAsia="Times New Roman" w:hint="default"/>
          <w:spacing w:val="-27"/>
          <w:w w:val="94"/>
        </w:rPr>
        <w:t>―</w:t>
      </w:r>
      <w:r>
        <w:rPr>
          <w:spacing w:val="-27"/>
          <w:w w:val="94"/>
        </w:rPr>
        <w:t>中国</w:t>
      </w:r>
      <w:r>
        <w:rPr>
          <w:spacing w:val="-97"/>
          <w:w w:val="94"/>
        </w:rPr>
        <w:t> </w:t>
      </w:r>
      <w:r>
        <w:rPr>
          <w:spacing w:val="-1"/>
          <w:w w:val="100"/>
        </w:rPr>
        <w:t>证券监督管理委员会公告</w:t>
      </w:r>
      <w:r>
        <w:rPr>
          <w:rFonts w:ascii="Times New Roman" w:hAnsi="Times New Roman" w:cs="Times New Roman" w:eastAsia="Times New Roman" w:hint="default"/>
          <w:spacing w:val="-1"/>
          <w:w w:val="100"/>
        </w:rPr>
        <w:t>[2010]2</w:t>
      </w:r>
      <w:r>
        <w:rPr>
          <w:rFonts w:ascii="Times New Roman" w:hAnsi="Times New Roman" w:cs="Times New Roman" w:eastAsia="Times New Roman" w:hint="default"/>
          <w:spacing w:val="-7"/>
          <w:w w:val="100"/>
        </w:rPr>
        <w:t> </w:t>
      </w:r>
      <w:r>
        <w:rPr>
          <w:spacing w:val="-11"/>
          <w:w w:val="100"/>
        </w:rPr>
        <w:t>号）的要求对比较期加权平均股本进行重新计算，相应</w:t>
      </w:r>
      <w:r>
        <w:rPr>
          <w:spacing w:val="-57"/>
          <w:w w:val="100"/>
        </w:rPr>
        <w:t> </w:t>
      </w:r>
      <w:r>
        <w:rPr>
          <w:rFonts w:ascii="Times New Roman" w:hAnsi="Times New Roman" w:cs="Times New Roman" w:eastAsia="Times New Roman" w:hint="default"/>
          <w:spacing w:val="-1"/>
          <w:w w:val="100"/>
        </w:rPr>
        <w:t>2009</w:t>
      </w:r>
      <w:r>
        <w:rPr>
          <w:rFonts w:ascii="Times New Roman" w:hAnsi="Times New Roman" w:cs="Times New Roman" w:eastAsia="Times New Roman" w:hint="default"/>
          <w:spacing w:val="-48"/>
          <w:w w:val="100"/>
        </w:rPr>
        <w:t> </w:t>
      </w:r>
      <w:r>
        <w:rPr>
          <w:rFonts w:ascii="Times New Roman" w:hAnsi="Times New Roman" w:cs="Times New Roman" w:eastAsia="Times New Roman" w:hint="default"/>
          <w:spacing w:val="-48"/>
          <w:w w:val="100"/>
        </w:rPr>
      </w:r>
      <w:r>
        <w:rPr>
          <w:spacing w:val="-1"/>
        </w:rPr>
        <w:t>年的加权平均股本数为：</w:t>
      </w:r>
      <w:r>
        <w:rPr>
          <w:rFonts w:ascii="Times New Roman" w:hAnsi="Times New Roman" w:cs="Times New Roman" w:eastAsia="Times New Roman" w:hint="default"/>
          <w:spacing w:val="-1"/>
        </w:rPr>
        <w:t>46,000,000.00*1.7+15,500,000.00*1.7*3/12=84,787,500.00</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t>股。</w:t>
      </w:r>
    </w:p>
    <w:p>
      <w:pPr>
        <w:pStyle w:val="Heading5"/>
        <w:tabs>
          <w:tab w:pos="2080" w:val="left" w:leader="none"/>
        </w:tabs>
        <w:spacing w:line="240" w:lineRule="auto" w:before="142"/>
        <w:ind w:right="0"/>
        <w:jc w:val="left"/>
        <w:rPr>
          <w:b w:val="0"/>
          <w:bCs w:val="0"/>
        </w:rPr>
      </w:pPr>
      <w:r>
        <w:rPr/>
        <w:t>（三十七）</w:t>
        <w:tab/>
        <w:t>现金流量表项目注释</w:t>
      </w:r>
      <w:r>
        <w:rPr>
          <w:b w:val="0"/>
          <w:bCs w:val="0"/>
        </w:rPr>
      </w:r>
    </w:p>
    <w:p>
      <w:pPr>
        <w:spacing w:line="240" w:lineRule="auto" w:before="3"/>
        <w:rPr>
          <w:rFonts w:ascii="宋体" w:hAnsi="宋体" w:cs="宋体" w:eastAsia="宋体" w:hint="default"/>
          <w:b/>
          <w:bCs/>
          <w:sz w:val="16"/>
          <w:szCs w:val="16"/>
        </w:rPr>
      </w:pPr>
    </w:p>
    <w:p>
      <w:pPr>
        <w:pStyle w:val="Heading5"/>
        <w:spacing w:line="240" w:lineRule="auto"/>
        <w:ind w:left="822"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34"/>
        </w:rPr>
        <w:t> </w:t>
      </w:r>
      <w:r>
        <w:rPr/>
        <w:t>收到的其他与经营活动有关的现金</w:t>
      </w:r>
      <w:r>
        <w:rPr>
          <w:b w:val="0"/>
          <w:bCs w:val="0"/>
        </w:rPr>
      </w:r>
    </w:p>
    <w:p>
      <w:pPr>
        <w:spacing w:line="240" w:lineRule="auto" w:before="11"/>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3944"/>
        <w:gridCol w:w="2458"/>
        <w:gridCol w:w="2458"/>
      </w:tblGrid>
      <w:tr>
        <w:trPr>
          <w:trHeight w:val="389"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right="1778"/>
              <w:jc w:val="right"/>
              <w:rPr>
                <w:rFonts w:ascii="宋体" w:hAnsi="宋体" w:cs="宋体" w:eastAsia="宋体" w:hint="default"/>
                <w:sz w:val="18"/>
                <w:szCs w:val="18"/>
              </w:rPr>
            </w:pPr>
            <w:r>
              <w:rPr>
                <w:rFonts w:ascii="宋体" w:hAnsi="宋体" w:cs="宋体" w:eastAsia="宋体" w:hint="default"/>
                <w:sz w:val="18"/>
                <w:szCs w:val="18"/>
              </w:rPr>
              <w:t>项目</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4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98"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405"/>
              <w:jc w:val="right"/>
              <w:rPr>
                <w:rFonts w:ascii="Times New Roman" w:hAnsi="Times New Roman" w:cs="Times New Roman" w:eastAsia="Times New Roman" w:hint="default"/>
                <w:sz w:val="18"/>
                <w:szCs w:val="18"/>
              </w:rPr>
            </w:pPr>
            <w:r>
              <w:rPr>
                <w:rFonts w:ascii="Times New Roman"/>
                <w:spacing w:val="-1"/>
                <w:sz w:val="18"/>
              </w:rPr>
              <w:t>1,270,000.00</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415"/>
              <w:jc w:val="right"/>
              <w:rPr>
                <w:rFonts w:ascii="Times New Roman" w:hAnsi="Times New Roman" w:cs="Times New Roman" w:eastAsia="Times New Roman" w:hint="default"/>
                <w:sz w:val="18"/>
                <w:szCs w:val="18"/>
              </w:rPr>
            </w:pPr>
            <w:r>
              <w:rPr>
                <w:rFonts w:ascii="Times New Roman"/>
                <w:spacing w:val="-1"/>
                <w:sz w:val="18"/>
              </w:rPr>
              <w:t>4,640,000.00</w:t>
            </w:r>
          </w:p>
        </w:tc>
      </w:tr>
      <w:tr>
        <w:trPr>
          <w:trHeight w:val="39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405"/>
              <w:jc w:val="right"/>
              <w:rPr>
                <w:rFonts w:ascii="Times New Roman" w:hAnsi="Times New Roman" w:cs="Times New Roman" w:eastAsia="Times New Roman" w:hint="default"/>
                <w:sz w:val="18"/>
                <w:szCs w:val="18"/>
              </w:rPr>
            </w:pPr>
            <w:r>
              <w:rPr>
                <w:rFonts w:ascii="Times New Roman"/>
                <w:spacing w:val="-1"/>
                <w:sz w:val="18"/>
              </w:rPr>
              <w:t>34,829.68</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414"/>
              <w:jc w:val="right"/>
              <w:rPr>
                <w:rFonts w:ascii="Times New Roman" w:hAnsi="Times New Roman" w:cs="Times New Roman" w:eastAsia="Times New Roman" w:hint="default"/>
                <w:sz w:val="18"/>
                <w:szCs w:val="18"/>
              </w:rPr>
            </w:pPr>
            <w:r>
              <w:rPr>
                <w:rFonts w:ascii="Times New Roman"/>
                <w:w w:val="95"/>
                <w:sz w:val="18"/>
              </w:rPr>
              <w:t>2,200.00</w:t>
            </w:r>
          </w:p>
        </w:tc>
      </w:tr>
      <w:tr>
        <w:trPr>
          <w:trHeight w:val="398"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405"/>
              <w:jc w:val="right"/>
              <w:rPr>
                <w:rFonts w:ascii="Times New Roman" w:hAnsi="Times New Roman" w:cs="Times New Roman" w:eastAsia="Times New Roman" w:hint="default"/>
                <w:sz w:val="18"/>
                <w:szCs w:val="18"/>
              </w:rPr>
            </w:pPr>
            <w:r>
              <w:rPr>
                <w:rFonts w:ascii="Times New Roman"/>
                <w:spacing w:val="-1"/>
                <w:sz w:val="18"/>
              </w:rPr>
              <w:t>5,751,342.72</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415"/>
              <w:jc w:val="right"/>
              <w:rPr>
                <w:rFonts w:ascii="Times New Roman" w:hAnsi="Times New Roman" w:cs="Times New Roman" w:eastAsia="Times New Roman" w:hint="default"/>
                <w:sz w:val="18"/>
                <w:szCs w:val="18"/>
              </w:rPr>
            </w:pPr>
            <w:r>
              <w:rPr>
                <w:rFonts w:ascii="Times New Roman"/>
                <w:spacing w:val="-1"/>
                <w:sz w:val="18"/>
              </w:rPr>
              <w:t>792,521.66</w:t>
            </w:r>
          </w:p>
        </w:tc>
      </w:tr>
      <w:tr>
        <w:trPr>
          <w:trHeight w:val="39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收到的其他往来款</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405"/>
              <w:jc w:val="right"/>
              <w:rPr>
                <w:rFonts w:ascii="Times New Roman" w:hAnsi="Times New Roman" w:cs="Times New Roman" w:eastAsia="Times New Roman" w:hint="default"/>
                <w:sz w:val="18"/>
                <w:szCs w:val="18"/>
              </w:rPr>
            </w:pPr>
            <w:r>
              <w:rPr>
                <w:rFonts w:ascii="Times New Roman"/>
                <w:spacing w:val="-1"/>
                <w:sz w:val="18"/>
              </w:rPr>
              <w:t>10,000.00</w:t>
            </w:r>
          </w:p>
        </w:tc>
        <w:tc>
          <w:tcPr>
            <w:tcW w:w="2458"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right="1778"/>
              <w:jc w:val="right"/>
              <w:rPr>
                <w:rFonts w:ascii="宋体" w:hAnsi="宋体" w:cs="宋体" w:eastAsia="宋体" w:hint="default"/>
                <w:sz w:val="18"/>
                <w:szCs w:val="18"/>
              </w:rPr>
            </w:pPr>
            <w:r>
              <w:rPr>
                <w:rFonts w:ascii="宋体" w:hAnsi="宋体" w:cs="宋体" w:eastAsia="宋体" w:hint="default"/>
                <w:sz w:val="18"/>
                <w:szCs w:val="18"/>
              </w:rPr>
              <w:t>合计</w:t>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405"/>
              <w:jc w:val="right"/>
              <w:rPr>
                <w:rFonts w:ascii="Times New Roman" w:hAnsi="Times New Roman" w:cs="Times New Roman" w:eastAsia="Times New Roman" w:hint="default"/>
                <w:sz w:val="18"/>
                <w:szCs w:val="18"/>
              </w:rPr>
            </w:pPr>
            <w:r>
              <w:rPr>
                <w:rFonts w:ascii="Times New Roman"/>
                <w:spacing w:val="-1"/>
                <w:sz w:val="18"/>
              </w:rPr>
              <w:t>7,066,172.40</w:t>
            </w:r>
          </w:p>
        </w:tc>
        <w:tc>
          <w:tcPr>
            <w:tcW w:w="2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415"/>
              <w:jc w:val="right"/>
              <w:rPr>
                <w:rFonts w:ascii="Times New Roman" w:hAnsi="Times New Roman" w:cs="Times New Roman" w:eastAsia="Times New Roman" w:hint="default"/>
                <w:sz w:val="18"/>
                <w:szCs w:val="18"/>
              </w:rPr>
            </w:pPr>
            <w:r>
              <w:rPr>
                <w:rFonts w:ascii="Times New Roman"/>
                <w:spacing w:val="-1"/>
                <w:sz w:val="18"/>
              </w:rPr>
              <w:t>5,434,721.66</w:t>
            </w:r>
          </w:p>
        </w:tc>
      </w:tr>
    </w:tbl>
    <w:p>
      <w:pPr>
        <w:pStyle w:val="Heading5"/>
        <w:spacing w:line="240" w:lineRule="auto" w:before="42"/>
        <w:ind w:left="822"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34"/>
        </w:rPr>
        <w:t> </w:t>
      </w:r>
      <w:r>
        <w:rPr/>
        <w:t>支付的其他与经营活动有关的现金</w:t>
      </w:r>
      <w:r>
        <w:rPr>
          <w:b w:val="0"/>
          <w:bCs w:val="0"/>
        </w:rPr>
      </w:r>
    </w:p>
    <w:p>
      <w:pPr>
        <w:spacing w:line="240" w:lineRule="auto" w:before="8"/>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3944"/>
        <w:gridCol w:w="2458"/>
        <w:gridCol w:w="2458"/>
      </w:tblGrid>
      <w:tr>
        <w:trPr>
          <w:trHeight w:val="391"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4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97"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407"/>
              <w:jc w:val="right"/>
              <w:rPr>
                <w:rFonts w:ascii="Times New Roman" w:hAnsi="Times New Roman" w:cs="Times New Roman" w:eastAsia="Times New Roman" w:hint="default"/>
                <w:sz w:val="18"/>
                <w:szCs w:val="18"/>
              </w:rPr>
            </w:pPr>
            <w:r>
              <w:rPr>
                <w:rFonts w:ascii="Times New Roman"/>
                <w:spacing w:val="-1"/>
                <w:sz w:val="18"/>
              </w:rPr>
              <w:t>11,288,650.19</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415"/>
              <w:jc w:val="right"/>
              <w:rPr>
                <w:rFonts w:ascii="Times New Roman" w:hAnsi="Times New Roman" w:cs="Times New Roman" w:eastAsia="Times New Roman" w:hint="default"/>
                <w:sz w:val="18"/>
                <w:szCs w:val="18"/>
              </w:rPr>
            </w:pPr>
            <w:r>
              <w:rPr>
                <w:rFonts w:ascii="Times New Roman"/>
                <w:spacing w:val="-1"/>
                <w:sz w:val="18"/>
              </w:rPr>
              <w:t>8,236,933.42</w:t>
            </w:r>
          </w:p>
        </w:tc>
      </w:tr>
      <w:tr>
        <w:trPr>
          <w:trHeight w:val="39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406"/>
              <w:jc w:val="right"/>
              <w:rPr>
                <w:rFonts w:ascii="Times New Roman" w:hAnsi="Times New Roman" w:cs="Times New Roman" w:eastAsia="Times New Roman" w:hint="default"/>
                <w:sz w:val="18"/>
                <w:szCs w:val="18"/>
              </w:rPr>
            </w:pPr>
            <w:r>
              <w:rPr>
                <w:rFonts w:ascii="Times New Roman"/>
                <w:spacing w:val="-1"/>
                <w:sz w:val="18"/>
              </w:rPr>
              <w:t>12,622,065.49</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415"/>
              <w:jc w:val="right"/>
              <w:rPr>
                <w:rFonts w:ascii="Times New Roman" w:hAnsi="Times New Roman" w:cs="Times New Roman" w:eastAsia="Times New Roman" w:hint="default"/>
                <w:sz w:val="18"/>
                <w:szCs w:val="18"/>
              </w:rPr>
            </w:pPr>
            <w:r>
              <w:rPr>
                <w:rFonts w:ascii="Times New Roman"/>
                <w:spacing w:val="-1"/>
                <w:sz w:val="18"/>
              </w:rPr>
              <w:t>8,340,638.26</w:t>
            </w:r>
          </w:p>
        </w:tc>
      </w:tr>
      <w:tr>
        <w:trPr>
          <w:trHeight w:val="398"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405"/>
              <w:jc w:val="right"/>
              <w:rPr>
                <w:rFonts w:ascii="Times New Roman" w:hAnsi="Times New Roman" w:cs="Times New Roman" w:eastAsia="Times New Roman" w:hint="default"/>
                <w:sz w:val="18"/>
                <w:szCs w:val="18"/>
              </w:rPr>
            </w:pPr>
            <w:r>
              <w:rPr>
                <w:rFonts w:ascii="Times New Roman"/>
                <w:spacing w:val="-1"/>
                <w:sz w:val="18"/>
              </w:rPr>
              <w:t>90,429.96</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414"/>
              <w:jc w:val="right"/>
              <w:rPr>
                <w:rFonts w:ascii="Times New Roman" w:hAnsi="Times New Roman" w:cs="Times New Roman" w:eastAsia="Times New Roman" w:hint="default"/>
                <w:sz w:val="18"/>
                <w:szCs w:val="18"/>
              </w:rPr>
            </w:pPr>
            <w:r>
              <w:rPr>
                <w:rFonts w:ascii="Times New Roman"/>
                <w:spacing w:val="-1"/>
                <w:sz w:val="18"/>
              </w:rPr>
              <w:t>118,971.17</w:t>
            </w:r>
          </w:p>
        </w:tc>
      </w:tr>
      <w:tr>
        <w:trPr>
          <w:trHeight w:val="39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现金支付的营业外支出</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405"/>
              <w:jc w:val="right"/>
              <w:rPr>
                <w:rFonts w:ascii="Times New Roman" w:hAnsi="Times New Roman" w:cs="Times New Roman" w:eastAsia="Times New Roman" w:hint="default"/>
                <w:sz w:val="18"/>
                <w:szCs w:val="18"/>
              </w:rPr>
            </w:pPr>
            <w:r>
              <w:rPr>
                <w:rFonts w:ascii="Times New Roman"/>
                <w:spacing w:val="-1"/>
                <w:sz w:val="18"/>
              </w:rPr>
              <w:t>1,100,000.00</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414"/>
              <w:jc w:val="right"/>
              <w:rPr>
                <w:rFonts w:ascii="Times New Roman" w:hAnsi="Times New Roman" w:cs="Times New Roman" w:eastAsia="Times New Roman" w:hint="default"/>
                <w:sz w:val="18"/>
                <w:szCs w:val="18"/>
              </w:rPr>
            </w:pPr>
            <w:r>
              <w:rPr>
                <w:rFonts w:ascii="Times New Roman"/>
                <w:sz w:val="18"/>
              </w:rPr>
              <w:t>50.00</w:t>
            </w:r>
          </w:p>
        </w:tc>
      </w:tr>
      <w:tr>
        <w:trPr>
          <w:trHeight w:val="398"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405"/>
              <w:jc w:val="right"/>
              <w:rPr>
                <w:rFonts w:ascii="Times New Roman" w:hAnsi="Times New Roman" w:cs="Times New Roman" w:eastAsia="Times New Roman" w:hint="default"/>
                <w:sz w:val="18"/>
                <w:szCs w:val="18"/>
              </w:rPr>
            </w:pPr>
            <w:r>
              <w:rPr>
                <w:rFonts w:ascii="Times New Roman"/>
                <w:spacing w:val="-1"/>
                <w:sz w:val="18"/>
              </w:rPr>
              <w:t>569,179.12</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415"/>
              <w:jc w:val="right"/>
              <w:rPr>
                <w:rFonts w:ascii="Times New Roman" w:hAnsi="Times New Roman" w:cs="Times New Roman" w:eastAsia="Times New Roman" w:hint="default"/>
                <w:sz w:val="18"/>
                <w:szCs w:val="18"/>
              </w:rPr>
            </w:pPr>
            <w:r>
              <w:rPr>
                <w:rFonts w:ascii="Times New Roman"/>
                <w:spacing w:val="-1"/>
                <w:sz w:val="18"/>
              </w:rPr>
              <w:t>3,428,074.74</w:t>
            </w:r>
          </w:p>
        </w:tc>
      </w:tr>
      <w:tr>
        <w:trPr>
          <w:trHeight w:val="406"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转入使用受限的资金</w:t>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405"/>
              <w:jc w:val="right"/>
              <w:rPr>
                <w:rFonts w:ascii="Times New Roman" w:hAnsi="Times New Roman" w:cs="Times New Roman" w:eastAsia="Times New Roman" w:hint="default"/>
                <w:sz w:val="18"/>
                <w:szCs w:val="18"/>
              </w:rPr>
            </w:pPr>
            <w:r>
              <w:rPr>
                <w:rFonts w:ascii="Times New Roman"/>
                <w:spacing w:val="-1"/>
                <w:sz w:val="18"/>
              </w:rPr>
              <w:t>6,973,618.85</w:t>
            </w:r>
          </w:p>
        </w:tc>
        <w:tc>
          <w:tcPr>
            <w:tcW w:w="2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415"/>
              <w:jc w:val="right"/>
              <w:rPr>
                <w:rFonts w:ascii="Times New Roman" w:hAnsi="Times New Roman" w:cs="Times New Roman" w:eastAsia="Times New Roman" w:hint="default"/>
                <w:sz w:val="18"/>
                <w:szCs w:val="18"/>
              </w:rPr>
            </w:pPr>
            <w:r>
              <w:rPr>
                <w:rFonts w:ascii="Times New Roman"/>
                <w:spacing w:val="-1"/>
                <w:sz w:val="18"/>
              </w:rPr>
              <w:t>3,088,152.13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1186" w:top="1200" w:bottom="1380" w:left="1400" w:right="1400"/>
        </w:sectPr>
      </w:pPr>
    </w:p>
    <w:p>
      <w:pPr>
        <w:spacing w:line="240" w:lineRule="auto" w:before="7"/>
        <w:rPr>
          <w:rFonts w:ascii="宋体" w:hAnsi="宋体" w:cs="宋体" w:eastAsia="宋体" w:hint="default"/>
          <w:b/>
          <w:bCs/>
          <w:sz w:val="17"/>
          <w:szCs w:val="17"/>
        </w:rPr>
      </w:pPr>
    </w:p>
    <w:tbl>
      <w:tblPr>
        <w:tblW w:w="0" w:type="auto"/>
        <w:jc w:val="left"/>
        <w:tblInd w:w="117" w:type="dxa"/>
        <w:tblLayout w:type="fixed"/>
        <w:tblCellMar>
          <w:top w:w="0" w:type="dxa"/>
          <w:left w:w="0" w:type="dxa"/>
          <w:bottom w:w="0" w:type="dxa"/>
          <w:right w:w="0" w:type="dxa"/>
        </w:tblCellMar>
        <w:tblLook w:val="01E0"/>
      </w:tblPr>
      <w:tblGrid>
        <w:gridCol w:w="3944"/>
        <w:gridCol w:w="2458"/>
        <w:gridCol w:w="2458"/>
      </w:tblGrid>
      <w:tr>
        <w:trPr>
          <w:trHeight w:val="413" w:hRule="exact"/>
        </w:trPr>
        <w:tc>
          <w:tcPr>
            <w:tcW w:w="394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4"/>
              <w:ind w:left="1001" w:right="0"/>
              <w:jc w:val="left"/>
              <w:rPr>
                <w:rFonts w:ascii="Times New Roman" w:hAnsi="Times New Roman" w:cs="Times New Roman" w:eastAsia="Times New Roman" w:hint="default"/>
                <w:sz w:val="18"/>
                <w:szCs w:val="18"/>
              </w:rPr>
            </w:pPr>
            <w:r>
              <w:rPr>
                <w:rFonts w:ascii="Times New Roman"/>
                <w:sz w:val="18"/>
              </w:rPr>
              <w:t>32,643,943.61</w:t>
            </w:r>
          </w:p>
        </w:tc>
        <w:tc>
          <w:tcPr>
            <w:tcW w:w="24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4"/>
              <w:ind w:left="998" w:right="0"/>
              <w:jc w:val="left"/>
              <w:rPr>
                <w:rFonts w:ascii="Times New Roman" w:hAnsi="Times New Roman" w:cs="Times New Roman" w:eastAsia="Times New Roman" w:hint="default"/>
                <w:sz w:val="18"/>
                <w:szCs w:val="18"/>
              </w:rPr>
            </w:pPr>
            <w:r>
              <w:rPr>
                <w:rFonts w:ascii="Times New Roman"/>
                <w:sz w:val="18"/>
              </w:rPr>
              <w:t>23,212,819.72</w:t>
            </w:r>
          </w:p>
        </w:tc>
      </w:tr>
    </w:tbl>
    <w:p>
      <w:pPr>
        <w:pStyle w:val="Heading5"/>
        <w:spacing w:line="240" w:lineRule="auto" w:before="43"/>
        <w:ind w:left="822"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34"/>
        </w:rPr>
        <w:t> </w:t>
      </w:r>
      <w:r>
        <w:rPr/>
        <w:t>收到的其他与筹资活动有关的现金</w:t>
      </w:r>
      <w:r>
        <w:rPr>
          <w:b w:val="0"/>
          <w:bCs w:val="0"/>
        </w:rPr>
      </w:r>
    </w:p>
    <w:p>
      <w:pPr>
        <w:spacing w:line="240" w:lineRule="auto" w:before="8"/>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3944"/>
        <w:gridCol w:w="2295"/>
        <w:gridCol w:w="2621"/>
      </w:tblGrid>
      <w:tr>
        <w:trPr>
          <w:trHeight w:val="391"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9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收到的政府补助（递延收益）</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59"/>
              <w:jc w:val="right"/>
              <w:rPr>
                <w:rFonts w:ascii="Times New Roman" w:hAnsi="Times New Roman" w:cs="Times New Roman" w:eastAsia="Times New Roman" w:hint="default"/>
                <w:sz w:val="18"/>
                <w:szCs w:val="18"/>
              </w:rPr>
            </w:pPr>
            <w:r>
              <w:rPr>
                <w:rFonts w:ascii="Times New Roman"/>
                <w:spacing w:val="-1"/>
                <w:sz w:val="18"/>
              </w:rPr>
              <w:t>7,800,000.00</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269"/>
              <w:jc w:val="right"/>
              <w:rPr>
                <w:rFonts w:ascii="Times New Roman" w:hAnsi="Times New Roman" w:cs="Times New Roman" w:eastAsia="Times New Roman" w:hint="default"/>
                <w:sz w:val="18"/>
                <w:szCs w:val="18"/>
              </w:rPr>
            </w:pPr>
            <w:r>
              <w:rPr>
                <w:rFonts w:ascii="Times New Roman"/>
                <w:spacing w:val="-1"/>
                <w:sz w:val="18"/>
              </w:rPr>
              <w:t>13,400,000.00</w:t>
            </w:r>
          </w:p>
        </w:tc>
      </w:tr>
      <w:tr>
        <w:trPr>
          <w:trHeight w:val="406"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259"/>
              <w:jc w:val="right"/>
              <w:rPr>
                <w:rFonts w:ascii="Times New Roman" w:hAnsi="Times New Roman" w:cs="Times New Roman" w:eastAsia="Times New Roman" w:hint="default"/>
                <w:sz w:val="18"/>
                <w:szCs w:val="18"/>
              </w:rPr>
            </w:pPr>
            <w:r>
              <w:rPr>
                <w:rFonts w:ascii="Times New Roman"/>
                <w:spacing w:val="-1"/>
                <w:sz w:val="18"/>
              </w:rPr>
              <w:t>7,800,000.00</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269"/>
              <w:jc w:val="right"/>
              <w:rPr>
                <w:rFonts w:ascii="Times New Roman" w:hAnsi="Times New Roman" w:cs="Times New Roman" w:eastAsia="Times New Roman" w:hint="default"/>
                <w:sz w:val="18"/>
                <w:szCs w:val="18"/>
              </w:rPr>
            </w:pPr>
            <w:r>
              <w:rPr>
                <w:rFonts w:ascii="Times New Roman"/>
                <w:spacing w:val="-1"/>
                <w:sz w:val="18"/>
              </w:rPr>
              <w:t>13,400,000.00</w:t>
            </w:r>
          </w:p>
        </w:tc>
      </w:tr>
    </w:tbl>
    <w:p>
      <w:pPr>
        <w:pStyle w:val="Heading5"/>
        <w:spacing w:line="240" w:lineRule="auto" w:before="42"/>
        <w:ind w:left="822" w:right="0"/>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34"/>
        </w:rPr>
        <w:t> </w:t>
      </w:r>
      <w:r>
        <w:rPr/>
        <w:t>支付的其他与筹资活动有关的现金</w:t>
      </w:r>
      <w:r>
        <w:rPr>
          <w:b w:val="0"/>
          <w:bCs w:val="0"/>
        </w:rPr>
      </w:r>
    </w:p>
    <w:p>
      <w:pPr>
        <w:spacing w:line="240" w:lineRule="auto" w:before="8"/>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3944"/>
        <w:gridCol w:w="2295"/>
        <w:gridCol w:w="2621"/>
      </w:tblGrid>
      <w:tr>
        <w:trPr>
          <w:trHeight w:val="391"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right="1778"/>
              <w:jc w:val="right"/>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9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募集费用</w:t>
            </w:r>
          </w:p>
        </w:tc>
        <w:tc>
          <w:tcPr>
            <w:tcW w:w="2295" w:type="dxa"/>
            <w:tcBorders>
              <w:top w:val="single" w:sz="6" w:space="0" w:color="000000"/>
              <w:left w:val="single" w:sz="6" w:space="0" w:color="000000"/>
              <w:bottom w:val="single" w:sz="6" w:space="0" w:color="000000"/>
              <w:right w:val="single" w:sz="6" w:space="0" w:color="000000"/>
            </w:tcBorders>
          </w:tcPr>
          <w:p>
            <w:pP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268"/>
              <w:jc w:val="right"/>
              <w:rPr>
                <w:rFonts w:ascii="Times New Roman" w:hAnsi="Times New Roman" w:cs="Times New Roman" w:eastAsia="Times New Roman" w:hint="default"/>
                <w:sz w:val="18"/>
                <w:szCs w:val="18"/>
              </w:rPr>
            </w:pPr>
            <w:r>
              <w:rPr>
                <w:rFonts w:ascii="Times New Roman"/>
                <w:spacing w:val="-1"/>
                <w:sz w:val="18"/>
              </w:rPr>
              <w:t>8,464,060.00</w:t>
            </w:r>
          </w:p>
        </w:tc>
      </w:tr>
      <w:tr>
        <w:trPr>
          <w:trHeight w:val="406"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right="1778"/>
              <w:jc w:val="righ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6" w:space="0" w:color="000000"/>
              <w:left w:val="single" w:sz="6" w:space="0" w:color="000000"/>
              <w:bottom w:val="single" w:sz="12" w:space="0" w:color="000000"/>
              <w:right w:val="single" w:sz="6" w:space="0" w:color="000000"/>
            </w:tcBorders>
          </w:tcPr>
          <w:p>
            <w:pP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268"/>
              <w:jc w:val="right"/>
              <w:rPr>
                <w:rFonts w:ascii="Times New Roman" w:hAnsi="Times New Roman" w:cs="Times New Roman" w:eastAsia="Times New Roman" w:hint="default"/>
                <w:sz w:val="18"/>
                <w:szCs w:val="18"/>
              </w:rPr>
            </w:pPr>
            <w:r>
              <w:rPr>
                <w:rFonts w:ascii="Times New Roman"/>
                <w:spacing w:val="-1"/>
                <w:sz w:val="18"/>
              </w:rPr>
              <w:t>8,464,060.00</w:t>
            </w:r>
          </w:p>
        </w:tc>
      </w:tr>
    </w:tbl>
    <w:p>
      <w:pPr>
        <w:pStyle w:val="Heading5"/>
        <w:tabs>
          <w:tab w:pos="2080" w:val="left" w:leader="none"/>
        </w:tabs>
        <w:spacing w:line="240" w:lineRule="auto" w:before="84"/>
        <w:ind w:right="0"/>
        <w:jc w:val="left"/>
        <w:rPr>
          <w:b w:val="0"/>
          <w:bCs w:val="0"/>
        </w:rPr>
      </w:pPr>
      <w:r>
        <w:rPr/>
        <w:t>（三十八）</w:t>
        <w:tab/>
        <w:t>现金流量表补充资料</w:t>
      </w:r>
      <w:r>
        <w:rPr>
          <w:b w:val="0"/>
          <w:bCs w:val="0"/>
        </w:rPr>
      </w:r>
    </w:p>
    <w:p>
      <w:pPr>
        <w:spacing w:line="240" w:lineRule="auto" w:before="5"/>
        <w:rPr>
          <w:rFonts w:ascii="宋体" w:hAnsi="宋体" w:cs="宋体" w:eastAsia="宋体" w:hint="default"/>
          <w:b/>
          <w:bCs/>
          <w:sz w:val="16"/>
          <w:szCs w:val="16"/>
        </w:rPr>
      </w:pPr>
    </w:p>
    <w:p>
      <w:pPr>
        <w:pStyle w:val="BodyText"/>
        <w:spacing w:line="240" w:lineRule="auto"/>
        <w:ind w:left="820" w:right="0"/>
        <w:jc w:val="left"/>
      </w:pPr>
      <w:r>
        <w:rPr/>
        <w:t>（</w:t>
      </w:r>
      <w:r>
        <w:rPr>
          <w:rFonts w:ascii="Times New Roman" w:hAnsi="Times New Roman" w:cs="Times New Roman" w:eastAsia="Times New Roman" w:hint="default"/>
        </w:rPr>
        <w:t>1</w:t>
      </w:r>
      <w:r>
        <w:rPr/>
        <w:t>）采用间接法将净利润调节为经营活动现金流量</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5960"/>
        <w:gridCol w:w="1467"/>
        <w:gridCol w:w="1433"/>
      </w:tblGrid>
      <w:tr>
        <w:trPr>
          <w:trHeight w:val="391" w:hRule="exact"/>
        </w:trPr>
        <w:tc>
          <w:tcPr>
            <w:tcW w:w="59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364"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43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348"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85,718,282.45</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54,380,447.46</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5,365,868.82</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1,046,881.07</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3,190,533.14</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2,498,440.59</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346,104.84</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311,979.84</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-353.62</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-21,459.56</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公允价值变动</w:t>
            </w:r>
            <w:r>
              <w:rPr>
                <w:rFonts w:ascii="宋体" w:hAnsi="宋体" w:cs="宋体" w:eastAsia="宋体" w:hint="default"/>
                <w:spacing w:val="-1"/>
                <w:sz w:val="18"/>
                <w:szCs w:val="18"/>
              </w:rPr>
              <w:t>损</w:t>
            </w:r>
            <w:r>
              <w:rPr>
                <w:rFonts w:ascii="宋体" w:hAnsi="宋体" w:cs="宋体" w:eastAsia="宋体" w:hint="default"/>
                <w:sz w:val="18"/>
                <w:szCs w:val="18"/>
              </w:rPr>
              <w:t>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395,300.00</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2,337,939.66</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-2,764,395.83</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3,336,882.73</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536,280.21</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-80,274.06</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-11,329,957.40</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-5,234,534.00</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-106,571,797.73</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-41,384,811.72</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44,449,498.97</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18,934,836.31</w:t>
            </w:r>
          </w:p>
        </w:tc>
      </w:tr>
      <w:tr>
        <w:trPr>
          <w:trHeight w:val="385"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19,335,363.85</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36,126,328.32</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nil" w:sz="6" w:space="0" w:color="auto"/>
            </w:tcBorders>
          </w:tcPr>
          <w:p>
            <w:pPr/>
          </w:p>
        </w:tc>
      </w:tr>
      <w:tr>
        <w:trPr>
          <w:trHeight w:val="394" w:hRule="exact"/>
        </w:trPr>
        <w:tc>
          <w:tcPr>
            <w:tcW w:w="596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67" w:type="dxa"/>
            <w:tcBorders>
              <w:top w:val="single" w:sz="6" w:space="0" w:color="000000"/>
              <w:left w:val="single" w:sz="6" w:space="0" w:color="000000"/>
              <w:bottom w:val="single" w:sz="12" w:space="0" w:color="000000"/>
              <w:right w:val="single" w:sz="6" w:space="0" w:color="000000"/>
            </w:tcBorders>
          </w:tcPr>
          <w:p>
            <w:pPr/>
          </w:p>
        </w:tc>
        <w:tc>
          <w:tcPr>
            <w:tcW w:w="1433"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52" w:footer="1186" w:top="1200" w:bottom="1380" w:left="1400" w:right="1400"/>
        </w:sectPr>
      </w:pPr>
    </w:p>
    <w:p>
      <w:pPr>
        <w:spacing w:line="240" w:lineRule="auto" w:before="7"/>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5960"/>
        <w:gridCol w:w="1467"/>
        <w:gridCol w:w="1433"/>
      </w:tblGrid>
      <w:tr>
        <w:trPr>
          <w:trHeight w:val="391" w:hRule="exact"/>
        </w:trPr>
        <w:tc>
          <w:tcPr>
            <w:tcW w:w="59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143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7"/>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4" w:right="0"/>
              <w:jc w:val="center"/>
              <w:rPr>
                <w:rFonts w:ascii="Times New Roman" w:hAnsi="Times New Roman" w:cs="Times New Roman" w:eastAsia="Times New Roman" w:hint="default"/>
                <w:sz w:val="18"/>
                <w:szCs w:val="18"/>
              </w:rPr>
            </w:pPr>
            <w:r>
              <w:rPr>
                <w:rFonts w:ascii="Times New Roman"/>
                <w:sz w:val="18"/>
              </w:rPr>
              <w:t>379,583,886.30</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left="83" w:right="0"/>
              <w:jc w:val="center"/>
              <w:rPr>
                <w:rFonts w:ascii="Times New Roman" w:hAnsi="Times New Roman" w:cs="Times New Roman" w:eastAsia="Times New Roman" w:hint="default"/>
                <w:sz w:val="18"/>
                <w:szCs w:val="18"/>
              </w:rPr>
            </w:pPr>
            <w:r>
              <w:rPr>
                <w:rFonts w:ascii="Times New Roman"/>
                <w:sz w:val="18"/>
              </w:rPr>
              <w:t>452,247,936.60</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4" w:right="0"/>
              <w:jc w:val="center"/>
              <w:rPr>
                <w:rFonts w:ascii="Times New Roman" w:hAnsi="Times New Roman" w:cs="Times New Roman" w:eastAsia="Times New Roman" w:hint="default"/>
                <w:sz w:val="18"/>
                <w:szCs w:val="18"/>
              </w:rPr>
            </w:pPr>
            <w:r>
              <w:rPr>
                <w:rFonts w:ascii="Times New Roman"/>
                <w:sz w:val="18"/>
              </w:rPr>
              <w:t>452,247,936.60</w:t>
            </w:r>
          </w:p>
        </w:tc>
        <w:tc>
          <w:tcPr>
            <w:tcW w:w="14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left="175" w:right="0"/>
              <w:jc w:val="center"/>
              <w:rPr>
                <w:rFonts w:ascii="Times New Roman" w:hAnsi="Times New Roman" w:cs="Times New Roman" w:eastAsia="Times New Roman" w:hint="default"/>
                <w:sz w:val="18"/>
                <w:szCs w:val="18"/>
              </w:rPr>
            </w:pPr>
            <w:r>
              <w:rPr>
                <w:rFonts w:ascii="Times New Roman"/>
                <w:sz w:val="18"/>
              </w:rPr>
              <w:t>57,375,732.87</w:t>
            </w: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467"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nil" w:sz="6" w:space="0" w:color="auto"/>
            </w:tcBorders>
          </w:tcPr>
          <w:p>
            <w:pPr/>
          </w:p>
        </w:tc>
      </w:tr>
      <w:tr>
        <w:trPr>
          <w:trHeight w:val="394" w:hRule="exact"/>
        </w:trPr>
        <w:tc>
          <w:tcPr>
            <w:tcW w:w="596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155" w:right="0"/>
              <w:jc w:val="center"/>
              <w:rPr>
                <w:rFonts w:ascii="Times New Roman" w:hAnsi="Times New Roman" w:cs="Times New Roman" w:eastAsia="Times New Roman" w:hint="default"/>
                <w:sz w:val="18"/>
                <w:szCs w:val="18"/>
              </w:rPr>
            </w:pPr>
            <w:r>
              <w:rPr>
                <w:rFonts w:ascii="Times New Roman"/>
                <w:sz w:val="18"/>
              </w:rPr>
              <w:t>-72,664,050.30</w:t>
            </w:r>
          </w:p>
        </w:tc>
        <w:tc>
          <w:tcPr>
            <w:tcW w:w="14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left="83" w:right="0"/>
              <w:jc w:val="center"/>
              <w:rPr>
                <w:rFonts w:ascii="Times New Roman" w:hAnsi="Times New Roman" w:cs="Times New Roman" w:eastAsia="Times New Roman" w:hint="default"/>
                <w:sz w:val="18"/>
                <w:szCs w:val="18"/>
              </w:rPr>
            </w:pPr>
            <w:r>
              <w:rPr>
                <w:rFonts w:ascii="Times New Roman"/>
                <w:sz w:val="18"/>
              </w:rPr>
              <w:t>394,872,203.73</w:t>
            </w:r>
          </w:p>
        </w:tc>
      </w:tr>
    </w:tbl>
    <w:p>
      <w:pPr>
        <w:spacing w:line="240" w:lineRule="auto" w:before="7"/>
        <w:rPr>
          <w:rFonts w:ascii="宋体" w:hAnsi="宋体" w:cs="宋体" w:eastAsia="宋体" w:hint="default"/>
          <w:sz w:val="6"/>
          <w:szCs w:val="6"/>
        </w:rPr>
      </w:pPr>
    </w:p>
    <w:p>
      <w:pPr>
        <w:pStyle w:val="BodyText"/>
        <w:spacing w:line="240" w:lineRule="auto" w:before="36"/>
        <w:ind w:left="820" w:right="0"/>
        <w:jc w:val="left"/>
      </w:pPr>
      <w:r>
        <w:rPr/>
        <w:t>（</w:t>
      </w:r>
      <w:r>
        <w:rPr>
          <w:rFonts w:ascii="Times New Roman" w:hAnsi="Times New Roman" w:cs="Times New Roman" w:eastAsia="Times New Roman" w:hint="default"/>
        </w:rPr>
        <w:t>2</w:t>
      </w:r>
      <w:r>
        <w:rPr/>
        <w:t>）现金和现金等价物</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5636"/>
        <w:gridCol w:w="1610"/>
        <w:gridCol w:w="1613"/>
      </w:tblGrid>
      <w:tr>
        <w:trPr>
          <w:trHeight w:val="389" w:hRule="exact"/>
        </w:trPr>
        <w:tc>
          <w:tcPr>
            <w:tcW w:w="563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436"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61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439"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98"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379,583,886.30</w:t>
            </w:r>
          </w:p>
        </w:tc>
        <w:tc>
          <w:tcPr>
            <w:tcW w:w="16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452,247,936.60</w:t>
            </w:r>
          </w:p>
        </w:tc>
      </w:tr>
      <w:tr>
        <w:trPr>
          <w:trHeight w:val="397"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241,221.83</w:t>
            </w:r>
          </w:p>
        </w:tc>
        <w:tc>
          <w:tcPr>
            <w:tcW w:w="16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65,693.55</w:t>
            </w:r>
          </w:p>
        </w:tc>
      </w:tr>
      <w:tr>
        <w:trPr>
          <w:trHeight w:val="398"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374,494,003.94</w:t>
            </w:r>
          </w:p>
        </w:tc>
        <w:tc>
          <w:tcPr>
            <w:tcW w:w="16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446,279,910.00</w:t>
            </w:r>
          </w:p>
        </w:tc>
      </w:tr>
      <w:tr>
        <w:trPr>
          <w:trHeight w:val="396"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4,848,660.53</w:t>
            </w:r>
          </w:p>
        </w:tc>
        <w:tc>
          <w:tcPr>
            <w:tcW w:w="16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5,902,333.05</w:t>
            </w:r>
          </w:p>
        </w:tc>
      </w:tr>
      <w:tr>
        <w:trPr>
          <w:trHeight w:val="396"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66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66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66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610"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56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379,583,886.30</w:t>
            </w:r>
          </w:p>
        </w:tc>
        <w:tc>
          <w:tcPr>
            <w:tcW w:w="16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452,247,936.60</w:t>
            </w:r>
          </w:p>
        </w:tc>
      </w:tr>
      <w:tr>
        <w:trPr>
          <w:trHeight w:val="404" w:hRule="exact"/>
        </w:trPr>
        <w:tc>
          <w:tcPr>
            <w:tcW w:w="563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四、母公司或集团内子公司使用受限制的现金和现金等价物</w:t>
            </w:r>
          </w:p>
        </w:tc>
        <w:tc>
          <w:tcPr>
            <w:tcW w:w="16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13,683,721.98</w:t>
            </w:r>
          </w:p>
        </w:tc>
        <w:tc>
          <w:tcPr>
            <w:tcW w:w="16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6,710,103.13</w:t>
            </w:r>
          </w:p>
        </w:tc>
      </w:tr>
    </w:tbl>
    <w:p>
      <w:pPr>
        <w:pStyle w:val="BodyText"/>
        <w:spacing w:line="240" w:lineRule="auto" w:before="42"/>
        <w:ind w:left="822" w:right="0"/>
        <w:jc w:val="left"/>
      </w:pPr>
      <w:r>
        <w:rPr/>
        <w:t>年初其他货币资金中有 </w:t>
      </w:r>
      <w:r>
        <w:rPr>
          <w:rFonts w:ascii="Times New Roman" w:hAnsi="Times New Roman" w:cs="Times New Roman" w:eastAsia="Times New Roman" w:hint="default"/>
        </w:rPr>
        <w:t>6,710,103.13</w:t>
      </w:r>
      <w:r>
        <w:rPr>
          <w:rFonts w:ascii="Times New Roman" w:hAnsi="Times New Roman" w:cs="Times New Roman" w:eastAsia="Times New Roman" w:hint="default"/>
          <w:spacing w:val="-15"/>
        </w:rPr>
        <w:t> </w:t>
      </w:r>
      <w:r>
        <w:rPr>
          <w:spacing w:val="-4"/>
        </w:rPr>
        <w:t>元保函保证金，使用受限制，不包含在现金及现金</w:t>
      </w:r>
    </w:p>
    <w:p>
      <w:pPr>
        <w:pStyle w:val="BodyText"/>
        <w:spacing w:line="336" w:lineRule="auto" w:before="119"/>
        <w:ind w:left="400" w:right="606"/>
        <w:jc w:val="left"/>
      </w:pPr>
      <w:r>
        <w:rPr/>
        <w:t>等价物中；年末其他货币资金中有 </w:t>
      </w:r>
      <w:r>
        <w:rPr>
          <w:rFonts w:ascii="Times New Roman" w:hAnsi="Times New Roman" w:cs="Times New Roman" w:eastAsia="Times New Roman" w:hint="default"/>
        </w:rPr>
        <w:t>13,683,721.98</w:t>
      </w:r>
      <w:r>
        <w:rPr>
          <w:rFonts w:ascii="Times New Roman" w:hAnsi="Times New Roman" w:cs="Times New Roman" w:eastAsia="Times New Roman" w:hint="default"/>
          <w:spacing w:val="5"/>
        </w:rPr>
        <w:t> </w:t>
      </w:r>
      <w:r>
        <w:rPr/>
        <w:t>元保函保证金，使用受限制，不包含在现</w:t>
      </w:r>
      <w:r>
        <w:rPr>
          <w:w w:val="100"/>
        </w:rPr>
        <w:t> </w:t>
      </w:r>
      <w:r>
        <w:rPr/>
        <w:t>金及现金等价物中。</w:t>
      </w:r>
    </w:p>
    <w:p>
      <w:pPr>
        <w:spacing w:line="240" w:lineRule="auto" w:before="6"/>
        <w:rPr>
          <w:rFonts w:ascii="宋体" w:hAnsi="宋体" w:cs="宋体" w:eastAsia="宋体" w:hint="default"/>
          <w:sz w:val="27"/>
          <w:szCs w:val="27"/>
        </w:rPr>
      </w:pPr>
    </w:p>
    <w:p>
      <w:pPr>
        <w:pStyle w:val="Heading4"/>
        <w:spacing w:line="240" w:lineRule="auto" w:before="0"/>
        <w:ind w:right="0"/>
        <w:jc w:val="left"/>
      </w:pPr>
      <w:r>
        <w:rPr/>
        <w:t>六、关联方关系及其交易</w:t>
      </w:r>
    </w:p>
    <w:p>
      <w:pPr>
        <w:spacing w:line="240" w:lineRule="auto" w:before="10"/>
        <w:rPr>
          <w:rFonts w:ascii="黑体" w:hAnsi="黑体" w:cs="黑体" w:eastAsia="黑体" w:hint="default"/>
          <w:sz w:val="23"/>
          <w:szCs w:val="23"/>
        </w:rPr>
      </w:pPr>
    </w:p>
    <w:p>
      <w:pPr>
        <w:pStyle w:val="Heading5"/>
        <w:tabs>
          <w:tab w:pos="1840" w:val="left" w:leader="none"/>
        </w:tabs>
        <w:spacing w:line="240" w:lineRule="auto"/>
        <w:ind w:left="762" w:right="0"/>
        <w:jc w:val="left"/>
        <w:rPr>
          <w:b w:val="0"/>
          <w:bCs w:val="0"/>
        </w:rPr>
      </w:pPr>
      <w:r>
        <w:rPr/>
        <w:t>（三十）</w:t>
        <w:tab/>
        <w:t>关联方关系</w:t>
      </w:r>
      <w:r>
        <w:rPr>
          <w:b w:val="0"/>
          <w:bCs w:val="0"/>
        </w:rPr>
      </w:r>
    </w:p>
    <w:p>
      <w:pPr>
        <w:spacing w:line="240" w:lineRule="auto" w:before="3"/>
        <w:rPr>
          <w:rFonts w:ascii="宋体" w:hAnsi="宋体" w:cs="宋体" w:eastAsia="宋体" w:hint="default"/>
          <w:b/>
          <w:bCs/>
          <w:sz w:val="16"/>
          <w:szCs w:val="16"/>
        </w:rPr>
      </w:pPr>
    </w:p>
    <w:p>
      <w:pPr>
        <w:pStyle w:val="Heading5"/>
        <w:spacing w:line="240" w:lineRule="auto"/>
        <w:ind w:left="938" w:right="0"/>
        <w:jc w:val="left"/>
        <w:rPr>
          <w:b w:val="0"/>
          <w:bCs w:val="0"/>
        </w:rPr>
      </w:pPr>
      <w:r>
        <w:rPr>
          <w:rFonts w:ascii="Times New Roman" w:hAnsi="Times New Roman" w:cs="Times New Roman" w:eastAsia="Times New Roman" w:hint="default"/>
        </w:rPr>
        <w:t>1</w:t>
      </w:r>
      <w:r>
        <w:rPr/>
        <w:t>．</w:t>
      </w:r>
      <w:r>
        <w:rPr>
          <w:spacing w:val="-61"/>
        </w:rPr>
        <w:t> </w:t>
      </w:r>
      <w:r>
        <w:rPr/>
        <w:t>持股</w:t>
      </w:r>
      <w:r>
        <w:rPr>
          <w:spacing w:val="-54"/>
        </w:rPr>
        <w:t> </w:t>
      </w:r>
      <w:r>
        <w:rPr>
          <w:rFonts w:ascii="Times New Roman" w:hAnsi="Times New Roman" w:cs="Times New Roman" w:eastAsia="Times New Roman" w:hint="default"/>
        </w:rPr>
        <w:t>5%</w:t>
      </w:r>
      <w:r>
        <w:rPr/>
        <w:t>以上的自然人股东情况</w:t>
      </w:r>
      <w:r>
        <w:rPr>
          <w:b w:val="0"/>
          <w:bCs w:val="0"/>
        </w:rPr>
      </w:r>
    </w:p>
    <w:p>
      <w:pPr>
        <w:spacing w:line="240" w:lineRule="auto" w:before="11"/>
        <w:rPr>
          <w:rFonts w:ascii="宋体" w:hAnsi="宋体" w:cs="宋体" w:eastAsia="宋体" w:hint="default"/>
          <w:b/>
          <w:bCs/>
          <w:sz w:val="17"/>
          <w:szCs w:val="17"/>
        </w:rPr>
      </w:pPr>
    </w:p>
    <w:tbl>
      <w:tblPr>
        <w:tblW w:w="0" w:type="auto"/>
        <w:jc w:val="left"/>
        <w:tblInd w:w="263" w:type="dxa"/>
        <w:tblLayout w:type="fixed"/>
        <w:tblCellMar>
          <w:top w:w="0" w:type="dxa"/>
          <w:left w:w="0" w:type="dxa"/>
          <w:bottom w:w="0" w:type="dxa"/>
          <w:right w:w="0" w:type="dxa"/>
        </w:tblCellMar>
        <w:tblLook w:val="01E0"/>
      </w:tblPr>
      <w:tblGrid>
        <w:gridCol w:w="1363"/>
        <w:gridCol w:w="1349"/>
        <w:gridCol w:w="1260"/>
        <w:gridCol w:w="1186"/>
        <w:gridCol w:w="1181"/>
        <w:gridCol w:w="1181"/>
        <w:gridCol w:w="1397"/>
      </w:tblGrid>
      <w:tr>
        <w:trPr>
          <w:trHeight w:val="415" w:hRule="exact"/>
        </w:trPr>
        <w:tc>
          <w:tcPr>
            <w:tcW w:w="13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持股比例</w:t>
            </w:r>
            <w:r>
              <w:rPr>
                <w:rFonts w:ascii="Times New Roman" w:hAnsi="Times New Roman" w:cs="Times New Roman" w:eastAsia="Times New Roman" w:hint="default"/>
                <w:spacing w:val="-1"/>
                <w:sz w:val="18"/>
                <w:szCs w:val="18"/>
              </w:rPr>
              <w:t>(%)</w:t>
            </w:r>
          </w:p>
        </w:tc>
        <w:tc>
          <w:tcPr>
            <w:tcW w:w="13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11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表决权比例</w:t>
            </w:r>
            <w:r>
              <w:rPr>
                <w:rFonts w:ascii="Times New Roman" w:hAnsi="Times New Roman" w:cs="Times New Roman" w:eastAsia="Times New Roman" w:hint="default"/>
                <w:spacing w:val="-1"/>
                <w:sz w:val="18"/>
                <w:szCs w:val="18"/>
              </w:rPr>
              <w:t>(%)</w:t>
            </w:r>
          </w:p>
        </w:tc>
      </w:tr>
      <w:tr>
        <w:trPr>
          <w:trHeight w:val="409" w:hRule="exact"/>
        </w:trPr>
        <w:tc>
          <w:tcPr>
            <w:tcW w:w="1363" w:type="dxa"/>
            <w:tcBorders>
              <w:top w:val="single" w:sz="4" w:space="0" w:color="000000"/>
              <w:left w:val="nil" w:sz="6" w:space="0" w:color="auto"/>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126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19,040,000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18.21%</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18.21%</w:t>
            </w:r>
          </w:p>
        </w:tc>
      </w:tr>
      <w:tr>
        <w:trPr>
          <w:trHeight w:val="408" w:hRule="exact"/>
        </w:trPr>
        <w:tc>
          <w:tcPr>
            <w:tcW w:w="1363" w:type="dxa"/>
            <w:tcBorders>
              <w:top w:val="single" w:sz="4" w:space="0" w:color="000000"/>
              <w:left w:val="nil" w:sz="6" w:space="0" w:color="auto"/>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李劲松</w:t>
            </w:r>
          </w:p>
        </w:tc>
        <w:tc>
          <w:tcPr>
            <w:tcW w:w="126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10,880,000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10.41%</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10.41%</w:t>
            </w:r>
          </w:p>
        </w:tc>
      </w:tr>
      <w:tr>
        <w:trPr>
          <w:trHeight w:val="406" w:hRule="exact"/>
        </w:trPr>
        <w:tc>
          <w:tcPr>
            <w:tcW w:w="1363" w:type="dxa"/>
            <w:tcBorders>
              <w:top w:val="single" w:sz="4" w:space="0" w:color="000000"/>
              <w:left w:val="nil" w:sz="6" w:space="0" w:color="auto"/>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126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10,200,000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9.76%</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z w:val="18"/>
              </w:rPr>
              <w:t>9.76%</w:t>
            </w:r>
          </w:p>
        </w:tc>
      </w:tr>
      <w:tr>
        <w:trPr>
          <w:trHeight w:val="408" w:hRule="exact"/>
        </w:trPr>
        <w:tc>
          <w:tcPr>
            <w:tcW w:w="1363" w:type="dxa"/>
            <w:tcBorders>
              <w:top w:val="single" w:sz="4" w:space="0" w:color="000000"/>
              <w:left w:val="nil" w:sz="6" w:space="0" w:color="auto"/>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胡江平</w:t>
            </w:r>
          </w:p>
        </w:tc>
        <w:tc>
          <w:tcPr>
            <w:tcW w:w="126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9,180,000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8.78%</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8.78%</w:t>
            </w:r>
          </w:p>
        </w:tc>
      </w:tr>
      <w:tr>
        <w:trPr>
          <w:trHeight w:val="418" w:hRule="exact"/>
        </w:trPr>
        <w:tc>
          <w:tcPr>
            <w:tcW w:w="1363" w:type="dxa"/>
            <w:tcBorders>
              <w:top w:val="single" w:sz="4" w:space="0" w:color="000000"/>
              <w:left w:val="nil" w:sz="6" w:space="0" w:color="auto"/>
              <w:bottom w:val="single" w:sz="12" w:space="0" w:color="000000"/>
              <w:right w:val="single" w:sz="4" w:space="0" w:color="000000"/>
            </w:tcBorders>
          </w:tcPr>
          <w:p>
            <w:pP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苗卫东</w:t>
            </w:r>
          </w:p>
        </w:tc>
        <w:tc>
          <w:tcPr>
            <w:tcW w:w="1260" w:type="dxa"/>
            <w:tcBorders>
              <w:top w:val="single" w:sz="4" w:space="0" w:color="000000"/>
              <w:left w:val="single" w:sz="4" w:space="0" w:color="000000"/>
              <w:bottom w:val="single" w:sz="12" w:space="0" w:color="000000"/>
              <w:right w:val="single" w:sz="4" w:space="0" w:color="000000"/>
            </w:tcBorders>
          </w:tcPr>
          <w:p>
            <w:pPr/>
          </w:p>
        </w:tc>
        <w:tc>
          <w:tcPr>
            <w:tcW w:w="1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7,140,000</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6.83%</w:t>
            </w:r>
          </w:p>
        </w:tc>
        <w:tc>
          <w:tcPr>
            <w:tcW w:w="13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6.83%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1186" w:top="1200" w:bottom="1380" w:left="1400" w:right="1180"/>
        </w:sectPr>
      </w:pPr>
    </w:p>
    <w:p>
      <w:pPr>
        <w:spacing w:line="240" w:lineRule="auto" w:before="7"/>
        <w:rPr>
          <w:rFonts w:ascii="宋体" w:hAnsi="宋体" w:cs="宋体" w:eastAsia="宋体" w:hint="default"/>
          <w:b/>
          <w:bCs/>
          <w:sz w:val="17"/>
          <w:szCs w:val="17"/>
        </w:rPr>
      </w:pPr>
    </w:p>
    <w:tbl>
      <w:tblPr>
        <w:tblW w:w="0" w:type="auto"/>
        <w:jc w:val="left"/>
        <w:tblInd w:w="263" w:type="dxa"/>
        <w:tblLayout w:type="fixed"/>
        <w:tblCellMar>
          <w:top w:w="0" w:type="dxa"/>
          <w:left w:w="0" w:type="dxa"/>
          <w:bottom w:w="0" w:type="dxa"/>
          <w:right w:w="0" w:type="dxa"/>
        </w:tblCellMar>
        <w:tblLook w:val="01E0"/>
      </w:tblPr>
      <w:tblGrid>
        <w:gridCol w:w="1363"/>
        <w:gridCol w:w="1349"/>
        <w:gridCol w:w="1260"/>
        <w:gridCol w:w="1186"/>
        <w:gridCol w:w="1181"/>
        <w:gridCol w:w="1181"/>
        <w:gridCol w:w="1397"/>
      </w:tblGrid>
      <w:tr>
        <w:trPr>
          <w:trHeight w:val="418" w:hRule="exact"/>
        </w:trPr>
        <w:tc>
          <w:tcPr>
            <w:tcW w:w="1363" w:type="dxa"/>
            <w:tcBorders>
              <w:top w:val="single" w:sz="12" w:space="0" w:color="000000"/>
              <w:left w:val="nil" w:sz="6" w:space="0" w:color="auto"/>
              <w:bottom w:val="single" w:sz="4" w:space="0" w:color="000000"/>
              <w:right w:val="single" w:sz="4" w:space="0" w:color="000000"/>
            </w:tcBorders>
          </w:tcPr>
          <w:p>
            <w:pP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1260" w:type="dxa"/>
            <w:tcBorders>
              <w:top w:val="single" w:sz="12" w:space="0" w:color="000000"/>
              <w:left w:val="single" w:sz="4" w:space="0" w:color="000000"/>
              <w:bottom w:val="single" w:sz="4" w:space="0" w:color="000000"/>
              <w:right w:val="single" w:sz="4" w:space="0" w:color="000000"/>
            </w:tcBorders>
          </w:tcPr>
          <w:p>
            <w:pPr/>
          </w:p>
        </w:tc>
        <w:tc>
          <w:tcPr>
            <w:tcW w:w="11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7,140,000</w:t>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6.83%</w:t>
            </w:r>
          </w:p>
        </w:tc>
        <w:tc>
          <w:tcPr>
            <w:tcW w:w="13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6.83%</w:t>
            </w:r>
          </w:p>
        </w:tc>
      </w:tr>
      <w:tr>
        <w:trPr>
          <w:trHeight w:val="418" w:hRule="exact"/>
        </w:trPr>
        <w:tc>
          <w:tcPr>
            <w:tcW w:w="1363" w:type="dxa"/>
            <w:tcBorders>
              <w:top w:val="single" w:sz="4" w:space="0" w:color="000000"/>
              <w:left w:val="nil" w:sz="6" w:space="0" w:color="auto"/>
              <w:bottom w:val="single" w:sz="12" w:space="0" w:color="000000"/>
              <w:right w:val="single" w:sz="4" w:space="0" w:color="000000"/>
            </w:tcBorders>
          </w:tcPr>
          <w:p>
            <w:pP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刘锐</w:t>
            </w:r>
          </w:p>
        </w:tc>
        <w:tc>
          <w:tcPr>
            <w:tcW w:w="1260" w:type="dxa"/>
            <w:tcBorders>
              <w:top w:val="single" w:sz="4" w:space="0" w:color="000000"/>
              <w:left w:val="single" w:sz="4" w:space="0" w:color="000000"/>
              <w:bottom w:val="single" w:sz="12" w:space="0" w:color="000000"/>
              <w:right w:val="single" w:sz="4" w:space="0" w:color="000000"/>
            </w:tcBorders>
          </w:tcPr>
          <w:p>
            <w:pPr/>
          </w:p>
        </w:tc>
        <w:tc>
          <w:tcPr>
            <w:tcW w:w="1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自然人</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5,780,000</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5.53%</w:t>
            </w:r>
          </w:p>
        </w:tc>
        <w:tc>
          <w:tcPr>
            <w:tcW w:w="13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5.53%</w:t>
            </w:r>
          </w:p>
        </w:tc>
      </w:tr>
    </w:tbl>
    <w:p>
      <w:pPr>
        <w:spacing w:line="403" w:lineRule="auto" w:before="42"/>
        <w:ind w:left="820" w:right="2712" w:firstLine="11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本公司的子公司情况</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子公司情况详见本附注四、企业合并及合并财务报表之（一）。</w:t>
      </w:r>
    </w:p>
    <w:p>
      <w:pPr>
        <w:pStyle w:val="Heading4"/>
        <w:spacing w:line="240" w:lineRule="auto" w:before="63"/>
        <w:ind w:right="0"/>
        <w:jc w:val="left"/>
      </w:pPr>
      <w:r>
        <w:rPr/>
        <w:t>七、或有事项</w:t>
      </w:r>
    </w:p>
    <w:p>
      <w:pPr>
        <w:spacing w:line="240" w:lineRule="auto" w:before="10"/>
        <w:rPr>
          <w:rFonts w:ascii="黑体" w:hAnsi="黑体" w:cs="黑体" w:eastAsia="黑体" w:hint="default"/>
          <w:sz w:val="23"/>
          <w:szCs w:val="23"/>
        </w:rPr>
      </w:pPr>
    </w:p>
    <w:p>
      <w:pPr>
        <w:pStyle w:val="BodyText"/>
        <w:spacing w:line="240" w:lineRule="auto"/>
        <w:ind w:left="820" w:right="0"/>
        <w:jc w:val="left"/>
      </w:pPr>
      <w:r>
        <w:rPr/>
        <w:t>截止</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 </w:t>
      </w:r>
      <w:r>
        <w:rPr/>
        <w:t>日，本公司无应披露未披露的重大或有事项。</w:t>
      </w:r>
    </w:p>
    <w:p>
      <w:pPr>
        <w:pStyle w:val="Heading4"/>
        <w:spacing w:line="240" w:lineRule="auto" w:before="192"/>
        <w:ind w:right="0"/>
        <w:jc w:val="left"/>
      </w:pPr>
      <w:r>
        <w:rPr/>
        <w:t>八、重大承诺事项</w:t>
      </w:r>
    </w:p>
    <w:p>
      <w:pPr>
        <w:spacing w:line="240" w:lineRule="auto" w:before="13"/>
        <w:rPr>
          <w:rFonts w:ascii="黑体" w:hAnsi="黑体" w:cs="黑体" w:eastAsia="黑体" w:hint="default"/>
          <w:sz w:val="23"/>
          <w:szCs w:val="23"/>
        </w:rPr>
      </w:pPr>
    </w:p>
    <w:p>
      <w:pPr>
        <w:pStyle w:val="BodyText"/>
        <w:spacing w:line="240" w:lineRule="auto"/>
        <w:ind w:left="820" w:right="0"/>
        <w:jc w:val="left"/>
      </w:pPr>
      <w:r>
        <w:rPr/>
        <w:t>截止</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 </w:t>
      </w:r>
      <w:r>
        <w:rPr/>
        <w:t>日，本公司无应披露未披露的重大承诺事项。</w:t>
      </w:r>
    </w:p>
    <w:p>
      <w:pPr>
        <w:pStyle w:val="Heading4"/>
        <w:spacing w:line="240" w:lineRule="auto" w:before="191"/>
        <w:ind w:right="0"/>
        <w:jc w:val="left"/>
      </w:pPr>
      <w:r>
        <w:rPr/>
        <w:t>九、资产负债表日后事项</w:t>
      </w:r>
    </w:p>
    <w:p>
      <w:pPr>
        <w:spacing w:line="240" w:lineRule="auto" w:before="2"/>
        <w:rPr>
          <w:rFonts w:ascii="黑体" w:hAnsi="黑体" w:cs="黑体" w:eastAsia="黑体" w:hint="default"/>
          <w:sz w:val="24"/>
          <w:szCs w:val="24"/>
        </w:rPr>
      </w:pPr>
    </w:p>
    <w:p>
      <w:pPr>
        <w:pStyle w:val="BodyText"/>
        <w:spacing w:line="240" w:lineRule="auto"/>
        <w:ind w:left="820" w:right="0"/>
        <w:jc w:val="left"/>
        <w:rPr>
          <w:rFonts w:ascii="Times New Roman" w:hAnsi="Times New Roman" w:cs="Times New Roman" w:eastAsia="Times New Roman" w:hint="default"/>
        </w:rPr>
      </w:pPr>
      <w:r>
        <w:rPr>
          <w:w w:val="100"/>
        </w:rPr>
        <w:t>经</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3"/>
          <w:w w:val="100"/>
        </w:rPr>
        <w:t>日</w:t>
      </w:r>
      <w:r>
        <w:rPr>
          <w:w w:val="100"/>
        </w:rPr>
        <w:t>第</w:t>
      </w:r>
      <w:r>
        <w:rPr>
          <w:spacing w:val="-3"/>
          <w:w w:val="100"/>
        </w:rPr>
        <w:t>四届</w:t>
      </w:r>
      <w:r>
        <w:rPr>
          <w:w w:val="100"/>
        </w:rPr>
        <w:t>董事</w:t>
      </w:r>
      <w:r>
        <w:rPr>
          <w:spacing w:val="-3"/>
          <w:w w:val="100"/>
        </w:rPr>
        <w:t>会</w:t>
      </w:r>
      <w:r>
        <w:rPr>
          <w:w w:val="100"/>
        </w:rPr>
        <w:t>第</w:t>
      </w:r>
      <w:r>
        <w:rPr>
          <w:spacing w:val="-3"/>
          <w:w w:val="100"/>
        </w:rPr>
        <w:t>二</w:t>
      </w:r>
      <w:r>
        <w:rPr>
          <w:w w:val="100"/>
        </w:rPr>
        <w:t>次</w:t>
      </w:r>
      <w:r>
        <w:rPr>
          <w:spacing w:val="-3"/>
          <w:w w:val="100"/>
        </w:rPr>
        <w:t>会</w:t>
      </w:r>
      <w:r>
        <w:rPr>
          <w:spacing w:val="-1"/>
          <w:w w:val="100"/>
        </w:rPr>
        <w:t>议</w:t>
      </w:r>
      <w:r>
        <w:rPr>
          <w:spacing w:val="-3"/>
          <w:w w:val="100"/>
        </w:rPr>
        <w:t>审</w:t>
      </w:r>
      <w:r>
        <w:rPr>
          <w:w w:val="100"/>
        </w:rPr>
        <w:t>议</w:t>
      </w:r>
      <w:r>
        <w:rPr>
          <w:spacing w:val="-3"/>
          <w:w w:val="100"/>
        </w:rPr>
        <w:t>决</w:t>
      </w:r>
      <w:r>
        <w:rPr>
          <w:w w:val="100"/>
        </w:rPr>
        <w:t>定</w:t>
      </w:r>
      <w:r>
        <w:rPr>
          <w:spacing w:val="-89"/>
          <w:w w:val="100"/>
        </w:rPr>
        <w:t>，</w:t>
      </w:r>
      <w:r>
        <w:rPr>
          <w:w w:val="100"/>
        </w:rPr>
        <w:t>以</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年</w:t>
      </w:r>
      <w:r>
        <w:rPr>
          <w:w w:val="100"/>
        </w:rPr>
        <w:t>底</w:t>
      </w:r>
      <w:r>
        <w:rPr>
          <w:spacing w:val="-3"/>
          <w:w w:val="100"/>
        </w:rPr>
        <w:t>的</w:t>
      </w:r>
      <w:r>
        <w:rPr>
          <w:w w:val="100"/>
        </w:rPr>
        <w:t>股</w:t>
      </w:r>
      <w:r>
        <w:rPr>
          <w:spacing w:val="-3"/>
          <w:w w:val="100"/>
        </w:rPr>
        <w:t>本总</w:t>
      </w:r>
      <w:r>
        <w:rPr>
          <w:w w:val="100"/>
        </w:rPr>
        <w:t>额</w:t>
      </w:r>
      <w:r>
        <w:rPr>
          <w:spacing w:val="-52"/>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55</w:t>
      </w:r>
    </w:p>
    <w:p>
      <w:pPr>
        <w:pStyle w:val="BodyText"/>
        <w:spacing w:line="240" w:lineRule="auto" w:before="117"/>
        <w:ind w:left="400" w:right="0"/>
        <w:jc w:val="left"/>
      </w:pPr>
      <w:r>
        <w:rPr>
          <w:w w:val="100"/>
        </w:rPr>
        <w:t>万股</w:t>
      </w:r>
      <w:r>
        <w:rPr>
          <w:spacing w:val="-3"/>
          <w:w w:val="100"/>
        </w:rPr>
        <w:t>为</w:t>
      </w:r>
      <w:r>
        <w:rPr>
          <w:w w:val="100"/>
        </w:rPr>
        <w:t>基</w:t>
      </w:r>
      <w:r>
        <w:rPr>
          <w:spacing w:val="-3"/>
          <w:w w:val="100"/>
        </w:rPr>
        <w:t>数</w:t>
      </w:r>
      <w:r>
        <w:rPr>
          <w:w w:val="100"/>
        </w:rPr>
        <w:t>，</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4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9"/>
        </w:rPr>
        <w:t> </w:t>
      </w:r>
      <w:r>
        <w:rPr>
          <w:w w:val="100"/>
        </w:rPr>
        <w:t>股</w:t>
      </w:r>
      <w:r>
        <w:rPr>
          <w:spacing w:val="-3"/>
          <w:w w:val="100"/>
        </w:rPr>
        <w:t>派</w:t>
      </w:r>
      <w:r>
        <w:rPr>
          <w:w w:val="100"/>
        </w:rPr>
        <w:t>发</w:t>
      </w:r>
      <w:r>
        <w:rPr>
          <w:spacing w:val="-3"/>
          <w:w w:val="100"/>
        </w:rPr>
        <w:t>现</w:t>
      </w:r>
      <w:r>
        <w:rPr>
          <w:w w:val="100"/>
        </w:rPr>
        <w:t>金</w:t>
      </w:r>
      <w:r>
        <w:rPr>
          <w:spacing w:val="-3"/>
          <w:w w:val="100"/>
        </w:rPr>
        <w:t>红</w:t>
      </w:r>
      <w:r>
        <w:rPr>
          <w:w w:val="100"/>
        </w:rPr>
        <w:t>利</w:t>
      </w:r>
      <w:r>
        <w:rPr>
          <w:spacing w:val="-4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5</w:t>
      </w:r>
      <w:r>
        <w:rPr>
          <w:rFonts w:ascii="Times New Roman" w:hAnsi="Times New Roman" w:cs="Times New Roman" w:eastAsia="Times New Roman" w:hint="default"/>
          <w:w w:val="100"/>
        </w:rPr>
        <w:t>0</w:t>
      </w:r>
      <w:r>
        <w:rPr>
          <w:rFonts w:ascii="Times New Roman" w:hAnsi="Times New Roman" w:cs="Times New Roman" w:eastAsia="Times New Roman" w:hint="default"/>
          <w:spacing w:val="9"/>
        </w:rPr>
        <w:t> </w:t>
      </w:r>
      <w:r>
        <w:rPr>
          <w:w w:val="100"/>
        </w:rPr>
        <w:t>元（</w:t>
      </w:r>
      <w:r>
        <w:rPr>
          <w:spacing w:val="-3"/>
          <w:w w:val="100"/>
        </w:rPr>
        <w:t>含</w:t>
      </w:r>
      <w:r>
        <w:rPr>
          <w:w w:val="100"/>
        </w:rPr>
        <w:t>税</w:t>
      </w:r>
      <w:r>
        <w:rPr>
          <w:spacing w:val="-108"/>
          <w:w w:val="100"/>
        </w:rPr>
        <w:t>）</w:t>
      </w:r>
      <w:r>
        <w:rPr>
          <w:w w:val="100"/>
        </w:rPr>
        <w:t>，</w:t>
      </w:r>
      <w:r>
        <w:rPr>
          <w:spacing w:val="-3"/>
          <w:w w:val="100"/>
        </w:rPr>
        <w:t>共</w:t>
      </w:r>
      <w:r>
        <w:rPr>
          <w:w w:val="100"/>
        </w:rPr>
        <w:t>计</w:t>
      </w:r>
      <w:r>
        <w:rPr>
          <w:spacing w:val="-3"/>
          <w:w w:val="100"/>
        </w:rPr>
        <w:t>分</w:t>
      </w:r>
      <w:r>
        <w:rPr>
          <w:w w:val="100"/>
        </w:rPr>
        <w:t>配</w:t>
      </w:r>
      <w:r>
        <w:rPr>
          <w:spacing w:val="-3"/>
          <w:w w:val="100"/>
        </w:rPr>
        <w:t>股</w:t>
      </w:r>
      <w:r>
        <w:rPr>
          <w:w w:val="100"/>
        </w:rPr>
        <w:t>利</w:t>
      </w:r>
      <w:r>
        <w:rPr>
          <w:spacing w:val="-43"/>
        </w:rPr>
        <w:t> </w:t>
      </w:r>
      <w:r>
        <w:rPr>
          <w:rFonts w:ascii="Times New Roman" w:hAnsi="Times New Roman" w:cs="Times New Roman" w:eastAsia="Times New Roman" w:hint="default"/>
          <w:w w:val="100"/>
        </w:rPr>
        <w:t>3,659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25</w:t>
      </w:r>
      <w:r>
        <w:rPr>
          <w:rFonts w:ascii="Times New Roman" w:hAnsi="Times New Roman" w:cs="Times New Roman" w:eastAsia="Times New Roman" w:hint="default"/>
          <w:spacing w:val="9"/>
        </w:rPr>
        <w:t> </w:t>
      </w:r>
      <w:r>
        <w:rPr>
          <w:w w:val="100"/>
        </w:rPr>
        <w:t>万</w:t>
      </w:r>
    </w:p>
    <w:p>
      <w:pPr>
        <w:pStyle w:val="BodyText"/>
        <w:spacing w:line="240" w:lineRule="auto" w:before="117"/>
        <w:ind w:left="400" w:right="0"/>
        <w:jc w:val="left"/>
        <w:rPr>
          <w:rFonts w:ascii="Times New Roman" w:hAnsi="Times New Roman" w:cs="Times New Roman" w:eastAsia="Times New Roman" w:hint="default"/>
        </w:rPr>
      </w:pPr>
      <w:r>
        <w:rPr/>
        <w:t>元；以</w:t>
      </w:r>
      <w:r>
        <w:rPr>
          <w:spacing w:val="-4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日的公司总股本</w:t>
      </w:r>
      <w:r>
        <w:rPr>
          <w:spacing w:val="-40"/>
        </w:rPr>
        <w:t> </w:t>
      </w:r>
      <w:r>
        <w:rPr>
          <w:rFonts w:ascii="Times New Roman" w:hAnsi="Times New Roman" w:cs="Times New Roman" w:eastAsia="Times New Roman" w:hint="default"/>
        </w:rPr>
        <w:t>10,455</w:t>
      </w:r>
      <w:r>
        <w:rPr>
          <w:rFonts w:ascii="Times New Roman" w:hAnsi="Times New Roman" w:cs="Times New Roman" w:eastAsia="Times New Roman" w:hint="default"/>
          <w:spacing w:val="10"/>
        </w:rPr>
        <w:t> </w:t>
      </w:r>
      <w:r>
        <w:rPr/>
        <w:t>万股为基数，以资本公积转增股本，每</w:t>
      </w:r>
      <w:r>
        <w:rPr>
          <w:spacing w:val="-39"/>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rPr>
      </w:r>
    </w:p>
    <w:p>
      <w:pPr>
        <w:pStyle w:val="BodyText"/>
        <w:spacing w:line="400" w:lineRule="auto" w:before="119"/>
        <w:ind w:left="820" w:right="0" w:hanging="420"/>
        <w:jc w:val="left"/>
      </w:pPr>
      <w:r>
        <w:rPr/>
        <w:t>股转增</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股。上述分红决定尚需经</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年度股东大会批准实施。</w:t>
      </w:r>
      <w:r>
        <w:rPr>
          <w:w w:val="100"/>
        </w:rPr>
        <w:t> </w:t>
      </w:r>
      <w:r>
        <w:rPr>
          <w:spacing w:val="-4"/>
        </w:rPr>
        <w:t>除存在上述资产负债表日后事项外，截止财务报告日，本公司无其他应披露未披露的重</w:t>
      </w:r>
    </w:p>
    <w:p>
      <w:pPr>
        <w:pStyle w:val="BodyText"/>
        <w:spacing w:line="270" w:lineRule="exact"/>
        <w:ind w:left="400" w:right="0"/>
        <w:jc w:val="left"/>
      </w:pPr>
      <w:r>
        <w:rPr/>
        <w:t>大资产负债表日后事项。</w:t>
      </w:r>
    </w:p>
    <w:p>
      <w:pPr>
        <w:spacing w:line="240" w:lineRule="auto" w:before="7"/>
        <w:rPr>
          <w:rFonts w:ascii="宋体" w:hAnsi="宋体" w:cs="宋体" w:eastAsia="宋体" w:hint="default"/>
          <w:sz w:val="15"/>
          <w:szCs w:val="15"/>
        </w:rPr>
      </w:pPr>
    </w:p>
    <w:p>
      <w:pPr>
        <w:pStyle w:val="Heading4"/>
        <w:spacing w:line="240" w:lineRule="auto" w:before="0"/>
        <w:ind w:right="0"/>
        <w:jc w:val="left"/>
      </w:pPr>
      <w:r>
        <w:rPr/>
        <w:t>十、其他重要事项</w:t>
      </w:r>
    </w:p>
    <w:p>
      <w:pPr>
        <w:spacing w:line="240" w:lineRule="auto" w:before="3"/>
        <w:rPr>
          <w:rFonts w:ascii="黑体" w:hAnsi="黑体" w:cs="黑体" w:eastAsia="黑体" w:hint="default"/>
          <w:sz w:val="24"/>
          <w:szCs w:val="24"/>
        </w:rPr>
      </w:pPr>
    </w:p>
    <w:p>
      <w:pPr>
        <w:pStyle w:val="BodyText"/>
        <w:spacing w:line="240" w:lineRule="auto"/>
        <w:ind w:left="820" w:right="0"/>
        <w:jc w:val="left"/>
      </w:pPr>
      <w:r>
        <w:rPr/>
        <w:t>截止</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 </w:t>
      </w:r>
      <w:r>
        <w:rPr/>
        <w:t>日，本公司无应披露未披露的其他重要事项。</w:t>
      </w:r>
    </w:p>
    <w:p>
      <w:pPr>
        <w:pStyle w:val="Heading4"/>
        <w:spacing w:line="240" w:lineRule="auto" w:before="188"/>
        <w:ind w:left="820" w:right="0"/>
        <w:jc w:val="left"/>
      </w:pPr>
      <w:r>
        <w:rPr/>
        <w:t>十一、 母公司财务报表主要项目注释</w:t>
      </w:r>
    </w:p>
    <w:p>
      <w:pPr>
        <w:spacing w:line="240" w:lineRule="auto" w:before="13"/>
        <w:rPr>
          <w:rFonts w:ascii="黑体" w:hAnsi="黑体" w:cs="黑体" w:eastAsia="黑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15"/>
          <w:szCs w:val="15"/>
        </w:rPr>
      </w:pPr>
    </w:p>
    <w:p>
      <w:pPr>
        <w:pStyle w:val="BodyText"/>
        <w:spacing w:line="240" w:lineRule="auto"/>
        <w:ind w:left="820" w:right="0"/>
        <w:jc w:val="left"/>
      </w:pPr>
      <w:r>
        <w:rPr/>
        <w:t>（</w:t>
      </w:r>
      <w:r>
        <w:rPr>
          <w:rFonts w:ascii="Times New Roman" w:hAnsi="Times New Roman" w:cs="Times New Roman" w:eastAsia="Times New Roman" w:hint="default"/>
        </w:rPr>
        <w:t>1</w:t>
      </w:r>
      <w:r>
        <w:rPr/>
        <w:t>）应收账款按类别列示如下：</w:t>
      </w:r>
    </w:p>
    <w:p>
      <w:pPr>
        <w:spacing w:line="240" w:lineRule="auto" w:before="7"/>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722"/>
        <w:gridCol w:w="1567"/>
        <w:gridCol w:w="934"/>
        <w:gridCol w:w="1358"/>
        <w:gridCol w:w="797"/>
        <w:gridCol w:w="1466"/>
      </w:tblGrid>
      <w:tr>
        <w:trPr>
          <w:trHeight w:val="362" w:hRule="exact"/>
        </w:trPr>
        <w:tc>
          <w:tcPr>
            <w:tcW w:w="272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23"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722" w:type="dxa"/>
            <w:vMerge/>
            <w:tcBorders>
              <w:left w:val="nil" w:sz="6" w:space="0" w:color="auto"/>
              <w:right w:val="single" w:sz="6" w:space="0" w:color="000000"/>
            </w:tcBorders>
          </w:tcPr>
          <w:p>
            <w:pPr/>
          </w:p>
        </w:tc>
        <w:tc>
          <w:tcPr>
            <w:tcW w:w="2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1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7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2" w:hRule="exact"/>
        </w:trPr>
        <w:tc>
          <w:tcPr>
            <w:tcW w:w="2722" w:type="dxa"/>
            <w:vMerge/>
            <w:tcBorders>
              <w:left w:val="nil" w:sz="6" w:space="0" w:color="auto"/>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例</w:t>
            </w:r>
          </w:p>
        </w:tc>
        <w:tc>
          <w:tcPr>
            <w:tcW w:w="1466" w:type="dxa"/>
            <w:vMerge/>
            <w:tcBorders>
              <w:left w:val="single" w:sz="6" w:space="0" w:color="000000"/>
              <w:bottom w:val="single" w:sz="6" w:space="0" w:color="000000"/>
              <w:right w:val="nil" w:sz="6" w:space="0" w:color="auto"/>
            </w:tcBorders>
          </w:tcPr>
          <w:p>
            <w:pPr/>
          </w:p>
        </w:tc>
      </w:tr>
      <w:tr>
        <w:trPr>
          <w:trHeight w:val="482"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pacing w:val="12"/>
                <w:sz w:val="18"/>
                <w:szCs w:val="18"/>
              </w:rPr>
              <w:t>单项金额重大并单项计提坏账</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81"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12"/>
                <w:sz w:val="18"/>
                <w:szCs w:val="18"/>
              </w:rPr>
              <w:t>按组合计提坏账准备的应收账</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169,886,255.00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72" w:right="0"/>
              <w:jc w:val="center"/>
              <w:rPr>
                <w:rFonts w:ascii="Times New Roman" w:hAnsi="Times New Roman" w:cs="Times New Roman" w:eastAsia="Times New Roman" w:hint="default"/>
                <w:sz w:val="18"/>
                <w:szCs w:val="18"/>
              </w:rPr>
            </w:pPr>
            <w:r>
              <w:rPr>
                <w:rFonts w:ascii="Times New Roman"/>
                <w:sz w:val="18"/>
              </w:rPr>
              <w:t>100.00%</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12,104,211.09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7.12%</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left="117" w:right="0"/>
              <w:jc w:val="center"/>
              <w:rPr>
                <w:rFonts w:ascii="Times New Roman" w:hAnsi="Times New Roman" w:cs="Times New Roman" w:eastAsia="Times New Roman" w:hint="default"/>
                <w:sz w:val="18"/>
                <w:szCs w:val="18"/>
              </w:rPr>
            </w:pPr>
            <w:r>
              <w:rPr>
                <w:rFonts w:ascii="Times New Roman"/>
                <w:sz w:val="18"/>
              </w:rPr>
              <w:t>157,782,043.91</w:t>
            </w:r>
          </w:p>
        </w:tc>
      </w:tr>
      <w:tr>
        <w:trPr>
          <w:trHeight w:val="482"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12"/>
                <w:sz w:val="18"/>
                <w:szCs w:val="18"/>
              </w:rPr>
              <w:t>单项金额虽不重大但单项计提</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169,886,255.00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2" w:right="0"/>
              <w:jc w:val="center"/>
              <w:rPr>
                <w:rFonts w:ascii="Times New Roman" w:hAnsi="Times New Roman" w:cs="Times New Roman" w:eastAsia="Times New Roman" w:hint="default"/>
                <w:sz w:val="18"/>
                <w:szCs w:val="18"/>
              </w:rPr>
            </w:pPr>
            <w:r>
              <w:rPr>
                <w:rFonts w:ascii="Times New Roman"/>
                <w:sz w:val="18"/>
              </w:rPr>
              <w:t>100.00%</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12,104,211.09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7.12%</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117" w:right="0"/>
              <w:jc w:val="center"/>
              <w:rPr>
                <w:rFonts w:ascii="Times New Roman" w:hAnsi="Times New Roman" w:cs="Times New Roman" w:eastAsia="Times New Roman" w:hint="default"/>
                <w:sz w:val="18"/>
                <w:szCs w:val="18"/>
              </w:rPr>
            </w:pPr>
            <w:r>
              <w:rPr>
                <w:rFonts w:ascii="Times New Roman"/>
                <w:sz w:val="18"/>
              </w:rPr>
              <w:t>157,782,043.91</w:t>
            </w:r>
          </w:p>
        </w:tc>
      </w:tr>
      <w:tr>
        <w:trPr>
          <w:trHeight w:val="355" w:hRule="exact"/>
        </w:trPr>
        <w:tc>
          <w:tcPr>
            <w:tcW w:w="2722" w:type="dxa"/>
            <w:vMerge w:val="restart"/>
            <w:tcBorders>
              <w:top w:val="single" w:sz="6"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23"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62" w:hRule="exact"/>
        </w:trPr>
        <w:tc>
          <w:tcPr>
            <w:tcW w:w="2722" w:type="dxa"/>
            <w:vMerge/>
            <w:tcBorders>
              <w:left w:val="nil" w:sz="6" w:space="0" w:color="auto"/>
              <w:bottom w:val="single" w:sz="12" w:space="0" w:color="000000"/>
              <w:right w:val="single" w:sz="6" w:space="0" w:color="000000"/>
            </w:tcBorders>
          </w:tcPr>
          <w:p>
            <w:pPr/>
          </w:p>
        </w:tc>
        <w:tc>
          <w:tcPr>
            <w:tcW w:w="2501"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15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7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净额</w:t>
            </w:r>
          </w:p>
        </w:tc>
      </w:tr>
    </w:tbl>
    <w:p>
      <w:pPr>
        <w:spacing w:after="0" w:line="240" w:lineRule="auto"/>
        <w:jc w:val="center"/>
        <w:rPr>
          <w:rFonts w:ascii="宋体" w:hAnsi="宋体" w:cs="宋体" w:eastAsia="宋体" w:hint="default"/>
          <w:sz w:val="18"/>
          <w:szCs w:val="18"/>
        </w:rPr>
        <w:sectPr>
          <w:pgSz w:w="11910" w:h="16840"/>
          <w:pgMar w:header="852" w:footer="1186" w:top="1200" w:bottom="1380" w:left="1400" w:right="1180"/>
        </w:sectPr>
      </w:pPr>
    </w:p>
    <w:p>
      <w:pPr>
        <w:spacing w:line="240" w:lineRule="auto" w:before="7"/>
        <w:rPr>
          <w:rFonts w:ascii="宋体" w:hAnsi="宋体" w:cs="宋体" w:eastAsia="宋体" w:hint="default"/>
          <w:sz w:val="17"/>
          <w:szCs w:val="17"/>
        </w:rPr>
      </w:pPr>
    </w:p>
    <w:tbl>
      <w:tblPr>
        <w:tblW w:w="0" w:type="auto"/>
        <w:jc w:val="left"/>
        <w:tblInd w:w="222" w:type="dxa"/>
        <w:tblLayout w:type="fixed"/>
        <w:tblCellMar>
          <w:top w:w="0" w:type="dxa"/>
          <w:left w:w="0" w:type="dxa"/>
          <w:bottom w:w="0" w:type="dxa"/>
          <w:right w:w="0" w:type="dxa"/>
        </w:tblCellMar>
        <w:tblLook w:val="01E0"/>
      </w:tblPr>
      <w:tblGrid>
        <w:gridCol w:w="2737"/>
        <w:gridCol w:w="1567"/>
        <w:gridCol w:w="934"/>
        <w:gridCol w:w="1366"/>
        <w:gridCol w:w="790"/>
        <w:gridCol w:w="1466"/>
      </w:tblGrid>
      <w:tr>
        <w:trPr>
          <w:trHeight w:val="490" w:hRule="exact"/>
        </w:trPr>
        <w:tc>
          <w:tcPr>
            <w:tcW w:w="2737" w:type="dxa"/>
            <w:tcBorders>
              <w:top w:val="single" w:sz="12" w:space="0" w:color="000000"/>
              <w:left w:val="nil" w:sz="6" w:space="0" w:color="auto"/>
              <w:bottom w:val="single" w:sz="6" w:space="0" w:color="000000"/>
              <w:right w:val="single" w:sz="6" w:space="0" w:color="000000"/>
            </w:tcBorders>
          </w:tcPr>
          <w:p>
            <w:pPr/>
          </w:p>
        </w:tc>
        <w:tc>
          <w:tcPr>
            <w:tcW w:w="15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466" w:type="dxa"/>
            <w:tcBorders>
              <w:top w:val="single" w:sz="12" w:space="0" w:color="000000"/>
              <w:left w:val="single" w:sz="6" w:space="0" w:color="000000"/>
              <w:bottom w:val="single" w:sz="6" w:space="0" w:color="000000"/>
              <w:right w:val="nil" w:sz="6" w:space="0" w:color="auto"/>
            </w:tcBorders>
          </w:tcPr>
          <w:p>
            <w:pPr/>
          </w:p>
        </w:tc>
      </w:tr>
      <w:tr>
        <w:trPr>
          <w:trHeight w:val="482"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单项金额重大并单项计提坏账</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按组合计提坏账准备的应收账</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102,228,741.71</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72" w:right="0"/>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6,893,286.43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6.74%</w:t>
            </w: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95,335,455.28</w:t>
            </w:r>
          </w:p>
        </w:tc>
      </w:tr>
      <w:tr>
        <w:trPr>
          <w:trHeight w:val="480" w:hRule="exact"/>
        </w:trPr>
        <w:tc>
          <w:tcPr>
            <w:tcW w:w="273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单项金额虽不重大但单项计提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73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102,228,741.71</w:t>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72" w:right="0"/>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6,893,286.43</w:t>
            </w:r>
          </w:p>
        </w:tc>
        <w:tc>
          <w:tcPr>
            <w:tcW w:w="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6.74%</w:t>
            </w:r>
          </w:p>
        </w:tc>
        <w:tc>
          <w:tcPr>
            <w:tcW w:w="14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95,335,455.28</w:t>
            </w:r>
          </w:p>
        </w:tc>
      </w:tr>
    </w:tbl>
    <w:p>
      <w:pPr>
        <w:pStyle w:val="BodyText"/>
        <w:spacing w:line="257" w:lineRule="exact"/>
        <w:ind w:left="520" w:right="0"/>
        <w:jc w:val="left"/>
      </w:pPr>
      <w:r>
        <w:rPr/>
        <w:t>注：单项金额超过</w:t>
      </w:r>
      <w:r>
        <w:rPr>
          <w:spacing w:val="-5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4"/>
        </w:rPr>
        <w:t> </w:t>
      </w:r>
      <w:r>
        <w:rPr/>
        <w:t>万元的应收账款确认为单项金额重大的应收账款。</w:t>
      </w:r>
    </w:p>
    <w:p>
      <w:pPr>
        <w:pStyle w:val="BodyText"/>
        <w:spacing w:line="240" w:lineRule="auto" w:before="117"/>
        <w:ind w:left="940" w:right="0"/>
        <w:jc w:val="left"/>
      </w:pPr>
      <w:r>
        <w:rPr/>
        <w:t>（</w:t>
      </w:r>
      <w:r>
        <w:rPr>
          <w:rFonts w:ascii="Times New Roman" w:hAnsi="Times New Roman" w:cs="Times New Roman" w:eastAsia="Times New Roman" w:hint="default"/>
        </w:rPr>
        <w:t>2</w:t>
      </w:r>
      <w:r>
        <w:rPr/>
        <w:t>）组合中，按账龄分析法计提坏账准备的应收账款：</w:t>
      </w:r>
    </w:p>
    <w:p>
      <w:pPr>
        <w:spacing w:line="240" w:lineRule="auto" w:before="7"/>
        <w:rPr>
          <w:rFonts w:ascii="宋体" w:hAnsi="宋体" w:cs="宋体" w:eastAsia="宋体" w:hint="default"/>
          <w:sz w:val="11"/>
          <w:szCs w:val="11"/>
        </w:rPr>
      </w:pPr>
    </w:p>
    <w:tbl>
      <w:tblPr>
        <w:tblW w:w="0" w:type="auto"/>
        <w:jc w:val="left"/>
        <w:tblInd w:w="22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391"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96"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97"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129,922,986.10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76.48%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6,496,149.31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18"/>
                <w:szCs w:val="18"/>
              </w:rPr>
            </w:pPr>
            <w:r>
              <w:rPr>
                <w:rFonts w:ascii="Times New Roman"/>
                <w:spacing w:val="-1"/>
                <w:sz w:val="18"/>
              </w:rPr>
              <w:t>123,426,836.79</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33,057,413.94</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19.46%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3,305,741.39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29,751,672.55</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6,461,453.96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3.80%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1,938,436.19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18"/>
                <w:szCs w:val="18"/>
              </w:rPr>
            </w:pPr>
            <w:r>
              <w:rPr>
                <w:rFonts w:ascii="Times New Roman"/>
                <w:spacing w:val="-1"/>
                <w:sz w:val="18"/>
              </w:rPr>
              <w:t>4,523,017.77</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139,292.00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0.08%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83,575.20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55,716.80</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124,000.00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0.07%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99,200.00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24,800.00</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181,109.00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2"/>
                <w:sz w:val="18"/>
              </w:rPr>
              <w:t>0.11%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181,109.00</w:t>
            </w: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169,886,255.00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12,104,211.09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157,782,043.91</w:t>
            </w:r>
          </w:p>
        </w:tc>
      </w:tr>
      <w:tr>
        <w:trPr>
          <w:trHeight w:val="396"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98"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74,672,646.78</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z w:val="18"/>
              </w:rPr>
              <w:t>73.04%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3,733,632.34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70,939,014.44</w:t>
            </w:r>
          </w:p>
        </w:tc>
      </w:tr>
      <w:tr>
        <w:trPr>
          <w:trHeight w:val="3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26,690,753.42</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Times New Roman" w:hAnsi="Times New Roman" w:cs="Times New Roman" w:eastAsia="Times New Roman" w:hint="default"/>
                <w:sz w:val="18"/>
                <w:szCs w:val="18"/>
              </w:rPr>
            </w:pPr>
            <w:r>
              <w:rPr>
                <w:rFonts w:ascii="Times New Roman"/>
                <w:spacing w:val="-1"/>
                <w:sz w:val="18"/>
              </w:rPr>
              <w:t>26.11%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2,669,075.34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24,021,678.08</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430,232.51</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z w:val="18"/>
              </w:rPr>
              <w:t>0.42%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129,069.75</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1"/>
                <w:sz w:val="18"/>
              </w:rPr>
              <w:t>301,162.76</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184,000.00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0.18%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2"/>
                <w:sz w:val="18"/>
              </w:rPr>
              <w:t>110,400.00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73,600.00</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251,109.00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0.25%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251,109.00</w:t>
            </w: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102,228,741.71</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6,893,286.43</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95,335,455.28</w:t>
            </w:r>
          </w:p>
        </w:tc>
      </w:tr>
    </w:tbl>
    <w:p>
      <w:pPr>
        <w:spacing w:line="240" w:lineRule="auto" w:before="7"/>
        <w:rPr>
          <w:rFonts w:ascii="宋体" w:hAnsi="宋体" w:cs="宋体" w:eastAsia="宋体" w:hint="default"/>
          <w:sz w:val="6"/>
          <w:szCs w:val="6"/>
        </w:rPr>
      </w:pPr>
    </w:p>
    <w:p>
      <w:pPr>
        <w:pStyle w:val="BodyText"/>
        <w:spacing w:line="240" w:lineRule="auto" w:before="36"/>
        <w:ind w:left="940" w:right="0"/>
        <w:jc w:val="left"/>
      </w:pPr>
      <w:r>
        <w:rPr/>
        <w:t>（</w:t>
      </w:r>
      <w:r>
        <w:rPr>
          <w:rFonts w:ascii="Times New Roman" w:hAnsi="Times New Roman" w:cs="Times New Roman" w:eastAsia="Times New Roman" w:hint="default"/>
        </w:rPr>
        <w:t>3</w:t>
      </w:r>
      <w:r>
        <w:rPr/>
        <w:t>）本年度无核销的应收账款。</w:t>
      </w:r>
    </w:p>
    <w:p>
      <w:pPr>
        <w:spacing w:line="240" w:lineRule="auto" w:before="12"/>
        <w:rPr>
          <w:rFonts w:ascii="宋体" w:hAnsi="宋体" w:cs="宋体" w:eastAsia="宋体" w:hint="default"/>
          <w:sz w:val="20"/>
          <w:szCs w:val="20"/>
        </w:rPr>
      </w:pPr>
    </w:p>
    <w:p>
      <w:pPr>
        <w:pStyle w:val="BodyText"/>
        <w:spacing w:line="240" w:lineRule="auto"/>
        <w:ind w:left="940" w:right="0"/>
        <w:jc w:val="left"/>
      </w:pPr>
      <w:r>
        <w:rPr/>
        <w:t>（</w:t>
      </w:r>
      <w:r>
        <w:rPr>
          <w:rFonts w:ascii="Times New Roman" w:hAnsi="Times New Roman" w:cs="Times New Roman" w:eastAsia="Times New Roman" w:hint="default"/>
        </w:rPr>
        <w:t>4</w:t>
      </w:r>
      <w:r>
        <w:rPr/>
        <w:t>）年末应收账款前五名单位列示如下：</w:t>
      </w:r>
    </w:p>
    <w:p>
      <w:pPr>
        <w:spacing w:line="240" w:lineRule="auto" w:before="10"/>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3512"/>
        <w:gridCol w:w="1200"/>
        <w:gridCol w:w="1532"/>
        <w:gridCol w:w="1080"/>
        <w:gridCol w:w="1752"/>
      </w:tblGrid>
      <w:tr>
        <w:trPr>
          <w:trHeight w:val="490" w:hRule="exact"/>
        </w:trPr>
        <w:tc>
          <w:tcPr>
            <w:tcW w:w="35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8"/>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00"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15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right="350"/>
              <w:jc w:val="right"/>
              <w:rPr>
                <w:rFonts w:ascii="宋体" w:hAnsi="宋体" w:cs="宋体" w:eastAsia="宋体" w:hint="default"/>
                <w:sz w:val="18"/>
                <w:szCs w:val="18"/>
              </w:rPr>
            </w:pPr>
            <w:r>
              <w:rPr>
                <w:rFonts w:ascii="宋体" w:hAnsi="宋体" w:cs="宋体" w:eastAsia="宋体" w:hint="default"/>
                <w:sz w:val="18"/>
                <w:szCs w:val="18"/>
              </w:rPr>
              <w:t>账龄</w:t>
            </w:r>
          </w:p>
        </w:tc>
        <w:tc>
          <w:tcPr>
            <w:tcW w:w="1752" w:type="dxa"/>
            <w:tcBorders>
              <w:top w:val="single" w:sz="12" w:space="0" w:color="000000"/>
              <w:left w:val="single" w:sz="6" w:space="0" w:color="000000"/>
              <w:bottom w:val="single" w:sz="6" w:space="0" w:color="000000"/>
              <w:right w:val="nil" w:sz="6" w:space="0" w:color="auto"/>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sz w:val="18"/>
                <w:szCs w:val="18"/>
              </w:rPr>
              <w:t>占应收账款总额的</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10"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中铁建电气化局集团有限公司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19,610,118.00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11.54%</w:t>
            </w:r>
          </w:p>
        </w:tc>
      </w:tr>
      <w:tr>
        <w:trPr>
          <w:trHeight w:val="413"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中国铁路通信信号集团公司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10,964,724.00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6.45%</w:t>
            </w:r>
          </w:p>
        </w:tc>
      </w:tr>
      <w:tr>
        <w:trPr>
          <w:trHeight w:val="413" w:hRule="exact"/>
        </w:trPr>
        <w:tc>
          <w:tcPr>
            <w:tcW w:w="35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广州铁路（集团）公司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8,368,120.77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4.93%</w:t>
            </w:r>
          </w:p>
        </w:tc>
      </w:tr>
      <w:tr>
        <w:trPr>
          <w:trHeight w:val="420" w:hRule="exact"/>
        </w:trPr>
        <w:tc>
          <w:tcPr>
            <w:tcW w:w="351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中国铁路通信信号济南工程分公司</w:t>
            </w:r>
          </w:p>
        </w:tc>
        <w:tc>
          <w:tcPr>
            <w:tcW w:w="1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8,008,060.00</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4.71%</w:t>
            </w:r>
          </w:p>
        </w:tc>
      </w:tr>
    </w:tbl>
    <w:p>
      <w:pPr>
        <w:spacing w:after="0" w:line="240" w:lineRule="auto"/>
        <w:jc w:val="right"/>
        <w:rPr>
          <w:rFonts w:ascii="Times New Roman" w:hAnsi="Times New Roman" w:cs="Times New Roman" w:eastAsia="Times New Roman" w:hint="default"/>
          <w:sz w:val="18"/>
          <w:szCs w:val="18"/>
        </w:rPr>
        <w:sectPr>
          <w:footerReference w:type="default" r:id="rId56"/>
          <w:pgSz w:w="11910" w:h="16840"/>
          <w:pgMar w:footer="1186" w:header="852" w:top="1200" w:bottom="1380" w:left="1280" w:right="1280"/>
          <w:pgNumType w:start="120"/>
        </w:sectPr>
      </w:pPr>
    </w:p>
    <w:p>
      <w:pPr>
        <w:spacing w:line="240" w:lineRule="auto" w:before="7"/>
        <w:rPr>
          <w:rFonts w:ascii="宋体" w:hAnsi="宋体" w:cs="宋体" w:eastAsia="宋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3512"/>
        <w:gridCol w:w="1200"/>
        <w:gridCol w:w="1532"/>
        <w:gridCol w:w="1080"/>
        <w:gridCol w:w="1752"/>
      </w:tblGrid>
      <w:tr>
        <w:trPr>
          <w:trHeight w:val="420" w:hRule="exact"/>
        </w:trPr>
        <w:tc>
          <w:tcPr>
            <w:tcW w:w="35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徐州电务段</w:t>
            </w:r>
          </w:p>
        </w:tc>
        <w:tc>
          <w:tcPr>
            <w:tcW w:w="12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5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7,797,098.67</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5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4.59%</w:t>
            </w:r>
          </w:p>
        </w:tc>
      </w:tr>
      <w:tr>
        <w:trPr>
          <w:trHeight w:val="420" w:hRule="exact"/>
        </w:trPr>
        <w:tc>
          <w:tcPr>
            <w:tcW w:w="351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00" w:type="dxa"/>
            <w:tcBorders>
              <w:top w:val="single" w:sz="6" w:space="0" w:color="000000"/>
              <w:left w:val="single" w:sz="6" w:space="0" w:color="000000"/>
              <w:bottom w:val="single" w:sz="12" w:space="0" w:color="000000"/>
              <w:right w:val="single" w:sz="6" w:space="0" w:color="000000"/>
            </w:tcBorders>
          </w:tcPr>
          <w:p>
            <w:pPr/>
          </w:p>
        </w:tc>
        <w:tc>
          <w:tcPr>
            <w:tcW w:w="15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54,748,121.44</w:t>
            </w:r>
          </w:p>
        </w:tc>
        <w:tc>
          <w:tcPr>
            <w:tcW w:w="1080" w:type="dxa"/>
            <w:tcBorders>
              <w:top w:val="single" w:sz="6" w:space="0" w:color="000000"/>
              <w:left w:val="single" w:sz="6" w:space="0" w:color="000000"/>
              <w:bottom w:val="single" w:sz="12" w:space="0" w:color="000000"/>
              <w:right w:val="single" w:sz="6" w:space="0" w:color="000000"/>
            </w:tcBorders>
          </w:tcPr>
          <w:p>
            <w:pPr/>
          </w:p>
        </w:tc>
        <w:tc>
          <w:tcPr>
            <w:tcW w:w="17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32.23%</w:t>
            </w:r>
          </w:p>
        </w:tc>
      </w:tr>
    </w:tbl>
    <w:p>
      <w:pPr>
        <w:pStyle w:val="BodyText"/>
        <w:spacing w:line="257" w:lineRule="exact"/>
        <w:ind w:left="940" w:right="0"/>
        <w:jc w:val="left"/>
      </w:pPr>
      <w:r>
        <w:rPr/>
        <w:t>（</w:t>
      </w:r>
      <w:r>
        <w:rPr>
          <w:rFonts w:ascii="Times New Roman" w:hAnsi="Times New Roman" w:cs="Times New Roman" w:eastAsia="Times New Roman" w:hint="default"/>
        </w:rPr>
        <w:t>5</w:t>
      </w:r>
      <w:r>
        <w:rPr/>
        <w:t>）截至</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日止，应收账款余额中无持有本公司</w:t>
      </w:r>
      <w:r>
        <w:rPr>
          <w:spacing w:val="-43"/>
        </w:rPr>
        <w:t> </w:t>
      </w:r>
      <w:r>
        <w:rPr>
          <w:rFonts w:ascii="Times New Roman" w:hAnsi="Times New Roman" w:cs="Times New Roman" w:eastAsia="Times New Roman" w:hint="default"/>
        </w:rPr>
        <w:t>5%</w:t>
      </w:r>
      <w:r>
        <w:rPr/>
        <w:t>（含</w:t>
      </w:r>
      <w:r>
        <w:rPr>
          <w:spacing w:val="-42"/>
        </w:rPr>
        <w:t> </w:t>
      </w:r>
      <w:r>
        <w:rPr>
          <w:rFonts w:ascii="Times New Roman" w:hAnsi="Times New Roman" w:cs="Times New Roman" w:eastAsia="Times New Roman" w:hint="default"/>
        </w:rPr>
        <w:t>5%</w:t>
      </w:r>
      <w:r>
        <w:rPr/>
        <w:t>）以上表</w:t>
      </w:r>
    </w:p>
    <w:p>
      <w:pPr>
        <w:pStyle w:val="BodyText"/>
        <w:spacing w:line="240" w:lineRule="auto" w:before="117"/>
        <w:ind w:left="520" w:right="0"/>
        <w:jc w:val="left"/>
      </w:pPr>
      <w:r>
        <w:rPr/>
        <w:t>决权股份的股东单位的欠款。</w:t>
      </w:r>
    </w:p>
    <w:p>
      <w:pPr>
        <w:spacing w:line="240" w:lineRule="auto" w:before="10"/>
        <w:rPr>
          <w:rFonts w:ascii="宋体" w:hAnsi="宋体" w:cs="宋体" w:eastAsia="宋体" w:hint="default"/>
          <w:sz w:val="14"/>
          <w:szCs w:val="14"/>
        </w:rPr>
      </w:pPr>
    </w:p>
    <w:p>
      <w:pPr>
        <w:pStyle w:val="Heading5"/>
        <w:spacing w:line="240" w:lineRule="auto"/>
        <w:ind w:left="940" w:right="0"/>
        <w:jc w:val="left"/>
        <w:rPr>
          <w:b w:val="0"/>
          <w:bCs w:val="0"/>
        </w:rPr>
      </w:pPr>
      <w:r>
        <w:rPr>
          <w:rFonts w:ascii="Times New Roman" w:hAnsi="Times New Roman" w:cs="Times New Roman" w:eastAsia="Times New Roman" w:hint="default"/>
        </w:rPr>
        <w:t>2</w:t>
      </w:r>
      <w:r>
        <w:rPr/>
        <w:t>．其他应收款</w:t>
      </w:r>
      <w:r>
        <w:rPr>
          <w:b w:val="0"/>
          <w:bCs w:val="0"/>
        </w:rPr>
      </w:r>
    </w:p>
    <w:p>
      <w:pPr>
        <w:pStyle w:val="BodyText"/>
        <w:spacing w:line="240" w:lineRule="auto" w:before="196"/>
        <w:ind w:left="940" w:right="0"/>
        <w:jc w:val="left"/>
      </w:pPr>
      <w:r>
        <w:rPr/>
        <w:t>（</w:t>
      </w:r>
      <w:r>
        <w:rPr>
          <w:rFonts w:ascii="Times New Roman" w:hAnsi="Times New Roman" w:cs="Times New Roman" w:eastAsia="Times New Roman" w:hint="default"/>
        </w:rPr>
        <w:t>1</w:t>
      </w:r>
      <w:r>
        <w:rPr/>
        <w:t>）其他应收款按类别分析列示如下：</w:t>
      </w:r>
    </w:p>
    <w:p>
      <w:pPr>
        <w:spacing w:line="240" w:lineRule="auto" w:before="7"/>
        <w:rPr>
          <w:rFonts w:ascii="宋体" w:hAnsi="宋体" w:cs="宋体" w:eastAsia="宋体" w:hint="default"/>
          <w:sz w:val="11"/>
          <w:szCs w:val="11"/>
        </w:rPr>
      </w:pPr>
    </w:p>
    <w:tbl>
      <w:tblPr>
        <w:tblW w:w="0" w:type="auto"/>
        <w:jc w:val="left"/>
        <w:tblInd w:w="222" w:type="dxa"/>
        <w:tblLayout w:type="fixed"/>
        <w:tblCellMar>
          <w:top w:w="0" w:type="dxa"/>
          <w:left w:w="0" w:type="dxa"/>
          <w:bottom w:w="0" w:type="dxa"/>
          <w:right w:w="0" w:type="dxa"/>
        </w:tblCellMar>
        <w:tblLook w:val="01E0"/>
      </w:tblPr>
      <w:tblGrid>
        <w:gridCol w:w="3123"/>
        <w:gridCol w:w="1579"/>
        <w:gridCol w:w="862"/>
        <w:gridCol w:w="1108"/>
        <w:gridCol w:w="794"/>
        <w:gridCol w:w="1394"/>
      </w:tblGrid>
      <w:tr>
        <w:trPr>
          <w:trHeight w:val="365" w:hRule="exact"/>
        </w:trPr>
        <w:tc>
          <w:tcPr>
            <w:tcW w:w="312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37"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3123" w:type="dxa"/>
            <w:vMerge/>
            <w:tcBorders>
              <w:left w:val="nil" w:sz="6" w:space="0" w:color="auto"/>
              <w:right w:val="single" w:sz="6" w:space="0" w:color="000000"/>
            </w:tcBorders>
          </w:tcPr>
          <w:p>
            <w:pPr/>
          </w:p>
        </w:tc>
        <w:tc>
          <w:tcPr>
            <w:tcW w:w="24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9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4" w:type="dxa"/>
            <w:vMerge w:val="restart"/>
            <w:tcBorders>
              <w:top w:val="single" w:sz="6" w:space="0" w:color="000000"/>
              <w:left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0" w:hRule="exact"/>
        </w:trPr>
        <w:tc>
          <w:tcPr>
            <w:tcW w:w="3123" w:type="dxa"/>
            <w:vMerge/>
            <w:tcBorders>
              <w:left w:val="nil" w:sz="6" w:space="0" w:color="auto"/>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例</w:t>
            </w:r>
          </w:p>
        </w:tc>
        <w:tc>
          <w:tcPr>
            <w:tcW w:w="1394" w:type="dxa"/>
            <w:vMerge/>
            <w:tcBorders>
              <w:left w:val="single" w:sz="6" w:space="0" w:color="000000"/>
              <w:bottom w:val="single" w:sz="6" w:space="0" w:color="000000"/>
              <w:right w:val="nil" w:sz="6" w:space="0" w:color="auto"/>
            </w:tcBorders>
          </w:tcPr>
          <w:p>
            <w:pPr/>
          </w:p>
        </w:tc>
      </w:tr>
      <w:tr>
        <w:trPr>
          <w:trHeight w:val="483" w:hRule="exact"/>
        </w:trPr>
        <w:tc>
          <w:tcPr>
            <w:tcW w:w="3123"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79"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108"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3,922,028.87</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405,087.22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10.33%</w:t>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3,516,941.65</w:t>
            </w:r>
          </w:p>
        </w:tc>
      </w:tr>
      <w:tr>
        <w:trPr>
          <w:trHeight w:val="482" w:hRule="exact"/>
        </w:trPr>
        <w:tc>
          <w:tcPr>
            <w:tcW w:w="3123"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1579"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108"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3,922,028.87</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405,087.22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10.33%</w:t>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3,516,941.65</w:t>
            </w:r>
          </w:p>
        </w:tc>
      </w:tr>
      <w:tr>
        <w:trPr>
          <w:trHeight w:val="355" w:hRule="exact"/>
        </w:trPr>
        <w:tc>
          <w:tcPr>
            <w:tcW w:w="312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37"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3123" w:type="dxa"/>
            <w:vMerge/>
            <w:tcBorders>
              <w:left w:val="nil" w:sz="6" w:space="0" w:color="auto"/>
              <w:right w:val="single" w:sz="6" w:space="0" w:color="000000"/>
            </w:tcBorders>
          </w:tcPr>
          <w:p>
            <w:pPr/>
          </w:p>
        </w:tc>
        <w:tc>
          <w:tcPr>
            <w:tcW w:w="24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19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4" w:type="dxa"/>
            <w:vMerge w:val="restart"/>
            <w:tcBorders>
              <w:top w:val="single" w:sz="6" w:space="0" w:color="000000"/>
              <w:left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0" w:hRule="exact"/>
        </w:trPr>
        <w:tc>
          <w:tcPr>
            <w:tcW w:w="3123" w:type="dxa"/>
            <w:vMerge/>
            <w:tcBorders>
              <w:left w:val="nil" w:sz="6" w:space="0" w:color="auto"/>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94" w:type="dxa"/>
            <w:vMerge/>
            <w:tcBorders>
              <w:left w:val="single" w:sz="6" w:space="0" w:color="000000"/>
              <w:bottom w:val="single" w:sz="6" w:space="0" w:color="000000"/>
              <w:right w:val="nil" w:sz="6" w:space="0" w:color="auto"/>
            </w:tcBorders>
          </w:tcPr>
          <w:p>
            <w:pPr/>
          </w:p>
        </w:tc>
      </w:tr>
      <w:tr>
        <w:trPr>
          <w:trHeight w:val="482" w:hRule="exact"/>
        </w:trPr>
        <w:tc>
          <w:tcPr>
            <w:tcW w:w="3123"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79"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108"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3,452,974.86</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250,706.81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7.26%</w:t>
            </w:r>
          </w:p>
        </w:tc>
        <w:tc>
          <w:tcPr>
            <w:tcW w:w="13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3,202,268.05</w:t>
            </w:r>
          </w:p>
        </w:tc>
      </w:tr>
      <w:tr>
        <w:trPr>
          <w:trHeight w:val="483" w:hRule="exact"/>
        </w:trPr>
        <w:tc>
          <w:tcPr>
            <w:tcW w:w="3123"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1579"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1108"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12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3,452,974.86</w:t>
            </w:r>
          </w:p>
        </w:tc>
        <w:tc>
          <w:tcPr>
            <w:tcW w:w="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250,706.81</w:t>
            </w:r>
          </w:p>
        </w:tc>
        <w:tc>
          <w:tcPr>
            <w:tcW w:w="7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7.26%</w:t>
            </w:r>
          </w:p>
        </w:tc>
        <w:tc>
          <w:tcPr>
            <w:tcW w:w="13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3,202,268.05</w:t>
            </w:r>
          </w:p>
        </w:tc>
      </w:tr>
    </w:tbl>
    <w:p>
      <w:pPr>
        <w:spacing w:line="240" w:lineRule="auto" w:before="7"/>
        <w:rPr>
          <w:rFonts w:ascii="宋体" w:hAnsi="宋体" w:cs="宋体" w:eastAsia="宋体" w:hint="default"/>
          <w:sz w:val="6"/>
          <w:szCs w:val="6"/>
        </w:rPr>
      </w:pPr>
    </w:p>
    <w:p>
      <w:pPr>
        <w:pStyle w:val="BodyText"/>
        <w:spacing w:line="240" w:lineRule="auto" w:before="36"/>
        <w:ind w:left="731" w:right="0"/>
        <w:jc w:val="left"/>
      </w:pPr>
      <w:r>
        <w:rPr/>
        <w:t>注：单项金额超过</w:t>
      </w:r>
      <w:r>
        <w:rPr>
          <w:spacing w:val="-56"/>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5"/>
        </w:rPr>
        <w:t> </w:t>
      </w:r>
      <w:r>
        <w:rPr/>
        <w:t>元的其他应收款确认为单项金额重大的其他应收款。</w:t>
      </w:r>
    </w:p>
    <w:p>
      <w:pPr>
        <w:pStyle w:val="BodyText"/>
        <w:spacing w:line="240" w:lineRule="auto" w:before="117"/>
        <w:ind w:left="1151" w:right="0"/>
        <w:jc w:val="left"/>
      </w:pPr>
      <w:r>
        <w:rPr/>
        <w:t>（</w:t>
      </w:r>
      <w:r>
        <w:rPr>
          <w:rFonts w:ascii="Times New Roman" w:hAnsi="Times New Roman" w:cs="Times New Roman" w:eastAsia="Times New Roman" w:hint="default"/>
        </w:rPr>
        <w:t>2</w:t>
      </w:r>
      <w:r>
        <w:rPr/>
        <w:t>）组合中，按账龄分析法计提坏账准备的其他应收款：</w:t>
      </w:r>
    </w:p>
    <w:p>
      <w:pPr>
        <w:spacing w:line="240" w:lineRule="auto" w:before="10"/>
        <w:rPr>
          <w:rFonts w:ascii="宋体" w:hAnsi="宋体" w:cs="宋体" w:eastAsia="宋体" w:hint="default"/>
          <w:sz w:val="11"/>
          <w:szCs w:val="11"/>
        </w:rPr>
      </w:pPr>
    </w:p>
    <w:tbl>
      <w:tblPr>
        <w:tblW w:w="0" w:type="auto"/>
        <w:jc w:val="left"/>
        <w:tblInd w:w="237" w:type="dxa"/>
        <w:tblLayout w:type="fixed"/>
        <w:tblCellMar>
          <w:top w:w="0" w:type="dxa"/>
          <w:left w:w="0" w:type="dxa"/>
          <w:bottom w:w="0" w:type="dxa"/>
          <w:right w:w="0" w:type="dxa"/>
        </w:tblCellMar>
        <w:tblLook w:val="01E0"/>
      </w:tblPr>
      <w:tblGrid>
        <w:gridCol w:w="2071"/>
        <w:gridCol w:w="1961"/>
        <w:gridCol w:w="1071"/>
        <w:gridCol w:w="1781"/>
        <w:gridCol w:w="1961"/>
      </w:tblGrid>
      <w:tr>
        <w:trPr>
          <w:trHeight w:val="389" w:hRule="exact"/>
        </w:trPr>
        <w:tc>
          <w:tcPr>
            <w:tcW w:w="2071"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96" w:hRule="exact"/>
        </w:trPr>
        <w:tc>
          <w:tcPr>
            <w:tcW w:w="2071"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98"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2,958,539.87</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47"/>
              <w:jc w:val="right"/>
              <w:rPr>
                <w:rFonts w:ascii="Times New Roman" w:hAnsi="Times New Roman" w:cs="Times New Roman" w:eastAsia="Times New Roman" w:hint="default"/>
                <w:sz w:val="18"/>
                <w:szCs w:val="18"/>
              </w:rPr>
            </w:pPr>
            <w:r>
              <w:rPr>
                <w:rFonts w:ascii="Times New Roman"/>
                <w:sz w:val="18"/>
              </w:rPr>
              <w:t>75.43%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147,498.74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
              <w:jc w:val="center"/>
              <w:rPr>
                <w:rFonts w:ascii="Times New Roman" w:hAnsi="Times New Roman" w:cs="Times New Roman" w:eastAsia="Times New Roman" w:hint="default"/>
                <w:sz w:val="18"/>
                <w:szCs w:val="18"/>
              </w:rPr>
            </w:pPr>
            <w:r>
              <w:rPr>
                <w:rFonts w:ascii="Times New Roman"/>
                <w:sz w:val="18"/>
              </w:rPr>
              <w:t>2,811,041.13</w:t>
            </w:r>
          </w:p>
        </w:tc>
      </w:tr>
      <w:tr>
        <w:trPr>
          <w:trHeight w:val="396"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153,389.60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95" w:right="0"/>
              <w:jc w:val="left"/>
              <w:rPr>
                <w:rFonts w:ascii="Times New Roman" w:hAnsi="Times New Roman" w:cs="Times New Roman" w:eastAsia="Times New Roman" w:hint="default"/>
                <w:sz w:val="18"/>
                <w:szCs w:val="18"/>
              </w:rPr>
            </w:pPr>
            <w:r>
              <w:rPr>
                <w:rFonts w:ascii="Times New Roman"/>
                <w:sz w:val="18"/>
              </w:rPr>
              <w:t>3.91%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14,863.16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6"/>
              <w:jc w:val="center"/>
              <w:rPr>
                <w:rFonts w:ascii="Times New Roman" w:hAnsi="Times New Roman" w:cs="Times New Roman" w:eastAsia="Times New Roman" w:hint="default"/>
                <w:sz w:val="18"/>
                <w:szCs w:val="18"/>
              </w:rPr>
            </w:pPr>
            <w:r>
              <w:rPr>
                <w:rFonts w:ascii="Times New Roman"/>
                <w:sz w:val="18"/>
              </w:rPr>
              <w:t>138,526.44</w:t>
            </w:r>
          </w:p>
        </w:tc>
      </w:tr>
      <w:tr>
        <w:trPr>
          <w:trHeight w:val="398"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810,099.40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47"/>
              <w:jc w:val="right"/>
              <w:rPr>
                <w:rFonts w:ascii="Times New Roman" w:hAnsi="Times New Roman" w:cs="Times New Roman" w:eastAsia="Times New Roman" w:hint="default"/>
                <w:sz w:val="18"/>
                <w:szCs w:val="18"/>
              </w:rPr>
            </w:pPr>
            <w:r>
              <w:rPr>
                <w:rFonts w:ascii="Times New Roman"/>
                <w:sz w:val="18"/>
              </w:rPr>
              <w:t>20.66%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242,725.32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6"/>
              <w:jc w:val="center"/>
              <w:rPr>
                <w:rFonts w:ascii="Times New Roman" w:hAnsi="Times New Roman" w:cs="Times New Roman" w:eastAsia="Times New Roman" w:hint="default"/>
                <w:sz w:val="18"/>
                <w:szCs w:val="18"/>
              </w:rPr>
            </w:pPr>
            <w:r>
              <w:rPr>
                <w:rFonts w:ascii="Times New Roman"/>
                <w:sz w:val="18"/>
              </w:rPr>
              <w:t>567,374.08</w:t>
            </w:r>
          </w:p>
        </w:tc>
      </w:tr>
      <w:tr>
        <w:trPr>
          <w:trHeight w:val="397"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3,922,028.87</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04"/>
              <w:jc w:val="right"/>
              <w:rPr>
                <w:rFonts w:ascii="Times New Roman" w:hAnsi="Times New Roman" w:cs="Times New Roman" w:eastAsia="Times New Roman" w:hint="default"/>
                <w:sz w:val="18"/>
                <w:szCs w:val="18"/>
              </w:rPr>
            </w:pPr>
            <w:r>
              <w:rPr>
                <w:rFonts w:ascii="Times New Roman"/>
                <w:spacing w:val="-1"/>
                <w:sz w:val="18"/>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405,087.22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6"/>
              <w:jc w:val="center"/>
              <w:rPr>
                <w:rFonts w:ascii="Times New Roman" w:hAnsi="Times New Roman" w:cs="Times New Roman" w:eastAsia="Times New Roman" w:hint="default"/>
                <w:sz w:val="18"/>
                <w:szCs w:val="18"/>
              </w:rPr>
            </w:pPr>
            <w:r>
              <w:rPr>
                <w:rFonts w:ascii="Times New Roman"/>
                <w:sz w:val="18"/>
              </w:rPr>
              <w:t>3,516,941.65</w:t>
            </w:r>
          </w:p>
        </w:tc>
      </w:tr>
      <w:tr>
        <w:trPr>
          <w:trHeight w:val="398" w:hRule="exact"/>
        </w:trPr>
        <w:tc>
          <w:tcPr>
            <w:tcW w:w="2071" w:type="dxa"/>
            <w:vMerge w:val="restart"/>
            <w:tcBorders>
              <w:top w:val="single" w:sz="6"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4"/>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406" w:hRule="exact"/>
        </w:trPr>
        <w:tc>
          <w:tcPr>
            <w:tcW w:w="2071" w:type="dxa"/>
            <w:vMerge/>
            <w:tcBorders>
              <w:left w:val="nil" w:sz="6" w:space="0" w:color="auto"/>
              <w:bottom w:val="single" w:sz="12" w:space="0" w:color="000000"/>
              <w:right w:val="single" w:sz="6" w:space="0" w:color="000000"/>
            </w:tcBorders>
          </w:tcPr>
          <w:p>
            <w:pP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3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净额</w:t>
            </w:r>
          </w:p>
        </w:tc>
      </w:tr>
    </w:tbl>
    <w:p>
      <w:pPr>
        <w:spacing w:after="0" w:line="240" w:lineRule="auto"/>
        <w:jc w:val="center"/>
        <w:rPr>
          <w:rFonts w:ascii="宋体" w:hAnsi="宋体" w:cs="宋体" w:eastAsia="宋体" w:hint="default"/>
          <w:sz w:val="18"/>
          <w:szCs w:val="18"/>
        </w:rPr>
        <w:sectPr>
          <w:pgSz w:w="11910" w:h="16840"/>
          <w:pgMar w:header="852" w:footer="1186" w:top="1200" w:bottom="1380" w:left="1280" w:right="1280"/>
        </w:sectPr>
      </w:pPr>
    </w:p>
    <w:p>
      <w:pPr>
        <w:spacing w:line="240" w:lineRule="auto" w:before="7"/>
        <w:rPr>
          <w:rFonts w:ascii="宋体" w:hAnsi="宋体" w:cs="宋体" w:eastAsia="宋体" w:hint="default"/>
          <w:sz w:val="17"/>
          <w:szCs w:val="17"/>
        </w:rPr>
      </w:pPr>
    </w:p>
    <w:tbl>
      <w:tblPr>
        <w:tblW w:w="0" w:type="auto"/>
        <w:jc w:val="left"/>
        <w:tblInd w:w="322" w:type="dxa"/>
        <w:tblLayout w:type="fixed"/>
        <w:tblCellMar>
          <w:top w:w="0" w:type="dxa"/>
          <w:left w:w="0" w:type="dxa"/>
          <w:bottom w:w="0" w:type="dxa"/>
          <w:right w:w="0" w:type="dxa"/>
        </w:tblCellMar>
        <w:tblLook w:val="01E0"/>
      </w:tblPr>
      <w:tblGrid>
        <w:gridCol w:w="2086"/>
        <w:gridCol w:w="1961"/>
        <w:gridCol w:w="1071"/>
        <w:gridCol w:w="1781"/>
        <w:gridCol w:w="1961"/>
      </w:tblGrid>
      <w:tr>
        <w:trPr>
          <w:trHeight w:val="406" w:hRule="exact"/>
        </w:trPr>
        <w:tc>
          <w:tcPr>
            <w:tcW w:w="20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left="499" w:right="0"/>
              <w:jc w:val="left"/>
              <w:rPr>
                <w:rFonts w:ascii="Times New Roman" w:hAnsi="Times New Roman" w:cs="Times New Roman" w:eastAsia="Times New Roman" w:hint="default"/>
                <w:sz w:val="18"/>
                <w:szCs w:val="18"/>
              </w:rPr>
            </w:pPr>
            <w:r>
              <w:rPr>
                <w:rFonts w:ascii="Times New Roman"/>
                <w:sz w:val="18"/>
              </w:rPr>
              <w:t>1,895,025.46</w:t>
            </w:r>
          </w:p>
        </w:tc>
        <w:tc>
          <w:tcPr>
            <w:tcW w:w="10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left="249" w:right="0"/>
              <w:jc w:val="left"/>
              <w:rPr>
                <w:rFonts w:ascii="Times New Roman" w:hAnsi="Times New Roman" w:cs="Times New Roman" w:eastAsia="Times New Roman" w:hint="default"/>
                <w:sz w:val="18"/>
                <w:szCs w:val="18"/>
              </w:rPr>
            </w:pPr>
            <w:r>
              <w:rPr>
                <w:rFonts w:ascii="Times New Roman"/>
                <w:sz w:val="18"/>
              </w:rPr>
              <w:t>54.88%</w:t>
            </w:r>
          </w:p>
        </w:tc>
        <w:tc>
          <w:tcPr>
            <w:tcW w:w="1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94,013.37</w:t>
            </w:r>
          </w:p>
        </w:tc>
        <w:tc>
          <w:tcPr>
            <w:tcW w:w="196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4"/>
              <w:ind w:right="6"/>
              <w:jc w:val="center"/>
              <w:rPr>
                <w:rFonts w:ascii="Times New Roman" w:hAnsi="Times New Roman" w:cs="Times New Roman" w:eastAsia="Times New Roman" w:hint="default"/>
                <w:sz w:val="18"/>
                <w:szCs w:val="18"/>
              </w:rPr>
            </w:pPr>
            <w:r>
              <w:rPr>
                <w:rFonts w:ascii="Times New Roman"/>
                <w:sz w:val="18"/>
              </w:rPr>
              <w:t>1,801,012.09</w:t>
            </w: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99" w:right="0"/>
              <w:jc w:val="left"/>
              <w:rPr>
                <w:rFonts w:ascii="Times New Roman" w:hAnsi="Times New Roman" w:cs="Times New Roman" w:eastAsia="Times New Roman" w:hint="default"/>
                <w:sz w:val="18"/>
                <w:szCs w:val="18"/>
              </w:rPr>
            </w:pPr>
            <w:r>
              <w:rPr>
                <w:rFonts w:ascii="Times New Roman"/>
                <w:sz w:val="18"/>
              </w:rPr>
              <w:t>1,557,949.40</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49" w:right="0"/>
              <w:jc w:val="left"/>
              <w:rPr>
                <w:rFonts w:ascii="Times New Roman" w:hAnsi="Times New Roman" w:cs="Times New Roman" w:eastAsia="Times New Roman" w:hint="default"/>
                <w:sz w:val="18"/>
                <w:szCs w:val="18"/>
              </w:rPr>
            </w:pPr>
            <w:r>
              <w:rPr>
                <w:rFonts w:ascii="Times New Roman"/>
                <w:sz w:val="18"/>
              </w:rPr>
              <w:t>45.12%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156,693.44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6"/>
              <w:jc w:val="center"/>
              <w:rPr>
                <w:rFonts w:ascii="Times New Roman" w:hAnsi="Times New Roman" w:cs="Times New Roman" w:eastAsia="Times New Roman" w:hint="default"/>
                <w:sz w:val="18"/>
                <w:szCs w:val="18"/>
              </w:rPr>
            </w:pPr>
            <w:r>
              <w:rPr>
                <w:rFonts w:ascii="Times New Roman"/>
                <w:sz w:val="18"/>
              </w:rPr>
              <w:t>1,401,255.96</w:t>
            </w: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61" w:type="dxa"/>
            <w:tcBorders>
              <w:top w:val="single" w:sz="6" w:space="0" w:color="000000"/>
              <w:left w:val="single" w:sz="6" w:space="0" w:color="000000"/>
              <w:bottom w:val="single" w:sz="6" w:space="0" w:color="000000"/>
              <w:right w:val="single" w:sz="6" w:space="0" w:color="000000"/>
            </w:tcBorders>
          </w:tcPr>
          <w:p>
            <w:pPr/>
          </w:p>
        </w:tc>
        <w:tc>
          <w:tcPr>
            <w:tcW w:w="1071"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left="499" w:right="0"/>
              <w:jc w:val="left"/>
              <w:rPr>
                <w:rFonts w:ascii="Times New Roman" w:hAnsi="Times New Roman" w:cs="Times New Roman" w:eastAsia="Times New Roman" w:hint="default"/>
                <w:sz w:val="18"/>
                <w:szCs w:val="18"/>
              </w:rPr>
            </w:pPr>
            <w:r>
              <w:rPr>
                <w:rFonts w:ascii="Times New Roman"/>
                <w:sz w:val="18"/>
              </w:rPr>
              <w:t>3,452,974.86</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left="203" w:right="0"/>
              <w:jc w:val="left"/>
              <w:rPr>
                <w:rFonts w:ascii="Times New Roman" w:hAnsi="Times New Roman" w:cs="Times New Roman" w:eastAsia="Times New Roman" w:hint="default"/>
                <w:sz w:val="18"/>
                <w:szCs w:val="18"/>
              </w:rPr>
            </w:pPr>
            <w:r>
              <w:rPr>
                <w:rFonts w:ascii="Times New Roman"/>
                <w:sz w:val="18"/>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250,706.81</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6"/>
              <w:jc w:val="center"/>
              <w:rPr>
                <w:rFonts w:ascii="Times New Roman" w:hAnsi="Times New Roman" w:cs="Times New Roman" w:eastAsia="Times New Roman" w:hint="default"/>
                <w:sz w:val="18"/>
                <w:szCs w:val="18"/>
              </w:rPr>
            </w:pPr>
            <w:r>
              <w:rPr>
                <w:rFonts w:ascii="Times New Roman"/>
                <w:sz w:val="18"/>
              </w:rPr>
              <w:t>3,202,268.05</w:t>
            </w:r>
          </w:p>
        </w:tc>
      </w:tr>
    </w:tbl>
    <w:p>
      <w:pPr>
        <w:spacing w:line="240" w:lineRule="auto" w:before="7"/>
        <w:rPr>
          <w:rFonts w:ascii="宋体" w:hAnsi="宋体" w:cs="宋体" w:eastAsia="宋体" w:hint="default"/>
          <w:sz w:val="6"/>
          <w:szCs w:val="6"/>
        </w:rPr>
      </w:pPr>
    </w:p>
    <w:p>
      <w:pPr>
        <w:pStyle w:val="BodyText"/>
        <w:spacing w:line="240" w:lineRule="auto" w:before="36"/>
        <w:ind w:left="1040" w:right="612"/>
        <w:jc w:val="left"/>
      </w:pPr>
      <w:r>
        <w:rPr/>
        <w:t>（</w:t>
      </w:r>
      <w:r>
        <w:rPr>
          <w:rFonts w:ascii="Times New Roman" w:hAnsi="Times New Roman" w:cs="Times New Roman" w:eastAsia="Times New Roman" w:hint="default"/>
        </w:rPr>
        <w:t>3</w:t>
      </w:r>
      <w:r>
        <w:rPr/>
        <w:t>）本年度无核销的其他应收款。</w:t>
      </w:r>
    </w:p>
    <w:p>
      <w:pPr>
        <w:spacing w:line="240" w:lineRule="auto" w:before="12"/>
        <w:rPr>
          <w:rFonts w:ascii="宋体" w:hAnsi="宋体" w:cs="宋体" w:eastAsia="宋体" w:hint="default"/>
          <w:sz w:val="20"/>
          <w:szCs w:val="20"/>
        </w:rPr>
      </w:pPr>
    </w:p>
    <w:p>
      <w:pPr>
        <w:pStyle w:val="BodyText"/>
        <w:spacing w:line="240" w:lineRule="auto"/>
        <w:ind w:left="1040" w:right="612"/>
        <w:jc w:val="left"/>
      </w:pPr>
      <w:r>
        <w:rPr/>
        <w:t>（</w:t>
      </w:r>
      <w:r>
        <w:rPr>
          <w:rFonts w:ascii="Times New Roman" w:hAnsi="Times New Roman" w:cs="Times New Roman" w:eastAsia="Times New Roman" w:hint="default"/>
        </w:rPr>
        <w:t>4</w:t>
      </w:r>
      <w:r>
        <w:rPr/>
        <w:t>）年末其他应收款前五名单位列示如下：</w:t>
      </w: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931"/>
        <w:gridCol w:w="1452"/>
        <w:gridCol w:w="1164"/>
        <w:gridCol w:w="1272"/>
        <w:gridCol w:w="1013"/>
        <w:gridCol w:w="1435"/>
      </w:tblGrid>
      <w:tr>
        <w:trPr>
          <w:trHeight w:val="490" w:hRule="exact"/>
        </w:trPr>
        <w:tc>
          <w:tcPr>
            <w:tcW w:w="29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8"/>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164"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12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10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35" w:type="dxa"/>
            <w:tcBorders>
              <w:top w:val="single" w:sz="12" w:space="0" w:color="000000"/>
              <w:left w:val="single" w:sz="6" w:space="0" w:color="000000"/>
              <w:bottom w:val="single" w:sz="6" w:space="0" w:color="000000"/>
              <w:right w:val="nil" w:sz="6" w:space="0" w:color="auto"/>
            </w:tcBorders>
          </w:tcPr>
          <w:p>
            <w:pPr>
              <w:pStyle w:val="TableParagraph"/>
              <w:spacing w:line="207" w:lineRule="exact"/>
              <w:ind w:left="259" w:right="0" w:hanging="89"/>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上海中土实业有限公司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750,000.00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19.12%</w:t>
            </w:r>
          </w:p>
        </w:tc>
      </w:tr>
      <w:tr>
        <w:trPr>
          <w:trHeight w:val="410"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河南省人民医院</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住院费</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150,000.00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3.82%</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陈晴晴</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员工借款</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2.55%</w:t>
            </w:r>
          </w:p>
        </w:tc>
      </w:tr>
      <w:tr>
        <w:trPr>
          <w:trHeight w:val="413"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郑州市中医院</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住院费</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87,984.40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2.24%</w:t>
            </w:r>
          </w:p>
        </w:tc>
      </w:tr>
      <w:tr>
        <w:trPr>
          <w:trHeight w:val="410" w:hRule="exact"/>
        </w:trPr>
        <w:tc>
          <w:tcPr>
            <w:tcW w:w="2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梅建军</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员工借款</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87,117.00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2.22%</w:t>
            </w:r>
          </w:p>
        </w:tc>
      </w:tr>
      <w:tr>
        <w:trPr>
          <w:trHeight w:val="422" w:hRule="exact"/>
        </w:trPr>
        <w:tc>
          <w:tcPr>
            <w:tcW w:w="29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3"/>
              <w:ind w:left="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52" w:type="dxa"/>
            <w:tcBorders>
              <w:top w:val="single" w:sz="6" w:space="0" w:color="000000"/>
              <w:left w:val="single" w:sz="6" w:space="0" w:color="000000"/>
              <w:bottom w:val="single" w:sz="12" w:space="0" w:color="000000"/>
              <w:right w:val="single" w:sz="6" w:space="0" w:color="000000"/>
            </w:tcBorders>
          </w:tcPr>
          <w:p>
            <w:pPr/>
          </w:p>
        </w:tc>
        <w:tc>
          <w:tcPr>
            <w:tcW w:w="1164" w:type="dxa"/>
            <w:tcBorders>
              <w:top w:val="single" w:sz="6" w:space="0" w:color="000000"/>
              <w:left w:val="single" w:sz="6" w:space="0" w:color="000000"/>
              <w:bottom w:val="single" w:sz="12" w:space="0" w:color="000000"/>
              <w:right w:val="single" w:sz="6" w:space="0" w:color="000000"/>
            </w:tcBorders>
          </w:tcPr>
          <w:p>
            <w:pP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1,175,101.40</w:t>
            </w:r>
          </w:p>
        </w:tc>
        <w:tc>
          <w:tcPr>
            <w:tcW w:w="1013" w:type="dxa"/>
            <w:tcBorders>
              <w:top w:val="single" w:sz="6" w:space="0" w:color="000000"/>
              <w:left w:val="single" w:sz="6" w:space="0" w:color="000000"/>
              <w:bottom w:val="single" w:sz="12" w:space="0" w:color="000000"/>
              <w:right w:val="single" w:sz="6" w:space="0" w:color="000000"/>
            </w:tcBorders>
          </w:tcPr>
          <w:p>
            <w:pPr/>
          </w:p>
        </w:tc>
        <w:tc>
          <w:tcPr>
            <w:tcW w:w="14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29.95%</w:t>
            </w:r>
          </w:p>
        </w:tc>
      </w:tr>
    </w:tbl>
    <w:p>
      <w:pPr>
        <w:pStyle w:val="BodyText"/>
        <w:spacing w:line="257" w:lineRule="exact"/>
        <w:ind w:left="1040" w:right="612"/>
        <w:jc w:val="left"/>
      </w:pPr>
      <w:r>
        <w:rPr/>
        <w:t>（</w:t>
      </w:r>
      <w:r>
        <w:rPr>
          <w:rFonts w:ascii="Times New Roman" w:hAnsi="Times New Roman" w:cs="Times New Roman" w:eastAsia="Times New Roman" w:hint="default"/>
        </w:rPr>
        <w:t>5</w:t>
      </w:r>
      <w:r>
        <w:rPr/>
        <w:t>）截至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日止，公司无其他金额较大的其他应收款。</w:t>
      </w:r>
    </w:p>
    <w:p>
      <w:pPr>
        <w:pStyle w:val="BodyText"/>
        <w:spacing w:line="336" w:lineRule="auto" w:before="117"/>
        <w:ind w:left="620" w:right="612" w:firstLine="419"/>
        <w:jc w:val="left"/>
      </w:pPr>
      <w:r>
        <w:rPr/>
        <w:t>（</w:t>
      </w:r>
      <w:r>
        <w:rPr>
          <w:rFonts w:ascii="Times New Roman" w:hAnsi="Times New Roman" w:cs="Times New Roman" w:eastAsia="Times New Roman" w:hint="default"/>
        </w:rPr>
        <w:t>6</w:t>
      </w:r>
      <w:r>
        <w:rPr/>
        <w:t>）截至</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日止，其他应收款余额中无持有本公司</w:t>
      </w:r>
      <w:r>
        <w:rPr>
          <w:spacing w:val="-46"/>
        </w:rPr>
        <w:t> </w:t>
      </w:r>
      <w:r>
        <w:rPr>
          <w:rFonts w:ascii="Times New Roman" w:hAnsi="Times New Roman" w:cs="Times New Roman" w:eastAsia="Times New Roman" w:hint="default"/>
        </w:rPr>
        <w:t>5%</w:t>
      </w:r>
      <w:r>
        <w:rPr/>
        <w:t>（含</w:t>
      </w:r>
      <w:r>
        <w:rPr>
          <w:spacing w:val="-42"/>
        </w:rPr>
        <w:t> </w:t>
      </w:r>
      <w:r>
        <w:rPr>
          <w:rFonts w:ascii="Times New Roman" w:hAnsi="Times New Roman" w:cs="Times New Roman" w:eastAsia="Times New Roman" w:hint="default"/>
        </w:rPr>
        <w:t>5%</w:t>
      </w:r>
      <w:r>
        <w:rPr/>
        <w:t>）以上</w:t>
      </w:r>
      <w:r>
        <w:rPr>
          <w:w w:val="100"/>
        </w:rPr>
        <w:t> </w:t>
      </w:r>
      <w:r>
        <w:rPr/>
        <w:t>表决权股份的股东单位欠款，无关联单位欠款。</w:t>
      </w:r>
    </w:p>
    <w:p>
      <w:pPr>
        <w:spacing w:line="240" w:lineRule="auto" w:before="12"/>
        <w:rPr>
          <w:rFonts w:ascii="宋体" w:hAnsi="宋体" w:cs="宋体" w:eastAsia="宋体" w:hint="default"/>
          <w:sz w:val="21"/>
          <w:szCs w:val="21"/>
        </w:rPr>
      </w:pPr>
    </w:p>
    <w:p>
      <w:pPr>
        <w:spacing w:line="468" w:lineRule="auto" w:before="0"/>
        <w:ind w:left="1040" w:right="4241" w:firstLine="0"/>
        <w:jc w:val="left"/>
        <w:rPr>
          <w:rFonts w:ascii="宋体" w:hAnsi="宋体" w:cs="宋体" w:eastAsia="宋体" w:hint="default"/>
          <w:sz w:val="21"/>
          <w:szCs w:val="21"/>
        </w:rPr>
      </w:pPr>
      <w:r>
        <w:rPr/>
        <w:pict>
          <v:shape style="position:absolute;margin-left:75.143997pt;margin-top:50.543678pt;width:445.05pt;height:154.7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0"/>
                    <w:gridCol w:w="1253"/>
                    <w:gridCol w:w="1510"/>
                    <w:gridCol w:w="1508"/>
                    <w:gridCol w:w="1510"/>
                    <w:gridCol w:w="1508"/>
                  </w:tblGrid>
                  <w:tr>
                    <w:trPr>
                      <w:trHeight w:val="490" w:hRule="exact"/>
                    </w:trPr>
                    <w:tc>
                      <w:tcPr>
                        <w:tcW w:w="157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3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00" w:right="0" w:firstLine="14"/>
                          <w:jc w:val="left"/>
                          <w:rPr>
                            <w:rFonts w:ascii="宋体" w:hAnsi="宋体" w:cs="宋体" w:eastAsia="宋体" w:hint="default"/>
                            <w:sz w:val="18"/>
                            <w:szCs w:val="18"/>
                          </w:rPr>
                        </w:pPr>
                        <w:r>
                          <w:rPr>
                            <w:rFonts w:ascii="宋体" w:hAnsi="宋体" w:cs="宋体" w:eastAsia="宋体" w:hint="default"/>
                            <w:sz w:val="18"/>
                            <w:szCs w:val="18"/>
                          </w:rPr>
                          <w:t>本年增减额（减</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5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82" w:hRule="exact"/>
                    </w:trPr>
                    <w:tc>
                      <w:tcPr>
                        <w:tcW w:w="1570"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河南辉煌软件有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15,000,000.00</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15,000,000.00</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638" w:hRule="exact"/>
                    </w:trPr>
                    <w:tc>
                      <w:tcPr>
                        <w:tcW w:w="1570"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8"/>
                          <w:ind w:left="160" w:right="139"/>
                          <w:jc w:val="left"/>
                          <w:rPr>
                            <w:rFonts w:ascii="宋体" w:hAnsi="宋体" w:cs="宋体" w:eastAsia="宋体" w:hint="default"/>
                            <w:sz w:val="18"/>
                            <w:szCs w:val="18"/>
                          </w:rPr>
                        </w:pPr>
                        <w:r>
                          <w:rPr>
                            <w:rFonts w:ascii="宋体" w:hAnsi="宋体" w:cs="宋体" w:eastAsia="宋体" w:hint="default"/>
                            <w:sz w:val="18"/>
                            <w:szCs w:val="18"/>
                          </w:rPr>
                          <w:t>北京全路信通软 件科技有限公司</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82" w:hRule="exact"/>
                    </w:trPr>
                    <w:tc>
                      <w:tcPr>
                        <w:tcW w:w="15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3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7"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z w:val="18"/>
                            <w:szCs w:val="18"/>
                          </w:rPr>
                          <w:t>减值准备金额</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本年计提减值准</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备金额</w:t>
                        </w:r>
                      </w:p>
                    </w:tc>
                    <w:tc>
                      <w:tcPr>
                        <w:tcW w:w="15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z w:val="18"/>
                            <w:szCs w:val="18"/>
                          </w:rPr>
                          <w:t>本年现金红利</w:t>
                        </w:r>
                      </w:p>
                    </w:tc>
                  </w:tr>
                  <w:tr>
                    <w:trPr>
                      <w:trHeight w:val="481" w:hRule="exact"/>
                    </w:trPr>
                    <w:tc>
                      <w:tcPr>
                        <w:tcW w:w="1570"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河南辉煌软件有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nil" w:sz="6" w:space="0" w:color="auto"/>
                        </w:tcBorders>
                      </w:tcPr>
                      <w:p>
                        <w:pPr/>
                      </w:p>
                    </w:tc>
                  </w:tr>
                  <w:tr>
                    <w:trPr>
                      <w:trHeight w:val="492" w:hRule="exact"/>
                    </w:trPr>
                    <w:tc>
                      <w:tcPr>
                        <w:tcW w:w="1570"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北京全路信通软</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件科技有限公司</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single" w:sz="6" w:space="0" w:color="000000"/>
                          <w:left w:val="single" w:sz="6" w:space="0" w:color="000000"/>
                          <w:bottom w:val="single" w:sz="12" w:space="0" w:color="000000"/>
                          <w:right w:val="single" w:sz="6" w:space="0" w:color="000000"/>
                        </w:tcBorders>
                      </w:tcPr>
                      <w:p>
                        <w:pPr/>
                      </w:p>
                    </w:tc>
                    <w:tc>
                      <w:tcPr>
                        <w:tcW w:w="1510" w:type="dxa"/>
                        <w:tcBorders>
                          <w:top w:val="single" w:sz="6" w:space="0" w:color="000000"/>
                          <w:left w:val="single" w:sz="6" w:space="0" w:color="000000"/>
                          <w:bottom w:val="single" w:sz="12" w:space="0" w:color="000000"/>
                          <w:right w:val="single" w:sz="6" w:space="0" w:color="000000"/>
                        </w:tcBorders>
                      </w:tcPr>
                      <w:p>
                        <w:pPr/>
                      </w:p>
                    </w:tc>
                    <w:tc>
                      <w:tcPr>
                        <w:tcW w:w="1508" w:type="dxa"/>
                        <w:tcBorders>
                          <w:top w:val="single" w:sz="6" w:space="0" w:color="000000"/>
                          <w:left w:val="single" w:sz="6" w:space="0" w:color="000000"/>
                          <w:bottom w:val="single" w:sz="12" w:space="0" w:color="000000"/>
                          <w:right w:val="nil" w:sz="6" w:space="0" w:color="auto"/>
                        </w:tcBorders>
                      </w:tcPr>
                      <w:p>
                        <w:pPr/>
                      </w:p>
                    </w:tc>
                  </w:tr>
                </w:tbl>
                <w:p>
                  <w:pPr/>
                </w:p>
              </w:txbxContent>
            </v:textbox>
            <w10:wrap type="none"/>
          </v:shape>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pacing w:val="-2"/>
          <w:sz w:val="21"/>
          <w:szCs w:val="21"/>
        </w:rPr>
        <w:t>长期股权投资分项列示如下：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5"/>
        <w:spacing w:line="240" w:lineRule="auto"/>
        <w:ind w:left="1040" w:right="612"/>
        <w:jc w:val="left"/>
        <w:rPr>
          <w:b w:val="0"/>
          <w:bCs w:val="0"/>
        </w:rPr>
      </w:pPr>
      <w:r>
        <w:rPr>
          <w:rFonts w:ascii="Times New Roman" w:hAnsi="Times New Roman" w:cs="Times New Roman" w:eastAsia="Times New Roman" w:hint="default"/>
        </w:rPr>
        <w:t>4</w:t>
      </w:r>
      <w:r>
        <w:rPr/>
        <w:t>．营业收入、营业成本</w:t>
      </w:r>
      <w:r>
        <w:rPr>
          <w:b w:val="0"/>
          <w:bCs w:val="0"/>
        </w:rPr>
      </w:r>
    </w:p>
    <w:p>
      <w:pPr>
        <w:pStyle w:val="BodyText"/>
        <w:spacing w:line="240" w:lineRule="auto" w:before="196"/>
        <w:ind w:left="1040" w:right="612"/>
        <w:jc w:val="left"/>
      </w:pPr>
      <w:r>
        <w:rPr/>
        <w:t>（</w:t>
      </w:r>
      <w:r>
        <w:rPr>
          <w:rFonts w:ascii="Times New Roman" w:hAnsi="Times New Roman" w:cs="Times New Roman" w:eastAsia="Times New Roman" w:hint="default"/>
        </w:rPr>
        <w:t>1</w:t>
      </w:r>
      <w:r>
        <w:rPr/>
        <w:t>）营业收入、营业成本明细如下：</w:t>
      </w:r>
    </w:p>
    <w:p>
      <w:pPr>
        <w:spacing w:line="240" w:lineRule="auto" w:before="10"/>
        <w:rPr>
          <w:rFonts w:ascii="宋体" w:hAnsi="宋体" w:cs="宋体" w:eastAsia="宋体" w:hint="default"/>
          <w:sz w:val="11"/>
          <w:szCs w:val="11"/>
        </w:rPr>
      </w:pPr>
    </w:p>
    <w:tbl>
      <w:tblPr>
        <w:tblW w:w="0" w:type="auto"/>
        <w:jc w:val="left"/>
        <w:tblInd w:w="337" w:type="dxa"/>
        <w:tblLayout w:type="fixed"/>
        <w:tblCellMar>
          <w:top w:w="0" w:type="dxa"/>
          <w:left w:w="0" w:type="dxa"/>
          <w:bottom w:w="0" w:type="dxa"/>
          <w:right w:w="0" w:type="dxa"/>
        </w:tblCellMar>
        <w:tblLook w:val="01E0"/>
      </w:tblPr>
      <w:tblGrid>
        <w:gridCol w:w="4121"/>
        <w:gridCol w:w="2369"/>
        <w:gridCol w:w="2369"/>
      </w:tblGrid>
      <w:tr>
        <w:trPr>
          <w:trHeight w:val="396" w:hRule="exact"/>
        </w:trPr>
        <w:tc>
          <w:tcPr>
            <w:tcW w:w="4121" w:type="dxa"/>
            <w:tcBorders>
              <w:top w:val="single" w:sz="12" w:space="0" w:color="000000"/>
              <w:left w:val="nil" w:sz="6" w:space="0" w:color="auto"/>
              <w:bottom w:val="single" w:sz="12" w:space="0" w:color="000000"/>
              <w:right w:val="single" w:sz="6" w:space="0" w:color="000000"/>
            </w:tcBorders>
          </w:tcPr>
          <w:p>
            <w:pPr>
              <w:pStyle w:val="TableParagraph"/>
              <w:tabs>
                <w:tab w:pos="476" w:val="left" w:leader="none"/>
              </w:tabs>
              <w:spacing w:line="240" w:lineRule="auto" w:before="37"/>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left="72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7"/>
              <w:ind w:left="727"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bl>
    <w:p>
      <w:pPr>
        <w:spacing w:after="0" w:line="240" w:lineRule="auto"/>
        <w:jc w:val="left"/>
        <w:rPr>
          <w:rFonts w:ascii="宋体" w:hAnsi="宋体" w:cs="宋体" w:eastAsia="宋体" w:hint="default"/>
          <w:sz w:val="18"/>
          <w:szCs w:val="18"/>
        </w:rPr>
        <w:sectPr>
          <w:pgSz w:w="11910" w:h="16840"/>
          <w:pgMar w:header="852" w:footer="1186" w:top="1200" w:bottom="1380" w:left="1180" w:right="1180"/>
        </w:sectPr>
      </w:pPr>
    </w:p>
    <w:p>
      <w:pPr>
        <w:spacing w:line="240" w:lineRule="auto" w:before="7"/>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4121"/>
        <w:gridCol w:w="2369"/>
        <w:gridCol w:w="2369"/>
      </w:tblGrid>
      <w:tr>
        <w:trPr>
          <w:trHeight w:val="406"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389"/>
              <w:jc w:val="right"/>
              <w:rPr>
                <w:rFonts w:ascii="Times New Roman" w:hAnsi="Times New Roman" w:cs="Times New Roman" w:eastAsia="Times New Roman" w:hint="default"/>
                <w:sz w:val="18"/>
                <w:szCs w:val="18"/>
              </w:rPr>
            </w:pPr>
            <w:r>
              <w:rPr>
                <w:rFonts w:ascii="Times New Roman"/>
                <w:spacing w:val="-1"/>
                <w:sz w:val="18"/>
              </w:rPr>
              <w:t>250,287,117.56</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4"/>
              <w:ind w:right="396"/>
              <w:jc w:val="right"/>
              <w:rPr>
                <w:rFonts w:ascii="Times New Roman" w:hAnsi="Times New Roman" w:cs="Times New Roman" w:eastAsia="Times New Roman" w:hint="default"/>
                <w:sz w:val="18"/>
                <w:szCs w:val="18"/>
              </w:rPr>
            </w:pPr>
            <w:r>
              <w:rPr>
                <w:rFonts w:ascii="Times New Roman"/>
                <w:spacing w:val="-1"/>
                <w:sz w:val="18"/>
              </w:rPr>
              <w:t>166,358,343.74</w:t>
            </w:r>
          </w:p>
        </w:tc>
      </w:tr>
      <w:tr>
        <w:trPr>
          <w:trHeight w:val="39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right="2189"/>
              <w:jc w:val="righ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389"/>
              <w:jc w:val="right"/>
              <w:rPr>
                <w:rFonts w:ascii="Times New Roman" w:hAnsi="Times New Roman" w:cs="Times New Roman" w:eastAsia="Times New Roman" w:hint="default"/>
                <w:sz w:val="18"/>
                <w:szCs w:val="18"/>
              </w:rPr>
            </w:pPr>
            <w:r>
              <w:rPr>
                <w:rFonts w:ascii="Times New Roman"/>
                <w:spacing w:val="-1"/>
                <w:sz w:val="18"/>
              </w:rPr>
              <w:t>244,292,072.34</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396"/>
              <w:jc w:val="right"/>
              <w:rPr>
                <w:rFonts w:ascii="Times New Roman" w:hAnsi="Times New Roman" w:cs="Times New Roman" w:eastAsia="Times New Roman" w:hint="default"/>
                <w:sz w:val="18"/>
                <w:szCs w:val="18"/>
              </w:rPr>
            </w:pPr>
            <w:r>
              <w:rPr>
                <w:rFonts w:ascii="Times New Roman"/>
                <w:spacing w:val="-1"/>
                <w:sz w:val="18"/>
              </w:rPr>
              <w:t>161,359,592.96</w:t>
            </w:r>
          </w:p>
        </w:tc>
      </w:tr>
      <w:tr>
        <w:trPr>
          <w:trHeight w:val="398"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right="2189"/>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89"/>
              <w:jc w:val="right"/>
              <w:rPr>
                <w:rFonts w:ascii="Times New Roman" w:hAnsi="Times New Roman" w:cs="Times New Roman" w:eastAsia="Times New Roman" w:hint="default"/>
                <w:sz w:val="18"/>
                <w:szCs w:val="18"/>
              </w:rPr>
            </w:pPr>
            <w:r>
              <w:rPr>
                <w:rFonts w:ascii="Times New Roman"/>
                <w:spacing w:val="-1"/>
                <w:sz w:val="18"/>
              </w:rPr>
              <w:t>5,995,045.22</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96"/>
              <w:jc w:val="right"/>
              <w:rPr>
                <w:rFonts w:ascii="Times New Roman" w:hAnsi="Times New Roman" w:cs="Times New Roman" w:eastAsia="Times New Roman" w:hint="default"/>
                <w:sz w:val="18"/>
                <w:szCs w:val="18"/>
              </w:rPr>
            </w:pPr>
            <w:r>
              <w:rPr>
                <w:rFonts w:ascii="Times New Roman"/>
                <w:spacing w:val="-1"/>
                <w:sz w:val="18"/>
              </w:rPr>
              <w:t>4,998,750.78</w:t>
            </w:r>
          </w:p>
        </w:tc>
      </w:tr>
      <w:tr>
        <w:trPr>
          <w:trHeight w:val="39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388"/>
              <w:jc w:val="right"/>
              <w:rPr>
                <w:rFonts w:ascii="Times New Roman" w:hAnsi="Times New Roman" w:cs="Times New Roman" w:eastAsia="Times New Roman" w:hint="default"/>
                <w:sz w:val="18"/>
                <w:szCs w:val="18"/>
              </w:rPr>
            </w:pPr>
            <w:r>
              <w:rPr>
                <w:rFonts w:ascii="Times New Roman"/>
                <w:spacing w:val="-1"/>
                <w:sz w:val="18"/>
              </w:rPr>
              <w:t>163,359,991.32</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396"/>
              <w:jc w:val="right"/>
              <w:rPr>
                <w:rFonts w:ascii="Times New Roman" w:hAnsi="Times New Roman" w:cs="Times New Roman" w:eastAsia="Times New Roman" w:hint="default"/>
                <w:sz w:val="18"/>
                <w:szCs w:val="18"/>
              </w:rPr>
            </w:pPr>
            <w:r>
              <w:rPr>
                <w:rFonts w:ascii="Times New Roman"/>
                <w:spacing w:val="-1"/>
                <w:sz w:val="18"/>
              </w:rPr>
              <w:t>108,760,440.85</w:t>
            </w:r>
          </w:p>
        </w:tc>
      </w:tr>
      <w:tr>
        <w:trPr>
          <w:trHeight w:val="39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right="2189"/>
              <w:jc w:val="righ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89"/>
              <w:jc w:val="right"/>
              <w:rPr>
                <w:rFonts w:ascii="Times New Roman" w:hAnsi="Times New Roman" w:cs="Times New Roman" w:eastAsia="Times New Roman" w:hint="default"/>
                <w:sz w:val="18"/>
                <w:szCs w:val="18"/>
              </w:rPr>
            </w:pPr>
            <w:r>
              <w:rPr>
                <w:rFonts w:ascii="Times New Roman"/>
                <w:spacing w:val="-1"/>
                <w:sz w:val="18"/>
              </w:rPr>
              <w:t>160,391,107.48</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396"/>
              <w:jc w:val="right"/>
              <w:rPr>
                <w:rFonts w:ascii="Times New Roman" w:hAnsi="Times New Roman" w:cs="Times New Roman" w:eastAsia="Times New Roman" w:hint="default"/>
                <w:sz w:val="18"/>
                <w:szCs w:val="18"/>
              </w:rPr>
            </w:pPr>
            <w:r>
              <w:rPr>
                <w:rFonts w:ascii="Times New Roman"/>
                <w:spacing w:val="-1"/>
                <w:sz w:val="18"/>
              </w:rPr>
              <w:t>106,817,893.98</w:t>
            </w:r>
          </w:p>
        </w:tc>
      </w:tr>
      <w:tr>
        <w:trPr>
          <w:trHeight w:val="406"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right="2189"/>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389"/>
              <w:jc w:val="right"/>
              <w:rPr>
                <w:rFonts w:ascii="Times New Roman" w:hAnsi="Times New Roman" w:cs="Times New Roman" w:eastAsia="Times New Roman" w:hint="default"/>
                <w:sz w:val="18"/>
                <w:szCs w:val="18"/>
              </w:rPr>
            </w:pPr>
            <w:r>
              <w:rPr>
                <w:rFonts w:ascii="Times New Roman"/>
                <w:spacing w:val="-1"/>
                <w:sz w:val="18"/>
              </w:rPr>
              <w:t>2,968,883.84</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396"/>
              <w:jc w:val="right"/>
              <w:rPr>
                <w:rFonts w:ascii="Times New Roman" w:hAnsi="Times New Roman" w:cs="Times New Roman" w:eastAsia="Times New Roman" w:hint="default"/>
                <w:sz w:val="18"/>
                <w:szCs w:val="18"/>
              </w:rPr>
            </w:pPr>
            <w:r>
              <w:rPr>
                <w:rFonts w:ascii="Times New Roman"/>
                <w:spacing w:val="-1"/>
                <w:sz w:val="18"/>
              </w:rPr>
              <w:t>1,942,546.87</w:t>
            </w:r>
          </w:p>
        </w:tc>
      </w:tr>
    </w:tbl>
    <w:p>
      <w:pPr>
        <w:spacing w:line="240" w:lineRule="auto" w:before="7"/>
        <w:rPr>
          <w:rFonts w:ascii="宋体" w:hAnsi="宋体" w:cs="宋体" w:eastAsia="宋体" w:hint="default"/>
          <w:sz w:val="6"/>
          <w:szCs w:val="6"/>
        </w:rPr>
      </w:pPr>
    </w:p>
    <w:p>
      <w:pPr>
        <w:pStyle w:val="BodyText"/>
        <w:spacing w:line="240" w:lineRule="auto" w:before="36"/>
        <w:ind w:left="820" w:right="0"/>
        <w:jc w:val="left"/>
      </w:pPr>
      <w:r>
        <w:rPr/>
        <w:t>（</w:t>
      </w:r>
      <w:r>
        <w:rPr>
          <w:rFonts w:ascii="Times New Roman" w:hAnsi="Times New Roman" w:cs="Times New Roman" w:eastAsia="Times New Roman" w:hint="default"/>
        </w:rPr>
        <w:t>2</w:t>
      </w:r>
      <w:r>
        <w:rPr/>
        <w:t>）业务按产品类别分项列示如下：</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775"/>
        <w:gridCol w:w="1522"/>
        <w:gridCol w:w="1520"/>
        <w:gridCol w:w="1522"/>
        <w:gridCol w:w="1522"/>
      </w:tblGrid>
      <w:tr>
        <w:trPr>
          <w:trHeight w:val="391" w:hRule="exact"/>
        </w:trPr>
        <w:tc>
          <w:tcPr>
            <w:tcW w:w="2775"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04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82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04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47"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96" w:hRule="exact"/>
        </w:trPr>
        <w:tc>
          <w:tcPr>
            <w:tcW w:w="2775" w:type="dxa"/>
            <w:vMerge/>
            <w:tcBorders>
              <w:left w:val="nil" w:sz="6" w:space="0" w:color="auto"/>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8"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铁路信号集中监测系统</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162,768,771.60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106,550,486.61</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128,383,596.52</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81,409,115.06</w:t>
            </w:r>
          </w:p>
        </w:tc>
      </w:tr>
      <w:tr>
        <w:trPr>
          <w:trHeight w:val="397"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11,632,273.75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5"/>
              <w:jc w:val="right"/>
              <w:rPr>
                <w:rFonts w:ascii="Times New Roman" w:hAnsi="Times New Roman" w:cs="Times New Roman" w:eastAsia="Times New Roman" w:hint="default"/>
                <w:sz w:val="18"/>
                <w:szCs w:val="18"/>
              </w:rPr>
            </w:pPr>
            <w:r>
              <w:rPr>
                <w:rFonts w:ascii="Times New Roman"/>
                <w:spacing w:val="-1"/>
                <w:sz w:val="18"/>
              </w:rPr>
              <w:t>5,307,698.39</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27,616,538.36</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8,050,185.69</w:t>
            </w:r>
          </w:p>
        </w:tc>
      </w:tr>
      <w:tr>
        <w:trPr>
          <w:trHeight w:val="398"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6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151,136,497.85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101,242,788.22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100,767,058.16</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73,358,929.37</w:t>
            </w:r>
          </w:p>
        </w:tc>
      </w:tr>
      <w:tr>
        <w:trPr>
          <w:trHeight w:val="396"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列车调度指挥系统（</w:t>
            </w:r>
            <w:r>
              <w:rPr>
                <w:rFonts w:ascii="Times New Roman" w:hAnsi="Times New Roman" w:cs="Times New Roman" w:eastAsia="Times New Roman" w:hint="default"/>
                <w:sz w:val="18"/>
                <w:szCs w:val="18"/>
              </w:rPr>
              <w:t>TDCS</w:t>
            </w:r>
            <w:r>
              <w:rPr>
                <w:rFonts w:ascii="宋体" w:hAnsi="宋体" w:cs="宋体" w:eastAsia="宋体" w:hint="default"/>
                <w:sz w:val="18"/>
                <w:szCs w:val="18"/>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4,908,894.02</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2,450,551.46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3,838,848.11</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3,085,690.74</w:t>
            </w:r>
          </w:p>
        </w:tc>
      </w:tr>
      <w:tr>
        <w:trPr>
          <w:trHeight w:val="396"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分散自律调度集中系统（</w:t>
            </w:r>
            <w:r>
              <w:rPr>
                <w:rFonts w:ascii="Times New Roman" w:hAnsi="Times New Roman" w:cs="Times New Roman" w:eastAsia="Times New Roman" w:hint="default"/>
                <w:sz w:val="18"/>
                <w:szCs w:val="18"/>
              </w:rPr>
              <w:t>CTC</w:t>
            </w:r>
            <w:r>
              <w:rPr>
                <w:rFonts w:ascii="宋体" w:hAnsi="宋体" w:cs="宋体" w:eastAsia="宋体" w:hint="default"/>
                <w:sz w:val="18"/>
                <w:szCs w:val="18"/>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2,648,252.98</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1,971,162.93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3,423,418.79</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2,605,447.93</w:t>
            </w:r>
          </w:p>
        </w:tc>
      </w:tr>
      <w:tr>
        <w:trPr>
          <w:trHeight w:val="398"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无线车次号校核系统</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660,683.77</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507,283.42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2,554,208.22</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2,175,145.43</w:t>
            </w:r>
          </w:p>
        </w:tc>
      </w:tr>
      <w:tr>
        <w:trPr>
          <w:trHeight w:val="396"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计轴系统</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1,282,051.28</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172,799.68</w:t>
            </w:r>
          </w:p>
        </w:tc>
      </w:tr>
      <w:tr>
        <w:trPr>
          <w:trHeight w:val="398"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铁路综合视频监控系统</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1,367,521.36</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125,088.33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162,239.32</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126,005.35</w:t>
            </w:r>
          </w:p>
        </w:tc>
      </w:tr>
      <w:tr>
        <w:trPr>
          <w:trHeight w:val="396"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电务管理信息系统</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2,659,829.06</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2,157,013.25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3,596,427.35</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3,125,626.73</w:t>
            </w:r>
          </w:p>
        </w:tc>
      </w:tr>
      <w:tr>
        <w:trPr>
          <w:trHeight w:val="396"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无线调车机车信号和监测系统</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28,813,170.93</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15,997,312.72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14,576,923.09</w:t>
            </w:r>
            <w:r>
              <w:rPr>
                <w:rFonts w:ascii="Times New Roman"/>
                <w:sz w:val="18"/>
              </w:rPr>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12,159,400.79</w:t>
            </w:r>
          </w:p>
        </w:tc>
      </w:tr>
      <w:tr>
        <w:trPr>
          <w:trHeight w:val="399"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电源维护测试产品</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2,381,418.79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957,343.03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3,349,572.59</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1,827,302.70</w:t>
            </w:r>
          </w:p>
        </w:tc>
      </w:tr>
      <w:tr>
        <w:trPr>
          <w:trHeight w:val="396"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调度监督系统</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726,495.73</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619,872.25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153,846.15</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127,901.25</w:t>
            </w:r>
          </w:p>
        </w:tc>
      </w:tr>
      <w:tr>
        <w:trPr>
          <w:trHeight w:val="398"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铁路防灾安全监控系统</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34,143,106.74</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27,059,165.48</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安全生产指挥系统</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505,641.03</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369,610.37</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铁路信号计算机联锁系统</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728,418.80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44,717.53</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铁路电源及机房环境监控系统</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1,979,867.53</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Times New Roman" w:hAnsi="Times New Roman" w:cs="Times New Roman" w:eastAsia="Times New Roman" w:hint="default"/>
                <w:sz w:val="18"/>
                <w:szCs w:val="18"/>
              </w:rPr>
            </w:pPr>
            <w:r>
              <w:rPr>
                <w:rFonts w:ascii="Times New Roman"/>
                <w:spacing w:val="-1"/>
                <w:sz w:val="18"/>
              </w:rPr>
              <w:t>1,581,500.10</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38,461.54</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w w:val="95"/>
                <w:sz w:val="18"/>
              </w:rPr>
              <w:t>3,458.32</w:t>
            </w:r>
          </w:p>
        </w:tc>
      </w:tr>
      <w:tr>
        <w:trPr>
          <w:trHeight w:val="398"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854" w:right="0"/>
              <w:jc w:val="left"/>
              <w:rPr>
                <w:rFonts w:ascii="宋体" w:hAnsi="宋体" w:cs="宋体" w:eastAsia="宋体" w:hint="default"/>
                <w:sz w:val="18"/>
                <w:szCs w:val="18"/>
              </w:rPr>
            </w:pPr>
            <w:r>
              <w:rPr>
                <w:rFonts w:ascii="宋体" w:hAnsi="宋体" w:cs="宋体" w:eastAsia="宋体" w:hint="default"/>
                <w:sz w:val="18"/>
                <w:szCs w:val="18"/>
              </w:rPr>
              <w:t>主营业务小计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244,292,072.34</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160,391,107.48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161,359,592.96</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106,817,893.98</w:t>
            </w:r>
          </w:p>
        </w:tc>
      </w:tr>
      <w:tr>
        <w:trPr>
          <w:trHeight w:val="396"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原材料销售</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3,915,663.18</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2,518,518.39</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3,158,592.69</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1,589,621.16</w:t>
            </w:r>
          </w:p>
        </w:tc>
      </w:tr>
      <w:tr>
        <w:trPr>
          <w:trHeight w:val="398"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维修服务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1,679,382.04</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428,365.45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1,753,158.09</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348,140.71</w:t>
            </w:r>
          </w:p>
        </w:tc>
      </w:tr>
      <w:tr>
        <w:trPr>
          <w:trHeight w:val="397"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7"/>
              <w:jc w:val="right"/>
              <w:rPr>
                <w:rFonts w:ascii="Times New Roman" w:hAnsi="Times New Roman" w:cs="Times New Roman" w:eastAsia="Times New Roman" w:hint="default"/>
                <w:sz w:val="18"/>
                <w:szCs w:val="18"/>
              </w:rPr>
            </w:pPr>
            <w:r>
              <w:rPr>
                <w:rFonts w:ascii="Times New Roman"/>
                <w:w w:val="95"/>
                <w:sz w:val="18"/>
              </w:rPr>
              <w:t>400,000.00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6"/>
              <w:jc w:val="right"/>
              <w:rPr>
                <w:rFonts w:ascii="Times New Roman" w:hAnsi="Times New Roman" w:cs="Times New Roman" w:eastAsia="Times New Roman" w:hint="default"/>
                <w:sz w:val="18"/>
                <w:szCs w:val="18"/>
              </w:rPr>
            </w:pPr>
            <w:r>
              <w:rPr>
                <w:rFonts w:ascii="Times New Roman"/>
                <w:spacing w:val="-1"/>
                <w:sz w:val="18"/>
              </w:rPr>
              <w:t>22,000.00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87,000.00</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w w:val="95"/>
                <w:sz w:val="18"/>
              </w:rPr>
              <w:t>4,785.00</w:t>
            </w:r>
          </w:p>
        </w:tc>
      </w:tr>
      <w:tr>
        <w:trPr>
          <w:trHeight w:val="396"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854" w:right="0"/>
              <w:jc w:val="left"/>
              <w:rPr>
                <w:rFonts w:ascii="宋体" w:hAnsi="宋体" w:cs="宋体" w:eastAsia="宋体" w:hint="default"/>
                <w:sz w:val="18"/>
                <w:szCs w:val="18"/>
              </w:rPr>
            </w:pPr>
            <w:r>
              <w:rPr>
                <w:rFonts w:ascii="宋体" w:hAnsi="宋体" w:cs="宋体" w:eastAsia="宋体" w:hint="default"/>
                <w:sz w:val="18"/>
                <w:szCs w:val="18"/>
              </w:rPr>
              <w:t>其他业务小计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5,995,045.22</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2,968,883.84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4,998,750.78</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1,942,546.87</w:t>
            </w:r>
          </w:p>
        </w:tc>
      </w:tr>
      <w:tr>
        <w:trPr>
          <w:trHeight w:val="406" w:hRule="exact"/>
        </w:trPr>
        <w:tc>
          <w:tcPr>
            <w:tcW w:w="2775" w:type="dxa"/>
            <w:tcBorders>
              <w:top w:val="single" w:sz="6" w:space="0" w:color="000000"/>
              <w:left w:val="nil" w:sz="6" w:space="0" w:color="auto"/>
              <w:bottom w:val="single" w:sz="12" w:space="0" w:color="000000"/>
              <w:right w:val="single" w:sz="6" w:space="0" w:color="000000"/>
            </w:tcBorders>
          </w:tcPr>
          <w:p>
            <w:pPr>
              <w:pStyle w:val="TableParagraph"/>
              <w:tabs>
                <w:tab w:pos="565" w:val="left" w:leader="none"/>
              </w:tabs>
              <w:spacing w:line="240" w:lineRule="auto" w:before="46"/>
              <w:ind w:left="2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250,287,117.56</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6"/>
              <w:jc w:val="right"/>
              <w:rPr>
                <w:rFonts w:ascii="Times New Roman" w:hAnsi="Times New Roman" w:cs="Times New Roman" w:eastAsia="Times New Roman" w:hint="default"/>
                <w:sz w:val="18"/>
                <w:szCs w:val="18"/>
              </w:rPr>
            </w:pPr>
            <w:r>
              <w:rPr>
                <w:rFonts w:ascii="Times New Roman"/>
                <w:spacing w:val="-1"/>
                <w:sz w:val="18"/>
              </w:rPr>
              <w:t>163,359,991.32</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166,358,343.74</w:t>
            </w:r>
          </w:p>
        </w:tc>
        <w:tc>
          <w:tcPr>
            <w:tcW w:w="15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108,760,440.85</w:t>
            </w:r>
          </w:p>
        </w:tc>
      </w:tr>
    </w:tbl>
    <w:p>
      <w:pPr>
        <w:spacing w:line="240" w:lineRule="auto" w:before="7"/>
        <w:rPr>
          <w:rFonts w:ascii="宋体" w:hAnsi="宋体" w:cs="宋体" w:eastAsia="宋体" w:hint="default"/>
          <w:sz w:val="6"/>
          <w:szCs w:val="6"/>
        </w:rPr>
      </w:pPr>
    </w:p>
    <w:p>
      <w:pPr>
        <w:pStyle w:val="BodyText"/>
        <w:spacing w:line="240" w:lineRule="auto" w:before="36"/>
        <w:ind w:left="820" w:right="0"/>
        <w:jc w:val="left"/>
      </w:pPr>
      <w:r>
        <w:rPr/>
        <w:t>（</w:t>
      </w:r>
      <w:r>
        <w:rPr>
          <w:rFonts w:ascii="Times New Roman" w:hAnsi="Times New Roman" w:cs="Times New Roman" w:eastAsia="Times New Roman" w:hint="default"/>
        </w:rPr>
        <w:t>3</w:t>
      </w:r>
      <w:r>
        <w:rPr/>
        <w:t>）主营业务按硬件、软件类别列示如下：</w:t>
      </w:r>
    </w:p>
    <w:p>
      <w:pPr>
        <w:spacing w:line="240" w:lineRule="auto" w:before="10"/>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2239"/>
        <w:gridCol w:w="3073"/>
        <w:gridCol w:w="3533"/>
      </w:tblGrid>
      <w:tr>
        <w:trPr>
          <w:trHeight w:val="398" w:hRule="exact"/>
        </w:trPr>
        <w:tc>
          <w:tcPr>
            <w:tcW w:w="2239"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0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left="82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5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7"/>
              <w:ind w:left="1091"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bl>
    <w:p>
      <w:pPr>
        <w:spacing w:after="0" w:line="240" w:lineRule="auto"/>
        <w:jc w:val="left"/>
        <w:rPr>
          <w:rFonts w:ascii="宋体" w:hAnsi="宋体" w:cs="宋体" w:eastAsia="宋体" w:hint="default"/>
          <w:sz w:val="18"/>
          <w:szCs w:val="18"/>
        </w:rPr>
        <w:sectPr>
          <w:pgSz w:w="11910" w:h="16840"/>
          <w:pgMar w:header="852" w:footer="1186" w:top="1200" w:bottom="1380" w:left="1400" w:right="1400"/>
        </w:sectPr>
      </w:pPr>
    </w:p>
    <w:p>
      <w:pPr>
        <w:spacing w:line="240" w:lineRule="auto" w:before="7"/>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2254"/>
        <w:gridCol w:w="1498"/>
        <w:gridCol w:w="1575"/>
        <w:gridCol w:w="1769"/>
        <w:gridCol w:w="1764"/>
      </w:tblGrid>
      <w:tr>
        <w:trPr>
          <w:trHeight w:val="406" w:hRule="exact"/>
        </w:trPr>
        <w:tc>
          <w:tcPr>
            <w:tcW w:w="2254" w:type="dxa"/>
            <w:tcBorders>
              <w:top w:val="single" w:sz="12" w:space="0" w:color="000000"/>
              <w:left w:val="nil" w:sz="6" w:space="0" w:color="auto"/>
              <w:bottom w:val="single" w:sz="6" w:space="0" w:color="000000"/>
              <w:right w:val="single" w:sz="6" w:space="0" w:color="000000"/>
            </w:tcBorders>
          </w:tcPr>
          <w:p>
            <w:pPr/>
          </w:p>
        </w:tc>
        <w:tc>
          <w:tcPr>
            <w:tcW w:w="14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4"/>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194,526,663.70</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pacing w:val="-1"/>
                <w:sz w:val="18"/>
              </w:rPr>
              <w:t>155,616,120.88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123,108,006.00</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102,032,928.39</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49,765,408.64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4,774,986.60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38,251,586.96</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4,784,965.59</w:t>
            </w:r>
          </w:p>
        </w:tc>
      </w:tr>
      <w:tr>
        <w:trPr>
          <w:trHeight w:val="403"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244,292,072.34</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160,391,107.48</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161,359,592.96</w:t>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106,817,893.98</w:t>
            </w:r>
          </w:p>
        </w:tc>
      </w:tr>
    </w:tbl>
    <w:p>
      <w:pPr>
        <w:spacing w:line="240" w:lineRule="auto" w:before="7"/>
        <w:rPr>
          <w:rFonts w:ascii="宋体" w:hAnsi="宋体" w:cs="宋体" w:eastAsia="宋体" w:hint="default"/>
          <w:sz w:val="6"/>
          <w:szCs w:val="6"/>
        </w:rPr>
      </w:pPr>
    </w:p>
    <w:p>
      <w:pPr>
        <w:pStyle w:val="BodyText"/>
        <w:spacing w:line="240" w:lineRule="auto" w:before="36"/>
        <w:ind w:left="820" w:right="0"/>
        <w:jc w:val="left"/>
      </w:pPr>
      <w:r>
        <w:rPr/>
        <w:t>（</w:t>
      </w:r>
      <w:r>
        <w:rPr>
          <w:rFonts w:ascii="Times New Roman" w:hAnsi="Times New Roman" w:cs="Times New Roman" w:eastAsia="Times New Roman" w:hint="default"/>
        </w:rPr>
        <w:t>4</w:t>
      </w:r>
      <w:r>
        <w:rPr/>
        <w:t>）主营业务按地区分项列示如下：</w:t>
      </w:r>
    </w:p>
    <w:p>
      <w:pPr>
        <w:spacing w:line="240" w:lineRule="auto" w:before="1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254"/>
        <w:gridCol w:w="1498"/>
        <w:gridCol w:w="1575"/>
        <w:gridCol w:w="1769"/>
        <w:gridCol w:w="1764"/>
      </w:tblGrid>
      <w:tr>
        <w:trPr>
          <w:trHeight w:val="389"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0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82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1091"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96"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1" w:right="0"/>
              <w:jc w:val="center"/>
              <w:rPr>
                <w:rFonts w:ascii="宋体" w:hAnsi="宋体" w:cs="宋体" w:eastAsia="宋体" w:hint="default"/>
                <w:sz w:val="18"/>
                <w:szCs w:val="18"/>
              </w:rPr>
            </w:pPr>
            <w:r>
              <w:rPr>
                <w:rFonts w:ascii="宋体" w:hAnsi="宋体" w:cs="宋体" w:eastAsia="宋体" w:hint="default"/>
                <w:sz w:val="18"/>
                <w:szCs w:val="18"/>
              </w:rPr>
              <w:t>华东区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63,807,407.85</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49,497,914.08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62,236,031.91</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45,536,151.13</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中南区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87,077,819.75</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53,813,647.82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45,248,785.45</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29,698,862.53</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1" w:right="0"/>
              <w:jc w:val="center"/>
              <w:rPr>
                <w:rFonts w:ascii="宋体" w:hAnsi="宋体" w:cs="宋体" w:eastAsia="宋体" w:hint="default"/>
                <w:sz w:val="18"/>
                <w:szCs w:val="18"/>
              </w:rPr>
            </w:pPr>
            <w:r>
              <w:rPr>
                <w:rFonts w:ascii="宋体" w:hAnsi="宋体" w:cs="宋体" w:eastAsia="宋体" w:hint="default"/>
                <w:sz w:val="18"/>
                <w:szCs w:val="18"/>
              </w:rPr>
              <w:t>西北区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27,391,349.57</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22,419,465.98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27,199,416.24</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15,758,424.02</w:t>
            </w:r>
          </w:p>
        </w:tc>
      </w:tr>
      <w:tr>
        <w:trPr>
          <w:trHeight w:val="397"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华北区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51,911,195.92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pacing w:val="-1"/>
                <w:sz w:val="18"/>
              </w:rPr>
              <w:t>29,946,190.11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8,107,695.37</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3,563,965.67</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西南区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1,947,521.37</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1,605,430.05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2,661,196.59</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2,251,088.19</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东北区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6,895,988.04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1,610,341.74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9,748,632.49</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7,036,623.50</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5,260,789.84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1,498,117.70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6,157,834.91</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2,972,778.94</w:t>
            </w:r>
          </w:p>
        </w:tc>
      </w:tr>
      <w:tr>
        <w:trPr>
          <w:trHeight w:val="406"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244,292,072.34</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160,391,107.48</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161,359,592.96</w:t>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106,817,893.98</w:t>
            </w:r>
          </w:p>
        </w:tc>
      </w:tr>
    </w:tbl>
    <w:p>
      <w:pPr>
        <w:spacing w:line="240" w:lineRule="auto" w:before="7"/>
        <w:rPr>
          <w:rFonts w:ascii="宋体" w:hAnsi="宋体" w:cs="宋体" w:eastAsia="宋体" w:hint="default"/>
          <w:sz w:val="6"/>
          <w:szCs w:val="6"/>
        </w:rPr>
      </w:pPr>
    </w:p>
    <w:p>
      <w:pPr>
        <w:pStyle w:val="BodyText"/>
        <w:spacing w:line="240" w:lineRule="auto" w:before="36"/>
        <w:ind w:left="820" w:right="0"/>
        <w:jc w:val="left"/>
      </w:pPr>
      <w:r>
        <w:rPr/>
        <w:t>（</w:t>
      </w:r>
      <w:r>
        <w:rPr>
          <w:rFonts w:ascii="Times New Roman" w:hAnsi="Times New Roman" w:cs="Times New Roman" w:eastAsia="Times New Roman" w:hint="default"/>
        </w:rPr>
        <w:t>5</w:t>
      </w:r>
      <w:r>
        <w:rPr/>
        <w:t>）主营业务按客户类别分类：</w:t>
      </w:r>
    </w:p>
    <w:p>
      <w:pPr>
        <w:spacing w:line="240" w:lineRule="auto" w:before="1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254"/>
        <w:gridCol w:w="1498"/>
        <w:gridCol w:w="1575"/>
        <w:gridCol w:w="1769"/>
        <w:gridCol w:w="1764"/>
      </w:tblGrid>
      <w:tr>
        <w:trPr>
          <w:trHeight w:val="389"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0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82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5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1091"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96"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国家铁路</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209,927,551.48</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139,390,820.65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128,040,610.81</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88,365,524.33</w:t>
            </w:r>
          </w:p>
        </w:tc>
      </w:tr>
      <w:tr>
        <w:trPr>
          <w:trHeight w:val="396"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厂矿企业及地方铁路</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29,103,731.02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pacing w:val="-1"/>
                <w:sz w:val="18"/>
              </w:rPr>
              <w:t>19,502,169.13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27,161,147.24</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pacing w:val="-1"/>
                <w:sz w:val="18"/>
              </w:rPr>
              <w:t>15,479,590.71</w:t>
            </w:r>
          </w:p>
        </w:tc>
      </w:tr>
      <w:tr>
        <w:trPr>
          <w:trHeight w:val="398"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非铁路用产品</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5,260,789.84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1,498,117.70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6,157,834.91</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2,972,778.94</w:t>
            </w:r>
          </w:p>
        </w:tc>
      </w:tr>
      <w:tr>
        <w:trPr>
          <w:trHeight w:val="406"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244,292,072.34</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160,391,107.48</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161,359,592.96</w:t>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106,817,893.98</w:t>
            </w:r>
          </w:p>
        </w:tc>
      </w:tr>
    </w:tbl>
    <w:p>
      <w:pPr>
        <w:spacing w:line="240" w:lineRule="auto" w:before="7"/>
        <w:rPr>
          <w:rFonts w:ascii="宋体" w:hAnsi="宋体" w:cs="宋体" w:eastAsia="宋体" w:hint="default"/>
          <w:sz w:val="6"/>
          <w:szCs w:val="6"/>
        </w:rPr>
      </w:pPr>
    </w:p>
    <w:p>
      <w:pPr>
        <w:pStyle w:val="BodyText"/>
        <w:spacing w:line="240" w:lineRule="auto" w:before="36"/>
        <w:ind w:left="820" w:right="0"/>
        <w:jc w:val="left"/>
      </w:pPr>
      <w:r>
        <w:rPr/>
        <w:t>（</w:t>
      </w:r>
      <w:r>
        <w:rPr>
          <w:rFonts w:ascii="Times New Roman" w:hAnsi="Times New Roman" w:cs="Times New Roman" w:eastAsia="Times New Roman" w:hint="default"/>
        </w:rPr>
        <w:t>6</w:t>
      </w:r>
      <w:r>
        <w:rPr/>
        <w:t>）公司前五名客户营业收入情况：</w:t>
      </w: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969"/>
        <w:gridCol w:w="2945"/>
        <w:gridCol w:w="2945"/>
      </w:tblGrid>
      <w:tr>
        <w:trPr>
          <w:trHeight w:val="389"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1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128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right="9"/>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98"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0"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947" w:right="0"/>
              <w:jc w:val="left"/>
              <w:rPr>
                <w:rFonts w:ascii="Times New Roman" w:hAnsi="Times New Roman" w:cs="Times New Roman" w:eastAsia="Times New Roman" w:hint="default"/>
                <w:sz w:val="18"/>
                <w:szCs w:val="18"/>
              </w:rPr>
            </w:pPr>
            <w:r>
              <w:rPr>
                <w:rFonts w:ascii="Times New Roman"/>
                <w:sz w:val="18"/>
              </w:rPr>
              <w:t>55,980,940.07</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2"/>
              <w:jc w:val="center"/>
              <w:rPr>
                <w:rFonts w:ascii="Times New Roman" w:hAnsi="Times New Roman" w:cs="Times New Roman" w:eastAsia="Times New Roman" w:hint="default"/>
                <w:sz w:val="18"/>
                <w:szCs w:val="18"/>
              </w:rPr>
            </w:pPr>
            <w:r>
              <w:rPr>
                <w:rFonts w:ascii="Times New Roman"/>
                <w:sz w:val="18"/>
              </w:rPr>
              <w:t>22.37%</w:t>
            </w:r>
          </w:p>
        </w:tc>
      </w:tr>
      <w:tr>
        <w:trPr>
          <w:trHeight w:val="39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0"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947" w:right="0"/>
              <w:jc w:val="left"/>
              <w:rPr>
                <w:rFonts w:ascii="Times New Roman" w:hAnsi="Times New Roman" w:cs="Times New Roman" w:eastAsia="Times New Roman" w:hint="default"/>
                <w:sz w:val="18"/>
                <w:szCs w:val="18"/>
              </w:rPr>
            </w:pPr>
            <w:r>
              <w:rPr>
                <w:rFonts w:ascii="Times New Roman"/>
                <w:sz w:val="18"/>
              </w:rPr>
              <w:t>46,291,289.94</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2"/>
              <w:jc w:val="center"/>
              <w:rPr>
                <w:rFonts w:ascii="Times New Roman" w:hAnsi="Times New Roman" w:cs="Times New Roman" w:eastAsia="Times New Roman" w:hint="default"/>
                <w:sz w:val="18"/>
                <w:szCs w:val="18"/>
              </w:rPr>
            </w:pPr>
            <w:r>
              <w:rPr>
                <w:rFonts w:ascii="Times New Roman"/>
                <w:sz w:val="18"/>
              </w:rPr>
              <w:t>18.50%</w:t>
            </w:r>
          </w:p>
        </w:tc>
      </w:tr>
      <w:tr>
        <w:trPr>
          <w:trHeight w:val="39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0"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947" w:right="0"/>
              <w:jc w:val="left"/>
              <w:rPr>
                <w:rFonts w:ascii="Times New Roman" w:hAnsi="Times New Roman" w:cs="Times New Roman" w:eastAsia="Times New Roman" w:hint="default"/>
                <w:sz w:val="18"/>
                <w:szCs w:val="18"/>
              </w:rPr>
            </w:pPr>
            <w:r>
              <w:rPr>
                <w:rFonts w:ascii="Times New Roman"/>
                <w:sz w:val="18"/>
              </w:rPr>
              <w:t>35,062,539.66</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2"/>
              <w:jc w:val="center"/>
              <w:rPr>
                <w:rFonts w:ascii="Times New Roman" w:hAnsi="Times New Roman" w:cs="Times New Roman" w:eastAsia="Times New Roman" w:hint="default"/>
                <w:sz w:val="18"/>
                <w:szCs w:val="18"/>
              </w:rPr>
            </w:pPr>
            <w:r>
              <w:rPr>
                <w:rFonts w:ascii="Times New Roman"/>
                <w:sz w:val="18"/>
              </w:rPr>
              <w:t>14.01%</w:t>
            </w:r>
          </w:p>
        </w:tc>
      </w:tr>
      <w:tr>
        <w:trPr>
          <w:trHeight w:val="398"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20"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947" w:right="0"/>
              <w:jc w:val="left"/>
              <w:rPr>
                <w:rFonts w:ascii="Times New Roman" w:hAnsi="Times New Roman" w:cs="Times New Roman" w:eastAsia="Times New Roman" w:hint="default"/>
                <w:sz w:val="18"/>
                <w:szCs w:val="18"/>
              </w:rPr>
            </w:pPr>
            <w:r>
              <w:rPr>
                <w:rFonts w:ascii="Times New Roman"/>
                <w:sz w:val="18"/>
              </w:rPr>
              <w:t>18,535,367.54</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7"/>
              <w:jc w:val="center"/>
              <w:rPr>
                <w:rFonts w:ascii="Times New Roman" w:hAnsi="Times New Roman" w:cs="Times New Roman" w:eastAsia="Times New Roman" w:hint="default"/>
                <w:sz w:val="18"/>
                <w:szCs w:val="18"/>
              </w:rPr>
            </w:pPr>
            <w:r>
              <w:rPr>
                <w:rFonts w:ascii="Times New Roman"/>
                <w:sz w:val="18"/>
              </w:rPr>
              <w:t>7.41%</w:t>
            </w:r>
          </w:p>
        </w:tc>
      </w:tr>
      <w:tr>
        <w:trPr>
          <w:trHeight w:val="397"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0"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947" w:right="0"/>
              <w:jc w:val="left"/>
              <w:rPr>
                <w:rFonts w:ascii="Times New Roman" w:hAnsi="Times New Roman" w:cs="Times New Roman" w:eastAsia="Times New Roman" w:hint="default"/>
                <w:sz w:val="18"/>
                <w:szCs w:val="18"/>
              </w:rPr>
            </w:pPr>
            <w:r>
              <w:rPr>
                <w:rFonts w:ascii="Times New Roman"/>
                <w:sz w:val="18"/>
              </w:rPr>
              <w:t>18,454,787.37</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7"/>
              <w:jc w:val="center"/>
              <w:rPr>
                <w:rFonts w:ascii="Times New Roman" w:hAnsi="Times New Roman" w:cs="Times New Roman" w:eastAsia="Times New Roman" w:hint="default"/>
                <w:sz w:val="18"/>
                <w:szCs w:val="18"/>
              </w:rPr>
            </w:pPr>
            <w:r>
              <w:rPr>
                <w:rFonts w:ascii="Times New Roman"/>
                <w:sz w:val="18"/>
              </w:rPr>
              <w:t>7.37%</w:t>
            </w:r>
          </w:p>
        </w:tc>
      </w:tr>
      <w:tr>
        <w:trPr>
          <w:trHeight w:val="406"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left="902" w:right="0"/>
              <w:jc w:val="left"/>
              <w:rPr>
                <w:rFonts w:ascii="Times New Roman" w:hAnsi="Times New Roman" w:cs="Times New Roman" w:eastAsia="Times New Roman" w:hint="default"/>
                <w:sz w:val="18"/>
                <w:szCs w:val="18"/>
              </w:rPr>
            </w:pPr>
            <w:r>
              <w:rPr>
                <w:rFonts w:ascii="Times New Roman"/>
                <w:sz w:val="18"/>
              </w:rPr>
              <w:t>174,324,924.58</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2"/>
              <w:jc w:val="center"/>
              <w:rPr>
                <w:rFonts w:ascii="Times New Roman" w:hAnsi="Times New Roman" w:cs="Times New Roman" w:eastAsia="Times New Roman" w:hint="default"/>
                <w:sz w:val="18"/>
                <w:szCs w:val="18"/>
              </w:rPr>
            </w:pPr>
            <w:r>
              <w:rPr>
                <w:rFonts w:ascii="Times New Roman"/>
                <w:sz w:val="18"/>
              </w:rPr>
              <w:t>69.65%</w:t>
            </w:r>
          </w:p>
        </w:tc>
      </w:tr>
    </w:tbl>
    <w:p>
      <w:pPr>
        <w:spacing w:line="240" w:lineRule="auto" w:before="10"/>
        <w:rPr>
          <w:rFonts w:ascii="宋体" w:hAnsi="宋体" w:cs="宋体" w:eastAsia="宋体" w:hint="default"/>
          <w:sz w:val="12"/>
          <w:szCs w:val="12"/>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11"/>
        <w:rPr>
          <w:rFonts w:ascii="宋体" w:hAnsi="宋体" w:cs="宋体" w:eastAsia="宋体" w:hint="default"/>
          <w:b/>
          <w:bCs/>
          <w:sz w:val="17"/>
          <w:szCs w:val="17"/>
        </w:rPr>
      </w:pPr>
    </w:p>
    <w:tbl>
      <w:tblPr>
        <w:tblW w:w="0" w:type="auto"/>
        <w:jc w:val="left"/>
        <w:tblInd w:w="117" w:type="dxa"/>
        <w:tblLayout w:type="fixed"/>
        <w:tblCellMar>
          <w:top w:w="0" w:type="dxa"/>
          <w:left w:w="0" w:type="dxa"/>
          <w:bottom w:w="0" w:type="dxa"/>
          <w:right w:w="0" w:type="dxa"/>
        </w:tblCellMar>
        <w:tblLook w:val="01E0"/>
      </w:tblPr>
      <w:tblGrid>
        <w:gridCol w:w="6176"/>
        <w:gridCol w:w="1342"/>
        <w:gridCol w:w="1342"/>
      </w:tblGrid>
      <w:tr>
        <w:trPr>
          <w:trHeight w:val="398" w:hRule="exact"/>
        </w:trPr>
        <w:tc>
          <w:tcPr>
            <w:tcW w:w="6176"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37"/>
              <w:ind w:left="2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3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上年金额</w:t>
            </w:r>
          </w:p>
        </w:tc>
      </w:tr>
    </w:tbl>
    <w:p>
      <w:pPr>
        <w:spacing w:after="0" w:line="240" w:lineRule="auto"/>
        <w:jc w:val="left"/>
        <w:rPr>
          <w:rFonts w:ascii="宋体" w:hAnsi="宋体" w:cs="宋体" w:eastAsia="宋体" w:hint="default"/>
          <w:sz w:val="18"/>
          <w:szCs w:val="18"/>
        </w:rPr>
        <w:sectPr>
          <w:pgSz w:w="11910" w:h="16840"/>
          <w:pgMar w:header="852" w:footer="1186" w:top="1200" w:bottom="1380" w:left="1400" w:right="1400"/>
        </w:sectPr>
      </w:pPr>
    </w:p>
    <w:p>
      <w:pPr>
        <w:spacing w:line="240" w:lineRule="auto" w:before="7"/>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6176"/>
        <w:gridCol w:w="1342"/>
        <w:gridCol w:w="1342"/>
      </w:tblGrid>
      <w:tr>
        <w:trPr>
          <w:trHeight w:val="389" w:hRule="exact"/>
        </w:trPr>
        <w:tc>
          <w:tcPr>
            <w:tcW w:w="617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7"/>
              <w:ind w:left="2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34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99"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45,221,658.78</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32,216,510.88</w:t>
            </w:r>
          </w:p>
        </w:tc>
      </w:tr>
      <w:tr>
        <w:trPr>
          <w:trHeight w:val="398"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5,365,305.07</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1,050,804.11</w:t>
            </w: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3,145,364.90</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2,453,272.35</w:t>
            </w:r>
          </w:p>
        </w:tc>
      </w:tr>
      <w:tr>
        <w:trPr>
          <w:trHeight w:val="398"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346,104.84</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311,979.84</w:t>
            </w: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-353.62</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-21,459.56</w:t>
            </w:r>
          </w:p>
        </w:tc>
      </w:tr>
      <w:tr>
        <w:trPr>
          <w:trHeight w:val="398"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
        </w:tc>
      </w:tr>
      <w:tr>
        <w:trPr>
          <w:trHeight w:val="399"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395,300.00</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2,337,939.66</w:t>
            </w: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-2,925,260.80</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2,251,849.90</w:t>
            </w:r>
          </w:p>
        </w:tc>
      </w:tr>
      <w:tr>
        <w:trPr>
          <w:trHeight w:val="398"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536,280.21</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-80,274.06</w:t>
            </w: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-10,253,146.74</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1,828,010.83</w:t>
            </w:r>
          </w:p>
        </w:tc>
      </w:tr>
      <w:tr>
        <w:trPr>
          <w:trHeight w:val="398"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-72,450,522.69</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-28,433,272.58</w:t>
            </w: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44,559,151.74</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19,711,978.45</w:t>
            </w:r>
          </w:p>
        </w:tc>
      </w:tr>
      <w:tr>
        <w:trPr>
          <w:trHeight w:val="398"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13,939,881.69</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33,627,339.82</w:t>
            </w: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
        </w:tc>
      </w:tr>
      <w:tr>
        <w:trPr>
          <w:trHeight w:val="399"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355,260,372.06</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438,319,904.52</w:t>
            </w:r>
          </w:p>
        </w:tc>
      </w:tr>
      <w:tr>
        <w:trPr>
          <w:trHeight w:val="398"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9"/>
              <w:jc w:val="right"/>
              <w:rPr>
                <w:rFonts w:ascii="Times New Roman" w:hAnsi="Times New Roman" w:cs="Times New Roman" w:eastAsia="Times New Roman" w:hint="default"/>
                <w:sz w:val="18"/>
                <w:szCs w:val="18"/>
              </w:rPr>
            </w:pPr>
            <w:r>
              <w:rPr>
                <w:rFonts w:ascii="Times New Roman"/>
                <w:spacing w:val="-1"/>
                <w:sz w:val="18"/>
              </w:rPr>
              <w:t>438,319,904.52</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pacing w:val="-1"/>
                <w:sz w:val="18"/>
              </w:rPr>
              <w:t>45,946,689.29</w:t>
            </w:r>
          </w:p>
        </w:tc>
      </w:tr>
      <w:tr>
        <w:trPr>
          <w:trHeight w:val="396"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
        </w:tc>
      </w:tr>
      <w:tr>
        <w:trPr>
          <w:trHeight w:val="398" w:hRule="exact"/>
        </w:trPr>
        <w:tc>
          <w:tcPr>
            <w:tcW w:w="6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
        </w:tc>
      </w:tr>
      <w:tr>
        <w:trPr>
          <w:trHeight w:val="406" w:hRule="exact"/>
        </w:trPr>
        <w:tc>
          <w:tcPr>
            <w:tcW w:w="617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-83,059,532.46</w:t>
            </w:r>
          </w:p>
        </w:tc>
        <w:tc>
          <w:tcPr>
            <w:tcW w:w="13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392,373,215.23</w:t>
            </w:r>
          </w:p>
        </w:tc>
      </w:tr>
    </w:tbl>
    <w:p>
      <w:pPr>
        <w:spacing w:line="240" w:lineRule="auto" w:before="11"/>
        <w:rPr>
          <w:rFonts w:ascii="宋体" w:hAnsi="宋体" w:cs="宋体" w:eastAsia="宋体" w:hint="default"/>
          <w:b/>
          <w:bCs/>
          <w:sz w:val="18"/>
          <w:szCs w:val="18"/>
        </w:rPr>
      </w:pPr>
    </w:p>
    <w:p>
      <w:pPr>
        <w:pStyle w:val="Heading4"/>
        <w:spacing w:line="240" w:lineRule="auto" w:before="26"/>
        <w:ind w:right="0"/>
        <w:jc w:val="left"/>
      </w:pPr>
      <w:r>
        <w:rPr/>
        <w:t>十二、补充资料</w:t>
      </w:r>
    </w:p>
    <w:p>
      <w:pPr>
        <w:spacing w:line="240" w:lineRule="auto" w:before="9"/>
        <w:rPr>
          <w:rFonts w:ascii="黑体" w:hAnsi="黑体" w:cs="黑体" w:eastAsia="黑体" w:hint="default"/>
          <w:sz w:val="35"/>
          <w:szCs w:val="35"/>
        </w:rPr>
      </w:pPr>
    </w:p>
    <w:p>
      <w:pPr>
        <w:tabs>
          <w:tab w:pos="2080" w:val="left" w:leader="none"/>
        </w:tabs>
        <w:spacing w:line="427" w:lineRule="auto" w:before="0"/>
        <w:ind w:left="820" w:right="394" w:firstLine="0"/>
        <w:jc w:val="left"/>
        <w:rPr>
          <w:rFonts w:ascii="宋体" w:hAnsi="宋体" w:cs="宋体" w:eastAsia="宋体" w:hint="default"/>
          <w:sz w:val="21"/>
          <w:szCs w:val="21"/>
        </w:rPr>
      </w:pPr>
      <w:r>
        <w:rPr>
          <w:rFonts w:ascii="宋体" w:hAnsi="宋体" w:cs="宋体" w:eastAsia="宋体" w:hint="default"/>
          <w:b/>
          <w:bCs/>
          <w:sz w:val="21"/>
          <w:szCs w:val="21"/>
        </w:rPr>
        <w:t>（三十一）</w:t>
        <w:tab/>
        <w:t>当期非经常性损益明细表</w:t>
      </w:r>
      <w:r>
        <w:rPr>
          <w:rFonts w:ascii="宋体" w:hAnsi="宋体" w:cs="宋体" w:eastAsia="宋体" w:hint="default"/>
          <w:b/>
          <w:bCs/>
          <w:w w:val="100"/>
          <w:sz w:val="21"/>
          <w:szCs w:val="21"/>
        </w:rPr>
        <w:t> </w:t>
      </w:r>
      <w:r>
        <w:rPr>
          <w:rFonts w:ascii="宋体" w:hAnsi="宋体" w:cs="宋体" w:eastAsia="宋体" w:hint="default"/>
          <w:sz w:val="21"/>
          <w:szCs w:val="21"/>
        </w:rPr>
        <w:t>根据中国证监会《公开发行证券的公司信息披露解释性公告第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非经常性损益</w:t>
      </w:r>
    </w:p>
    <w:p>
      <w:pPr>
        <w:pStyle w:val="BodyText"/>
        <w:spacing w:line="227" w:lineRule="exact"/>
        <w:ind w:left="400" w:right="0"/>
        <w:jc w:val="left"/>
      </w:pPr>
      <w:r>
        <w:rPr>
          <w:spacing w:val="-1"/>
          <w:w w:val="100"/>
        </w:rPr>
        <w:t>（</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3"/>
          <w:w w:val="100"/>
        </w:rPr>
        <w:t>8</w:t>
      </w:r>
      <w:r>
        <w:rPr>
          <w:spacing w:val="-106"/>
          <w:w w:val="100"/>
        </w:rPr>
        <w:t>）》</w:t>
      </w:r>
      <w:r>
        <w:rPr>
          <w:spacing w:val="-3"/>
          <w:w w:val="100"/>
        </w:rPr>
        <w:t>（</w:t>
      </w:r>
      <w:r>
        <w:rPr>
          <w:rFonts w:ascii="Times New Roman" w:hAnsi="Times New Roman" w:cs="Times New Roman" w:eastAsia="Times New Roman" w:hint="default"/>
          <w:spacing w:val="-1"/>
          <w:w w:val="44"/>
        </w:rPr>
        <w:t>―</w:t>
      </w:r>
      <w:r>
        <w:rPr>
          <w:spacing w:val="-3"/>
          <w:w w:val="100"/>
        </w:rPr>
        <w:t>中</w:t>
      </w:r>
      <w:r>
        <w:rPr>
          <w:w w:val="100"/>
        </w:rPr>
        <w:t>国</w:t>
      </w:r>
      <w:r>
        <w:rPr>
          <w:spacing w:val="-3"/>
          <w:w w:val="100"/>
        </w:rPr>
        <w:t>证</w:t>
      </w:r>
      <w:r>
        <w:rPr>
          <w:w w:val="100"/>
        </w:rPr>
        <w:t>券</w:t>
      </w:r>
      <w:r>
        <w:rPr>
          <w:spacing w:val="-3"/>
          <w:w w:val="100"/>
        </w:rPr>
        <w:t>监督</w:t>
      </w:r>
      <w:r>
        <w:rPr>
          <w:w w:val="100"/>
        </w:rPr>
        <w:t>管理</w:t>
      </w:r>
      <w:r>
        <w:rPr>
          <w:spacing w:val="-3"/>
          <w:w w:val="100"/>
        </w:rPr>
        <w:t>委</w:t>
      </w:r>
      <w:r>
        <w:rPr>
          <w:w w:val="100"/>
        </w:rPr>
        <w:t>员</w:t>
      </w:r>
      <w:r>
        <w:rPr>
          <w:spacing w:val="-3"/>
          <w:w w:val="100"/>
        </w:rPr>
        <w:t>会</w:t>
      </w:r>
      <w:r>
        <w:rPr>
          <w:w w:val="100"/>
        </w:rPr>
        <w:t>公告</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2008</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rPr>
        <w:t> </w:t>
      </w:r>
      <w:r>
        <w:rPr>
          <w:w w:val="100"/>
        </w:rPr>
        <w:t>号</w:t>
      </w:r>
      <w:r>
        <w:rPr>
          <w:rFonts w:ascii="Times New Roman" w:hAnsi="Times New Roman" w:cs="Times New Roman" w:eastAsia="Times New Roman" w:hint="default"/>
          <w:spacing w:val="-1"/>
          <w:w w:val="159"/>
        </w:rPr>
        <w:t>‖</w:t>
      </w:r>
      <w:r>
        <w:rPr>
          <w:spacing w:val="-106"/>
          <w:w w:val="100"/>
        </w:rPr>
        <w:t>）</w:t>
      </w:r>
      <w:r>
        <w:rPr>
          <w:spacing w:val="-3"/>
          <w:w w:val="100"/>
        </w:rPr>
        <w:t>，</w:t>
      </w:r>
      <w:r>
        <w:rPr>
          <w:w w:val="100"/>
        </w:rPr>
        <w:t>本</w:t>
      </w:r>
      <w:r>
        <w:rPr>
          <w:spacing w:val="-3"/>
          <w:w w:val="100"/>
        </w:rPr>
        <w:t>公</w:t>
      </w:r>
      <w:r>
        <w:rPr>
          <w:w w:val="100"/>
        </w:rPr>
        <w:t>司</w:t>
      </w:r>
      <w:r>
        <w:rPr>
          <w:spacing w:val="-3"/>
          <w:w w:val="100"/>
        </w:rPr>
        <w:t>非</w:t>
      </w:r>
      <w:r>
        <w:rPr>
          <w:w w:val="100"/>
        </w:rPr>
        <w:t>经</w:t>
      </w:r>
      <w:r>
        <w:rPr>
          <w:spacing w:val="-3"/>
          <w:w w:val="100"/>
        </w:rPr>
        <w:t>常</w:t>
      </w:r>
      <w:r>
        <w:rPr>
          <w:w w:val="100"/>
        </w:rPr>
        <w:t>性</w:t>
      </w:r>
      <w:r>
        <w:rPr>
          <w:spacing w:val="-3"/>
          <w:w w:val="100"/>
        </w:rPr>
        <w:t>损</w:t>
      </w:r>
      <w:r>
        <w:rPr>
          <w:w w:val="100"/>
        </w:rPr>
        <w:t>益如</w:t>
      </w:r>
      <w:r>
        <w:rPr>
          <w:spacing w:val="-3"/>
          <w:w w:val="100"/>
        </w:rPr>
        <w:t>下</w:t>
      </w:r>
      <w:r>
        <w:rPr>
          <w:w w:val="100"/>
        </w:rPr>
        <w:t>：</w:t>
      </w:r>
    </w:p>
    <w:p>
      <w:pPr>
        <w:spacing w:after="0" w:line="227" w:lineRule="exact"/>
        <w:jc w:val="left"/>
        <w:sectPr>
          <w:pgSz w:w="11910" w:h="16840"/>
          <w:pgMar w:header="852" w:footer="1186" w:top="1200" w:bottom="1380" w:left="1400" w:right="1400"/>
        </w:sectPr>
      </w:pPr>
    </w:p>
    <w:p>
      <w:pPr>
        <w:spacing w:line="240" w:lineRule="auto" w:before="7"/>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4981"/>
        <w:gridCol w:w="2023"/>
        <w:gridCol w:w="1856"/>
      </w:tblGrid>
      <w:tr>
        <w:trPr>
          <w:trHeight w:val="420" w:hRule="exact"/>
        </w:trPr>
        <w:tc>
          <w:tcPr>
            <w:tcW w:w="49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8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83"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非流动性资产处置损益，包括已计提资产减值准备的冲销部</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5"/>
              <w:jc w:val="right"/>
              <w:rPr>
                <w:rFonts w:ascii="Times New Roman" w:hAnsi="Times New Roman" w:cs="Times New Roman" w:eastAsia="Times New Roman" w:hint="default"/>
                <w:sz w:val="18"/>
                <w:szCs w:val="18"/>
              </w:rPr>
            </w:pPr>
            <w:r>
              <w:rPr>
                <w:rFonts w:ascii="Times New Roman"/>
                <w:spacing w:val="-1"/>
                <w:sz w:val="18"/>
              </w:rPr>
              <w:t>353.62</w:t>
            </w:r>
          </w:p>
        </w:tc>
        <w:tc>
          <w:tcPr>
            <w:tcW w:w="18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7"/>
              <w:jc w:val="right"/>
              <w:rPr>
                <w:rFonts w:ascii="Times New Roman" w:hAnsi="Times New Roman" w:cs="Times New Roman" w:eastAsia="Times New Roman" w:hint="default"/>
                <w:sz w:val="18"/>
                <w:szCs w:val="18"/>
              </w:rPr>
            </w:pPr>
            <w:r>
              <w:rPr>
                <w:rFonts w:ascii="Times New Roman"/>
                <w:spacing w:val="-1"/>
                <w:sz w:val="18"/>
              </w:rPr>
              <w:t>21,459.56</w:t>
            </w:r>
          </w:p>
        </w:tc>
      </w:tr>
      <w:tr>
        <w:trPr>
          <w:trHeight w:val="410"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715"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w:t>
            </w:r>
          </w:p>
          <w:p>
            <w:pPr>
              <w:pStyle w:val="TableParagraph"/>
              <w:spacing w:line="232" w:lineRule="exact" w:before="23"/>
              <w:ind w:left="122" w:right="100"/>
              <w:jc w:val="left"/>
              <w:rPr>
                <w:rFonts w:ascii="宋体" w:hAnsi="宋体" w:cs="宋体" w:eastAsia="宋体" w:hint="default"/>
                <w:sz w:val="18"/>
                <w:szCs w:val="18"/>
              </w:rPr>
            </w:pPr>
            <w:r>
              <w:rPr>
                <w:rFonts w:ascii="宋体" w:hAnsi="宋体" w:cs="宋体" w:eastAsia="宋体" w:hint="default"/>
                <w:spacing w:val="2"/>
                <w:sz w:val="18"/>
                <w:szCs w:val="18"/>
              </w:rPr>
              <w:t>符合国家政策规定、按照一定标准定额或定量持续享受的政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府补助除外）</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4,670,000.00</w:t>
            </w:r>
          </w:p>
        </w:tc>
        <w:tc>
          <w:tcPr>
            <w:tcW w:w="18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10,994,800.00</w:t>
            </w:r>
          </w:p>
        </w:tc>
      </w:tr>
      <w:tr>
        <w:trPr>
          <w:trHeight w:val="413"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投资时应享有被投资单位可辨认净资产公允价值产生的收益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83"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因不可抗力因素，如遭受自然灾害而计提的各项资产减值准</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同一控制下企业合并产生的子公司期初至合并日的当期净损</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w:t>
            </w:r>
            <w:r>
              <w:rPr>
                <w:rFonts w:ascii="宋体" w:hAnsi="宋体" w:cs="宋体" w:eastAsia="宋体" w:hint="default"/>
                <w:sz w:val="18"/>
                <w:szCs w:val="18"/>
              </w:rPr>
            </w:r>
          </w:p>
          <w:p>
            <w:pPr>
              <w:pStyle w:val="TableParagraph"/>
              <w:spacing w:line="232" w:lineRule="exact" w:before="23"/>
              <w:ind w:left="122" w:right="100"/>
              <w:jc w:val="both"/>
              <w:rPr>
                <w:rFonts w:ascii="宋体" w:hAnsi="宋体" w:cs="宋体" w:eastAsia="宋体" w:hint="default"/>
                <w:sz w:val="18"/>
                <w:szCs w:val="18"/>
              </w:rPr>
            </w:pPr>
            <w:r>
              <w:rPr>
                <w:rFonts w:ascii="宋体" w:hAnsi="宋体" w:cs="宋体" w:eastAsia="宋体" w:hint="default"/>
                <w:spacing w:val="2"/>
                <w:sz w:val="18"/>
                <w:szCs w:val="18"/>
              </w:rPr>
              <w:t>易性金融资产、交易性金融负债产生的公允价值变动损益，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以及处置交易性金融资产、交易性金融负债和可供出售金融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资产取得的投资收益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动产生的损益</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调整对当期损益的影响</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-1,061,570.32</w:t>
            </w:r>
          </w:p>
        </w:tc>
        <w:tc>
          <w:tcPr>
            <w:tcW w:w="18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27,690.00</w:t>
            </w:r>
          </w:p>
        </w:tc>
      </w:tr>
      <w:tr>
        <w:trPr>
          <w:trHeight w:val="413"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10"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055" w:right="0"/>
              <w:jc w:val="left"/>
              <w:rPr>
                <w:rFonts w:ascii="宋体" w:hAnsi="宋体" w:cs="宋体" w:eastAsia="宋体" w:hint="default"/>
                <w:sz w:val="18"/>
                <w:szCs w:val="18"/>
              </w:rPr>
            </w:pPr>
            <w:r>
              <w:rPr>
                <w:rFonts w:ascii="宋体" w:hAnsi="宋体" w:cs="宋体" w:eastAsia="宋体" w:hint="default"/>
                <w:sz w:val="18"/>
                <w:szCs w:val="18"/>
              </w:rPr>
              <w:t>非经常性损益合计（影响利润总额）</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3,608,783.30</w:t>
            </w:r>
          </w:p>
        </w:tc>
        <w:tc>
          <w:tcPr>
            <w:tcW w:w="18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11,043,949.56</w:t>
            </w:r>
          </w:p>
        </w:tc>
      </w:tr>
      <w:tr>
        <w:trPr>
          <w:trHeight w:val="413"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541,317.50</w:t>
            </w:r>
          </w:p>
        </w:tc>
        <w:tc>
          <w:tcPr>
            <w:tcW w:w="18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1,656,588.56</w:t>
            </w:r>
          </w:p>
        </w:tc>
      </w:tr>
      <w:tr>
        <w:trPr>
          <w:trHeight w:val="413"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147" w:right="0"/>
              <w:jc w:val="left"/>
              <w:rPr>
                <w:rFonts w:ascii="宋体" w:hAnsi="宋体" w:cs="宋体" w:eastAsia="宋体" w:hint="default"/>
                <w:sz w:val="18"/>
                <w:szCs w:val="18"/>
              </w:rPr>
            </w:pPr>
            <w:r>
              <w:rPr>
                <w:rFonts w:ascii="宋体" w:hAnsi="宋体" w:cs="宋体" w:eastAsia="宋体" w:hint="default"/>
                <w:sz w:val="18"/>
                <w:szCs w:val="18"/>
              </w:rPr>
              <w:t>非经常性损益净额（影响净利润）</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3,067,465.80</w:t>
            </w:r>
          </w:p>
        </w:tc>
        <w:tc>
          <w:tcPr>
            <w:tcW w:w="18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9,387,361.00</w:t>
            </w:r>
          </w:p>
        </w:tc>
      </w:tr>
      <w:tr>
        <w:trPr>
          <w:trHeight w:val="411"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减：少数股东权益影响额</w:t>
            </w:r>
          </w:p>
        </w:tc>
        <w:tc>
          <w:tcPr>
            <w:tcW w:w="2023"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49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归属于母公司普通股股东净利润的非经常性损益</w:t>
            </w:r>
          </w:p>
        </w:tc>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3,067,465.80</w:t>
            </w:r>
          </w:p>
        </w:tc>
        <w:tc>
          <w:tcPr>
            <w:tcW w:w="18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9,387,361.00</w:t>
            </w:r>
          </w:p>
        </w:tc>
      </w:tr>
      <w:tr>
        <w:trPr>
          <w:trHeight w:val="420" w:hRule="exact"/>
        </w:trPr>
        <w:tc>
          <w:tcPr>
            <w:tcW w:w="49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扣除非经常性损益后的归属于母公司普通股股东净利润</w:t>
            </w:r>
          </w:p>
        </w:tc>
        <w:tc>
          <w:tcPr>
            <w:tcW w:w="20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82,650,816.65</w:t>
            </w:r>
          </w:p>
        </w:tc>
        <w:tc>
          <w:tcPr>
            <w:tcW w:w="18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1"/>
              <w:ind w:right="110"/>
              <w:jc w:val="right"/>
              <w:rPr>
                <w:rFonts w:ascii="Times New Roman" w:hAnsi="Times New Roman" w:cs="Times New Roman" w:eastAsia="Times New Roman" w:hint="default"/>
                <w:sz w:val="18"/>
                <w:szCs w:val="18"/>
              </w:rPr>
            </w:pPr>
            <w:r>
              <w:rPr>
                <w:rFonts w:ascii="Times New Roman"/>
                <w:spacing w:val="-1"/>
                <w:sz w:val="18"/>
              </w:rPr>
              <w:t>44,993,086.46</w:t>
            </w:r>
          </w:p>
        </w:tc>
      </w:tr>
    </w:tbl>
    <w:p>
      <w:pPr>
        <w:tabs>
          <w:tab w:pos="2080" w:val="left" w:leader="none"/>
        </w:tabs>
        <w:spacing w:line="424" w:lineRule="auto" w:before="42"/>
        <w:ind w:left="820" w:right="391" w:firstLine="0"/>
        <w:jc w:val="left"/>
        <w:rPr>
          <w:rFonts w:ascii="宋体" w:hAnsi="宋体" w:cs="宋体" w:eastAsia="宋体" w:hint="default"/>
          <w:sz w:val="21"/>
          <w:szCs w:val="21"/>
        </w:rPr>
      </w:pPr>
      <w:r>
        <w:rPr>
          <w:rFonts w:ascii="宋体" w:hAnsi="宋体" w:cs="宋体" w:eastAsia="宋体" w:hint="default"/>
          <w:b/>
          <w:bCs/>
          <w:sz w:val="21"/>
          <w:szCs w:val="21"/>
        </w:rPr>
        <w:t>（三十二）</w:t>
        <w:tab/>
        <w:t>净资产收益率和每股收益</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本公司按照中国证监会《公开发行证券的公司信息披露编报规则第</w:t>
      </w:r>
      <w:r>
        <w:rPr>
          <w:rFonts w:ascii="宋体" w:hAnsi="宋体" w:cs="宋体" w:eastAsia="宋体" w:hint="default"/>
          <w:spacing w:val="-44"/>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
          <w:w w:val="100"/>
          <w:sz w:val="21"/>
          <w:szCs w:val="21"/>
        </w:rPr>
        <w:t>号</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净资产收益</w:t>
      </w:r>
    </w:p>
    <w:p>
      <w:pPr>
        <w:spacing w:after="0" w:line="424" w:lineRule="auto"/>
        <w:jc w:val="left"/>
        <w:rPr>
          <w:rFonts w:ascii="宋体" w:hAnsi="宋体" w:cs="宋体" w:eastAsia="宋体" w:hint="default"/>
          <w:sz w:val="21"/>
          <w:szCs w:val="21"/>
        </w:rPr>
        <w:sectPr>
          <w:pgSz w:w="11910" w:h="16840"/>
          <w:pgMar w:header="852" w:footer="1186" w:top="1200" w:bottom="1380" w:left="1400" w:right="1400"/>
        </w:sectPr>
      </w:pPr>
    </w:p>
    <w:p>
      <w:pPr>
        <w:spacing w:line="240" w:lineRule="auto" w:before="3"/>
        <w:rPr>
          <w:rFonts w:ascii="宋体" w:hAnsi="宋体" w:cs="宋体" w:eastAsia="宋体" w:hint="default"/>
          <w:sz w:val="12"/>
          <w:szCs w:val="12"/>
        </w:rPr>
      </w:pPr>
    </w:p>
    <w:p>
      <w:pPr>
        <w:pStyle w:val="BodyText"/>
        <w:spacing w:line="240" w:lineRule="auto" w:before="36"/>
        <w:ind w:left="400" w:right="0"/>
        <w:jc w:val="left"/>
      </w:pPr>
      <w:r>
        <w:rPr>
          <w:w w:val="100"/>
        </w:rPr>
        <w:t>率和</w:t>
      </w:r>
      <w:r>
        <w:rPr>
          <w:spacing w:val="-3"/>
          <w:w w:val="100"/>
        </w:rPr>
        <w:t>每</w:t>
      </w:r>
      <w:r>
        <w:rPr>
          <w:w w:val="100"/>
        </w:rPr>
        <w:t>股</w:t>
      </w:r>
      <w:r>
        <w:rPr>
          <w:spacing w:val="-3"/>
          <w:w w:val="100"/>
        </w:rPr>
        <w:t>收</w:t>
      </w:r>
      <w:r>
        <w:rPr>
          <w:w w:val="100"/>
        </w:rPr>
        <w:t>益</w:t>
      </w:r>
      <w:r>
        <w:rPr>
          <w:spacing w:val="-3"/>
          <w:w w:val="100"/>
        </w:rPr>
        <w:t>的</w:t>
      </w:r>
      <w:r>
        <w:rPr>
          <w:w w:val="100"/>
        </w:rPr>
        <w:t>计</w:t>
      </w:r>
      <w:r>
        <w:rPr>
          <w:spacing w:val="-3"/>
          <w:w w:val="100"/>
        </w:rPr>
        <w:t>算</w:t>
      </w:r>
      <w:r>
        <w:rPr>
          <w:w w:val="100"/>
        </w:rPr>
        <w:t>及</w:t>
      </w:r>
      <w:r>
        <w:rPr>
          <w:spacing w:val="-3"/>
          <w:w w:val="100"/>
        </w:rPr>
        <w:t>披</w:t>
      </w:r>
      <w:r>
        <w:rPr>
          <w:w w:val="100"/>
        </w:rPr>
        <w:t>露（</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spacing w:val="-3"/>
          <w:w w:val="100"/>
        </w:rPr>
        <w:t>年</w:t>
      </w:r>
      <w:r>
        <w:rPr>
          <w:w w:val="100"/>
        </w:rPr>
        <w:t>修订</w:t>
      </w:r>
      <w:r>
        <w:rPr>
          <w:spacing w:val="-108"/>
          <w:w w:val="100"/>
        </w:rPr>
        <w:t>）</w:t>
      </w:r>
      <w:r>
        <w:rPr>
          <w:spacing w:val="-106"/>
          <w:w w:val="100"/>
        </w:rPr>
        <w:t>》</w:t>
      </w:r>
      <w:r>
        <w:rPr>
          <w:spacing w:val="-1"/>
          <w:w w:val="100"/>
        </w:rPr>
        <w:t>（</w:t>
      </w:r>
      <w:r>
        <w:rPr>
          <w:rFonts w:ascii="Times New Roman" w:hAnsi="Times New Roman" w:cs="Times New Roman" w:eastAsia="Times New Roman" w:hint="default"/>
          <w:spacing w:val="-3"/>
          <w:w w:val="44"/>
        </w:rPr>
        <w:t>―</w:t>
      </w:r>
      <w:r>
        <w:rPr>
          <w:spacing w:val="-3"/>
          <w:w w:val="100"/>
        </w:rPr>
        <w:t>中</w:t>
      </w:r>
      <w:r>
        <w:rPr>
          <w:w w:val="100"/>
        </w:rPr>
        <w:t>国证</w:t>
      </w:r>
      <w:r>
        <w:rPr>
          <w:spacing w:val="-3"/>
          <w:w w:val="100"/>
        </w:rPr>
        <w:t>券</w:t>
      </w:r>
      <w:r>
        <w:rPr>
          <w:w w:val="100"/>
        </w:rPr>
        <w:t>监</w:t>
      </w:r>
      <w:r>
        <w:rPr>
          <w:spacing w:val="-3"/>
          <w:w w:val="100"/>
        </w:rPr>
        <w:t>督</w:t>
      </w:r>
      <w:r>
        <w:rPr>
          <w:w w:val="100"/>
        </w:rPr>
        <w:t>管</w:t>
      </w:r>
      <w:r>
        <w:rPr>
          <w:spacing w:val="-3"/>
          <w:w w:val="100"/>
        </w:rPr>
        <w:t>理</w:t>
      </w:r>
      <w:r>
        <w:rPr>
          <w:w w:val="100"/>
        </w:rPr>
        <w:t>委</w:t>
      </w:r>
      <w:r>
        <w:rPr>
          <w:spacing w:val="-3"/>
          <w:w w:val="100"/>
        </w:rPr>
        <w:t>员</w:t>
      </w:r>
      <w:r>
        <w:rPr>
          <w:w w:val="100"/>
        </w:rPr>
        <w:t>会</w:t>
      </w:r>
      <w:r>
        <w:rPr>
          <w:spacing w:val="-3"/>
          <w:w w:val="100"/>
        </w:rPr>
        <w:t>公</w:t>
      </w:r>
      <w:r>
        <w:rPr>
          <w:w w:val="100"/>
        </w:rPr>
        <w:t>告</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w w:val="100"/>
        </w:rPr>
        <w:t>号</w:t>
      </w:r>
      <w:r>
        <w:rPr>
          <w:spacing w:val="-106"/>
          <w:w w:val="100"/>
        </w:rPr>
        <w:t>）</w:t>
      </w:r>
      <w:r>
        <w:rPr>
          <w:w w:val="100"/>
        </w:rPr>
        <w:t>、</w:t>
      </w:r>
    </w:p>
    <w:p>
      <w:pPr>
        <w:pStyle w:val="BodyText"/>
        <w:spacing w:line="336" w:lineRule="auto" w:before="117"/>
        <w:ind w:left="400" w:right="390"/>
        <w:jc w:val="left"/>
      </w:pPr>
      <w:r>
        <w:rPr>
          <w:spacing w:val="-2"/>
          <w:w w:val="100"/>
        </w:rPr>
        <w:t>《公开发行证券的公司信息披露解释性公告第</w:t>
      </w:r>
      <w:r>
        <w:rPr>
          <w:spacing w:val="-46"/>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7"/>
          <w:w w:val="100"/>
        </w:rPr>
        <w:t> </w:t>
      </w:r>
      <w:r>
        <w:rPr>
          <w:spacing w:val="-11"/>
          <w:w w:val="97"/>
        </w:rPr>
        <w:t>号</w:t>
      </w:r>
      <w:r>
        <w:rPr>
          <w:rFonts w:ascii="Times New Roman" w:hAnsi="Times New Roman" w:cs="Times New Roman" w:eastAsia="Times New Roman" w:hint="default"/>
          <w:spacing w:val="-11"/>
          <w:w w:val="97"/>
        </w:rPr>
        <w:t>——</w:t>
      </w:r>
      <w:r>
        <w:rPr>
          <w:spacing w:val="-11"/>
          <w:w w:val="97"/>
        </w:rPr>
        <w:t>非经常性损益》（</w:t>
      </w:r>
      <w:r>
        <w:rPr>
          <w:rFonts w:ascii="Times New Roman" w:hAnsi="Times New Roman" w:cs="Times New Roman" w:eastAsia="Times New Roman" w:hint="default"/>
          <w:spacing w:val="-11"/>
          <w:w w:val="97"/>
        </w:rPr>
        <w:t>―</w:t>
      </w:r>
      <w:r>
        <w:rPr>
          <w:spacing w:val="-11"/>
          <w:w w:val="97"/>
        </w:rPr>
        <w:t>中国证券监督管理</w:t>
      </w:r>
      <w:r>
        <w:rPr>
          <w:spacing w:val="-100"/>
          <w:w w:val="97"/>
        </w:rPr>
        <w:t> </w:t>
      </w:r>
      <w:r>
        <w:rPr>
          <w:spacing w:val="-100"/>
          <w:w w:val="97"/>
        </w:rPr>
      </w:r>
      <w:r>
        <w:rPr>
          <w:spacing w:val="-1"/>
        </w:rPr>
        <w:t>委员会公告</w:t>
      </w:r>
      <w:r>
        <w:rPr>
          <w:rFonts w:ascii="Times New Roman" w:hAnsi="Times New Roman" w:cs="Times New Roman" w:eastAsia="Times New Roman" w:hint="default"/>
          <w:spacing w:val="-1"/>
        </w:rPr>
        <w:t>[2008]43</w:t>
      </w:r>
      <w:r>
        <w:rPr>
          <w:rFonts w:ascii="Times New Roman" w:hAnsi="Times New Roman" w:cs="Times New Roman" w:eastAsia="Times New Roman" w:hint="default"/>
        </w:rPr>
        <w:t> </w:t>
      </w:r>
      <w:r>
        <w:rPr>
          <w:rFonts w:ascii="Times New Roman" w:hAnsi="Times New Roman" w:cs="Times New Roman" w:eastAsia="Times New Roman" w:hint="default"/>
          <w:spacing w:val="33"/>
        </w:rPr>
        <w:t> </w:t>
      </w:r>
      <w:r>
        <w:rPr>
          <w:spacing w:val="-2"/>
        </w:rPr>
        <w:t>号</w:t>
      </w:r>
      <w:r>
        <w:rPr>
          <w:rFonts w:ascii="Times New Roman" w:hAnsi="Times New Roman" w:cs="Times New Roman" w:eastAsia="Times New Roman" w:hint="default"/>
          <w:spacing w:val="-2"/>
        </w:rPr>
        <w:t>‖</w:t>
      </w:r>
      <w:r>
        <w:rPr>
          <w:spacing w:val="-2"/>
        </w:rPr>
        <w:t>）要求计算的净资产收益率和每股收益如下：</w:t>
      </w:r>
    </w:p>
    <w:p>
      <w:pPr>
        <w:spacing w:line="240" w:lineRule="auto" w:before="8"/>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4383"/>
        <w:gridCol w:w="1877"/>
        <w:gridCol w:w="1301"/>
        <w:gridCol w:w="1298"/>
      </w:tblGrid>
      <w:tr>
        <w:trPr>
          <w:trHeight w:val="362" w:hRule="exact"/>
        </w:trPr>
        <w:tc>
          <w:tcPr>
            <w:tcW w:w="438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477"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23" w:right="0"/>
              <w:jc w:val="center"/>
              <w:rPr>
                <w:rFonts w:ascii="宋体" w:hAnsi="宋体" w:cs="宋体" w:eastAsia="宋体" w:hint="default"/>
                <w:sz w:val="18"/>
                <w:szCs w:val="18"/>
              </w:rPr>
            </w:pPr>
            <w:r>
              <w:rPr>
                <w:rFonts w:ascii="宋体" w:hAnsi="宋体" w:cs="宋体" w:eastAsia="宋体" w:hint="default"/>
                <w:spacing w:val="-22"/>
                <w:sz w:val="18"/>
                <w:szCs w:val="18"/>
              </w:rPr>
              <w:t>本年数</w:t>
            </w:r>
          </w:p>
        </w:tc>
      </w:tr>
      <w:tr>
        <w:trPr>
          <w:trHeight w:val="355" w:hRule="exact"/>
        </w:trPr>
        <w:tc>
          <w:tcPr>
            <w:tcW w:w="4383" w:type="dxa"/>
            <w:vMerge/>
            <w:tcBorders>
              <w:left w:val="nil" w:sz="6" w:space="0" w:color="auto"/>
              <w:right w:val="single" w:sz="6" w:space="0" w:color="000000"/>
            </w:tcBorders>
          </w:tcPr>
          <w:p>
            <w:pPr/>
          </w:p>
        </w:tc>
        <w:tc>
          <w:tcPr>
            <w:tcW w:w="1877" w:type="dxa"/>
            <w:vMerge w:val="restart"/>
            <w:tcBorders>
              <w:top w:val="single" w:sz="6" w:space="0" w:color="000000"/>
              <w:left w:val="single" w:sz="6" w:space="0" w:color="000000"/>
              <w:right w:val="single" w:sz="6" w:space="0" w:color="000000"/>
            </w:tcBorders>
          </w:tcPr>
          <w:p>
            <w:pPr>
              <w:pStyle w:val="TableParagraph"/>
              <w:spacing w:line="232" w:lineRule="exact" w:before="109"/>
              <w:ind w:left="842" w:right="118" w:hanging="721"/>
              <w:jc w:val="left"/>
              <w:rPr>
                <w:rFonts w:ascii="宋体" w:hAnsi="宋体" w:cs="宋体" w:eastAsia="宋体" w:hint="default"/>
                <w:sz w:val="18"/>
                <w:szCs w:val="18"/>
              </w:rPr>
            </w:pPr>
            <w:r>
              <w:rPr>
                <w:rFonts w:ascii="宋体" w:hAnsi="宋体" w:cs="宋体" w:eastAsia="宋体" w:hint="default"/>
                <w:sz w:val="18"/>
                <w:szCs w:val="18"/>
              </w:rPr>
              <w:t>加权平均净资产收益 率</w:t>
            </w:r>
          </w:p>
        </w:tc>
        <w:tc>
          <w:tcPr>
            <w:tcW w:w="260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55" w:hRule="exact"/>
        </w:trPr>
        <w:tc>
          <w:tcPr>
            <w:tcW w:w="4383" w:type="dxa"/>
            <w:vMerge/>
            <w:tcBorders>
              <w:left w:val="nil" w:sz="6" w:space="0" w:color="auto"/>
              <w:bottom w:val="single" w:sz="6" w:space="0" w:color="000000"/>
              <w:right w:val="single" w:sz="6" w:space="0" w:color="000000"/>
            </w:tcBorders>
          </w:tcPr>
          <w:p>
            <w:pPr/>
          </w:p>
        </w:tc>
        <w:tc>
          <w:tcPr>
            <w:tcW w:w="1877"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5" w:hRule="exact"/>
        </w:trPr>
        <w:tc>
          <w:tcPr>
            <w:tcW w:w="43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14.42%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0.8199</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
              <w:jc w:val="center"/>
              <w:rPr>
                <w:rFonts w:ascii="Times New Roman" w:hAnsi="Times New Roman" w:cs="Times New Roman" w:eastAsia="Times New Roman" w:hint="default"/>
                <w:sz w:val="18"/>
                <w:szCs w:val="18"/>
              </w:rPr>
            </w:pPr>
            <w:r>
              <w:rPr>
                <w:rFonts w:ascii="Times New Roman"/>
                <w:sz w:val="18"/>
              </w:rPr>
              <w:t>0.8199</w:t>
            </w:r>
          </w:p>
        </w:tc>
      </w:tr>
      <w:tr>
        <w:trPr>
          <w:trHeight w:val="362" w:hRule="exact"/>
        </w:trPr>
        <w:tc>
          <w:tcPr>
            <w:tcW w:w="438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13.90%</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0.7905</w:t>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8"/>
              <w:jc w:val="center"/>
              <w:rPr>
                <w:rFonts w:ascii="Times New Roman" w:hAnsi="Times New Roman" w:cs="Times New Roman" w:eastAsia="Times New Roman" w:hint="default"/>
                <w:sz w:val="18"/>
                <w:szCs w:val="18"/>
              </w:rPr>
            </w:pPr>
            <w:r>
              <w:rPr>
                <w:rFonts w:ascii="Times New Roman"/>
                <w:sz w:val="18"/>
              </w:rPr>
              <w:t>0.7905</w:t>
            </w:r>
          </w:p>
        </w:tc>
      </w:tr>
    </w:tbl>
    <w:p>
      <w:pPr>
        <w:spacing w:line="240" w:lineRule="auto" w:before="7"/>
        <w:rPr>
          <w:rFonts w:ascii="宋体" w:hAnsi="宋体" w:cs="宋体" w:eastAsia="宋体"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4383"/>
        <w:gridCol w:w="1877"/>
        <w:gridCol w:w="1301"/>
        <w:gridCol w:w="1298"/>
      </w:tblGrid>
      <w:tr>
        <w:trPr>
          <w:trHeight w:val="362" w:hRule="exact"/>
        </w:trPr>
        <w:tc>
          <w:tcPr>
            <w:tcW w:w="438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477"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23" w:right="0"/>
              <w:jc w:val="center"/>
              <w:rPr>
                <w:rFonts w:ascii="宋体" w:hAnsi="宋体" w:cs="宋体" w:eastAsia="宋体" w:hint="default"/>
                <w:sz w:val="18"/>
                <w:szCs w:val="18"/>
              </w:rPr>
            </w:pPr>
            <w:r>
              <w:rPr>
                <w:rFonts w:ascii="宋体" w:hAnsi="宋体" w:cs="宋体" w:eastAsia="宋体" w:hint="default"/>
                <w:spacing w:val="-22"/>
                <w:sz w:val="18"/>
                <w:szCs w:val="18"/>
              </w:rPr>
              <w:t>上年数</w:t>
            </w:r>
          </w:p>
        </w:tc>
      </w:tr>
      <w:tr>
        <w:trPr>
          <w:trHeight w:val="355" w:hRule="exact"/>
        </w:trPr>
        <w:tc>
          <w:tcPr>
            <w:tcW w:w="4383" w:type="dxa"/>
            <w:vMerge/>
            <w:tcBorders>
              <w:left w:val="nil" w:sz="6" w:space="0" w:color="auto"/>
              <w:right w:val="single" w:sz="6" w:space="0" w:color="000000"/>
            </w:tcBorders>
          </w:tcPr>
          <w:p>
            <w:pPr/>
          </w:p>
        </w:tc>
        <w:tc>
          <w:tcPr>
            <w:tcW w:w="1877" w:type="dxa"/>
            <w:vMerge w:val="restart"/>
            <w:tcBorders>
              <w:top w:val="single" w:sz="6" w:space="0" w:color="000000"/>
              <w:left w:val="single" w:sz="6" w:space="0" w:color="000000"/>
              <w:right w:val="single" w:sz="6" w:space="0" w:color="000000"/>
            </w:tcBorders>
          </w:tcPr>
          <w:p>
            <w:pPr>
              <w:pStyle w:val="TableParagraph"/>
              <w:spacing w:line="232" w:lineRule="exact" w:before="109"/>
              <w:ind w:left="842" w:right="118" w:hanging="721"/>
              <w:jc w:val="left"/>
              <w:rPr>
                <w:rFonts w:ascii="宋体" w:hAnsi="宋体" w:cs="宋体" w:eastAsia="宋体" w:hint="default"/>
                <w:sz w:val="18"/>
                <w:szCs w:val="18"/>
              </w:rPr>
            </w:pPr>
            <w:r>
              <w:rPr>
                <w:rFonts w:ascii="宋体" w:hAnsi="宋体" w:cs="宋体" w:eastAsia="宋体" w:hint="default"/>
                <w:sz w:val="18"/>
                <w:szCs w:val="18"/>
              </w:rPr>
              <w:t>加权平均净资产收益 率</w:t>
            </w:r>
          </w:p>
        </w:tc>
        <w:tc>
          <w:tcPr>
            <w:tcW w:w="260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56" w:hRule="exact"/>
        </w:trPr>
        <w:tc>
          <w:tcPr>
            <w:tcW w:w="4383" w:type="dxa"/>
            <w:vMerge/>
            <w:tcBorders>
              <w:left w:val="nil" w:sz="6" w:space="0" w:color="auto"/>
              <w:bottom w:val="single" w:sz="6" w:space="0" w:color="000000"/>
              <w:right w:val="single" w:sz="6" w:space="0" w:color="000000"/>
            </w:tcBorders>
          </w:tcPr>
          <w:p>
            <w:pPr/>
          </w:p>
        </w:tc>
        <w:tc>
          <w:tcPr>
            <w:tcW w:w="1877"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7"/>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5" w:hRule="exact"/>
        </w:trPr>
        <w:tc>
          <w:tcPr>
            <w:tcW w:w="43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19.48%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0.6414</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
              <w:jc w:val="center"/>
              <w:rPr>
                <w:rFonts w:ascii="Times New Roman" w:hAnsi="Times New Roman" w:cs="Times New Roman" w:eastAsia="Times New Roman" w:hint="default"/>
                <w:sz w:val="18"/>
                <w:szCs w:val="18"/>
              </w:rPr>
            </w:pPr>
            <w:r>
              <w:rPr>
                <w:rFonts w:ascii="Times New Roman"/>
                <w:sz w:val="18"/>
              </w:rPr>
              <w:t>0.6414</w:t>
            </w:r>
          </w:p>
        </w:tc>
      </w:tr>
      <w:tr>
        <w:trPr>
          <w:trHeight w:val="362" w:hRule="exact"/>
        </w:trPr>
        <w:tc>
          <w:tcPr>
            <w:tcW w:w="438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16.12%</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0.5307</w:t>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8"/>
              <w:jc w:val="center"/>
              <w:rPr>
                <w:rFonts w:ascii="Times New Roman" w:hAnsi="Times New Roman" w:cs="Times New Roman" w:eastAsia="Times New Roman" w:hint="default"/>
                <w:sz w:val="18"/>
                <w:szCs w:val="18"/>
              </w:rPr>
            </w:pPr>
            <w:r>
              <w:rPr>
                <w:rFonts w:ascii="Times New Roman"/>
                <w:sz w:val="18"/>
              </w:rPr>
              <w:t>0.5307</w:t>
            </w:r>
          </w:p>
        </w:tc>
      </w:tr>
    </w:tbl>
    <w:p>
      <w:pPr>
        <w:spacing w:line="240" w:lineRule="auto" w:before="10"/>
        <w:rPr>
          <w:rFonts w:ascii="宋体" w:hAnsi="宋体" w:cs="宋体" w:eastAsia="宋体" w:hint="default"/>
          <w:sz w:val="18"/>
          <w:szCs w:val="18"/>
        </w:rPr>
      </w:pPr>
    </w:p>
    <w:p>
      <w:pPr>
        <w:pStyle w:val="Heading4"/>
        <w:spacing w:line="240" w:lineRule="auto" w:before="26"/>
        <w:ind w:right="0"/>
        <w:jc w:val="left"/>
      </w:pPr>
      <w:r>
        <w:rPr/>
        <w:t>十三、财务报表的批准</w:t>
      </w:r>
    </w:p>
    <w:p>
      <w:pPr>
        <w:spacing w:line="240" w:lineRule="auto" w:before="5"/>
        <w:rPr>
          <w:rFonts w:ascii="黑体" w:hAnsi="黑体" w:cs="黑体" w:eastAsia="黑体" w:hint="default"/>
          <w:sz w:val="28"/>
          <w:szCs w:val="28"/>
        </w:rPr>
      </w:pPr>
    </w:p>
    <w:p>
      <w:pPr>
        <w:pStyle w:val="BodyText"/>
        <w:spacing w:line="338" w:lineRule="auto"/>
        <w:ind w:left="820" w:right="0"/>
        <w:jc w:val="left"/>
      </w:pPr>
      <w:r>
        <w:rPr>
          <w:spacing w:val="-2"/>
        </w:rPr>
        <w:t>本财务报表业经本公司董事会于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日决议批准。</w:t>
      </w:r>
      <w:r>
        <w:rPr>
          <w:spacing w:val="-59"/>
        </w:rPr>
        <w:t> </w:t>
      </w:r>
      <w:r>
        <w:rPr>
          <w:spacing w:val="-59"/>
        </w:rPr>
      </w:r>
      <w:r>
        <w:rPr/>
        <w:t>根据本公司章程，本财务报表将提交股东大会审议。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2923" w:val="left" w:leader="none"/>
          <w:tab w:pos="6394" w:val="left" w:leader="none"/>
        </w:tabs>
        <w:spacing w:line="240" w:lineRule="auto" w:before="169"/>
        <w:ind w:left="400" w:right="0"/>
        <w:jc w:val="left"/>
        <w:rPr>
          <w:b w:val="0"/>
          <w:bCs w:val="0"/>
        </w:rPr>
      </w:pPr>
      <w:r>
        <w:rPr>
          <w:spacing w:val="-1"/>
        </w:rPr>
        <w:t>法定代表人：李海鹰</w:t>
        <w:tab/>
        <w:t>主管会计工作的负责人：</w:t>
      </w:r>
      <w:r>
        <w:rPr>
          <w:spacing w:val="3"/>
        </w:rPr>
        <w:t> </w:t>
      </w:r>
      <w:r>
        <w:rPr/>
        <w:t>李新建</w:t>
        <w:tab/>
      </w:r>
      <w:r>
        <w:rPr>
          <w:spacing w:val="-1"/>
        </w:rPr>
        <w:t>会计机构负责人：郭艳巧</w:t>
      </w:r>
      <w:r>
        <w:rPr>
          <w:b w:val="0"/>
          <w:bCs w:val="0"/>
          <w:spacing w:val="-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Heading5"/>
        <w:spacing w:line="240" w:lineRule="auto"/>
        <w:ind w:left="5758" w:right="0"/>
        <w:jc w:val="left"/>
        <w:rPr>
          <w:b w:val="0"/>
          <w:bCs w:val="0"/>
        </w:rPr>
      </w:pPr>
      <w:r>
        <w:rPr/>
        <w:t>河南辉煌科技股份有限公司</w:t>
      </w:r>
      <w:r>
        <w:rPr>
          <w:b w:val="0"/>
          <w:bCs w:val="0"/>
        </w:rPr>
      </w:r>
    </w:p>
    <w:p>
      <w:pPr>
        <w:spacing w:after="0" w:line="240" w:lineRule="auto"/>
        <w:jc w:val="left"/>
        <w:sectPr>
          <w:pgSz w:w="11910" w:h="16840"/>
          <w:pgMar w:header="852" w:footer="1186" w:top="1200" w:bottom="1380" w:left="1400" w:right="1400"/>
        </w:sectPr>
      </w:pPr>
    </w:p>
    <w:p>
      <w:pPr>
        <w:spacing w:line="240" w:lineRule="auto" w:before="12"/>
        <w:rPr>
          <w:rFonts w:ascii="宋体" w:hAnsi="宋体" w:cs="宋体" w:eastAsia="宋体" w:hint="default"/>
          <w:b/>
          <w:bCs/>
          <w:sz w:val="26"/>
          <w:szCs w:val="26"/>
        </w:rPr>
      </w:pPr>
    </w:p>
    <w:p>
      <w:pPr>
        <w:pStyle w:val="Heading1"/>
        <w:spacing w:line="240" w:lineRule="auto"/>
        <w:ind w:right="114" w:firstLine="2578"/>
        <w:jc w:val="left"/>
      </w:pPr>
      <w:bookmarkStart w:name="_TOC_250000" w:id="11"/>
      <w:r>
        <w:rPr/>
        <w:t>第十一节</w:t>
      </w:r>
      <w:r>
        <w:rPr>
          <w:spacing w:val="1"/>
        </w:rPr>
        <w:t> </w:t>
      </w:r>
      <w:bookmarkEnd w:id="11"/>
      <w:r>
        <w:rPr/>
        <w:t>备查文件目录</w:t>
      </w:r>
    </w:p>
    <w:p>
      <w:pPr>
        <w:spacing w:line="240" w:lineRule="auto" w:before="7"/>
        <w:rPr>
          <w:rFonts w:ascii="黑体" w:hAnsi="黑体" w:cs="黑体" w:eastAsia="黑体" w:hint="default"/>
          <w:sz w:val="23"/>
          <w:szCs w:val="23"/>
        </w:rPr>
      </w:pPr>
    </w:p>
    <w:p>
      <w:pPr>
        <w:pStyle w:val="Heading3"/>
        <w:spacing w:line="326" w:lineRule="auto" w:before="0"/>
        <w:ind w:left="120" w:right="0"/>
        <w:jc w:val="left"/>
      </w:pPr>
      <w:r>
        <w:rPr>
          <w:spacing w:val="-5"/>
        </w:rPr>
        <w:t>一、载有法定代表人、主管会计工作负责人、会计机构负责人签名并</w:t>
      </w:r>
      <w:r>
        <w:rPr>
          <w:spacing w:val="-89"/>
        </w:rPr>
        <w:t> </w:t>
      </w:r>
      <w:r>
        <w:rPr>
          <w:spacing w:val="-89"/>
        </w:rPr>
      </w:r>
      <w:r>
        <w:rPr/>
        <w:t>盖章的会计报表；</w:t>
      </w:r>
      <w:r>
        <w:rPr>
          <w:w w:val="100"/>
        </w:rPr>
        <w:t> </w:t>
      </w:r>
      <w:r>
        <w:rPr>
          <w:spacing w:val="-9"/>
          <w:w w:val="100"/>
        </w:rPr>
        <w:t>二、载有会计师事务所盖章、注册会计师签名并盖章的审计报告原件；</w:t>
      </w:r>
      <w:r>
        <w:rPr>
          <w:spacing w:val="-128"/>
          <w:w w:val="100"/>
        </w:rPr>
        <w:t> </w:t>
      </w:r>
      <w:r>
        <w:rPr>
          <w:spacing w:val="-128"/>
          <w:w w:val="100"/>
        </w:rPr>
      </w:r>
      <w:r>
        <w:rPr>
          <w:spacing w:val="-5"/>
        </w:rPr>
        <w:t>三、报告期内在中国证监会指定报纸上公开披露过的所有公司文件的</w:t>
      </w:r>
      <w:r>
        <w:rPr>
          <w:spacing w:val="-90"/>
        </w:rPr>
        <w:t> </w:t>
      </w:r>
      <w:r>
        <w:rPr>
          <w:spacing w:val="-90"/>
        </w:rPr>
      </w:r>
      <w:r>
        <w:rPr/>
        <w:t>正本及公告的原稿。</w:t>
      </w:r>
    </w:p>
    <w:sectPr>
      <w:pgSz w:w="11910" w:h="16840"/>
      <w:pgMar w:header="852" w:footer="1186" w:top="1200" w:bottom="13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Arial Narrow">
    <w:altName w:val="Arial Narrow"/>
    <w:charset w:val="0"/>
    <w:family w:val="swiss"/>
    <w:pitch w:val="variable"/>
  </w:font>
  <w:font w:name="新宋体">
    <w:altName w:val="新宋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8.693909pt;width:13.15pt;height:11pt;mso-position-horizontal-relative:page;mso-position-vertical-relative:page;z-index:-683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613892pt;width:11.15pt;height:11pt;mso-position-horizontal-relative:page;mso-position-vertical-relative:page;z-index:-681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77</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13892pt;width:13.15pt;height:11pt;mso-position-horizontal-relative:page;mso-position-vertical-relative:page;z-index:-681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13892pt;width:13.15pt;height:11pt;mso-position-horizontal-relative:page;mso-position-vertical-relative:page;z-index:-681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13892pt;width:13.15pt;height:11pt;mso-position-horizontal-relative:page;mso-position-vertical-relative:page;z-index:-681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13892pt;width:13.15pt;height:11pt;mso-position-horizontal-relative:page;mso-position-vertical-relative:page;z-index:-681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13892pt;width:13.15pt;height:11pt;mso-position-horizontal-relative:page;mso-position-vertical-relative:page;z-index:-681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13892pt;width:13.15pt;height:11pt;mso-position-horizontal-relative:page;mso-position-vertical-relative:page;z-index:-681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13892pt;width:13.15pt;height:11pt;mso-position-horizontal-relative:page;mso-position-vertical-relative:page;z-index:-681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13892pt;width:13.15pt;height:11pt;mso-position-horizontal-relative:page;mso-position-vertical-relative:page;z-index:-681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13892pt;width:13.15pt;height:11pt;mso-position-horizontal-relative:page;mso-position-vertical-relative:page;z-index:-681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8.693909pt;width:13.15pt;height:11pt;mso-position-horizontal-relative:page;mso-position-vertical-relative:page;z-index:-683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13892pt;width:13.15pt;height:11pt;mso-position-horizontal-relative:page;mso-position-vertical-relative:page;z-index:-681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613892pt;width:13.15pt;height:11pt;mso-position-horizontal-relative:page;mso-position-vertical-relative:page;z-index:-681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71.613892pt;width:15.7pt;height:11pt;mso-position-horizontal-relative:page;mso-position-vertical-relative:page;z-index:-681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1.613892pt;width:17.7pt;height:11pt;mso-position-horizontal-relative:page;mso-position-vertical-relative:page;z-index:-681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1.613892pt;width:17.7pt;height:11pt;mso-position-horizontal-relative:page;mso-position-vertical-relative:page;z-index:-681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71.613892pt;width:17.3pt;height:11pt;mso-position-horizontal-relative:page;mso-position-vertical-relative:page;z-index:-681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1.613892pt;width:17.7pt;height:11pt;mso-position-horizontal-relative:page;mso-position-vertical-relative:page;z-index:-681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8.693909pt;width:13.15pt;height:11pt;mso-position-horizontal-relative:page;mso-position-vertical-relative:page;z-index:-682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8.693909pt;width:13.15pt;height:11pt;mso-position-horizontal-relative:page;mso-position-vertical-relative:page;z-index:-682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8.693909pt;width:13.15pt;height:11pt;mso-position-horizontal-relative:page;mso-position-vertical-relative:page;z-index:-682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8.693909pt;width:13.15pt;height:11pt;mso-position-horizontal-relative:page;mso-position-vertical-relative:page;z-index:-682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369995pt;margin-top:778.693909pt;width:13.15pt;height:11pt;mso-position-horizontal-relative:page;mso-position-vertical-relative:page;z-index:-682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744003pt;margin-top:753.361633pt;width:87.6pt;height:11pt;mso-position-horizontal-relative:page;mso-position-vertical-relative:page;z-index:-682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1"/>
                    <w:sz w:val="18"/>
                    <w:szCs w:val="18"/>
                  </w:rPr>
                  <w:t> </w:t>
                </w:r>
                <w:r>
                  <w:rPr>
                    <w:rFonts w:ascii="宋体" w:hAnsi="宋体" w:cs="宋体" w:eastAsia="宋体" w:hint="default"/>
                    <w:sz w:val="18"/>
                    <w:szCs w:val="18"/>
                  </w:rPr>
                  <w:t>李海鹰</w:t>
                </w:r>
              </w:p>
            </w:txbxContent>
          </v:textbox>
          <w10:wrap type="none"/>
        </v:shape>
      </w:pict>
    </w:r>
    <w:r>
      <w:rPr/>
      <w:pict>
        <v:shape style="position:absolute;margin-left:247.449997pt;margin-top:753.361633pt;width:127.9pt;height:11pt;mso-position-horizontal-relative:page;mso-position-vertical-relative:page;z-index:-682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主管会计工作的负责人：李新建</w:t>
                </w:r>
              </w:p>
            </w:txbxContent>
          </v:textbox>
          <w10:wrap type="none"/>
        </v:shape>
      </w:pict>
    </w:r>
    <w:r>
      <w:rPr/>
      <w:pict>
        <v:shape style="position:absolute;margin-left:433.350006pt;margin-top:753.361633pt;width:100.7pt;height:11pt;mso-position-horizontal-relative:page;mso-position-vertical-relative:page;z-index:-681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会计机构负责人：郭艳巧</w:t>
                </w:r>
              </w:p>
            </w:txbxContent>
          </v:textbox>
          <w10:wrap type="none"/>
        </v:shape>
      </w:pict>
    </w:r>
    <w:r>
      <w:rPr/>
      <w:pict>
        <v:shape style="position:absolute;margin-left:305.369995pt;margin-top:778.693909pt;width:13.15pt;height:11pt;mso-position-horizontal-relative:page;mso-position-vertical-relative:page;z-index:-681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744003pt;margin-top:755.521606pt;width:87.6pt;height:11pt;mso-position-horizontal-relative:page;mso-position-vertical-relative:page;z-index:-6819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1"/>
                    <w:sz w:val="18"/>
                    <w:szCs w:val="18"/>
                  </w:rPr>
                  <w:t> </w:t>
                </w:r>
                <w:r>
                  <w:rPr>
                    <w:rFonts w:ascii="宋体" w:hAnsi="宋体" w:cs="宋体" w:eastAsia="宋体" w:hint="default"/>
                    <w:sz w:val="18"/>
                    <w:szCs w:val="18"/>
                  </w:rPr>
                  <w:t>李海鹰</w:t>
                </w:r>
              </w:p>
            </w:txbxContent>
          </v:textbox>
          <w10:wrap type="none"/>
        </v:shape>
      </w:pict>
    </w:r>
    <w:r>
      <w:rPr/>
      <w:pict>
        <v:shape style="position:absolute;margin-left:274.450012pt;margin-top:755.521606pt;width:127.9pt;height:11pt;mso-position-horizontal-relative:page;mso-position-vertical-relative:page;z-index:-681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主管会计工作的负责人：李新建</w:t>
                </w:r>
              </w:p>
            </w:txbxContent>
          </v:textbox>
          <w10:wrap type="none"/>
        </v:shape>
      </w:pict>
    </w:r>
    <w:r>
      <w:rPr/>
      <w:pict>
        <v:shape style="position:absolute;margin-left:433.350006pt;margin-top:755.521606pt;width:100.7pt;height:11pt;mso-position-horizontal-relative:page;mso-position-vertical-relative:page;z-index:-6818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会计机构负责人：郭艳巧</w:t>
                </w:r>
              </w:p>
            </w:txbxContent>
          </v:textbox>
          <w10:wrap type="none"/>
        </v:shape>
      </w:pict>
    </w:r>
    <w:r>
      <w:rPr/>
      <w:pict>
        <v:shape style="position:absolute;margin-left:305.369995pt;margin-top:778.693909pt;width:13.15pt;height:11pt;mso-position-horizontal-relative:page;mso-position-vertical-relative:page;z-index:-681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3776" type="#_x0000_t75" stroked="false">
          <v:imagedata r:id="rId1" o:title=""/>
        </v:shape>
      </w:pict>
    </w:r>
    <w:r>
      <w:rPr/>
      <w:pict>
        <v:group style="position:absolute;margin-left:88.463997pt;margin-top:61.799984pt;width:418.55pt;height:.1pt;mso-position-horizontal-relative:page;mso-position-vertical-relative:page;z-index:-683752" coordorigin="1769,1236" coordsize="8371,2">
          <v:shape style="position:absolute;left:1769;top:1236;width:8371;height:2" coordorigin="1769,1236" coordsize="8371,0" path="m1769,1236l10139,123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24.900002pt;margin-top:36.964981pt;width:128.15pt;height:12.6pt;mso-position-horizontal-relative:page;mso-position-vertical-relative:page;z-index:-683728"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3704"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2960" type="#_x0000_t75" stroked="false">
          <v:imagedata r:id="rId1" o:title=""/>
        </v:shape>
      </w:pict>
    </w:r>
    <w:r>
      <w:rPr/>
      <w:pict>
        <v:shape style="position:absolute;margin-left:124.900002pt;margin-top:36.964981pt;width:128.15pt;height:12.6pt;mso-position-horizontal-relative:page;mso-position-vertical-relative:page;z-index:-682936"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291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2864" type="#_x0000_t75" stroked="false">
          <v:imagedata r:id="rId1" o:title=""/>
        </v:shape>
      </w:pict>
    </w:r>
    <w:r>
      <w:rPr/>
      <w:pict>
        <v:group style="position:absolute;margin-left:88.463997pt;margin-top:61.799984pt;width:418.55pt;height:.1pt;mso-position-horizontal-relative:page;mso-position-vertical-relative:page;z-index:-682840" coordorigin="1769,1236" coordsize="8371,2">
          <v:shape style="position:absolute;left:1769;top:1236;width:8371;height:2" coordorigin="1769,1236" coordsize="8371,0" path="m1769,1236l10139,1236e" filled="false" stroked="true" strokeweight=".72pt" strokecolor="#000000">
            <v:path arrowok="t"/>
          </v:shape>
          <w10:wrap type="none"/>
        </v:group>
      </w:pict>
    </w:r>
    <w:r>
      <w:rPr/>
      <w:pict>
        <v:shape style="position:absolute;margin-left:124.900002pt;margin-top:36.964981pt;width:128.15pt;height:12.6pt;mso-position-horizontal-relative:page;mso-position-vertical-relative:page;z-index:-682816"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279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2744" type="#_x0000_t75" stroked="false">
          <v:imagedata r:id="rId1" o:title=""/>
        </v:shape>
      </w:pict>
    </w:r>
    <w:r>
      <w:rPr/>
      <w:pict>
        <v:shape style="position:absolute;margin-left:124.900002pt;margin-top:36.964981pt;width:128.15pt;height:12.6pt;mso-position-horizontal-relative:page;mso-position-vertical-relative:page;z-index:-682720"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2696"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2672" type="#_x0000_t75" stroked="false">
          <v:imagedata r:id="rId1" o:title=""/>
        </v:shape>
      </w:pict>
    </w:r>
    <w:r>
      <w:rPr/>
      <w:pict>
        <v:group style="position:absolute;margin-left:88.463997pt;margin-top:61.799984pt;width:418.55pt;height:.1pt;mso-position-horizontal-relative:page;mso-position-vertical-relative:page;z-index:-682648" coordorigin="1769,1236" coordsize="8371,2">
          <v:shape style="position:absolute;left:1769;top:1236;width:8371;height:2" coordorigin="1769,1236" coordsize="8371,0" path="m1769,1236l10139,1236e" filled="false" stroked="true" strokeweight=".72pt" strokecolor="#000000">
            <v:path arrowok="t"/>
          </v:shape>
          <w10:wrap type="none"/>
        </v:group>
      </w:pict>
    </w:r>
    <w:r>
      <w:rPr/>
      <w:pict>
        <v:shape style="position:absolute;margin-left:124.900002pt;margin-top:36.964981pt;width:128.15pt;height:12.6pt;mso-position-horizontal-relative:page;mso-position-vertical-relative:page;z-index:-682624"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2600"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2576" type="#_x0000_t75" stroked="false">
          <v:imagedata r:id="rId1" o:title=""/>
        </v:shape>
      </w:pict>
    </w:r>
    <w:r>
      <w:rPr/>
      <w:pict>
        <v:shape style="position:absolute;margin-left:124.900002pt;margin-top:36.964981pt;width:128.15pt;height:12.6pt;mso-position-horizontal-relative:page;mso-position-vertical-relative:page;z-index:-682552"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2528"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2480" type="#_x0000_t75" stroked="false">
          <v:imagedata r:id="rId1" o:title=""/>
        </v:shape>
      </w:pict>
    </w:r>
    <w:r>
      <w:rPr/>
      <w:pict>
        <v:group style="position:absolute;margin-left:88.463997pt;margin-top:61.799984pt;width:418.55pt;height:.1pt;mso-position-horizontal-relative:page;mso-position-vertical-relative:page;z-index:-682456" coordorigin="1769,1236" coordsize="8371,2">
          <v:shape style="position:absolute;left:1769;top:1236;width:8371;height:2" coordorigin="1769,1236" coordsize="8371,0" path="m1769,1236l10139,1236e" filled="false" stroked="true" strokeweight=".72pt" strokecolor="#000000">
            <v:path arrowok="t"/>
          </v:shape>
          <w10:wrap type="none"/>
        </v:group>
      </w:pict>
    </w:r>
    <w:r>
      <w:rPr/>
      <w:pict>
        <v:shape style="position:absolute;margin-left:124.900002pt;margin-top:36.964981pt;width:128.15pt;height:12.6pt;mso-position-horizontal-relative:page;mso-position-vertical-relative:page;z-index:-682432"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2408"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2384" type="#_x0000_t75" stroked="false">
          <v:imagedata r:id="rId1" o:title=""/>
        </v:shape>
      </w:pict>
    </w:r>
    <w:r>
      <w:rPr/>
      <w:pict>
        <v:shape style="position:absolute;margin-left:124.900002pt;margin-top:36.964981pt;width:128.15pt;height:12.6pt;mso-position-horizontal-relative:page;mso-position-vertical-relative:page;z-index:-682360"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2336"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2312" type="#_x0000_t75" stroked="false">
          <v:imagedata r:id="rId1" o:title=""/>
        </v:shape>
      </w:pict>
    </w:r>
    <w:r>
      <w:rPr/>
      <w:pict>
        <v:group style="position:absolute;margin-left:88.463997pt;margin-top:61.799984pt;width:418.55pt;height:.1pt;mso-position-horizontal-relative:page;mso-position-vertical-relative:page;z-index:-682288" coordorigin="1769,1236" coordsize="8371,2">
          <v:shape style="position:absolute;left:1769;top:1236;width:8371;height:2" coordorigin="1769,1236" coordsize="8371,0" path="m1769,1236l10139,1236e" filled="false" stroked="true" strokeweight=".72pt" strokecolor="#000000">
            <v:path arrowok="t"/>
          </v:shape>
          <w10:wrap type="none"/>
        </v:group>
      </w:pict>
    </w:r>
    <w:r>
      <w:rPr/>
      <w:pict>
        <v:shape style="position:absolute;margin-left:124.900002pt;margin-top:36.964981pt;width:128.15pt;height:12.6pt;mso-position-horizontal-relative:page;mso-position-vertical-relative:page;z-index:-682264"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2240"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2192" type="#_x0000_t75" stroked="false">
          <v:imagedata r:id="rId1" o:title=""/>
        </v:shape>
      </w:pict>
    </w:r>
    <w:r>
      <w:rPr/>
      <w:pict>
        <v:shape style="position:absolute;margin-left:124.900002pt;margin-top:36.964981pt;width:128.15pt;height:12.6pt;mso-position-horizontal-relative:page;mso-position-vertical-relative:page;z-index:-682168"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2144"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699997pt;margin-top:42.599983pt;width:36pt;height:15.85pt;mso-position-horizontal-relative:page;mso-position-vertical-relative:page;z-index:-682120" type="#_x0000_t75" stroked="false">
          <v:imagedata r:id="rId1" o:title=""/>
        </v:shape>
      </w:pict>
    </w:r>
    <w:r>
      <w:rPr/>
      <w:pict>
        <v:shape style="position:absolute;margin-left:125.739998pt;margin-top:48.364983pt;width:128.15pt;height:12.6pt;mso-position-horizontal-relative:page;mso-position-vertical-relative:page;z-index:-682096"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5.190002pt;margin-top:48.364983pt;width:78.150pt;height:13.15pt;mso-position-horizontal-relative:page;mso-position-vertical-relative:page;z-index:-68207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3656" type="#_x0000_t75" stroked="false">
          <v:imagedata r:id="rId1" o:title=""/>
        </v:shape>
      </w:pict>
    </w:r>
    <w:r>
      <w:rPr/>
      <w:pict>
        <v:shape style="position:absolute;margin-left:124.900002pt;margin-top:36.964981pt;width:128.15pt;height:12.6pt;mso-position-horizontal-relative:page;mso-position-vertical-relative:page;z-index:-683632"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3608"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3584" type="#_x0000_t75" stroked="false">
          <v:imagedata r:id="rId1" o:title=""/>
        </v:shape>
      </w:pict>
    </w:r>
    <w:r>
      <w:rPr/>
      <w:pict>
        <v:group style="position:absolute;margin-left:88.463997pt;margin-top:61.799984pt;width:418.55pt;height:.1pt;mso-position-horizontal-relative:page;mso-position-vertical-relative:page;z-index:-683560" coordorigin="1769,1236" coordsize="8371,2">
          <v:shape style="position:absolute;left:1769;top:1236;width:8371;height:2" coordorigin="1769,1236" coordsize="8371,0" path="m1769,1236l10139,1236e" filled="false" stroked="true" strokeweight=".72pt" strokecolor="#000000">
            <v:path arrowok="t"/>
          </v:shape>
          <w10:wrap type="none"/>
        </v:group>
      </w:pict>
    </w:r>
    <w:r>
      <w:rPr/>
      <w:pict>
        <v:shape style="position:absolute;margin-left:124.900002pt;margin-top:36.964981pt;width:128.15pt;height:12.6pt;mso-position-horizontal-relative:page;mso-position-vertical-relative:page;z-index:-683536"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351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3488" type="#_x0000_t75" stroked="false">
          <v:imagedata r:id="rId1" o:title=""/>
        </v:shape>
      </w:pict>
    </w:r>
    <w:r>
      <w:rPr/>
      <w:pict>
        <v:shape style="position:absolute;margin-left:124.900002pt;margin-top:36.964981pt;width:128.15pt;height:12.6pt;mso-position-horizontal-relative:page;mso-position-vertical-relative:page;z-index:-683464"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3440"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3416" type="#_x0000_t75" stroked="false">
          <v:imagedata r:id="rId1" o:title=""/>
        </v:shape>
      </w:pict>
    </w:r>
    <w:r>
      <w:rPr/>
      <w:pict>
        <v:group style="position:absolute;margin-left:88.463997pt;margin-top:61.799984pt;width:418.55pt;height:.1pt;mso-position-horizontal-relative:page;mso-position-vertical-relative:page;z-index:-683392" coordorigin="1769,1236" coordsize="8371,2">
          <v:shape style="position:absolute;left:1769;top:1236;width:8371;height:2" coordorigin="1769,1236" coordsize="8371,0" path="m1769,1236l10139,1236e" filled="false" stroked="true" strokeweight=".72pt" strokecolor="#000000">
            <v:path arrowok="t"/>
          </v:shape>
          <w10:wrap type="none"/>
        </v:group>
      </w:pict>
    </w:r>
    <w:r>
      <w:rPr/>
      <w:pict>
        <v:shape style="position:absolute;margin-left:124.900002pt;margin-top:36.964981pt;width:128.15pt;height:12.6pt;mso-position-horizontal-relative:page;mso-position-vertical-relative:page;z-index:-683368"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3344"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3320" type="#_x0000_t75" stroked="false">
          <v:imagedata r:id="rId1" o:title=""/>
        </v:shape>
      </w:pict>
    </w:r>
    <w:r>
      <w:rPr/>
      <w:pict>
        <v:shape style="position:absolute;margin-left:124.900002pt;margin-top:36.964981pt;width:128.15pt;height:12.6pt;mso-position-horizontal-relative:page;mso-position-vertical-relative:page;z-index:-683296"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327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3248" type="#_x0000_t75" stroked="false">
          <v:imagedata r:id="rId1" o:title=""/>
        </v:shape>
      </w:pict>
    </w:r>
    <w:r>
      <w:rPr/>
      <w:pict>
        <v:group style="position:absolute;margin-left:88.463997pt;margin-top:61.799984pt;width:418.55pt;height:.1pt;mso-position-horizontal-relative:page;mso-position-vertical-relative:page;z-index:-683224" coordorigin="1769,1236" coordsize="8371,2">
          <v:shape style="position:absolute;left:1769;top:1236;width:8371;height:2" coordorigin="1769,1236" coordsize="8371,0" path="m1769,1236l10139,1236e" filled="false" stroked="true" strokeweight=".72pt" strokecolor="#000000">
            <v:path arrowok="t"/>
          </v:shape>
          <w10:wrap type="none"/>
        </v:group>
      </w:pict>
    </w:r>
    <w:r>
      <w:rPr/>
      <w:pict>
        <v:shape style="position:absolute;margin-left:124.900002pt;margin-top:36.964981pt;width:128.15pt;height:12.6pt;mso-position-horizontal-relative:page;mso-position-vertical-relative:page;z-index:-683200"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3176"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3128" type="#_x0000_t75" stroked="false">
          <v:imagedata r:id="rId1" o:title=""/>
        </v:shape>
      </w:pict>
    </w:r>
    <w:r>
      <w:rPr/>
      <w:pict>
        <v:shape style="position:absolute;margin-left:124.900002pt;margin-top:36.964981pt;width:128.15pt;height:12.6pt;mso-position-horizontal-relative:page;mso-position-vertical-relative:page;z-index:-683104"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3080"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31.199984pt;width:36pt;height:15.85pt;mso-position-horizontal-relative:page;mso-position-vertical-relative:page;z-index:-683056" type="#_x0000_t75" stroked="false">
          <v:imagedata r:id="rId1" o:title=""/>
        </v:shape>
      </w:pict>
    </w:r>
    <w:r>
      <w:rPr/>
      <w:pict>
        <v:group style="position:absolute;margin-left:88.463997pt;margin-top:61.799984pt;width:418.55pt;height:.1pt;mso-position-horizontal-relative:page;mso-position-vertical-relative:page;z-index:-683032" coordorigin="1769,1236" coordsize="8371,2">
          <v:shape style="position:absolute;left:1769;top:1236;width:8371;height:2" coordorigin="1769,1236" coordsize="8371,0" path="m1769,1236l10139,1236e" filled="false" stroked="true" strokeweight=".72pt" strokecolor="#000000">
            <v:path arrowok="t"/>
          </v:shape>
          <w10:wrap type="none"/>
        </v:group>
      </w:pict>
    </w:r>
    <w:r>
      <w:rPr/>
      <w:pict>
        <v:shape style="position:absolute;margin-left:124.900002pt;margin-top:36.964981pt;width:128.15pt;height:12.6pt;mso-position-horizontal-relative:page;mso-position-vertical-relative:page;z-index:-683008" type="#_x0000_t202" filled="false" stroked="false">
          <v:textbox inset="0,0,0,0">
            <w:txbxContent>
              <w:p>
                <w:pPr>
                  <w:pStyle w:val="BodyText"/>
                  <w:spacing w:line="231" w:lineRule="exact"/>
                  <w:ind w:left="20" w:right="0"/>
                  <w:jc w:val="left"/>
                </w:pPr>
                <w:r>
                  <w:rPr/>
                  <w:t>河南辉煌科技股份有限公司</w:t>
                </w:r>
              </w:p>
            </w:txbxContent>
          </v:textbox>
          <w10:wrap type="none"/>
        </v:shape>
      </w:pict>
    </w:r>
    <w:r>
      <w:rPr/>
      <w:pict>
        <v:shape style="position:absolute;margin-left:424.350006pt;margin-top:36.964981pt;width:78.150pt;height:13.15pt;mso-position-horizontal-relative:page;mso-position-vertical-relative:page;z-index:-682984"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6"/>
      <w:ind w:left="138"/>
    </w:pPr>
    <w:rPr>
      <w:rFonts w:ascii="宋体" w:hAnsi="宋体" w:eastAsia="宋体"/>
      <w:b/>
      <w:bCs/>
      <w:sz w:val="28"/>
      <w:szCs w:val="28"/>
    </w:rPr>
  </w:style>
  <w:style w:styleId="BodyText" w:type="paragraph">
    <w:name w:val="Body Text"/>
    <w:basedOn w:val="Normal"/>
    <w:uiPriority w:val="1"/>
    <w:qFormat/>
    <w:pPr>
      <w:ind w:left="120"/>
    </w:pPr>
    <w:rPr>
      <w:rFonts w:ascii="宋体" w:hAnsi="宋体" w:eastAsia="宋体"/>
      <w:sz w:val="21"/>
      <w:szCs w:val="21"/>
    </w:rPr>
  </w:style>
  <w:style w:styleId="Heading1" w:type="paragraph">
    <w:name w:val="Heading 1"/>
    <w:basedOn w:val="Normal"/>
    <w:uiPriority w:val="1"/>
    <w:qFormat/>
    <w:pPr>
      <w:spacing w:before="7"/>
      <w:ind w:left="120"/>
      <w:outlineLvl w:val="1"/>
    </w:pPr>
    <w:rPr>
      <w:rFonts w:ascii="黑体" w:hAnsi="黑体" w:eastAsia="黑体"/>
      <w:sz w:val="30"/>
      <w:szCs w:val="30"/>
    </w:rPr>
  </w:style>
  <w:style w:styleId="Heading2" w:type="paragraph">
    <w:name w:val="Heading 2"/>
    <w:basedOn w:val="Normal"/>
    <w:uiPriority w:val="1"/>
    <w:qFormat/>
    <w:pPr>
      <w:spacing w:before="29"/>
      <w:ind w:left="138"/>
      <w:outlineLvl w:val="2"/>
    </w:pPr>
    <w:rPr>
      <w:rFonts w:ascii="宋体" w:hAnsi="宋体" w:eastAsia="宋体"/>
      <w:b/>
      <w:bCs/>
      <w:sz w:val="28"/>
      <w:szCs w:val="28"/>
    </w:rPr>
  </w:style>
  <w:style w:styleId="Heading3" w:type="paragraph">
    <w:name w:val="Heading 3"/>
    <w:basedOn w:val="Normal"/>
    <w:uiPriority w:val="1"/>
    <w:qFormat/>
    <w:pPr>
      <w:spacing w:before="29"/>
      <w:ind w:left="138"/>
      <w:outlineLvl w:val="3"/>
    </w:pPr>
    <w:rPr>
      <w:rFonts w:ascii="宋体" w:hAnsi="宋体" w:eastAsia="宋体"/>
      <w:sz w:val="28"/>
      <w:szCs w:val="28"/>
    </w:rPr>
  </w:style>
  <w:style w:styleId="Heading4" w:type="paragraph">
    <w:name w:val="Heading 4"/>
    <w:basedOn w:val="Normal"/>
    <w:uiPriority w:val="1"/>
    <w:qFormat/>
    <w:pPr>
      <w:spacing w:before="14"/>
      <w:ind w:left="400"/>
      <w:outlineLvl w:val="4"/>
    </w:pPr>
    <w:rPr>
      <w:rFonts w:ascii="黑体" w:hAnsi="黑体" w:eastAsia="黑体"/>
      <w:sz w:val="24"/>
      <w:szCs w:val="24"/>
    </w:rPr>
  </w:style>
  <w:style w:styleId="Heading5" w:type="paragraph">
    <w:name w:val="Heading 5"/>
    <w:basedOn w:val="Normal"/>
    <w:uiPriority w:val="1"/>
    <w:qFormat/>
    <w:pPr>
      <w:ind w:left="820"/>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mailto:hhlxjian@163.com" TargetMode="External"/><Relationship Id="rId9" Type="http://schemas.openxmlformats.org/officeDocument/2006/relationships/hyperlink" Target="mailto:hr9228@126.com" TargetMode="External"/><Relationship Id="rId10" Type="http://schemas.openxmlformats.org/officeDocument/2006/relationships/hyperlink" Target="http://www.hhkj.cn/" TargetMode="External"/><Relationship Id="rId11" Type="http://schemas.openxmlformats.org/officeDocument/2006/relationships/hyperlink" Target="mailto:hhkj_cn@163.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2.xml"/><Relationship Id="rId20" Type="http://schemas.openxmlformats.org/officeDocument/2006/relationships/hyperlink" Target="http://www.cninfo.com.cn&#19978;/" TargetMode="Externa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3.xml"/><Relationship Id="rId25" Type="http://schemas.openxmlformats.org/officeDocument/2006/relationships/header" Target="header11.xml"/><Relationship Id="rId26" Type="http://schemas.openxmlformats.org/officeDocument/2006/relationships/footer" Target="footer4.xm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oter" Target="footer5.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footer" Target="footer6.xml"/><Relationship Id="rId35" Type="http://schemas.openxmlformats.org/officeDocument/2006/relationships/header" Target="header18.xml"/><Relationship Id="rId36" Type="http://schemas.openxmlformats.org/officeDocument/2006/relationships/header" Target="header19.xml"/><Relationship Id="rId37" Type="http://schemas.openxmlformats.org/officeDocument/2006/relationships/footer" Target="footer7.xml"/><Relationship Id="rId38" Type="http://schemas.openxmlformats.org/officeDocument/2006/relationships/footer" Target="footer8.xml"/><Relationship Id="rId39" Type="http://schemas.openxmlformats.org/officeDocument/2006/relationships/footer" Target="footer9.xml"/><Relationship Id="rId40" Type="http://schemas.openxmlformats.org/officeDocument/2006/relationships/footer" Target="footer10.xml"/><Relationship Id="rId41" Type="http://schemas.openxmlformats.org/officeDocument/2006/relationships/footer" Target="footer11.xml"/><Relationship Id="rId42" Type="http://schemas.openxmlformats.org/officeDocument/2006/relationships/footer" Target="footer12.xml"/><Relationship Id="rId43" Type="http://schemas.openxmlformats.org/officeDocument/2006/relationships/footer" Target="footer13.xml"/><Relationship Id="rId44" Type="http://schemas.openxmlformats.org/officeDocument/2006/relationships/footer" Target="footer14.xml"/><Relationship Id="rId45" Type="http://schemas.openxmlformats.org/officeDocument/2006/relationships/footer" Target="footer15.xm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footer" Target="footer19.xml"/><Relationship Id="rId50" Type="http://schemas.openxmlformats.org/officeDocument/2006/relationships/footer" Target="footer20.xml"/><Relationship Id="rId51" Type="http://schemas.openxmlformats.org/officeDocument/2006/relationships/footer" Target="footer21.xml"/><Relationship Id="rId52" Type="http://schemas.openxmlformats.org/officeDocument/2006/relationships/footer" Target="footer22.xml"/><Relationship Id="rId53" Type="http://schemas.openxmlformats.org/officeDocument/2006/relationships/footer" Target="footer23.xml"/><Relationship Id="rId54" Type="http://schemas.openxmlformats.org/officeDocument/2006/relationships/footer" Target="footer24.xml"/><Relationship Id="rId55" Type="http://schemas.openxmlformats.org/officeDocument/2006/relationships/footer" Target="footer25.xml"/><Relationship Id="rId56" Type="http://schemas.openxmlformats.org/officeDocument/2006/relationships/footer" Target="footer2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赵洁</dc:creator>
  <dc:title>河南辉煌科技股份有限公司</dc:title>
  <dcterms:created xsi:type="dcterms:W3CDTF">2020-04-29T02:25:13Z</dcterms:created>
  <dcterms:modified xsi:type="dcterms:W3CDTF">2020-04-29T02:25:13Z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Creator">
    <vt:lpwstr>Microsoft® Office Word 2007</vt:lpwstr>
  </property>
  <property fmtid="{D5CDD505-2E9C-101B-9397-08002B2CF9AE}" pid="4" name="LastSaved">
    <vt:filetime>2020-04-28T00:00:00Z</vt:filetime>
  </property>
</Properties>
</file>